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78" w:rsidRDefault="0077292E" w:rsidP="00A95103">
      <w:pPr>
        <w:spacing w:line="240" w:lineRule="auto"/>
        <w:jc w:val="center"/>
        <w:rPr>
          <w:b/>
        </w:rPr>
      </w:pPr>
      <w:r>
        <w:rPr>
          <w:b/>
        </w:rPr>
        <w:t>La valorizzazione dell’agroalimentare di qualità e lo sviluppo del territorio</w:t>
      </w:r>
    </w:p>
    <w:p w:rsidR="00A95103" w:rsidRDefault="00A95103" w:rsidP="00A95103">
      <w:pPr>
        <w:spacing w:line="240" w:lineRule="auto"/>
        <w:jc w:val="center"/>
        <w:rPr>
          <w:b/>
        </w:rPr>
      </w:pPr>
    </w:p>
    <w:p w:rsidR="00BF0C78" w:rsidRPr="00A95103" w:rsidRDefault="00A95103" w:rsidP="00A95103">
      <w:pPr>
        <w:spacing w:line="240" w:lineRule="auto"/>
        <w:rPr>
          <w:b/>
          <w:sz w:val="20"/>
          <w:szCs w:val="20"/>
        </w:rPr>
      </w:pPr>
      <w:r w:rsidRPr="00A95103">
        <w:rPr>
          <w:b/>
          <w:sz w:val="20"/>
          <w:szCs w:val="20"/>
        </w:rPr>
        <w:t>P</w:t>
      </w:r>
      <w:r w:rsidR="00BF0C78" w:rsidRPr="00A95103">
        <w:rPr>
          <w:b/>
          <w:sz w:val="20"/>
          <w:szCs w:val="20"/>
        </w:rPr>
        <w:t xml:space="preserve">ietro Columba Professore ordinario DEMETRA, Università di Palermo, E-mail pietro.columba@unipa.it; </w:t>
      </w:r>
    </w:p>
    <w:p w:rsidR="00B668C5" w:rsidRDefault="00B668C5" w:rsidP="00B668C5">
      <w:pPr>
        <w:spacing w:line="240" w:lineRule="auto"/>
        <w:jc w:val="center"/>
        <w:rPr>
          <w:sz w:val="20"/>
          <w:szCs w:val="20"/>
        </w:rPr>
      </w:pPr>
      <w:r w:rsidRPr="00A95103">
        <w:rPr>
          <w:sz w:val="20"/>
          <w:szCs w:val="20"/>
        </w:rPr>
        <w:t xml:space="preserve">Lorella Di Giovanni Dottore di ricerca DEMETRA, Università di Palermo, E-mail  </w:t>
      </w:r>
      <w:r w:rsidRPr="00F60941">
        <w:rPr>
          <w:sz w:val="20"/>
          <w:szCs w:val="20"/>
        </w:rPr>
        <w:t>lorelladg@libero.it</w:t>
      </w:r>
    </w:p>
    <w:p w:rsidR="00BF0C78" w:rsidRPr="00A95103" w:rsidRDefault="00BF0C78" w:rsidP="00A95103">
      <w:pPr>
        <w:spacing w:line="240" w:lineRule="auto"/>
        <w:jc w:val="center"/>
        <w:rPr>
          <w:sz w:val="20"/>
          <w:szCs w:val="20"/>
        </w:rPr>
      </w:pPr>
      <w:r w:rsidRPr="00A95103">
        <w:rPr>
          <w:sz w:val="20"/>
          <w:szCs w:val="20"/>
        </w:rPr>
        <w:t>Ylenia Oliveri  Dottore di ricerca DEMETRA, Università di Palermo,  E-mail ylenia.oliveri@unipa.it;</w:t>
      </w:r>
    </w:p>
    <w:p w:rsidR="00A95103" w:rsidRPr="00EE26CA" w:rsidRDefault="00A95103" w:rsidP="00A95103">
      <w:pPr>
        <w:spacing w:line="240" w:lineRule="auto"/>
        <w:jc w:val="center"/>
      </w:pPr>
    </w:p>
    <w:p w:rsidR="00CD663D" w:rsidRPr="00A95103" w:rsidRDefault="00B530CA" w:rsidP="00A95103">
      <w:pPr>
        <w:pStyle w:val="Titolo1"/>
        <w:spacing w:after="0" w:line="240" w:lineRule="auto"/>
        <w:rPr>
          <w:sz w:val="24"/>
          <w:szCs w:val="24"/>
        </w:rPr>
      </w:pPr>
      <w:r w:rsidRPr="00A95103">
        <w:rPr>
          <w:sz w:val="24"/>
          <w:szCs w:val="24"/>
        </w:rPr>
        <w:t>Introduzione</w:t>
      </w:r>
    </w:p>
    <w:p w:rsidR="00F70DC1" w:rsidRDefault="00E85B48" w:rsidP="00A95103">
      <w:pPr>
        <w:spacing w:line="240" w:lineRule="auto"/>
      </w:pPr>
      <w:r>
        <w:t>Obie</w:t>
      </w:r>
      <w:r w:rsidR="006C5905">
        <w:t>ttivo dello studio è indagare la capacità</w:t>
      </w:r>
      <w:r>
        <w:t xml:space="preserve"> di valorizzazione del patrimonio territoriale</w:t>
      </w:r>
      <w:r w:rsidR="005A21A2" w:rsidRPr="005A21A2">
        <w:t xml:space="preserve"> </w:t>
      </w:r>
      <w:r w:rsidR="005A21A2">
        <w:t>in alcuni ambienti della Sicilia (ricadenti nelle province Trapani) posti a confronto con un contesto di riferimento, individuato in Toscana (nella provincia di Siena)</w:t>
      </w:r>
      <w:r w:rsidR="00F70DC1">
        <w:t>.</w:t>
      </w:r>
    </w:p>
    <w:p w:rsidR="00C63083" w:rsidRDefault="00F70DC1" w:rsidP="00A95103">
      <w:pPr>
        <w:spacing w:line="240" w:lineRule="auto"/>
      </w:pPr>
      <w:r>
        <w:t xml:space="preserve">Questo studio ha indagato entrambe le aree attraverso due approcci complementari: la relazione tra le attività agricole e l’ambiente – con l’applicazione del DPSIR </w:t>
      </w:r>
      <w:r w:rsidRPr="00F70DC1">
        <w:t>(</w:t>
      </w:r>
      <w:proofErr w:type="spellStart"/>
      <w:r w:rsidRPr="00F70DC1">
        <w:t>Driving</w:t>
      </w:r>
      <w:proofErr w:type="spellEnd"/>
      <w:r w:rsidRPr="00F70DC1">
        <w:t xml:space="preserve"> </w:t>
      </w:r>
      <w:proofErr w:type="spellStart"/>
      <w:r w:rsidRPr="00F70DC1">
        <w:t>forces</w:t>
      </w:r>
      <w:proofErr w:type="spellEnd"/>
      <w:r w:rsidRPr="00F70DC1">
        <w:t xml:space="preserve">, </w:t>
      </w:r>
      <w:proofErr w:type="spellStart"/>
      <w:r w:rsidRPr="00F70DC1">
        <w:t>Pressures</w:t>
      </w:r>
      <w:proofErr w:type="spellEnd"/>
      <w:r w:rsidRPr="00F70DC1">
        <w:t xml:space="preserve">, </w:t>
      </w:r>
      <w:proofErr w:type="spellStart"/>
      <w:r w:rsidRPr="00F70DC1">
        <w:t>States</w:t>
      </w:r>
      <w:proofErr w:type="spellEnd"/>
      <w:r w:rsidRPr="00F70DC1">
        <w:t xml:space="preserve">, </w:t>
      </w:r>
      <w:proofErr w:type="spellStart"/>
      <w:r w:rsidRPr="00F70DC1">
        <w:t>Impacts</w:t>
      </w:r>
      <w:proofErr w:type="spellEnd"/>
      <w:r w:rsidRPr="00F70DC1">
        <w:t xml:space="preserve">, </w:t>
      </w:r>
      <w:proofErr w:type="spellStart"/>
      <w:r w:rsidRPr="00F70DC1">
        <w:t>Responses</w:t>
      </w:r>
      <w:proofErr w:type="spellEnd"/>
      <w:r w:rsidRPr="00F70DC1">
        <w:t xml:space="preserve">; </w:t>
      </w:r>
      <w:proofErr w:type="spellStart"/>
      <w:r w:rsidRPr="00F70DC1">
        <w:t>Trisorio</w:t>
      </w:r>
      <w:proofErr w:type="spellEnd"/>
      <w:r w:rsidRPr="00F70DC1">
        <w:t>, 2004)</w:t>
      </w:r>
      <w:r w:rsidR="006C5905">
        <w:t xml:space="preserve"> </w:t>
      </w:r>
      <w:r>
        <w:t>– e il sistema relazionale degli operatori dei comprensori attraverso l</w:t>
      </w:r>
      <w:r w:rsidR="00256084">
        <w:t xml:space="preserve">a SNA (Social Network </w:t>
      </w:r>
      <w:proofErr w:type="spellStart"/>
      <w:r w:rsidR="00256084">
        <w:t>Analysis</w:t>
      </w:r>
      <w:proofErr w:type="spellEnd"/>
      <w:r w:rsidR="00256084">
        <w:t>).</w:t>
      </w:r>
      <w:r>
        <w:t xml:space="preserve"> </w:t>
      </w:r>
    </w:p>
    <w:p w:rsidR="00B530CA" w:rsidRDefault="00B530CA" w:rsidP="00A95103">
      <w:pPr>
        <w:spacing w:line="240" w:lineRule="auto"/>
        <w:rPr>
          <w:szCs w:val="24"/>
        </w:rPr>
      </w:pPr>
      <w:r>
        <w:rPr>
          <w:szCs w:val="24"/>
        </w:rPr>
        <w:t xml:space="preserve">Si </w:t>
      </w:r>
      <w:r w:rsidR="00F70DC1">
        <w:rPr>
          <w:szCs w:val="24"/>
        </w:rPr>
        <w:t>sono</w:t>
      </w:r>
      <w:r>
        <w:rPr>
          <w:szCs w:val="24"/>
        </w:rPr>
        <w:t xml:space="preserve"> pertanto </w:t>
      </w:r>
      <w:r w:rsidR="00F70DC1">
        <w:rPr>
          <w:szCs w:val="24"/>
        </w:rPr>
        <w:t>indagati</w:t>
      </w:r>
      <w:r w:rsidRPr="00A57A97">
        <w:rPr>
          <w:szCs w:val="24"/>
        </w:rPr>
        <w:t xml:space="preserve"> gli </w:t>
      </w:r>
      <w:r w:rsidRPr="007143FB">
        <w:rPr>
          <w:bCs/>
          <w:i/>
          <w:iCs/>
          <w:szCs w:val="24"/>
        </w:rPr>
        <w:t>aspetti relazionali</w:t>
      </w:r>
      <w:r w:rsidRPr="00A57A97">
        <w:rPr>
          <w:szCs w:val="24"/>
        </w:rPr>
        <w:t xml:space="preserve"> del sistema produttivo del vino Alcamo DOC </w:t>
      </w:r>
      <w:r w:rsidR="002B3E80">
        <w:rPr>
          <w:szCs w:val="24"/>
        </w:rPr>
        <w:t>e della</w:t>
      </w:r>
      <w:r w:rsidR="00442E85">
        <w:rPr>
          <w:szCs w:val="24"/>
        </w:rPr>
        <w:t xml:space="preserve"> celebre</w:t>
      </w:r>
      <w:r w:rsidRPr="00A57A97">
        <w:rPr>
          <w:szCs w:val="24"/>
        </w:rPr>
        <w:t xml:space="preserve"> DOCG Brunello di Montalcino, al fine di </w:t>
      </w:r>
      <w:r w:rsidR="00442E85">
        <w:rPr>
          <w:szCs w:val="24"/>
        </w:rPr>
        <w:t xml:space="preserve">evidenziare quanto l’esistenza di </w:t>
      </w:r>
      <w:r w:rsidR="00442E85">
        <w:rPr>
          <w:i/>
          <w:szCs w:val="24"/>
        </w:rPr>
        <w:t>governance</w:t>
      </w:r>
      <w:r w:rsidR="00442E85">
        <w:rPr>
          <w:szCs w:val="24"/>
        </w:rPr>
        <w:t xml:space="preserve"> efficaci sia determinata da sistemi relazionali evoluti e quanto queste incidano sulla competitività del territorio</w:t>
      </w:r>
      <w:r w:rsidRPr="00A57A97">
        <w:rPr>
          <w:szCs w:val="24"/>
        </w:rPr>
        <w:t>.</w:t>
      </w:r>
    </w:p>
    <w:p w:rsidR="00A95103" w:rsidRDefault="00A95103" w:rsidP="00A95103">
      <w:pPr>
        <w:spacing w:line="240" w:lineRule="auto"/>
        <w:rPr>
          <w:szCs w:val="24"/>
        </w:rPr>
      </w:pPr>
    </w:p>
    <w:p w:rsidR="00B530CA" w:rsidRPr="00A95103" w:rsidRDefault="00E57F39" w:rsidP="00A95103">
      <w:pPr>
        <w:pStyle w:val="Titolo1"/>
        <w:spacing w:before="0" w:after="0" w:line="240" w:lineRule="auto"/>
        <w:rPr>
          <w:sz w:val="24"/>
          <w:szCs w:val="24"/>
        </w:rPr>
      </w:pPr>
      <w:r w:rsidRPr="00A95103">
        <w:rPr>
          <w:sz w:val="24"/>
          <w:szCs w:val="24"/>
        </w:rPr>
        <w:t>Metodologia</w:t>
      </w:r>
    </w:p>
    <w:p w:rsidR="003B0170" w:rsidRDefault="00F520B9" w:rsidP="00A95103">
      <w:pPr>
        <w:spacing w:line="240" w:lineRule="auto"/>
        <w:rPr>
          <w:szCs w:val="24"/>
        </w:rPr>
      </w:pPr>
      <w:r>
        <w:rPr>
          <w:szCs w:val="24"/>
        </w:rPr>
        <w:t>Il rapporto tra agricoltura e ambiente</w:t>
      </w:r>
      <w:r w:rsidR="006C5905">
        <w:rPr>
          <w:szCs w:val="24"/>
        </w:rPr>
        <w:t xml:space="preserve"> </w:t>
      </w:r>
      <w:r w:rsidR="005A21A2">
        <w:rPr>
          <w:szCs w:val="24"/>
        </w:rPr>
        <w:t>è stat</w:t>
      </w:r>
      <w:r>
        <w:rPr>
          <w:szCs w:val="24"/>
        </w:rPr>
        <w:t>o</w:t>
      </w:r>
      <w:r w:rsidR="005A21A2">
        <w:rPr>
          <w:szCs w:val="24"/>
        </w:rPr>
        <w:t xml:space="preserve"> analizzat</w:t>
      </w:r>
      <w:r>
        <w:rPr>
          <w:szCs w:val="24"/>
        </w:rPr>
        <w:t>o</w:t>
      </w:r>
      <w:r w:rsidR="005A21A2">
        <w:rPr>
          <w:szCs w:val="24"/>
        </w:rPr>
        <w:t xml:space="preserve"> mediante l’applicazione del modello DPSIR e quindi tramite la determinazione di alcuni </w:t>
      </w:r>
      <w:r w:rsidR="005A21A2" w:rsidRPr="00E40568">
        <w:rPr>
          <w:szCs w:val="24"/>
        </w:rPr>
        <w:t>indicatori</w:t>
      </w:r>
      <w:r w:rsidR="00986F96">
        <w:rPr>
          <w:szCs w:val="24"/>
        </w:rPr>
        <w:t xml:space="preserve"> (OECD 2000, 2001)</w:t>
      </w:r>
      <w:r w:rsidR="002B3E80">
        <w:rPr>
          <w:szCs w:val="24"/>
        </w:rPr>
        <w:t xml:space="preserve">. </w:t>
      </w:r>
      <w:r w:rsidR="005A21A2">
        <w:rPr>
          <w:szCs w:val="24"/>
        </w:rPr>
        <w:t>G</w:t>
      </w:r>
      <w:r w:rsidR="005A21A2" w:rsidRPr="00CB17A6">
        <w:rPr>
          <w:szCs w:val="24"/>
        </w:rPr>
        <w:t xml:space="preserve">li </w:t>
      </w:r>
      <w:r w:rsidR="005A21A2" w:rsidRPr="00CB67FF">
        <w:rPr>
          <w:szCs w:val="24"/>
        </w:rPr>
        <w:t xml:space="preserve">indicatori </w:t>
      </w:r>
      <w:r w:rsidR="005A21A2">
        <w:rPr>
          <w:szCs w:val="24"/>
        </w:rPr>
        <w:t>utilizzati nella ricerca</w:t>
      </w:r>
      <w:r w:rsidR="005A21A2" w:rsidRPr="00CB17A6">
        <w:rPr>
          <w:szCs w:val="24"/>
        </w:rPr>
        <w:t xml:space="preserve"> sono</w:t>
      </w:r>
      <w:r w:rsidR="00F76EF6">
        <w:rPr>
          <w:szCs w:val="24"/>
        </w:rPr>
        <w:t xml:space="preserve"> complessivamente 17</w:t>
      </w:r>
      <w:r w:rsidR="005A21A2">
        <w:rPr>
          <w:szCs w:val="24"/>
        </w:rPr>
        <w:t>, di cui 5 riguardano la dimensione sociale e 12 quella ambientale</w:t>
      </w:r>
      <w:r w:rsidR="005A21A2" w:rsidRPr="00FD30F9">
        <w:rPr>
          <w:szCs w:val="24"/>
        </w:rPr>
        <w:t xml:space="preserve"> </w:t>
      </w:r>
      <w:r w:rsidR="005A21A2">
        <w:rPr>
          <w:szCs w:val="24"/>
        </w:rPr>
        <w:t xml:space="preserve">e sono </w:t>
      </w:r>
      <w:r w:rsidR="005A21A2" w:rsidRPr="00CB17A6">
        <w:rPr>
          <w:szCs w:val="24"/>
        </w:rPr>
        <w:t>stati elaborati in base ad informazioni di tipo aggregato a livello provinciale (ISTAT</w:t>
      </w:r>
      <w:r w:rsidR="006C5905">
        <w:rPr>
          <w:szCs w:val="24"/>
        </w:rPr>
        <w:t>, 2009</w:t>
      </w:r>
      <w:r>
        <w:rPr>
          <w:szCs w:val="24"/>
        </w:rPr>
        <w:t>). Per la loro interpretazione</w:t>
      </w:r>
      <w:r w:rsidR="005A21A2" w:rsidRPr="00CB17A6">
        <w:rPr>
          <w:szCs w:val="24"/>
        </w:rPr>
        <w:t xml:space="preserve"> si è fatto ricorso a</w:t>
      </w:r>
      <w:r w:rsidR="005A21A2">
        <w:rPr>
          <w:szCs w:val="24"/>
        </w:rPr>
        <w:t>lla costruzione di apposite</w:t>
      </w:r>
      <w:r w:rsidR="005A21A2" w:rsidRPr="00CB17A6">
        <w:rPr>
          <w:szCs w:val="24"/>
        </w:rPr>
        <w:t xml:space="preserve"> scale </w:t>
      </w:r>
      <w:r w:rsidR="005A21A2">
        <w:rPr>
          <w:szCs w:val="24"/>
        </w:rPr>
        <w:t xml:space="preserve">che hanno consentito di formulare dei giudizi sintetici di criticità. </w:t>
      </w:r>
    </w:p>
    <w:p w:rsidR="005A21A2" w:rsidRPr="00E765C7" w:rsidRDefault="005A21A2" w:rsidP="00A95103">
      <w:pPr>
        <w:spacing w:line="240" w:lineRule="auto"/>
        <w:rPr>
          <w:szCs w:val="24"/>
        </w:rPr>
      </w:pPr>
      <w:r>
        <w:rPr>
          <w:szCs w:val="24"/>
        </w:rPr>
        <w:t>La</w:t>
      </w:r>
      <w:r w:rsidRPr="00E765C7">
        <w:rPr>
          <w:szCs w:val="24"/>
        </w:rPr>
        <w:t xml:space="preserve"> dimensione sociale </w:t>
      </w:r>
      <w:r>
        <w:rPr>
          <w:szCs w:val="24"/>
        </w:rPr>
        <w:t xml:space="preserve">è stata </w:t>
      </w:r>
      <w:r w:rsidRPr="00E765C7">
        <w:rPr>
          <w:szCs w:val="24"/>
        </w:rPr>
        <w:t>analizzata secondo due aspetti: il capitale umano,</w:t>
      </w:r>
      <w:r>
        <w:rPr>
          <w:szCs w:val="24"/>
        </w:rPr>
        <w:t xml:space="preserve"> </w:t>
      </w:r>
      <w:r w:rsidRPr="00E765C7">
        <w:rPr>
          <w:szCs w:val="24"/>
        </w:rPr>
        <w:t>con riferimento alle caratteristiche dei conduttori agricoli e al peso dell’occupazione agricola</w:t>
      </w:r>
      <w:r>
        <w:rPr>
          <w:szCs w:val="24"/>
        </w:rPr>
        <w:t xml:space="preserve"> </w:t>
      </w:r>
      <w:r w:rsidRPr="00E765C7">
        <w:rPr>
          <w:szCs w:val="24"/>
        </w:rPr>
        <w:t>nell’ambito</w:t>
      </w:r>
      <w:r>
        <w:rPr>
          <w:szCs w:val="24"/>
        </w:rPr>
        <w:t xml:space="preserve"> </w:t>
      </w:r>
      <w:r w:rsidRPr="00E765C7">
        <w:rPr>
          <w:szCs w:val="24"/>
        </w:rPr>
        <w:t>del sistema economico</w:t>
      </w:r>
      <w:r>
        <w:rPr>
          <w:szCs w:val="24"/>
        </w:rPr>
        <w:t xml:space="preserve"> (o</w:t>
      </w:r>
      <w:r w:rsidRPr="00CC7EA0">
        <w:rPr>
          <w:szCs w:val="24"/>
        </w:rPr>
        <w:t>ccupazione agricola</w:t>
      </w:r>
      <w:r>
        <w:rPr>
          <w:szCs w:val="24"/>
        </w:rPr>
        <w:t>, indice di invecchiamento e l</w:t>
      </w:r>
      <w:r w:rsidRPr="00CC7EA0">
        <w:rPr>
          <w:szCs w:val="24"/>
        </w:rPr>
        <w:t>ivello di istruzione dei conduttori agricoli</w:t>
      </w:r>
      <w:r>
        <w:rPr>
          <w:szCs w:val="24"/>
        </w:rPr>
        <w:t xml:space="preserve">) e </w:t>
      </w:r>
      <w:r w:rsidRPr="00E765C7">
        <w:rPr>
          <w:szCs w:val="24"/>
        </w:rPr>
        <w:t xml:space="preserve">le </w:t>
      </w:r>
      <w:r w:rsidR="003A7C17">
        <w:rPr>
          <w:szCs w:val="24"/>
        </w:rPr>
        <w:t>pari</w:t>
      </w:r>
      <w:r w:rsidRPr="00E765C7">
        <w:rPr>
          <w:szCs w:val="24"/>
        </w:rPr>
        <w:t xml:space="preserve"> opportunità</w:t>
      </w:r>
      <w:r w:rsidR="00F520B9">
        <w:rPr>
          <w:szCs w:val="24"/>
        </w:rPr>
        <w:t>,</w:t>
      </w:r>
      <w:r w:rsidRPr="00E765C7">
        <w:rPr>
          <w:szCs w:val="24"/>
        </w:rPr>
        <w:t xml:space="preserve"> con particolare attenzione alle differenze</w:t>
      </w:r>
      <w:r>
        <w:rPr>
          <w:szCs w:val="24"/>
        </w:rPr>
        <w:t xml:space="preserve"> </w:t>
      </w:r>
      <w:r w:rsidRPr="00E765C7">
        <w:rPr>
          <w:szCs w:val="24"/>
        </w:rPr>
        <w:t>di genere nell’ambito degli occupati e alla popolazione rurale</w:t>
      </w:r>
      <w:r w:rsidR="00A16AE9">
        <w:rPr>
          <w:szCs w:val="24"/>
        </w:rPr>
        <w:t xml:space="preserve">. </w:t>
      </w:r>
      <w:r w:rsidRPr="00E765C7">
        <w:rPr>
          <w:szCs w:val="24"/>
        </w:rPr>
        <w:t>Gli indicatori relativi alla dimensione ambientale forniscono informazioni</w:t>
      </w:r>
      <w:r>
        <w:rPr>
          <w:szCs w:val="24"/>
        </w:rPr>
        <w:t xml:space="preserve"> circa l’</w:t>
      </w:r>
      <w:r w:rsidR="003A7C17">
        <w:rPr>
          <w:szCs w:val="24"/>
        </w:rPr>
        <w:t>impatto dell’agricoltura su:</w:t>
      </w:r>
      <w:r w:rsidRPr="007454DB">
        <w:rPr>
          <w:szCs w:val="24"/>
        </w:rPr>
        <w:t xml:space="preserve"> suolo e risorse idriche, tutela del paesaggio e biodiversità</w:t>
      </w:r>
      <w:r>
        <w:rPr>
          <w:szCs w:val="24"/>
        </w:rPr>
        <w:t>.</w:t>
      </w:r>
    </w:p>
    <w:p w:rsidR="00E57F39" w:rsidRDefault="00E57F39" w:rsidP="00A95103">
      <w:pPr>
        <w:spacing w:line="240" w:lineRule="auto"/>
        <w:rPr>
          <w:szCs w:val="24"/>
        </w:rPr>
      </w:pPr>
      <w:r>
        <w:rPr>
          <w:szCs w:val="24"/>
        </w:rPr>
        <w:t xml:space="preserve">L’indagine relativa al capitale relazionale è stata condotta sulle due </w:t>
      </w:r>
      <w:r>
        <w:rPr>
          <w:i/>
          <w:szCs w:val="24"/>
        </w:rPr>
        <w:t>governance</w:t>
      </w:r>
      <w:r>
        <w:rPr>
          <w:szCs w:val="24"/>
        </w:rPr>
        <w:t xml:space="preserve"> (Alcamo DOC e Brunello di Montalcino DOCG)</w:t>
      </w:r>
      <w:r w:rsidR="00256084">
        <w:rPr>
          <w:szCs w:val="24"/>
        </w:rPr>
        <w:t>;</w:t>
      </w:r>
      <w:r w:rsidRPr="00E1254E">
        <w:rPr>
          <w:szCs w:val="24"/>
        </w:rPr>
        <w:t xml:space="preserve"> il </w:t>
      </w:r>
      <w:r>
        <w:rPr>
          <w:szCs w:val="24"/>
        </w:rPr>
        <w:t xml:space="preserve">campo di osservazione è risultato costituito da </w:t>
      </w:r>
      <w:r w:rsidRPr="00E1254E">
        <w:rPr>
          <w:szCs w:val="24"/>
        </w:rPr>
        <w:t xml:space="preserve">tre aziende per </w:t>
      </w:r>
      <w:r>
        <w:rPr>
          <w:szCs w:val="24"/>
        </w:rPr>
        <w:t>la</w:t>
      </w:r>
      <w:r w:rsidRPr="00E1254E">
        <w:rPr>
          <w:szCs w:val="24"/>
        </w:rPr>
        <w:t xml:space="preserve"> DOC e 7 per la DOCG.</w:t>
      </w:r>
      <w:r w:rsidR="00256084">
        <w:rPr>
          <w:szCs w:val="24"/>
        </w:rPr>
        <w:t xml:space="preserve"> La rilevazione, basata su interviste condotte con la somministrazione di un </w:t>
      </w:r>
      <w:r>
        <w:rPr>
          <w:szCs w:val="24"/>
        </w:rPr>
        <w:t>questionario</w:t>
      </w:r>
      <w:r w:rsidR="00256084">
        <w:rPr>
          <w:szCs w:val="24"/>
        </w:rPr>
        <w:t>,</w:t>
      </w:r>
      <w:r>
        <w:rPr>
          <w:szCs w:val="24"/>
        </w:rPr>
        <w:t xml:space="preserve"> </w:t>
      </w:r>
      <w:r w:rsidR="00256084">
        <w:rPr>
          <w:szCs w:val="24"/>
        </w:rPr>
        <w:t>è stata</w:t>
      </w:r>
      <w:r>
        <w:rPr>
          <w:szCs w:val="24"/>
        </w:rPr>
        <w:t xml:space="preserve"> effettuate in Sicilia ed in Toscana, </w:t>
      </w:r>
      <w:r w:rsidRPr="00E1254E">
        <w:rPr>
          <w:szCs w:val="24"/>
        </w:rPr>
        <w:t>nel periodo compreso fra il mese di novembre e quello di dicembre dell’anno 2011</w:t>
      </w:r>
      <w:r>
        <w:rPr>
          <w:szCs w:val="24"/>
        </w:rPr>
        <w:t>.</w:t>
      </w:r>
      <w:r w:rsidRPr="00CC13BB">
        <w:rPr>
          <w:szCs w:val="24"/>
        </w:rPr>
        <w:t xml:space="preserve"> </w:t>
      </w:r>
      <w:r w:rsidRPr="00E1254E">
        <w:rPr>
          <w:szCs w:val="24"/>
        </w:rPr>
        <w:t>L’indagine diretta ha riguardato anche alcuni testimoni privilegiati</w:t>
      </w:r>
      <w:r>
        <w:rPr>
          <w:szCs w:val="24"/>
        </w:rPr>
        <w:t>.</w:t>
      </w:r>
    </w:p>
    <w:p w:rsidR="005A21A2" w:rsidRDefault="00256084" w:rsidP="00A95103">
      <w:pPr>
        <w:spacing w:line="240" w:lineRule="auto"/>
        <w:rPr>
          <w:szCs w:val="24"/>
        </w:rPr>
      </w:pPr>
      <w:r>
        <w:rPr>
          <w:szCs w:val="24"/>
        </w:rPr>
        <w:t>Si sono raccolti</w:t>
      </w:r>
      <w:r w:rsidR="00E57F39">
        <w:rPr>
          <w:szCs w:val="24"/>
        </w:rPr>
        <w:t xml:space="preserve"> </w:t>
      </w:r>
      <w:r w:rsidR="00F70DC1">
        <w:rPr>
          <w:szCs w:val="24"/>
        </w:rPr>
        <w:t>elementi</w:t>
      </w:r>
      <w:r w:rsidR="00E57F39" w:rsidRPr="00E1254E">
        <w:rPr>
          <w:szCs w:val="24"/>
        </w:rPr>
        <w:t xml:space="preserve"> utili alla </w:t>
      </w:r>
      <w:r w:rsidR="00F70DC1">
        <w:rPr>
          <w:szCs w:val="24"/>
        </w:rPr>
        <w:t>descrizione</w:t>
      </w:r>
      <w:r w:rsidR="00E57F39" w:rsidRPr="00E1254E">
        <w:rPr>
          <w:szCs w:val="24"/>
        </w:rPr>
        <w:t xml:space="preserve"> delle </w:t>
      </w:r>
      <w:r w:rsidR="00E57F39">
        <w:rPr>
          <w:szCs w:val="24"/>
        </w:rPr>
        <w:t xml:space="preserve">imprese sul piano </w:t>
      </w:r>
      <w:r w:rsidR="00E57F39" w:rsidRPr="00E1254E">
        <w:rPr>
          <w:szCs w:val="24"/>
        </w:rPr>
        <w:t>strutturale</w:t>
      </w:r>
      <w:r w:rsidR="00E57F39">
        <w:rPr>
          <w:szCs w:val="24"/>
        </w:rPr>
        <w:t xml:space="preserve">, produttivo e di mercato ed informazioni sulle </w:t>
      </w:r>
      <w:r w:rsidR="00F70DC1">
        <w:rPr>
          <w:szCs w:val="24"/>
        </w:rPr>
        <w:t>relazioni</w:t>
      </w:r>
      <w:r w:rsidR="00E57F39">
        <w:rPr>
          <w:szCs w:val="24"/>
        </w:rPr>
        <w:t xml:space="preserve"> (</w:t>
      </w:r>
      <w:r w:rsidR="00E57F39" w:rsidRPr="00E1254E">
        <w:rPr>
          <w:szCs w:val="24"/>
        </w:rPr>
        <w:t>ti</w:t>
      </w:r>
      <w:r w:rsidR="00E57F39">
        <w:rPr>
          <w:szCs w:val="24"/>
        </w:rPr>
        <w:t xml:space="preserve">pologia, frequenza ed efficacia) </w:t>
      </w:r>
      <w:r w:rsidR="00E57F39" w:rsidRPr="00E1254E">
        <w:rPr>
          <w:szCs w:val="24"/>
        </w:rPr>
        <w:t xml:space="preserve">che ciascuna impresa vitivinicola intrattiene con il </w:t>
      </w:r>
      <w:r w:rsidR="00E57F39">
        <w:rPr>
          <w:szCs w:val="24"/>
        </w:rPr>
        <w:t xml:space="preserve">proprio </w:t>
      </w:r>
      <w:r w:rsidR="00E57F39" w:rsidRPr="00E1254E">
        <w:rPr>
          <w:szCs w:val="24"/>
        </w:rPr>
        <w:t>sistema degli stakeholder</w:t>
      </w:r>
      <w:r w:rsidR="00E57F39">
        <w:rPr>
          <w:szCs w:val="24"/>
        </w:rPr>
        <w:t>s</w:t>
      </w:r>
      <w:r w:rsidR="002B3E80">
        <w:rPr>
          <w:szCs w:val="24"/>
        </w:rPr>
        <w:t xml:space="preserve">. </w:t>
      </w:r>
      <w:r w:rsidR="002B3E80" w:rsidRPr="00E1254E">
        <w:rPr>
          <w:szCs w:val="24"/>
        </w:rPr>
        <w:t>S</w:t>
      </w:r>
      <w:r w:rsidR="00E57F39" w:rsidRPr="00E1254E">
        <w:rPr>
          <w:szCs w:val="24"/>
        </w:rPr>
        <w:t>i</w:t>
      </w:r>
      <w:r w:rsidR="002B3E80">
        <w:rPr>
          <w:szCs w:val="24"/>
        </w:rPr>
        <w:t xml:space="preserve"> </w:t>
      </w:r>
      <w:r w:rsidR="00E57F39" w:rsidRPr="00E1254E">
        <w:rPr>
          <w:szCs w:val="24"/>
        </w:rPr>
        <w:t xml:space="preserve">è </w:t>
      </w:r>
      <w:r w:rsidR="00E57F39">
        <w:rPr>
          <w:szCs w:val="24"/>
        </w:rPr>
        <w:t>fatto</w:t>
      </w:r>
      <w:r w:rsidR="00E57F39" w:rsidRPr="00E1254E">
        <w:rPr>
          <w:szCs w:val="24"/>
        </w:rPr>
        <w:t xml:space="preserve"> riferimento all’approccio della </w:t>
      </w:r>
      <w:r w:rsidR="00E57F39" w:rsidRPr="00E1254E">
        <w:rPr>
          <w:i/>
          <w:iCs/>
          <w:szCs w:val="24"/>
        </w:rPr>
        <w:t xml:space="preserve">Social Network </w:t>
      </w:r>
      <w:proofErr w:type="spellStart"/>
      <w:r w:rsidR="00E57F39" w:rsidRPr="00E1254E">
        <w:rPr>
          <w:i/>
          <w:iCs/>
          <w:szCs w:val="24"/>
        </w:rPr>
        <w:t>Analysis</w:t>
      </w:r>
      <w:proofErr w:type="spellEnd"/>
      <w:r w:rsidR="006C5905">
        <w:rPr>
          <w:iCs/>
          <w:szCs w:val="24"/>
        </w:rPr>
        <w:t xml:space="preserve"> (</w:t>
      </w:r>
      <w:r w:rsidR="00E64D26">
        <w:rPr>
          <w:iCs/>
          <w:szCs w:val="24"/>
        </w:rPr>
        <w:t xml:space="preserve">SNA; </w:t>
      </w:r>
      <w:proofErr w:type="spellStart"/>
      <w:r w:rsidR="006C5905">
        <w:rPr>
          <w:iCs/>
          <w:szCs w:val="24"/>
        </w:rPr>
        <w:t>Milia</w:t>
      </w:r>
      <w:proofErr w:type="spellEnd"/>
      <w:r w:rsidR="006C5905">
        <w:rPr>
          <w:iCs/>
          <w:szCs w:val="24"/>
        </w:rPr>
        <w:t>, 2011)</w:t>
      </w:r>
      <w:r w:rsidR="002B3E80">
        <w:rPr>
          <w:szCs w:val="24"/>
        </w:rPr>
        <w:t>;</w:t>
      </w:r>
      <w:r w:rsidR="00F60941">
        <w:rPr>
          <w:szCs w:val="24"/>
        </w:rPr>
        <w:t xml:space="preserve"> </w:t>
      </w:r>
      <w:r w:rsidR="002B3E80">
        <w:rPr>
          <w:szCs w:val="24"/>
        </w:rPr>
        <w:t xml:space="preserve">questo, </w:t>
      </w:r>
      <w:r w:rsidR="00E57F39" w:rsidRPr="00E1254E">
        <w:rPr>
          <w:szCs w:val="24"/>
        </w:rPr>
        <w:t xml:space="preserve">basato sulla teoria delle reti, consente di descrivere la struttura </w:t>
      </w:r>
      <w:r w:rsidR="00E57F39">
        <w:rPr>
          <w:szCs w:val="24"/>
        </w:rPr>
        <w:t xml:space="preserve">delle relazioni generate tra un gruppo di attori, </w:t>
      </w:r>
      <w:r w:rsidR="00E57F39" w:rsidRPr="00E1254E">
        <w:rPr>
          <w:szCs w:val="24"/>
        </w:rPr>
        <w:t>evidenziando</w:t>
      </w:r>
      <w:r w:rsidR="00E57F39">
        <w:rPr>
          <w:szCs w:val="24"/>
        </w:rPr>
        <w:t xml:space="preserve"> il livello di coesione del reticolo ed individuando, sempre all’interno della rete, i soggetti che occupano una  </w:t>
      </w:r>
      <w:r w:rsidR="00E57F39" w:rsidRPr="00E1254E">
        <w:rPr>
          <w:szCs w:val="24"/>
        </w:rPr>
        <w:t>posizione</w:t>
      </w:r>
      <w:r w:rsidR="00E57F39">
        <w:rPr>
          <w:szCs w:val="24"/>
        </w:rPr>
        <w:t xml:space="preserve"> di maggior rilievo, perché meglio connessi con gli altri attori, o</w:t>
      </w:r>
      <w:r>
        <w:rPr>
          <w:szCs w:val="24"/>
        </w:rPr>
        <w:t xml:space="preserve"> che</w:t>
      </w:r>
      <w:r w:rsidR="00E57F39">
        <w:rPr>
          <w:szCs w:val="24"/>
        </w:rPr>
        <w:t xml:space="preserve"> svolgono un ruolo di prestigio o di intermediazione tra gli altri componenti del gruppo.</w:t>
      </w:r>
      <w:r w:rsidR="00F70DC1">
        <w:rPr>
          <w:szCs w:val="24"/>
        </w:rPr>
        <w:t xml:space="preserve"> </w:t>
      </w:r>
      <w:r w:rsidR="00E57F39" w:rsidRPr="00E1254E">
        <w:rPr>
          <w:szCs w:val="24"/>
        </w:rPr>
        <w:t xml:space="preserve">Le informazioni rilevate sono state </w:t>
      </w:r>
      <w:r w:rsidR="00E57F39" w:rsidRPr="00E1254E">
        <w:rPr>
          <w:szCs w:val="24"/>
        </w:rPr>
        <w:lastRenderedPageBreak/>
        <w:t>trasformate in dati attraverso la cost</w:t>
      </w:r>
      <w:r w:rsidR="00F76EF6">
        <w:rPr>
          <w:szCs w:val="24"/>
        </w:rPr>
        <w:t>ruzione di matrici asimmetriche,</w:t>
      </w:r>
      <w:r w:rsidR="00E57F39">
        <w:rPr>
          <w:szCs w:val="24"/>
        </w:rPr>
        <w:t xml:space="preserve"> mentre</w:t>
      </w:r>
      <w:r w:rsidR="00E57F39" w:rsidRPr="00E1254E">
        <w:rPr>
          <w:szCs w:val="24"/>
        </w:rPr>
        <w:t xml:space="preserve"> le elaborazioni matematiche sono state realizzate mediante il programma UCINET versione 6.232. Le successive rappresentazioni grafiche, basate sul linguaggio dei grafi, sono state determinate tramite il software </w:t>
      </w:r>
      <w:proofErr w:type="spellStart"/>
      <w:r w:rsidR="00E57F39" w:rsidRPr="00E1254E">
        <w:rPr>
          <w:szCs w:val="24"/>
        </w:rPr>
        <w:t>Netdraw</w:t>
      </w:r>
      <w:proofErr w:type="spellEnd"/>
      <w:r w:rsidR="00E57F39" w:rsidRPr="00E1254E">
        <w:rPr>
          <w:szCs w:val="24"/>
        </w:rPr>
        <w:t xml:space="preserve"> (versione 2.089).</w:t>
      </w:r>
    </w:p>
    <w:p w:rsidR="00DA155D" w:rsidRDefault="00DA155D" w:rsidP="00A95103">
      <w:pPr>
        <w:spacing w:line="240" w:lineRule="auto"/>
        <w:rPr>
          <w:szCs w:val="24"/>
        </w:rPr>
      </w:pPr>
    </w:p>
    <w:p w:rsidR="00E57F39" w:rsidRPr="00DA155D" w:rsidRDefault="00E57F39" w:rsidP="00DA155D">
      <w:pPr>
        <w:pStyle w:val="Titolo1"/>
        <w:spacing w:before="0" w:after="0" w:line="240" w:lineRule="auto"/>
        <w:rPr>
          <w:sz w:val="24"/>
          <w:szCs w:val="24"/>
        </w:rPr>
      </w:pPr>
      <w:r w:rsidRPr="00DA155D">
        <w:rPr>
          <w:sz w:val="24"/>
          <w:szCs w:val="24"/>
        </w:rPr>
        <w:t>Risultati</w:t>
      </w:r>
    </w:p>
    <w:p w:rsidR="00DA155D" w:rsidRDefault="002F1032" w:rsidP="00A95103">
      <w:pPr>
        <w:spacing w:line="240" w:lineRule="auto"/>
        <w:rPr>
          <w:szCs w:val="24"/>
        </w:rPr>
      </w:pPr>
      <w:r w:rsidRPr="00F54708">
        <w:rPr>
          <w:szCs w:val="24"/>
        </w:rPr>
        <w:t>Dall’applicazione del DPSIR</w:t>
      </w:r>
      <w:r>
        <w:rPr>
          <w:szCs w:val="24"/>
        </w:rPr>
        <w:t xml:space="preserve"> nelle </w:t>
      </w:r>
      <w:r w:rsidR="00F76EF6">
        <w:rPr>
          <w:szCs w:val="24"/>
        </w:rPr>
        <w:t>due</w:t>
      </w:r>
      <w:r>
        <w:rPr>
          <w:szCs w:val="24"/>
        </w:rPr>
        <w:t xml:space="preserve"> province oggetto di indagine</w:t>
      </w:r>
      <w:r w:rsidRPr="00F54708">
        <w:rPr>
          <w:szCs w:val="24"/>
        </w:rPr>
        <w:t xml:space="preserve"> si evince</w:t>
      </w:r>
      <w:r>
        <w:rPr>
          <w:szCs w:val="24"/>
        </w:rPr>
        <w:t>,</w:t>
      </w:r>
      <w:r w:rsidRPr="00F54708">
        <w:rPr>
          <w:szCs w:val="24"/>
        </w:rPr>
        <w:t xml:space="preserve"> in merito alla dimensione sociale</w:t>
      </w:r>
      <w:r>
        <w:rPr>
          <w:szCs w:val="24"/>
        </w:rPr>
        <w:t>,</w:t>
      </w:r>
      <w:r w:rsidRPr="00F54708">
        <w:rPr>
          <w:szCs w:val="24"/>
        </w:rPr>
        <w:t xml:space="preserve"> la presenza di </w:t>
      </w:r>
      <w:r>
        <w:rPr>
          <w:szCs w:val="24"/>
        </w:rPr>
        <w:t>analoghe</w:t>
      </w:r>
      <w:r w:rsidRPr="00F54708">
        <w:rPr>
          <w:szCs w:val="24"/>
        </w:rPr>
        <w:t xml:space="preserve"> opportunità di impiego nel settore agricolo e di accesso degli agricoltori alle risorse ed ai servizi sociali. L'occupazione agricola che contribuisce a preservare la vitalità delle aree rurali, nonché quella del settore agricolo stesso presenta dei valori molto bassi ma comunque al di sopra dei dati regionali (pari a 0.09 in</w:t>
      </w:r>
      <w:r w:rsidR="003B0170">
        <w:rPr>
          <w:szCs w:val="24"/>
        </w:rPr>
        <w:t xml:space="preserve"> Sicilia e a 0.04 in Toscana)</w:t>
      </w:r>
      <w:r w:rsidRPr="00F54708">
        <w:rPr>
          <w:szCs w:val="24"/>
        </w:rPr>
        <w:t xml:space="preserve">. </w:t>
      </w:r>
      <w:r w:rsidR="00F70DC1">
        <w:rPr>
          <w:szCs w:val="24"/>
        </w:rPr>
        <w:t>Dal calcol</w:t>
      </w:r>
      <w:r w:rsidR="003B0170">
        <w:rPr>
          <w:szCs w:val="24"/>
        </w:rPr>
        <w:t xml:space="preserve">o dell’indice di invecchiamento </w:t>
      </w:r>
      <w:r w:rsidR="00F70DC1">
        <w:rPr>
          <w:szCs w:val="24"/>
        </w:rPr>
        <w:t>i giovani risultano incidere per meno del 50% dei conduttori agricoli; questi, in maggioranza, hanno un’età superiore ai 65 anni ed un livello di istruzione pari alla licenza di scuola elementare o media inferiore</w:t>
      </w:r>
      <w:r>
        <w:rPr>
          <w:szCs w:val="24"/>
        </w:rPr>
        <w:t>. L</w:t>
      </w:r>
      <w:r w:rsidRPr="00544730">
        <w:rPr>
          <w:szCs w:val="24"/>
        </w:rPr>
        <w:t xml:space="preserve">a differenza tra i sessi nel tasso di occupazione </w:t>
      </w:r>
      <w:r>
        <w:rPr>
          <w:szCs w:val="24"/>
        </w:rPr>
        <w:t xml:space="preserve">è elevata in </w:t>
      </w:r>
      <w:r w:rsidR="00F60941">
        <w:rPr>
          <w:szCs w:val="24"/>
        </w:rPr>
        <w:t>entrambe</w:t>
      </w:r>
      <w:r>
        <w:rPr>
          <w:szCs w:val="24"/>
        </w:rPr>
        <w:t xml:space="preserve"> le province, ma i valori più alti si riscontrano nella provincia di Trapani (0,64). Infine</w:t>
      </w:r>
      <w:r w:rsidR="00F70DC1">
        <w:rPr>
          <w:szCs w:val="24"/>
        </w:rPr>
        <w:t>,</w:t>
      </w:r>
      <w:r>
        <w:rPr>
          <w:szCs w:val="24"/>
        </w:rPr>
        <w:t xml:space="preserve"> </w:t>
      </w:r>
      <w:r w:rsidRPr="00544730">
        <w:rPr>
          <w:szCs w:val="24"/>
        </w:rPr>
        <w:t xml:space="preserve">nelle aree </w:t>
      </w:r>
      <w:r>
        <w:rPr>
          <w:szCs w:val="24"/>
        </w:rPr>
        <w:t xml:space="preserve">rurali delle </w:t>
      </w:r>
      <w:r w:rsidR="003B0170">
        <w:rPr>
          <w:szCs w:val="24"/>
        </w:rPr>
        <w:t>due</w:t>
      </w:r>
      <w:r>
        <w:rPr>
          <w:szCs w:val="24"/>
        </w:rPr>
        <w:t xml:space="preserve"> province, </w:t>
      </w:r>
      <w:r w:rsidR="00F70DC1">
        <w:rPr>
          <w:szCs w:val="24"/>
        </w:rPr>
        <w:t xml:space="preserve">si rileva una presenza </w:t>
      </w:r>
      <w:r w:rsidR="00F70DC1" w:rsidRPr="00544730">
        <w:rPr>
          <w:szCs w:val="24"/>
        </w:rPr>
        <w:t xml:space="preserve">della popolazione </w:t>
      </w:r>
      <w:r>
        <w:rPr>
          <w:szCs w:val="24"/>
        </w:rPr>
        <w:t>superiore al 45%</w:t>
      </w:r>
      <w:r w:rsidR="00F70DC1">
        <w:rPr>
          <w:szCs w:val="24"/>
        </w:rPr>
        <w:t>, elemento che</w:t>
      </w:r>
      <w:r>
        <w:rPr>
          <w:szCs w:val="24"/>
        </w:rPr>
        <w:t xml:space="preserve"> fa presupporre l’esistenza </w:t>
      </w:r>
      <w:r w:rsidRPr="00544730">
        <w:rPr>
          <w:szCs w:val="24"/>
        </w:rPr>
        <w:t>d</w:t>
      </w:r>
      <w:r>
        <w:rPr>
          <w:szCs w:val="24"/>
        </w:rPr>
        <w:t xml:space="preserve">i buone </w:t>
      </w:r>
      <w:r w:rsidRPr="00544730">
        <w:rPr>
          <w:szCs w:val="24"/>
        </w:rPr>
        <w:t>condizioni di vita</w:t>
      </w:r>
      <w:r w:rsidR="00F60941">
        <w:rPr>
          <w:szCs w:val="24"/>
        </w:rPr>
        <w:t>.</w:t>
      </w:r>
      <w:r w:rsidR="003A7C17">
        <w:rPr>
          <w:szCs w:val="24"/>
        </w:rPr>
        <w:t>(</w:t>
      </w:r>
      <w:proofErr w:type="spellStart"/>
      <w:r w:rsidR="003A7C17">
        <w:rPr>
          <w:szCs w:val="24"/>
        </w:rPr>
        <w:t>Tab</w:t>
      </w:r>
      <w:proofErr w:type="spellEnd"/>
      <w:r w:rsidR="003A7C17">
        <w:rPr>
          <w:szCs w:val="24"/>
        </w:rPr>
        <w:t>. 1)</w:t>
      </w:r>
      <w:r>
        <w:rPr>
          <w:szCs w:val="24"/>
        </w:rPr>
        <w:t>.</w:t>
      </w:r>
    </w:p>
    <w:p w:rsidR="00F60941" w:rsidRDefault="00F60941" w:rsidP="00A95103">
      <w:pPr>
        <w:spacing w:line="240" w:lineRule="auto"/>
        <w:rPr>
          <w:szCs w:val="24"/>
        </w:rPr>
      </w:pPr>
    </w:p>
    <w:p w:rsidR="003A7C17" w:rsidRPr="00040D60" w:rsidRDefault="003A7C17" w:rsidP="00A95103">
      <w:pPr>
        <w:pStyle w:val="grabittestotabella"/>
        <w:keepNext/>
        <w:rPr>
          <w:rFonts w:ascii="Times New Roman" w:hAnsi="Times New Roman"/>
          <w:sz w:val="20"/>
          <w:szCs w:val="20"/>
          <w:lang w:val="it-IT"/>
        </w:rPr>
      </w:pPr>
      <w:r w:rsidRPr="00040D60">
        <w:rPr>
          <w:rFonts w:ascii="Times New Roman" w:hAnsi="Times New Roman"/>
          <w:sz w:val="20"/>
          <w:szCs w:val="20"/>
          <w:lang w:val="it-IT"/>
        </w:rPr>
        <w:t xml:space="preserve">Tabella </w:t>
      </w:r>
      <w:r w:rsidR="00193529" w:rsidRPr="00040D60">
        <w:rPr>
          <w:rFonts w:ascii="Times New Roman" w:hAnsi="Times New Roman"/>
          <w:sz w:val="20"/>
          <w:szCs w:val="20"/>
        </w:rPr>
        <w:fldChar w:fldCharType="begin"/>
      </w:r>
      <w:r w:rsidRPr="00040D60">
        <w:rPr>
          <w:rFonts w:ascii="Times New Roman" w:hAnsi="Times New Roman"/>
          <w:sz w:val="20"/>
          <w:szCs w:val="20"/>
          <w:lang w:val="it-IT"/>
        </w:rPr>
        <w:instrText xml:space="preserve"> SEQ Tabella \* ARABIC </w:instrText>
      </w:r>
      <w:r w:rsidR="00193529" w:rsidRPr="00040D60">
        <w:rPr>
          <w:rFonts w:ascii="Times New Roman" w:hAnsi="Times New Roman"/>
          <w:sz w:val="20"/>
          <w:szCs w:val="20"/>
        </w:rPr>
        <w:fldChar w:fldCharType="separate"/>
      </w:r>
      <w:r>
        <w:rPr>
          <w:rFonts w:ascii="Times New Roman" w:hAnsi="Times New Roman"/>
          <w:noProof/>
          <w:sz w:val="20"/>
          <w:szCs w:val="20"/>
          <w:lang w:val="it-IT"/>
        </w:rPr>
        <w:t>1</w:t>
      </w:r>
      <w:r w:rsidR="00193529" w:rsidRPr="00040D60">
        <w:rPr>
          <w:rFonts w:ascii="Times New Roman" w:hAnsi="Times New Roman"/>
          <w:sz w:val="20"/>
          <w:szCs w:val="20"/>
        </w:rPr>
        <w:fldChar w:fldCharType="end"/>
      </w:r>
      <w:r w:rsidRPr="00040D60">
        <w:rPr>
          <w:rFonts w:ascii="Times New Roman" w:hAnsi="Times New Roman"/>
          <w:sz w:val="20"/>
          <w:szCs w:val="20"/>
          <w:lang w:val="it-IT"/>
        </w:rPr>
        <w:t>. Principali indicatori del modello DPSIR relativ</w:t>
      </w:r>
      <w:r>
        <w:rPr>
          <w:rFonts w:ascii="Times New Roman" w:hAnsi="Times New Roman"/>
          <w:sz w:val="20"/>
          <w:szCs w:val="20"/>
          <w:lang w:val="it-IT"/>
        </w:rPr>
        <w:t>i</w:t>
      </w:r>
      <w:r w:rsidRPr="00040D60">
        <w:rPr>
          <w:rFonts w:ascii="Times New Roman" w:hAnsi="Times New Roman"/>
          <w:sz w:val="20"/>
          <w:szCs w:val="20"/>
          <w:lang w:val="it-IT"/>
        </w:rPr>
        <w:t xml:space="preserve"> alla dimensione sociale</w:t>
      </w:r>
    </w:p>
    <w:tbl>
      <w:tblPr>
        <w:tblW w:w="6534" w:type="dxa"/>
        <w:tblInd w:w="57" w:type="dxa"/>
        <w:tblCellMar>
          <w:left w:w="70" w:type="dxa"/>
          <w:right w:w="70" w:type="dxa"/>
        </w:tblCellMar>
        <w:tblLook w:val="04A0"/>
      </w:tblPr>
      <w:tblGrid>
        <w:gridCol w:w="1006"/>
        <w:gridCol w:w="1185"/>
        <w:gridCol w:w="1274"/>
        <w:gridCol w:w="1407"/>
        <w:gridCol w:w="1662"/>
      </w:tblGrid>
      <w:tr w:rsidR="003A7C17" w:rsidRPr="003C46DC" w:rsidTr="003A7C17">
        <w:trPr>
          <w:trHeight w:val="577"/>
        </w:trPr>
        <w:tc>
          <w:tcPr>
            <w:tcW w:w="1006" w:type="dxa"/>
            <w:tcBorders>
              <w:top w:val="single" w:sz="4" w:space="0" w:color="auto"/>
              <w:left w:val="nil"/>
              <w:bottom w:val="nil"/>
              <w:right w:val="nil"/>
            </w:tcBorders>
            <w:shd w:val="clear" w:color="auto" w:fill="auto"/>
            <w:hideMark/>
          </w:tcPr>
          <w:p w:rsidR="003A7C17" w:rsidRPr="00F66CAC" w:rsidRDefault="003A7C17" w:rsidP="00C63083">
            <w:pPr>
              <w:pStyle w:val="grabittestotabella"/>
              <w:keepNext/>
              <w:spacing w:before="0" w:after="0"/>
              <w:rPr>
                <w:rFonts w:ascii="Times New Roman" w:hAnsi="Times New Roman"/>
                <w:i/>
                <w:sz w:val="20"/>
                <w:szCs w:val="20"/>
              </w:rPr>
            </w:pPr>
            <w:proofErr w:type="spellStart"/>
            <w:r w:rsidRPr="00F66CAC">
              <w:rPr>
                <w:rFonts w:ascii="Times New Roman" w:hAnsi="Times New Roman"/>
                <w:i/>
                <w:sz w:val="20"/>
                <w:szCs w:val="20"/>
              </w:rPr>
              <w:t>Provincia</w:t>
            </w:r>
            <w:proofErr w:type="spellEnd"/>
          </w:p>
        </w:tc>
        <w:tc>
          <w:tcPr>
            <w:tcW w:w="1185" w:type="dxa"/>
            <w:tcBorders>
              <w:top w:val="single" w:sz="4" w:space="0" w:color="auto"/>
              <w:left w:val="nil"/>
              <w:bottom w:val="nil"/>
              <w:right w:val="nil"/>
            </w:tcBorders>
            <w:shd w:val="clear" w:color="auto" w:fill="auto"/>
            <w:noWrap/>
            <w:hideMark/>
          </w:tcPr>
          <w:p w:rsidR="003A7C17" w:rsidRDefault="003A7C17" w:rsidP="00C63083">
            <w:pPr>
              <w:pStyle w:val="grabittestotabella"/>
              <w:keepNext/>
              <w:spacing w:before="0" w:after="0"/>
              <w:jc w:val="center"/>
              <w:rPr>
                <w:rFonts w:ascii="Times New Roman" w:hAnsi="Times New Roman"/>
                <w:i/>
                <w:sz w:val="20"/>
                <w:szCs w:val="20"/>
              </w:rPr>
            </w:pPr>
            <w:proofErr w:type="spellStart"/>
            <w:r>
              <w:rPr>
                <w:rFonts w:ascii="Times New Roman" w:hAnsi="Times New Roman"/>
                <w:i/>
                <w:sz w:val="20"/>
                <w:szCs w:val="20"/>
              </w:rPr>
              <w:t>Occupazione</w:t>
            </w:r>
            <w:proofErr w:type="spellEnd"/>
          </w:p>
          <w:p w:rsidR="003A7C17" w:rsidRPr="00F07171" w:rsidRDefault="003A7C17" w:rsidP="00C63083">
            <w:pPr>
              <w:pStyle w:val="grabittestotabella"/>
              <w:keepNext/>
              <w:spacing w:before="0" w:after="0"/>
              <w:jc w:val="center"/>
            </w:pPr>
            <w:proofErr w:type="spellStart"/>
            <w:r w:rsidRPr="00F07171">
              <w:rPr>
                <w:rFonts w:ascii="Times New Roman" w:hAnsi="Times New Roman"/>
                <w:i/>
                <w:sz w:val="20"/>
                <w:szCs w:val="20"/>
              </w:rPr>
              <w:t>agricola</w:t>
            </w:r>
            <w:proofErr w:type="spellEnd"/>
          </w:p>
        </w:tc>
        <w:tc>
          <w:tcPr>
            <w:tcW w:w="1274" w:type="dxa"/>
            <w:tcBorders>
              <w:top w:val="single" w:sz="4" w:space="0" w:color="auto"/>
              <w:left w:val="nil"/>
              <w:bottom w:val="nil"/>
              <w:right w:val="nil"/>
            </w:tcBorders>
            <w:shd w:val="clear" w:color="auto" w:fill="auto"/>
            <w:hideMark/>
          </w:tcPr>
          <w:p w:rsidR="003A7C17" w:rsidRDefault="003A7C17" w:rsidP="00C63083">
            <w:pPr>
              <w:pStyle w:val="grabittestotabella"/>
              <w:keepNext/>
              <w:spacing w:before="0" w:after="0"/>
              <w:jc w:val="center"/>
              <w:rPr>
                <w:rFonts w:ascii="Times New Roman" w:hAnsi="Times New Roman"/>
                <w:i/>
                <w:sz w:val="20"/>
                <w:szCs w:val="20"/>
              </w:rPr>
            </w:pPr>
            <w:proofErr w:type="spellStart"/>
            <w:r>
              <w:rPr>
                <w:rFonts w:ascii="Times New Roman" w:hAnsi="Times New Roman"/>
                <w:i/>
                <w:sz w:val="20"/>
                <w:szCs w:val="20"/>
              </w:rPr>
              <w:t>Composizione</w:t>
            </w:r>
            <w:proofErr w:type="spellEnd"/>
          </w:p>
          <w:p w:rsidR="003A7C17" w:rsidRPr="00040D60" w:rsidRDefault="003A7C17" w:rsidP="00C63083">
            <w:pPr>
              <w:pStyle w:val="grabittestotabella"/>
              <w:keepNext/>
              <w:spacing w:before="0" w:after="0"/>
              <w:jc w:val="center"/>
            </w:pPr>
            <w:proofErr w:type="spellStart"/>
            <w:r w:rsidRPr="00040D60">
              <w:rPr>
                <w:rFonts w:ascii="Times New Roman" w:hAnsi="Times New Roman"/>
                <w:i/>
                <w:sz w:val="20"/>
                <w:szCs w:val="20"/>
              </w:rPr>
              <w:t>occupati</w:t>
            </w:r>
            <w:proofErr w:type="spellEnd"/>
          </w:p>
        </w:tc>
        <w:tc>
          <w:tcPr>
            <w:tcW w:w="1407" w:type="dxa"/>
            <w:tcBorders>
              <w:top w:val="single" w:sz="4" w:space="0" w:color="auto"/>
              <w:left w:val="nil"/>
              <w:bottom w:val="nil"/>
              <w:right w:val="nil"/>
            </w:tcBorders>
            <w:shd w:val="clear" w:color="auto" w:fill="auto"/>
            <w:noWrap/>
            <w:hideMark/>
          </w:tcPr>
          <w:p w:rsidR="003A7C17" w:rsidRPr="00F66CAC" w:rsidRDefault="003A7C17" w:rsidP="00C63083">
            <w:pPr>
              <w:pStyle w:val="grabittestotabella"/>
              <w:keepNext/>
              <w:spacing w:before="0" w:after="0"/>
              <w:jc w:val="center"/>
              <w:rPr>
                <w:rFonts w:ascii="Times New Roman" w:hAnsi="Times New Roman"/>
                <w:i/>
                <w:sz w:val="20"/>
                <w:szCs w:val="20"/>
              </w:rPr>
            </w:pPr>
            <w:proofErr w:type="spellStart"/>
            <w:r>
              <w:rPr>
                <w:rFonts w:ascii="Times New Roman" w:hAnsi="Times New Roman"/>
                <w:i/>
                <w:sz w:val="20"/>
                <w:szCs w:val="20"/>
              </w:rPr>
              <w:t>Invecchiamento</w:t>
            </w:r>
            <w:proofErr w:type="spellEnd"/>
            <w:r w:rsidRPr="00F66CAC">
              <w:rPr>
                <w:rFonts w:ascii="Times New Roman" w:hAnsi="Times New Roman"/>
                <w:i/>
                <w:sz w:val="20"/>
                <w:szCs w:val="20"/>
              </w:rPr>
              <w:t xml:space="preserve"> (%)</w:t>
            </w:r>
          </w:p>
        </w:tc>
        <w:tc>
          <w:tcPr>
            <w:tcW w:w="1662" w:type="dxa"/>
            <w:tcBorders>
              <w:top w:val="single" w:sz="4" w:space="0" w:color="auto"/>
              <w:left w:val="nil"/>
              <w:bottom w:val="nil"/>
              <w:right w:val="nil"/>
            </w:tcBorders>
            <w:shd w:val="clear" w:color="auto" w:fill="auto"/>
            <w:noWrap/>
            <w:hideMark/>
          </w:tcPr>
          <w:p w:rsidR="003A7C17" w:rsidRPr="00F66CAC" w:rsidRDefault="003A7C17" w:rsidP="00C63083">
            <w:pPr>
              <w:pStyle w:val="grabittestotabella"/>
              <w:keepNext/>
              <w:spacing w:before="0" w:after="0"/>
              <w:jc w:val="center"/>
              <w:rPr>
                <w:rFonts w:ascii="Times New Roman" w:hAnsi="Times New Roman"/>
                <w:i/>
                <w:sz w:val="20"/>
                <w:szCs w:val="20"/>
              </w:rPr>
            </w:pPr>
            <w:proofErr w:type="spellStart"/>
            <w:r>
              <w:rPr>
                <w:rFonts w:ascii="Times New Roman" w:hAnsi="Times New Roman"/>
                <w:i/>
                <w:sz w:val="20"/>
                <w:szCs w:val="20"/>
              </w:rPr>
              <w:t>Comuni</w:t>
            </w:r>
            <w:proofErr w:type="spellEnd"/>
            <w:r>
              <w:rPr>
                <w:rFonts w:ascii="Times New Roman" w:hAnsi="Times New Roman"/>
                <w:i/>
                <w:sz w:val="20"/>
                <w:szCs w:val="20"/>
              </w:rPr>
              <w:t xml:space="preserve"> </w:t>
            </w:r>
            <w:proofErr w:type="spellStart"/>
            <w:r>
              <w:rPr>
                <w:rFonts w:ascii="Times New Roman" w:hAnsi="Times New Roman"/>
                <w:i/>
                <w:sz w:val="20"/>
                <w:szCs w:val="20"/>
              </w:rPr>
              <w:t>rurali</w:t>
            </w:r>
            <w:proofErr w:type="spellEnd"/>
          </w:p>
          <w:p w:rsidR="003A7C17" w:rsidRPr="00F66CAC" w:rsidRDefault="003A7C17" w:rsidP="00C63083">
            <w:pPr>
              <w:pStyle w:val="grabittestotabella"/>
              <w:keepNext/>
              <w:spacing w:before="0" w:after="0"/>
              <w:jc w:val="center"/>
              <w:rPr>
                <w:rFonts w:ascii="Times New Roman" w:hAnsi="Times New Roman"/>
                <w:i/>
                <w:sz w:val="20"/>
                <w:szCs w:val="20"/>
              </w:rPr>
            </w:pPr>
            <w:r w:rsidRPr="00F66CAC">
              <w:rPr>
                <w:rFonts w:ascii="Times New Roman" w:hAnsi="Times New Roman"/>
                <w:i/>
                <w:sz w:val="20"/>
                <w:szCs w:val="20"/>
              </w:rPr>
              <w:t>(%)</w:t>
            </w:r>
          </w:p>
        </w:tc>
      </w:tr>
      <w:tr w:rsidR="003A7C17" w:rsidTr="003A7C17">
        <w:trPr>
          <w:trHeight w:val="301"/>
        </w:trPr>
        <w:tc>
          <w:tcPr>
            <w:tcW w:w="1006" w:type="dxa"/>
            <w:tcBorders>
              <w:top w:val="nil"/>
              <w:left w:val="nil"/>
              <w:bottom w:val="nil"/>
              <w:right w:val="nil"/>
            </w:tcBorders>
            <w:shd w:val="clear" w:color="auto" w:fill="auto"/>
            <w:noWrap/>
            <w:hideMark/>
          </w:tcPr>
          <w:p w:rsidR="003A7C17" w:rsidRPr="00F66CAC" w:rsidRDefault="003A7C17" w:rsidP="00C63083">
            <w:pPr>
              <w:pStyle w:val="grabittestotabella"/>
              <w:keepNext/>
              <w:spacing w:before="0" w:after="0"/>
              <w:rPr>
                <w:rFonts w:ascii="Times New Roman" w:hAnsi="Times New Roman"/>
                <w:sz w:val="20"/>
                <w:szCs w:val="20"/>
              </w:rPr>
            </w:pPr>
            <w:r w:rsidRPr="00F66CAC">
              <w:rPr>
                <w:rFonts w:ascii="Times New Roman" w:hAnsi="Times New Roman"/>
                <w:sz w:val="20"/>
                <w:szCs w:val="20"/>
              </w:rPr>
              <w:t>Siena</w:t>
            </w:r>
          </w:p>
        </w:tc>
        <w:tc>
          <w:tcPr>
            <w:tcW w:w="1185" w:type="dxa"/>
            <w:tcBorders>
              <w:top w:val="nil"/>
              <w:left w:val="nil"/>
              <w:bottom w:val="nil"/>
              <w:right w:val="nil"/>
            </w:tcBorders>
            <w:shd w:val="clear" w:color="auto" w:fill="auto"/>
            <w:noWrap/>
            <w:hideMark/>
          </w:tcPr>
          <w:p w:rsidR="003A7C17" w:rsidRPr="00F66CAC" w:rsidRDefault="003A7C17" w:rsidP="00C63083">
            <w:pPr>
              <w:pStyle w:val="grabittestotabella"/>
              <w:keepNext/>
              <w:spacing w:before="0" w:after="0"/>
              <w:jc w:val="center"/>
              <w:rPr>
                <w:rFonts w:ascii="Times New Roman" w:hAnsi="Times New Roman"/>
                <w:sz w:val="20"/>
                <w:szCs w:val="20"/>
              </w:rPr>
            </w:pPr>
            <w:r>
              <w:rPr>
                <w:rFonts w:ascii="Times New Roman" w:hAnsi="Times New Roman"/>
                <w:sz w:val="20"/>
                <w:szCs w:val="20"/>
              </w:rPr>
              <w:t>0,08</w:t>
            </w:r>
          </w:p>
        </w:tc>
        <w:tc>
          <w:tcPr>
            <w:tcW w:w="1274" w:type="dxa"/>
            <w:tcBorders>
              <w:top w:val="nil"/>
              <w:left w:val="nil"/>
              <w:bottom w:val="nil"/>
              <w:right w:val="nil"/>
            </w:tcBorders>
            <w:shd w:val="clear" w:color="auto" w:fill="auto"/>
            <w:hideMark/>
          </w:tcPr>
          <w:p w:rsidR="003A7C17" w:rsidRPr="00F66CAC" w:rsidRDefault="003A7C17" w:rsidP="00C63083">
            <w:pPr>
              <w:pStyle w:val="grabittestotabella"/>
              <w:keepNext/>
              <w:spacing w:before="0" w:after="0"/>
              <w:jc w:val="center"/>
              <w:rPr>
                <w:rFonts w:ascii="Times New Roman" w:hAnsi="Times New Roman"/>
                <w:sz w:val="20"/>
                <w:szCs w:val="20"/>
              </w:rPr>
            </w:pPr>
            <w:r>
              <w:rPr>
                <w:rFonts w:ascii="Times New Roman" w:hAnsi="Times New Roman"/>
                <w:sz w:val="20"/>
                <w:szCs w:val="20"/>
              </w:rPr>
              <w:t>0,28</w:t>
            </w:r>
          </w:p>
        </w:tc>
        <w:tc>
          <w:tcPr>
            <w:tcW w:w="1407" w:type="dxa"/>
            <w:tcBorders>
              <w:top w:val="nil"/>
              <w:left w:val="nil"/>
              <w:bottom w:val="nil"/>
              <w:right w:val="nil"/>
            </w:tcBorders>
            <w:shd w:val="clear" w:color="auto" w:fill="auto"/>
            <w:noWrap/>
            <w:hideMark/>
          </w:tcPr>
          <w:p w:rsidR="003A7C17" w:rsidRPr="00F66CAC" w:rsidRDefault="003A7C17" w:rsidP="00C63083">
            <w:pPr>
              <w:pStyle w:val="grabittestotabella"/>
              <w:keepNext/>
              <w:spacing w:before="0" w:after="0"/>
              <w:jc w:val="center"/>
              <w:rPr>
                <w:rFonts w:ascii="Times New Roman" w:hAnsi="Times New Roman"/>
                <w:sz w:val="20"/>
                <w:szCs w:val="20"/>
              </w:rPr>
            </w:pPr>
            <w:r w:rsidRPr="00040D60">
              <w:rPr>
                <w:rFonts w:ascii="Times New Roman" w:hAnsi="Times New Roman"/>
                <w:sz w:val="20"/>
                <w:szCs w:val="20"/>
              </w:rPr>
              <w:t>41,13</w:t>
            </w:r>
          </w:p>
        </w:tc>
        <w:tc>
          <w:tcPr>
            <w:tcW w:w="1662" w:type="dxa"/>
            <w:tcBorders>
              <w:top w:val="nil"/>
              <w:left w:val="nil"/>
              <w:bottom w:val="nil"/>
              <w:right w:val="nil"/>
            </w:tcBorders>
            <w:shd w:val="clear" w:color="auto" w:fill="auto"/>
            <w:noWrap/>
            <w:hideMark/>
          </w:tcPr>
          <w:p w:rsidR="003A7C17" w:rsidRPr="00F66CAC" w:rsidRDefault="003A7C17" w:rsidP="00C63083">
            <w:pPr>
              <w:pStyle w:val="grabittestotabella"/>
              <w:keepNext/>
              <w:spacing w:before="0" w:after="0"/>
              <w:jc w:val="center"/>
              <w:rPr>
                <w:rFonts w:ascii="Times New Roman" w:hAnsi="Times New Roman"/>
                <w:sz w:val="20"/>
                <w:szCs w:val="20"/>
              </w:rPr>
            </w:pPr>
            <w:r w:rsidRPr="00040D60">
              <w:rPr>
                <w:rFonts w:ascii="Times New Roman" w:hAnsi="Times New Roman"/>
                <w:sz w:val="20"/>
                <w:szCs w:val="20"/>
              </w:rPr>
              <w:t>45,59</w:t>
            </w:r>
          </w:p>
        </w:tc>
      </w:tr>
      <w:tr w:rsidR="003A7C17" w:rsidTr="003A7C17">
        <w:trPr>
          <w:trHeight w:val="317"/>
        </w:trPr>
        <w:tc>
          <w:tcPr>
            <w:tcW w:w="1006" w:type="dxa"/>
            <w:tcBorders>
              <w:top w:val="nil"/>
              <w:left w:val="nil"/>
              <w:bottom w:val="single" w:sz="8" w:space="0" w:color="auto"/>
              <w:right w:val="nil"/>
            </w:tcBorders>
            <w:shd w:val="clear" w:color="auto" w:fill="auto"/>
            <w:noWrap/>
            <w:hideMark/>
          </w:tcPr>
          <w:p w:rsidR="003A7C17" w:rsidRPr="00F66CAC" w:rsidRDefault="003A7C17" w:rsidP="00C63083">
            <w:pPr>
              <w:pStyle w:val="grabittestotabella"/>
              <w:spacing w:before="0" w:after="0"/>
              <w:rPr>
                <w:rFonts w:ascii="Times New Roman" w:hAnsi="Times New Roman"/>
                <w:sz w:val="20"/>
                <w:szCs w:val="20"/>
              </w:rPr>
            </w:pPr>
            <w:r w:rsidRPr="00F66CAC">
              <w:rPr>
                <w:rFonts w:ascii="Times New Roman" w:hAnsi="Times New Roman"/>
                <w:sz w:val="20"/>
                <w:szCs w:val="20"/>
              </w:rPr>
              <w:t>Trapani</w:t>
            </w:r>
          </w:p>
        </w:tc>
        <w:tc>
          <w:tcPr>
            <w:tcW w:w="1185" w:type="dxa"/>
            <w:tcBorders>
              <w:top w:val="nil"/>
              <w:left w:val="nil"/>
              <w:bottom w:val="single" w:sz="8" w:space="0" w:color="auto"/>
              <w:right w:val="nil"/>
            </w:tcBorders>
            <w:shd w:val="clear" w:color="auto" w:fill="auto"/>
            <w:noWrap/>
            <w:hideMark/>
          </w:tcPr>
          <w:p w:rsidR="003A7C17" w:rsidRPr="00F66CAC" w:rsidRDefault="003A7C17" w:rsidP="00C63083">
            <w:pPr>
              <w:pStyle w:val="grabittestotabella"/>
              <w:spacing w:before="0" w:after="0"/>
              <w:jc w:val="center"/>
              <w:rPr>
                <w:rFonts w:ascii="Times New Roman" w:hAnsi="Times New Roman"/>
                <w:sz w:val="20"/>
                <w:szCs w:val="20"/>
              </w:rPr>
            </w:pPr>
            <w:r w:rsidRPr="00F66CAC">
              <w:rPr>
                <w:rFonts w:ascii="Times New Roman" w:hAnsi="Times New Roman"/>
                <w:sz w:val="20"/>
                <w:szCs w:val="20"/>
              </w:rPr>
              <w:t>0,</w:t>
            </w:r>
            <w:r>
              <w:rPr>
                <w:rFonts w:ascii="Times New Roman" w:hAnsi="Times New Roman"/>
                <w:sz w:val="20"/>
                <w:szCs w:val="20"/>
              </w:rPr>
              <w:t>11</w:t>
            </w:r>
          </w:p>
        </w:tc>
        <w:tc>
          <w:tcPr>
            <w:tcW w:w="1274" w:type="dxa"/>
            <w:tcBorders>
              <w:top w:val="nil"/>
              <w:left w:val="nil"/>
              <w:bottom w:val="single" w:sz="8" w:space="0" w:color="auto"/>
              <w:right w:val="nil"/>
            </w:tcBorders>
            <w:shd w:val="clear" w:color="auto" w:fill="auto"/>
            <w:hideMark/>
          </w:tcPr>
          <w:p w:rsidR="003A7C17" w:rsidRPr="00F66CAC" w:rsidRDefault="003A7C17" w:rsidP="00C63083">
            <w:pPr>
              <w:pStyle w:val="grabittestotabella"/>
              <w:spacing w:before="0" w:after="0"/>
              <w:jc w:val="center"/>
              <w:rPr>
                <w:rFonts w:ascii="Times New Roman" w:hAnsi="Times New Roman"/>
                <w:sz w:val="20"/>
                <w:szCs w:val="20"/>
              </w:rPr>
            </w:pPr>
            <w:r>
              <w:rPr>
                <w:rFonts w:ascii="Times New Roman" w:hAnsi="Times New Roman"/>
                <w:sz w:val="20"/>
                <w:szCs w:val="20"/>
              </w:rPr>
              <w:t>0,63</w:t>
            </w:r>
          </w:p>
        </w:tc>
        <w:tc>
          <w:tcPr>
            <w:tcW w:w="1407" w:type="dxa"/>
            <w:tcBorders>
              <w:top w:val="nil"/>
              <w:left w:val="nil"/>
              <w:bottom w:val="single" w:sz="8" w:space="0" w:color="auto"/>
              <w:right w:val="nil"/>
            </w:tcBorders>
            <w:shd w:val="clear" w:color="auto" w:fill="auto"/>
            <w:noWrap/>
            <w:hideMark/>
          </w:tcPr>
          <w:p w:rsidR="003A7C17" w:rsidRPr="00F66CAC" w:rsidRDefault="003A7C17" w:rsidP="00C63083">
            <w:pPr>
              <w:pStyle w:val="grabittestotabella"/>
              <w:spacing w:before="0" w:after="0"/>
              <w:jc w:val="center"/>
              <w:rPr>
                <w:rFonts w:ascii="Times New Roman" w:hAnsi="Times New Roman"/>
                <w:sz w:val="20"/>
                <w:szCs w:val="20"/>
              </w:rPr>
            </w:pPr>
            <w:r w:rsidRPr="00040D60">
              <w:rPr>
                <w:rFonts w:ascii="Times New Roman" w:hAnsi="Times New Roman"/>
                <w:sz w:val="20"/>
                <w:szCs w:val="20"/>
              </w:rPr>
              <w:t>37,39</w:t>
            </w:r>
          </w:p>
        </w:tc>
        <w:tc>
          <w:tcPr>
            <w:tcW w:w="1662" w:type="dxa"/>
            <w:tcBorders>
              <w:top w:val="nil"/>
              <w:left w:val="nil"/>
              <w:bottom w:val="single" w:sz="8" w:space="0" w:color="auto"/>
              <w:right w:val="nil"/>
            </w:tcBorders>
            <w:shd w:val="clear" w:color="auto" w:fill="auto"/>
            <w:noWrap/>
            <w:hideMark/>
          </w:tcPr>
          <w:p w:rsidR="003A7C17" w:rsidRPr="00F66CAC" w:rsidRDefault="003A7C17" w:rsidP="00C63083">
            <w:pPr>
              <w:pStyle w:val="grabittestotabella"/>
              <w:spacing w:before="0" w:after="0"/>
              <w:jc w:val="center"/>
              <w:rPr>
                <w:rFonts w:ascii="Times New Roman" w:hAnsi="Times New Roman"/>
                <w:sz w:val="20"/>
                <w:szCs w:val="20"/>
              </w:rPr>
            </w:pPr>
            <w:r w:rsidRPr="00040D60">
              <w:rPr>
                <w:rFonts w:ascii="Times New Roman" w:hAnsi="Times New Roman"/>
                <w:sz w:val="20"/>
                <w:szCs w:val="20"/>
              </w:rPr>
              <w:t>49,03</w:t>
            </w:r>
          </w:p>
        </w:tc>
      </w:tr>
    </w:tbl>
    <w:p w:rsidR="00DA155D" w:rsidRDefault="002F1032" w:rsidP="00DA155D">
      <w:pPr>
        <w:spacing w:line="240" w:lineRule="auto"/>
        <w:rPr>
          <w:szCs w:val="24"/>
        </w:rPr>
      </w:pPr>
      <w:r>
        <w:rPr>
          <w:szCs w:val="24"/>
        </w:rPr>
        <w:t xml:space="preserve">Per quanto concerne la dimensione ambientale si </w:t>
      </w:r>
      <w:r w:rsidR="00256084">
        <w:rPr>
          <w:szCs w:val="24"/>
        </w:rPr>
        <w:t>osserva</w:t>
      </w:r>
      <w:r>
        <w:rPr>
          <w:szCs w:val="24"/>
        </w:rPr>
        <w:t xml:space="preserve"> che </w:t>
      </w:r>
      <w:r w:rsidRPr="008B238F">
        <w:rPr>
          <w:szCs w:val="24"/>
        </w:rPr>
        <w:t xml:space="preserve">la pressione sul suolo </w:t>
      </w:r>
      <w:r>
        <w:rPr>
          <w:szCs w:val="24"/>
        </w:rPr>
        <w:t xml:space="preserve">e le risorse idriche </w:t>
      </w:r>
      <w:r w:rsidRPr="008B238F">
        <w:rPr>
          <w:szCs w:val="24"/>
        </w:rPr>
        <w:t>è, nel complesso, modesta; infatti, ad eccezione del</w:t>
      </w:r>
      <w:r>
        <w:rPr>
          <w:szCs w:val="24"/>
        </w:rPr>
        <w:t>la</w:t>
      </w:r>
      <w:r w:rsidRPr="008B238F">
        <w:rPr>
          <w:szCs w:val="24"/>
        </w:rPr>
        <w:t xml:space="preserve"> </w:t>
      </w:r>
      <w:r>
        <w:rPr>
          <w:szCs w:val="24"/>
        </w:rPr>
        <w:t>provincia di Siena</w:t>
      </w:r>
      <w:r w:rsidRPr="008B238F">
        <w:rPr>
          <w:szCs w:val="24"/>
        </w:rPr>
        <w:t>, nel</w:t>
      </w:r>
      <w:r>
        <w:rPr>
          <w:szCs w:val="24"/>
        </w:rPr>
        <w:t>la</w:t>
      </w:r>
      <w:r w:rsidRPr="008B238F">
        <w:rPr>
          <w:szCs w:val="24"/>
        </w:rPr>
        <w:t xml:space="preserve"> quale vi è la presenza di una intensa attività zootecnica</w:t>
      </w:r>
      <w:r>
        <w:rPr>
          <w:szCs w:val="24"/>
        </w:rPr>
        <w:t xml:space="preserve"> (2,07)</w:t>
      </w:r>
      <w:r w:rsidRPr="008B238F">
        <w:rPr>
          <w:szCs w:val="24"/>
        </w:rPr>
        <w:t>, ne</w:t>
      </w:r>
      <w:r>
        <w:rPr>
          <w:szCs w:val="24"/>
        </w:rPr>
        <w:t>lle</w:t>
      </w:r>
      <w:r w:rsidRPr="008B238F">
        <w:rPr>
          <w:szCs w:val="24"/>
        </w:rPr>
        <w:t xml:space="preserve"> </w:t>
      </w:r>
      <w:r>
        <w:rPr>
          <w:szCs w:val="24"/>
        </w:rPr>
        <w:t>provinc</w:t>
      </w:r>
      <w:r w:rsidR="003B0170">
        <w:rPr>
          <w:szCs w:val="24"/>
        </w:rPr>
        <w:t xml:space="preserve">ia di Trapani </w:t>
      </w:r>
      <w:r w:rsidRPr="008B238F">
        <w:rPr>
          <w:szCs w:val="24"/>
        </w:rPr>
        <w:t xml:space="preserve">l’allevamento </w:t>
      </w:r>
      <w:r>
        <w:rPr>
          <w:szCs w:val="24"/>
        </w:rPr>
        <w:t xml:space="preserve">così come </w:t>
      </w:r>
      <w:r w:rsidRPr="008B238F">
        <w:rPr>
          <w:szCs w:val="24"/>
        </w:rPr>
        <w:t>il ricorso all’irrigazione</w:t>
      </w:r>
      <w:r>
        <w:rPr>
          <w:szCs w:val="24"/>
        </w:rPr>
        <w:t xml:space="preserve"> risulta essere poco praticato.</w:t>
      </w:r>
    </w:p>
    <w:p w:rsidR="002F1032" w:rsidRDefault="002F1032" w:rsidP="00DA155D">
      <w:pPr>
        <w:spacing w:line="240" w:lineRule="auto"/>
        <w:rPr>
          <w:szCs w:val="24"/>
        </w:rPr>
      </w:pPr>
      <w:r>
        <w:rPr>
          <w:szCs w:val="24"/>
        </w:rPr>
        <w:t xml:space="preserve">La biodiversità, </w:t>
      </w:r>
      <w:r w:rsidR="003B0170">
        <w:rPr>
          <w:szCs w:val="24"/>
        </w:rPr>
        <w:t xml:space="preserve">che </w:t>
      </w:r>
      <w:r w:rsidRPr="008B238F">
        <w:rPr>
          <w:szCs w:val="24"/>
        </w:rPr>
        <w:t>beneficia della modesta incidenza degli incendi</w:t>
      </w:r>
      <w:r>
        <w:rPr>
          <w:szCs w:val="24"/>
        </w:rPr>
        <w:t xml:space="preserve"> boschivi </w:t>
      </w:r>
      <w:r w:rsidRPr="008B238F">
        <w:rPr>
          <w:szCs w:val="24"/>
        </w:rPr>
        <w:t xml:space="preserve">risulta essere limitata dalla esigua superficie destinata alle colture biologiche </w:t>
      </w:r>
      <w:r>
        <w:rPr>
          <w:szCs w:val="24"/>
        </w:rPr>
        <w:t>(Siena 15,45% e Trapani 0,04%); a ciò è da aggiungere</w:t>
      </w:r>
      <w:r w:rsidR="00E22D83">
        <w:rPr>
          <w:szCs w:val="24"/>
        </w:rPr>
        <w:t>,</w:t>
      </w:r>
      <w:r>
        <w:rPr>
          <w:szCs w:val="24"/>
        </w:rPr>
        <w:t xml:space="preserve"> per l</w:t>
      </w:r>
      <w:r w:rsidR="003B0170">
        <w:rPr>
          <w:szCs w:val="24"/>
        </w:rPr>
        <w:t>a</w:t>
      </w:r>
      <w:r>
        <w:rPr>
          <w:szCs w:val="24"/>
        </w:rPr>
        <w:t xml:space="preserve"> provinc</w:t>
      </w:r>
      <w:r w:rsidR="003B0170">
        <w:rPr>
          <w:szCs w:val="24"/>
        </w:rPr>
        <w:t>ia siciliana</w:t>
      </w:r>
      <w:r>
        <w:rPr>
          <w:szCs w:val="24"/>
        </w:rPr>
        <w:t xml:space="preserve">, un </w:t>
      </w:r>
      <w:r w:rsidR="006C5905">
        <w:rPr>
          <w:szCs w:val="24"/>
        </w:rPr>
        <w:t>basso valore dell’indice di boscosità</w:t>
      </w:r>
      <w:r w:rsidRPr="008B238F">
        <w:rPr>
          <w:szCs w:val="24"/>
        </w:rPr>
        <w:t xml:space="preserve"> </w:t>
      </w:r>
      <w:r>
        <w:rPr>
          <w:szCs w:val="24"/>
        </w:rPr>
        <w:t>(3,31% )</w:t>
      </w:r>
      <w:r w:rsidRPr="008B238F">
        <w:rPr>
          <w:szCs w:val="24"/>
        </w:rPr>
        <w:t>.</w:t>
      </w:r>
      <w:r w:rsidRPr="008B238F">
        <w:t xml:space="preserve"> </w:t>
      </w:r>
      <w:r w:rsidRPr="008B238F">
        <w:rPr>
          <w:szCs w:val="24"/>
        </w:rPr>
        <w:t xml:space="preserve">Il paesaggio, </w:t>
      </w:r>
      <w:r>
        <w:rPr>
          <w:szCs w:val="24"/>
        </w:rPr>
        <w:t xml:space="preserve">che risulta essere mediamente </w:t>
      </w:r>
      <w:r w:rsidRPr="008B238F">
        <w:rPr>
          <w:szCs w:val="24"/>
        </w:rPr>
        <w:t xml:space="preserve">agrario, presenta </w:t>
      </w:r>
      <w:r>
        <w:rPr>
          <w:szCs w:val="24"/>
        </w:rPr>
        <w:t>dei</w:t>
      </w:r>
      <w:r w:rsidRPr="008B238F">
        <w:rPr>
          <w:szCs w:val="24"/>
        </w:rPr>
        <w:t xml:space="preserve"> bass</w:t>
      </w:r>
      <w:r>
        <w:rPr>
          <w:szCs w:val="24"/>
        </w:rPr>
        <w:t>i</w:t>
      </w:r>
      <w:r w:rsidRPr="008B238F">
        <w:rPr>
          <w:szCs w:val="24"/>
        </w:rPr>
        <w:t xml:space="preserve"> livell</w:t>
      </w:r>
      <w:r>
        <w:rPr>
          <w:szCs w:val="24"/>
        </w:rPr>
        <w:t>i</w:t>
      </w:r>
      <w:r w:rsidRPr="008B238F">
        <w:rPr>
          <w:szCs w:val="24"/>
        </w:rPr>
        <w:t xml:space="preserve"> di intensificazione e di concentrazione</w:t>
      </w:r>
      <w:r>
        <w:rPr>
          <w:szCs w:val="24"/>
        </w:rPr>
        <w:t>,</w:t>
      </w:r>
      <w:r w:rsidRPr="008B238F">
        <w:rPr>
          <w:szCs w:val="24"/>
        </w:rPr>
        <w:t xml:space="preserve"> tranne che ne</w:t>
      </w:r>
      <w:r>
        <w:rPr>
          <w:szCs w:val="24"/>
        </w:rPr>
        <w:t>lla provincia di Trapani</w:t>
      </w:r>
      <w:r w:rsidRPr="008B238F">
        <w:rPr>
          <w:szCs w:val="24"/>
        </w:rPr>
        <w:t xml:space="preserve"> che</w:t>
      </w:r>
      <w:r w:rsidR="00E22D83">
        <w:rPr>
          <w:szCs w:val="24"/>
        </w:rPr>
        <w:t>,</w:t>
      </w:r>
      <w:r w:rsidRPr="008B238F">
        <w:rPr>
          <w:szCs w:val="24"/>
        </w:rPr>
        <w:t xml:space="preserve"> con</w:t>
      </w:r>
      <w:r>
        <w:rPr>
          <w:szCs w:val="24"/>
        </w:rPr>
        <w:t xml:space="preserve"> un</w:t>
      </w:r>
      <w:r w:rsidRPr="008B238F">
        <w:rPr>
          <w:szCs w:val="24"/>
        </w:rPr>
        <w:t xml:space="preserve"> indic</w:t>
      </w:r>
      <w:r>
        <w:rPr>
          <w:szCs w:val="24"/>
        </w:rPr>
        <w:t>e</w:t>
      </w:r>
      <w:r w:rsidRPr="008B238F">
        <w:rPr>
          <w:szCs w:val="24"/>
        </w:rPr>
        <w:t xml:space="preserve"> pari a </w:t>
      </w:r>
      <w:r>
        <w:rPr>
          <w:szCs w:val="24"/>
        </w:rPr>
        <w:t>61,36</w:t>
      </w:r>
      <w:r w:rsidR="00E22D83">
        <w:rPr>
          <w:szCs w:val="24"/>
        </w:rPr>
        <w:t>,</w:t>
      </w:r>
      <w:r w:rsidRPr="008B238F">
        <w:rPr>
          <w:szCs w:val="24"/>
        </w:rPr>
        <w:t xml:space="preserve"> </w:t>
      </w:r>
      <w:r>
        <w:rPr>
          <w:szCs w:val="24"/>
        </w:rPr>
        <w:t>presenta</w:t>
      </w:r>
      <w:r w:rsidRPr="008B238F">
        <w:rPr>
          <w:szCs w:val="24"/>
        </w:rPr>
        <w:t xml:space="preserve"> i</w:t>
      </w:r>
      <w:r>
        <w:rPr>
          <w:szCs w:val="24"/>
        </w:rPr>
        <w:t>l</w:t>
      </w:r>
      <w:r w:rsidRPr="008B238F">
        <w:rPr>
          <w:szCs w:val="24"/>
        </w:rPr>
        <w:t xml:space="preserve"> livell</w:t>
      </w:r>
      <w:r>
        <w:rPr>
          <w:szCs w:val="24"/>
        </w:rPr>
        <w:t>o più alto</w:t>
      </w:r>
      <w:r w:rsidRPr="008B238F">
        <w:rPr>
          <w:szCs w:val="24"/>
        </w:rPr>
        <w:t xml:space="preserve"> di intensificazione, ma comunque </w:t>
      </w:r>
      <w:r>
        <w:rPr>
          <w:szCs w:val="24"/>
        </w:rPr>
        <w:t xml:space="preserve">un </w:t>
      </w:r>
      <w:r w:rsidRPr="008B238F">
        <w:rPr>
          <w:szCs w:val="24"/>
        </w:rPr>
        <w:t>bass</w:t>
      </w:r>
      <w:r>
        <w:rPr>
          <w:szCs w:val="24"/>
        </w:rPr>
        <w:t>o</w:t>
      </w:r>
      <w:r w:rsidRPr="008B238F">
        <w:rPr>
          <w:szCs w:val="24"/>
        </w:rPr>
        <w:t xml:space="preserve"> livell</w:t>
      </w:r>
      <w:r>
        <w:rPr>
          <w:szCs w:val="24"/>
        </w:rPr>
        <w:t>o</w:t>
      </w:r>
      <w:r w:rsidRPr="008B238F">
        <w:rPr>
          <w:szCs w:val="24"/>
        </w:rPr>
        <w:t xml:space="preserve"> di concentrazione; inoltre, ad esclusione d</w:t>
      </w:r>
      <w:r>
        <w:rPr>
          <w:szCs w:val="24"/>
        </w:rPr>
        <w:t xml:space="preserve">ella provincia di Siena nella quale sono presenti ben 21 aree protette e </w:t>
      </w:r>
      <w:r w:rsidRPr="008B238F">
        <w:rPr>
          <w:szCs w:val="24"/>
        </w:rPr>
        <w:t>l’indice di boscosità più elevato (</w:t>
      </w:r>
      <w:r>
        <w:rPr>
          <w:szCs w:val="24"/>
        </w:rPr>
        <w:t>44,9</w:t>
      </w:r>
      <w:r w:rsidR="006C5905">
        <w:rPr>
          <w:szCs w:val="24"/>
        </w:rPr>
        <w:t>4%), la superficie boscata</w:t>
      </w:r>
      <w:r>
        <w:rPr>
          <w:szCs w:val="24"/>
        </w:rPr>
        <w:t xml:space="preserve"> </w:t>
      </w:r>
      <w:r w:rsidRPr="008B238F">
        <w:rPr>
          <w:szCs w:val="24"/>
        </w:rPr>
        <w:t>è una frazione esigua delle superfici</w:t>
      </w:r>
      <w:r w:rsidR="003B0170">
        <w:rPr>
          <w:szCs w:val="24"/>
        </w:rPr>
        <w:t>e</w:t>
      </w:r>
      <w:r w:rsidRPr="008B238F">
        <w:rPr>
          <w:szCs w:val="24"/>
        </w:rPr>
        <w:t xml:space="preserve"> </w:t>
      </w:r>
      <w:r>
        <w:rPr>
          <w:szCs w:val="24"/>
        </w:rPr>
        <w:t>provincial</w:t>
      </w:r>
      <w:r w:rsidR="003B0170">
        <w:rPr>
          <w:szCs w:val="24"/>
        </w:rPr>
        <w:t>e</w:t>
      </w:r>
      <w:r w:rsidR="003A7C17">
        <w:rPr>
          <w:szCs w:val="24"/>
        </w:rPr>
        <w:t xml:space="preserve"> (Tab. 2)</w:t>
      </w:r>
      <w:r w:rsidRPr="008B238F">
        <w:rPr>
          <w:szCs w:val="24"/>
        </w:rPr>
        <w:t>.</w:t>
      </w:r>
    </w:p>
    <w:p w:rsidR="002F1032" w:rsidRPr="00040D60" w:rsidRDefault="002F1032" w:rsidP="00DA155D">
      <w:pPr>
        <w:pStyle w:val="Didascalia"/>
        <w:keepNext/>
        <w:spacing w:before="240" w:after="0"/>
        <w:rPr>
          <w:rFonts w:ascii="Times New Roman" w:eastAsia="Times New Roman" w:hAnsi="Times New Roman" w:cs="Times New Roman"/>
          <w:b w:val="0"/>
          <w:bCs w:val="0"/>
          <w:color w:val="auto"/>
          <w:sz w:val="20"/>
          <w:szCs w:val="20"/>
          <w:lang w:eastAsia="de-DE" w:bidi="ar-SA"/>
        </w:rPr>
      </w:pPr>
      <w:r w:rsidRPr="00040D60">
        <w:rPr>
          <w:rFonts w:ascii="Times New Roman" w:eastAsia="Times New Roman" w:hAnsi="Times New Roman" w:cs="Times New Roman"/>
          <w:b w:val="0"/>
          <w:bCs w:val="0"/>
          <w:color w:val="auto"/>
          <w:sz w:val="20"/>
          <w:szCs w:val="20"/>
          <w:lang w:eastAsia="de-DE" w:bidi="ar-SA"/>
        </w:rPr>
        <w:t xml:space="preserve">Tabella </w:t>
      </w:r>
      <w:r w:rsidR="00193529" w:rsidRPr="00040D60">
        <w:rPr>
          <w:rFonts w:ascii="Times New Roman" w:eastAsia="Times New Roman" w:hAnsi="Times New Roman" w:cs="Times New Roman"/>
          <w:b w:val="0"/>
          <w:bCs w:val="0"/>
          <w:color w:val="auto"/>
          <w:sz w:val="20"/>
          <w:szCs w:val="20"/>
          <w:lang w:eastAsia="de-DE" w:bidi="ar-SA"/>
        </w:rPr>
        <w:fldChar w:fldCharType="begin"/>
      </w:r>
      <w:r w:rsidRPr="00040D60">
        <w:rPr>
          <w:rFonts w:ascii="Times New Roman" w:eastAsia="Times New Roman" w:hAnsi="Times New Roman" w:cs="Times New Roman"/>
          <w:b w:val="0"/>
          <w:bCs w:val="0"/>
          <w:color w:val="auto"/>
          <w:sz w:val="20"/>
          <w:szCs w:val="20"/>
          <w:lang w:eastAsia="de-DE" w:bidi="ar-SA"/>
        </w:rPr>
        <w:instrText xml:space="preserve"> SEQ Tabella \* ARABIC </w:instrText>
      </w:r>
      <w:r w:rsidR="00193529" w:rsidRPr="00040D60">
        <w:rPr>
          <w:rFonts w:ascii="Times New Roman" w:eastAsia="Times New Roman" w:hAnsi="Times New Roman" w:cs="Times New Roman"/>
          <w:b w:val="0"/>
          <w:bCs w:val="0"/>
          <w:color w:val="auto"/>
          <w:sz w:val="20"/>
          <w:szCs w:val="20"/>
          <w:lang w:eastAsia="de-DE" w:bidi="ar-SA"/>
        </w:rPr>
        <w:fldChar w:fldCharType="separate"/>
      </w:r>
      <w:r w:rsidRPr="00040D60">
        <w:rPr>
          <w:rFonts w:ascii="Times New Roman" w:eastAsia="Times New Roman" w:hAnsi="Times New Roman" w:cs="Times New Roman"/>
          <w:b w:val="0"/>
          <w:bCs w:val="0"/>
          <w:color w:val="auto"/>
          <w:sz w:val="20"/>
          <w:szCs w:val="20"/>
          <w:lang w:eastAsia="de-DE" w:bidi="ar-SA"/>
        </w:rPr>
        <w:t>2</w:t>
      </w:r>
      <w:r w:rsidR="00193529" w:rsidRPr="00040D60">
        <w:rPr>
          <w:rFonts w:ascii="Times New Roman" w:eastAsia="Times New Roman" w:hAnsi="Times New Roman" w:cs="Times New Roman"/>
          <w:b w:val="0"/>
          <w:bCs w:val="0"/>
          <w:color w:val="auto"/>
          <w:sz w:val="20"/>
          <w:szCs w:val="20"/>
          <w:lang w:eastAsia="de-DE" w:bidi="ar-SA"/>
        </w:rPr>
        <w:fldChar w:fldCharType="end"/>
      </w:r>
      <w:r>
        <w:rPr>
          <w:rFonts w:ascii="Times New Roman" w:eastAsia="Times New Roman" w:hAnsi="Times New Roman" w:cs="Times New Roman"/>
          <w:b w:val="0"/>
          <w:bCs w:val="0"/>
          <w:color w:val="auto"/>
          <w:sz w:val="20"/>
          <w:szCs w:val="20"/>
          <w:lang w:eastAsia="de-DE" w:bidi="ar-SA"/>
        </w:rPr>
        <w:t xml:space="preserve">. </w:t>
      </w:r>
      <w:r w:rsidRPr="00040D60">
        <w:rPr>
          <w:rFonts w:ascii="Times New Roman" w:eastAsia="Times New Roman" w:hAnsi="Times New Roman" w:cs="Times New Roman"/>
          <w:b w:val="0"/>
          <w:bCs w:val="0"/>
          <w:color w:val="auto"/>
          <w:sz w:val="20"/>
          <w:szCs w:val="20"/>
          <w:lang w:eastAsia="de-DE" w:bidi="ar-SA"/>
        </w:rPr>
        <w:t>Principali indicatori del modello DPSIR relativ</w:t>
      </w:r>
      <w:r>
        <w:rPr>
          <w:rFonts w:ascii="Times New Roman" w:eastAsia="Times New Roman" w:hAnsi="Times New Roman" w:cs="Times New Roman"/>
          <w:b w:val="0"/>
          <w:bCs w:val="0"/>
          <w:color w:val="auto"/>
          <w:sz w:val="20"/>
          <w:szCs w:val="20"/>
          <w:lang w:eastAsia="de-DE" w:bidi="ar-SA"/>
        </w:rPr>
        <w:t>i</w:t>
      </w:r>
      <w:r w:rsidRPr="00040D60">
        <w:rPr>
          <w:rFonts w:ascii="Times New Roman" w:eastAsia="Times New Roman" w:hAnsi="Times New Roman" w:cs="Times New Roman"/>
          <w:b w:val="0"/>
          <w:bCs w:val="0"/>
          <w:color w:val="auto"/>
          <w:sz w:val="20"/>
          <w:szCs w:val="20"/>
          <w:lang w:eastAsia="de-DE" w:bidi="ar-SA"/>
        </w:rPr>
        <w:t xml:space="preserve"> alla dimensione </w:t>
      </w:r>
      <w:r>
        <w:rPr>
          <w:rFonts w:ascii="Times New Roman" w:eastAsia="Times New Roman" w:hAnsi="Times New Roman" w:cs="Times New Roman"/>
          <w:b w:val="0"/>
          <w:bCs w:val="0"/>
          <w:color w:val="auto"/>
          <w:sz w:val="20"/>
          <w:szCs w:val="20"/>
          <w:lang w:eastAsia="de-DE" w:bidi="ar-SA"/>
        </w:rPr>
        <w:t>ambientale</w:t>
      </w:r>
    </w:p>
    <w:tbl>
      <w:tblPr>
        <w:tblW w:w="7106" w:type="dxa"/>
        <w:tblInd w:w="57" w:type="dxa"/>
        <w:tblCellMar>
          <w:left w:w="70" w:type="dxa"/>
          <w:right w:w="70" w:type="dxa"/>
        </w:tblCellMar>
        <w:tblLook w:val="04A0"/>
      </w:tblPr>
      <w:tblGrid>
        <w:gridCol w:w="1006"/>
        <w:gridCol w:w="851"/>
        <w:gridCol w:w="774"/>
        <w:gridCol w:w="590"/>
        <w:gridCol w:w="524"/>
        <w:gridCol w:w="740"/>
        <w:gridCol w:w="896"/>
        <w:gridCol w:w="790"/>
        <w:gridCol w:w="935"/>
      </w:tblGrid>
      <w:tr w:rsidR="002F1032" w:rsidRPr="003A12CE" w:rsidTr="00C96CD1">
        <w:trPr>
          <w:trHeight w:val="633"/>
        </w:trPr>
        <w:tc>
          <w:tcPr>
            <w:tcW w:w="1006" w:type="dxa"/>
            <w:tcBorders>
              <w:top w:val="single" w:sz="4" w:space="0" w:color="auto"/>
              <w:left w:val="nil"/>
              <w:bottom w:val="nil"/>
              <w:right w:val="nil"/>
            </w:tcBorders>
            <w:shd w:val="clear" w:color="auto" w:fill="auto"/>
            <w:hideMark/>
          </w:tcPr>
          <w:p w:rsidR="002F1032" w:rsidRPr="003A12CE" w:rsidRDefault="006F41AB" w:rsidP="00DA155D">
            <w:pPr>
              <w:pStyle w:val="grabittestotabella"/>
              <w:keepNext/>
              <w:keepLines/>
              <w:spacing w:before="240" w:after="0"/>
              <w:outlineLvl w:val="0"/>
              <w:rPr>
                <w:rFonts w:ascii="Times New Roman" w:hAnsi="Times New Roman"/>
                <w:i/>
                <w:sz w:val="20"/>
                <w:szCs w:val="20"/>
                <w:lang w:val="it-IT"/>
              </w:rPr>
            </w:pPr>
            <w:r w:rsidRPr="006F41AB">
              <w:rPr>
                <w:rFonts w:ascii="Times New Roman" w:hAnsi="Times New Roman"/>
                <w:i/>
                <w:sz w:val="20"/>
                <w:szCs w:val="20"/>
                <w:lang w:val="it-IT"/>
              </w:rPr>
              <w:t>Provincia</w:t>
            </w:r>
          </w:p>
        </w:tc>
        <w:tc>
          <w:tcPr>
            <w:tcW w:w="851" w:type="dxa"/>
            <w:tcBorders>
              <w:top w:val="single" w:sz="4" w:space="0" w:color="auto"/>
              <w:left w:val="nil"/>
              <w:bottom w:val="nil"/>
              <w:right w:val="nil"/>
            </w:tcBorders>
            <w:shd w:val="clear" w:color="auto" w:fill="auto"/>
            <w:noWrap/>
            <w:hideMark/>
          </w:tcPr>
          <w:p w:rsidR="002F1032" w:rsidRPr="003A12CE" w:rsidRDefault="006F41AB" w:rsidP="00A95103">
            <w:pPr>
              <w:pStyle w:val="grabittestotabella"/>
              <w:keepNext/>
              <w:keepLines/>
              <w:spacing w:before="0" w:after="0"/>
              <w:jc w:val="center"/>
              <w:outlineLvl w:val="0"/>
              <w:rPr>
                <w:rFonts w:ascii="Times New Roman" w:hAnsi="Times New Roman"/>
                <w:i/>
                <w:sz w:val="20"/>
                <w:szCs w:val="20"/>
                <w:lang w:val="it-IT"/>
              </w:rPr>
            </w:pPr>
            <w:r w:rsidRPr="006F41AB">
              <w:rPr>
                <w:rFonts w:ascii="Times New Roman" w:hAnsi="Times New Roman"/>
                <w:i/>
                <w:sz w:val="20"/>
                <w:szCs w:val="20"/>
                <w:lang w:val="it-IT"/>
              </w:rPr>
              <w:t>Carico bestiame</w:t>
            </w:r>
          </w:p>
        </w:tc>
        <w:tc>
          <w:tcPr>
            <w:tcW w:w="774" w:type="dxa"/>
            <w:tcBorders>
              <w:top w:val="single" w:sz="4" w:space="0" w:color="auto"/>
              <w:left w:val="nil"/>
              <w:bottom w:val="nil"/>
              <w:right w:val="nil"/>
            </w:tcBorders>
            <w:shd w:val="clear" w:color="auto" w:fill="auto"/>
            <w:hideMark/>
          </w:tcPr>
          <w:p w:rsidR="002F1032" w:rsidRPr="003A12CE" w:rsidRDefault="006F41AB" w:rsidP="00A95103">
            <w:pPr>
              <w:pStyle w:val="grabittestotabella"/>
              <w:keepNext/>
              <w:keepLines/>
              <w:spacing w:before="0" w:after="0"/>
              <w:jc w:val="center"/>
              <w:outlineLvl w:val="0"/>
              <w:rPr>
                <w:rFonts w:ascii="Times New Roman" w:hAnsi="Times New Roman"/>
                <w:i/>
                <w:sz w:val="20"/>
                <w:szCs w:val="20"/>
                <w:lang w:val="it-IT"/>
              </w:rPr>
            </w:pPr>
            <w:r w:rsidRPr="006F41AB">
              <w:rPr>
                <w:rFonts w:ascii="Times New Roman" w:hAnsi="Times New Roman"/>
                <w:i/>
                <w:sz w:val="20"/>
                <w:szCs w:val="20"/>
                <w:lang w:val="it-IT"/>
              </w:rPr>
              <w:t>Sup. Irrigata</w:t>
            </w:r>
          </w:p>
          <w:p w:rsidR="002F1032" w:rsidRPr="003A12CE" w:rsidRDefault="006F41AB" w:rsidP="00A95103">
            <w:pPr>
              <w:pStyle w:val="grabittestotabella"/>
              <w:keepNext/>
              <w:keepLines/>
              <w:spacing w:before="0" w:after="0"/>
              <w:jc w:val="center"/>
              <w:outlineLvl w:val="0"/>
              <w:rPr>
                <w:rFonts w:ascii="Times New Roman" w:hAnsi="Times New Roman"/>
                <w:i/>
                <w:sz w:val="20"/>
                <w:szCs w:val="20"/>
                <w:lang w:val="it-IT"/>
              </w:rPr>
            </w:pPr>
            <w:r w:rsidRPr="006F41AB">
              <w:rPr>
                <w:rFonts w:ascii="Times New Roman" w:hAnsi="Times New Roman"/>
                <w:i/>
                <w:sz w:val="20"/>
                <w:szCs w:val="20"/>
                <w:lang w:val="it-IT"/>
              </w:rPr>
              <w:t>(%)</w:t>
            </w:r>
          </w:p>
        </w:tc>
        <w:tc>
          <w:tcPr>
            <w:tcW w:w="590" w:type="dxa"/>
            <w:tcBorders>
              <w:top w:val="single" w:sz="4" w:space="0" w:color="auto"/>
              <w:left w:val="nil"/>
              <w:bottom w:val="nil"/>
              <w:right w:val="nil"/>
            </w:tcBorders>
            <w:shd w:val="clear" w:color="auto" w:fill="auto"/>
            <w:noWrap/>
            <w:hideMark/>
          </w:tcPr>
          <w:p w:rsidR="002F1032" w:rsidRPr="003A12CE" w:rsidRDefault="006F41AB" w:rsidP="00A95103">
            <w:pPr>
              <w:pStyle w:val="grabittestotabella"/>
              <w:keepNext/>
              <w:keepLines/>
              <w:spacing w:before="0" w:after="0"/>
              <w:jc w:val="center"/>
              <w:outlineLvl w:val="0"/>
              <w:rPr>
                <w:rFonts w:ascii="Times New Roman" w:hAnsi="Times New Roman"/>
                <w:i/>
                <w:sz w:val="20"/>
                <w:szCs w:val="20"/>
                <w:lang w:val="it-IT"/>
              </w:rPr>
            </w:pPr>
            <w:r w:rsidRPr="006F41AB">
              <w:rPr>
                <w:rFonts w:ascii="Times New Roman" w:hAnsi="Times New Roman"/>
                <w:i/>
                <w:sz w:val="20"/>
                <w:szCs w:val="20"/>
                <w:lang w:val="it-IT"/>
              </w:rPr>
              <w:t>SAU bio (%)</w:t>
            </w:r>
          </w:p>
        </w:tc>
        <w:tc>
          <w:tcPr>
            <w:tcW w:w="524" w:type="dxa"/>
            <w:tcBorders>
              <w:top w:val="single" w:sz="4" w:space="0" w:color="auto"/>
              <w:left w:val="nil"/>
              <w:bottom w:val="nil"/>
              <w:right w:val="nil"/>
            </w:tcBorders>
            <w:shd w:val="clear" w:color="auto" w:fill="auto"/>
            <w:noWrap/>
            <w:hideMark/>
          </w:tcPr>
          <w:p w:rsidR="002F1032" w:rsidRPr="003A12CE" w:rsidRDefault="006F41AB" w:rsidP="00A95103">
            <w:pPr>
              <w:pStyle w:val="grabittestotabella"/>
              <w:keepNext/>
              <w:keepLines/>
              <w:spacing w:before="0" w:after="0"/>
              <w:jc w:val="center"/>
              <w:outlineLvl w:val="0"/>
              <w:rPr>
                <w:rFonts w:ascii="Times New Roman" w:hAnsi="Times New Roman"/>
                <w:i/>
                <w:sz w:val="20"/>
                <w:szCs w:val="20"/>
                <w:lang w:val="it-IT"/>
              </w:rPr>
            </w:pPr>
            <w:r w:rsidRPr="006F41AB">
              <w:rPr>
                <w:rFonts w:ascii="Times New Roman" w:hAnsi="Times New Roman"/>
                <w:i/>
                <w:sz w:val="20"/>
                <w:szCs w:val="20"/>
                <w:lang w:val="it-IT"/>
              </w:rPr>
              <w:t xml:space="preserve">Aree </w:t>
            </w:r>
            <w:proofErr w:type="spellStart"/>
            <w:r w:rsidRPr="006F41AB">
              <w:rPr>
                <w:rFonts w:ascii="Times New Roman" w:hAnsi="Times New Roman"/>
                <w:i/>
                <w:sz w:val="20"/>
                <w:szCs w:val="20"/>
                <w:lang w:val="it-IT"/>
              </w:rPr>
              <w:t>prot</w:t>
            </w:r>
            <w:proofErr w:type="spellEnd"/>
            <w:r w:rsidRPr="006F41AB">
              <w:rPr>
                <w:rFonts w:ascii="Times New Roman" w:hAnsi="Times New Roman"/>
                <w:i/>
                <w:sz w:val="20"/>
                <w:szCs w:val="20"/>
                <w:lang w:val="it-IT"/>
              </w:rPr>
              <w:t>.</w:t>
            </w:r>
          </w:p>
          <w:p w:rsidR="002F1032" w:rsidRPr="003A12CE" w:rsidRDefault="002F1032" w:rsidP="00A95103">
            <w:pPr>
              <w:pStyle w:val="grabittestotabella"/>
              <w:keepNext/>
              <w:spacing w:before="0" w:after="0"/>
              <w:jc w:val="center"/>
              <w:rPr>
                <w:rFonts w:ascii="Times New Roman" w:hAnsi="Times New Roman"/>
                <w:i/>
                <w:sz w:val="20"/>
                <w:szCs w:val="20"/>
                <w:lang w:val="it-IT"/>
              </w:rPr>
            </w:pPr>
          </w:p>
        </w:tc>
        <w:tc>
          <w:tcPr>
            <w:tcW w:w="740" w:type="dxa"/>
            <w:tcBorders>
              <w:top w:val="single" w:sz="4" w:space="0" w:color="auto"/>
              <w:left w:val="nil"/>
              <w:bottom w:val="nil"/>
              <w:right w:val="nil"/>
            </w:tcBorders>
            <w:shd w:val="clear" w:color="auto" w:fill="auto"/>
            <w:noWrap/>
            <w:hideMark/>
          </w:tcPr>
          <w:p w:rsidR="002F1032" w:rsidRPr="003A12CE" w:rsidRDefault="006F41AB" w:rsidP="00A95103">
            <w:pPr>
              <w:pStyle w:val="grabittestotabella"/>
              <w:keepNext/>
              <w:spacing w:before="0" w:after="0"/>
              <w:jc w:val="center"/>
              <w:rPr>
                <w:rFonts w:ascii="Times New Roman" w:hAnsi="Times New Roman"/>
                <w:i/>
                <w:sz w:val="20"/>
                <w:szCs w:val="20"/>
                <w:lang w:val="it-IT"/>
              </w:rPr>
            </w:pPr>
            <w:r w:rsidRPr="006F41AB">
              <w:rPr>
                <w:rFonts w:ascii="Times New Roman" w:hAnsi="Times New Roman"/>
                <w:i/>
                <w:sz w:val="20"/>
                <w:szCs w:val="20"/>
                <w:lang w:val="it-IT"/>
              </w:rPr>
              <w:t>Incendi</w:t>
            </w:r>
          </w:p>
          <w:p w:rsidR="002F1032" w:rsidRPr="003A12CE" w:rsidRDefault="006F41AB" w:rsidP="00A95103">
            <w:pPr>
              <w:pStyle w:val="grabittestotabella"/>
              <w:keepNext/>
              <w:spacing w:before="0" w:after="0"/>
              <w:jc w:val="center"/>
              <w:rPr>
                <w:rFonts w:ascii="Times New Roman" w:hAnsi="Times New Roman"/>
                <w:i/>
                <w:sz w:val="20"/>
                <w:szCs w:val="20"/>
                <w:lang w:val="it-IT"/>
              </w:rPr>
            </w:pPr>
            <w:r w:rsidRPr="006F41AB">
              <w:rPr>
                <w:rFonts w:ascii="Times New Roman" w:hAnsi="Times New Roman"/>
                <w:i/>
                <w:sz w:val="20"/>
                <w:szCs w:val="20"/>
                <w:lang w:val="it-IT"/>
              </w:rPr>
              <w:t>(%)</w:t>
            </w:r>
          </w:p>
        </w:tc>
        <w:tc>
          <w:tcPr>
            <w:tcW w:w="896" w:type="dxa"/>
            <w:tcBorders>
              <w:top w:val="single" w:sz="4" w:space="0" w:color="auto"/>
              <w:left w:val="nil"/>
              <w:bottom w:val="nil"/>
              <w:right w:val="nil"/>
            </w:tcBorders>
            <w:shd w:val="clear" w:color="auto" w:fill="auto"/>
            <w:noWrap/>
            <w:hideMark/>
          </w:tcPr>
          <w:p w:rsidR="002F1032" w:rsidRPr="003A12CE" w:rsidRDefault="006F41AB" w:rsidP="00A95103">
            <w:pPr>
              <w:pStyle w:val="grabittestotabella"/>
              <w:keepNext/>
              <w:spacing w:before="0" w:after="0"/>
              <w:jc w:val="center"/>
              <w:rPr>
                <w:rFonts w:ascii="Times New Roman" w:hAnsi="Times New Roman"/>
                <w:i/>
                <w:sz w:val="20"/>
                <w:szCs w:val="20"/>
                <w:lang w:val="it-IT"/>
              </w:rPr>
            </w:pPr>
            <w:r w:rsidRPr="006F41AB">
              <w:rPr>
                <w:rFonts w:ascii="Times New Roman" w:hAnsi="Times New Roman"/>
                <w:i/>
                <w:sz w:val="20"/>
                <w:szCs w:val="20"/>
                <w:lang w:val="it-IT"/>
              </w:rPr>
              <w:t>Ind. boscosità</w:t>
            </w:r>
          </w:p>
          <w:p w:rsidR="002F1032" w:rsidRPr="003A12CE" w:rsidRDefault="006F41AB" w:rsidP="00A95103">
            <w:pPr>
              <w:pStyle w:val="grabittestotabella"/>
              <w:keepNext/>
              <w:spacing w:before="0" w:after="0"/>
              <w:jc w:val="center"/>
              <w:rPr>
                <w:rFonts w:ascii="Times New Roman" w:hAnsi="Times New Roman"/>
                <w:i/>
                <w:sz w:val="20"/>
                <w:szCs w:val="20"/>
                <w:lang w:val="it-IT"/>
              </w:rPr>
            </w:pPr>
            <w:r w:rsidRPr="006F41AB">
              <w:rPr>
                <w:rFonts w:ascii="Times New Roman" w:hAnsi="Times New Roman"/>
                <w:i/>
                <w:sz w:val="20"/>
                <w:szCs w:val="20"/>
                <w:lang w:val="it-IT"/>
              </w:rPr>
              <w:t>(%)</w:t>
            </w:r>
          </w:p>
        </w:tc>
        <w:tc>
          <w:tcPr>
            <w:tcW w:w="790" w:type="dxa"/>
            <w:tcBorders>
              <w:top w:val="single" w:sz="4" w:space="0" w:color="auto"/>
              <w:left w:val="nil"/>
              <w:right w:val="nil"/>
            </w:tcBorders>
            <w:shd w:val="clear" w:color="auto" w:fill="auto"/>
            <w:hideMark/>
          </w:tcPr>
          <w:p w:rsidR="002F1032" w:rsidRPr="003A12CE" w:rsidRDefault="006F41AB" w:rsidP="00A95103">
            <w:pPr>
              <w:pStyle w:val="grabittestotabella"/>
              <w:keepNext/>
              <w:spacing w:before="0" w:after="0"/>
              <w:jc w:val="center"/>
              <w:rPr>
                <w:rFonts w:ascii="Times New Roman" w:hAnsi="Times New Roman"/>
                <w:i/>
                <w:sz w:val="20"/>
                <w:szCs w:val="20"/>
                <w:lang w:val="it-IT"/>
              </w:rPr>
            </w:pPr>
            <w:proofErr w:type="spellStart"/>
            <w:r w:rsidRPr="006F41AB">
              <w:rPr>
                <w:rFonts w:ascii="Times New Roman" w:hAnsi="Times New Roman"/>
                <w:i/>
                <w:sz w:val="20"/>
                <w:szCs w:val="20"/>
                <w:lang w:val="it-IT"/>
              </w:rPr>
              <w:t>Intensif</w:t>
            </w:r>
            <w:proofErr w:type="spellEnd"/>
            <w:r w:rsidRPr="006F41AB">
              <w:rPr>
                <w:rFonts w:ascii="Times New Roman" w:hAnsi="Times New Roman"/>
                <w:i/>
                <w:sz w:val="20"/>
                <w:szCs w:val="20"/>
                <w:lang w:val="it-IT"/>
              </w:rPr>
              <w:t>. (%)</w:t>
            </w:r>
          </w:p>
        </w:tc>
        <w:tc>
          <w:tcPr>
            <w:tcW w:w="935" w:type="dxa"/>
            <w:tcBorders>
              <w:top w:val="single" w:sz="4" w:space="0" w:color="auto"/>
              <w:left w:val="nil"/>
              <w:bottom w:val="nil"/>
              <w:right w:val="nil"/>
            </w:tcBorders>
            <w:shd w:val="clear" w:color="auto" w:fill="auto"/>
            <w:noWrap/>
            <w:hideMark/>
          </w:tcPr>
          <w:p w:rsidR="002F1032" w:rsidRPr="003A12CE" w:rsidRDefault="006F41AB" w:rsidP="00A95103">
            <w:pPr>
              <w:pStyle w:val="grabittestotabella"/>
              <w:keepNext/>
              <w:spacing w:before="0" w:after="0"/>
              <w:jc w:val="center"/>
              <w:rPr>
                <w:rFonts w:ascii="Times New Roman" w:hAnsi="Times New Roman"/>
                <w:i/>
                <w:sz w:val="20"/>
                <w:szCs w:val="20"/>
                <w:lang w:val="it-IT"/>
              </w:rPr>
            </w:pPr>
            <w:proofErr w:type="spellStart"/>
            <w:r w:rsidRPr="006F41AB">
              <w:rPr>
                <w:rFonts w:ascii="Times New Roman" w:hAnsi="Times New Roman"/>
                <w:i/>
                <w:sz w:val="20"/>
                <w:szCs w:val="20"/>
                <w:lang w:val="it-IT"/>
              </w:rPr>
              <w:t>Concentr</w:t>
            </w:r>
            <w:proofErr w:type="spellEnd"/>
            <w:r w:rsidRPr="006F41AB">
              <w:rPr>
                <w:rFonts w:ascii="Times New Roman" w:hAnsi="Times New Roman"/>
                <w:i/>
                <w:sz w:val="20"/>
                <w:szCs w:val="20"/>
                <w:lang w:val="it-IT"/>
              </w:rPr>
              <w:t>.</w:t>
            </w:r>
          </w:p>
        </w:tc>
      </w:tr>
      <w:tr w:rsidR="002F1032" w:rsidRPr="003A12CE" w:rsidTr="00C96CD1">
        <w:trPr>
          <w:trHeight w:val="301"/>
        </w:trPr>
        <w:tc>
          <w:tcPr>
            <w:tcW w:w="1006" w:type="dxa"/>
            <w:tcBorders>
              <w:top w:val="nil"/>
              <w:left w:val="nil"/>
              <w:bottom w:val="nil"/>
              <w:right w:val="nil"/>
            </w:tcBorders>
            <w:shd w:val="clear" w:color="auto" w:fill="auto"/>
            <w:noWrap/>
            <w:hideMark/>
          </w:tcPr>
          <w:p w:rsidR="002F1032" w:rsidRPr="003A12CE" w:rsidRDefault="006F41AB" w:rsidP="00A95103">
            <w:pPr>
              <w:pStyle w:val="grabittestotabella"/>
              <w:keepNext/>
              <w:spacing w:before="0" w:after="0"/>
              <w:rPr>
                <w:rFonts w:ascii="Times New Roman" w:hAnsi="Times New Roman"/>
                <w:sz w:val="20"/>
                <w:szCs w:val="20"/>
                <w:lang w:val="it-IT"/>
              </w:rPr>
            </w:pPr>
            <w:r w:rsidRPr="006F41AB">
              <w:rPr>
                <w:rFonts w:ascii="Times New Roman" w:hAnsi="Times New Roman"/>
                <w:sz w:val="20"/>
                <w:szCs w:val="20"/>
                <w:lang w:val="it-IT"/>
              </w:rPr>
              <w:t>Siena</w:t>
            </w:r>
          </w:p>
        </w:tc>
        <w:tc>
          <w:tcPr>
            <w:tcW w:w="851" w:type="dxa"/>
            <w:tcBorders>
              <w:top w:val="nil"/>
              <w:left w:val="nil"/>
              <w:bottom w:val="nil"/>
              <w:right w:val="nil"/>
            </w:tcBorders>
            <w:shd w:val="clear" w:color="auto" w:fill="auto"/>
            <w:noWrap/>
            <w:hideMark/>
          </w:tcPr>
          <w:p w:rsidR="002F1032" w:rsidRPr="003A12CE" w:rsidRDefault="006F41AB" w:rsidP="00A95103">
            <w:pPr>
              <w:pStyle w:val="grabittestotabella"/>
              <w:keepNext/>
              <w:spacing w:before="0" w:after="0"/>
              <w:jc w:val="center"/>
              <w:rPr>
                <w:rFonts w:ascii="Times New Roman" w:hAnsi="Times New Roman"/>
                <w:sz w:val="20"/>
                <w:szCs w:val="20"/>
                <w:lang w:val="it-IT"/>
              </w:rPr>
            </w:pPr>
            <w:r w:rsidRPr="006F41AB">
              <w:rPr>
                <w:rFonts w:ascii="Times New Roman" w:hAnsi="Times New Roman"/>
                <w:sz w:val="20"/>
                <w:szCs w:val="20"/>
                <w:lang w:val="it-IT"/>
              </w:rPr>
              <w:t>2,07</w:t>
            </w:r>
          </w:p>
        </w:tc>
        <w:tc>
          <w:tcPr>
            <w:tcW w:w="774" w:type="dxa"/>
            <w:tcBorders>
              <w:top w:val="nil"/>
              <w:left w:val="nil"/>
              <w:bottom w:val="nil"/>
              <w:right w:val="nil"/>
            </w:tcBorders>
            <w:shd w:val="clear" w:color="auto" w:fill="auto"/>
            <w:hideMark/>
          </w:tcPr>
          <w:p w:rsidR="002F1032" w:rsidRPr="003A12CE" w:rsidRDefault="006F41AB" w:rsidP="00A95103">
            <w:pPr>
              <w:pStyle w:val="grabittestotabella"/>
              <w:keepNext/>
              <w:spacing w:before="0" w:after="0"/>
              <w:jc w:val="center"/>
              <w:rPr>
                <w:rFonts w:ascii="Times New Roman" w:hAnsi="Times New Roman"/>
                <w:sz w:val="20"/>
                <w:szCs w:val="20"/>
                <w:lang w:val="it-IT"/>
              </w:rPr>
            </w:pPr>
            <w:r w:rsidRPr="006F41AB">
              <w:rPr>
                <w:rFonts w:ascii="Times New Roman" w:hAnsi="Times New Roman"/>
                <w:sz w:val="20"/>
                <w:szCs w:val="20"/>
                <w:lang w:val="it-IT"/>
              </w:rPr>
              <w:t>3,97</w:t>
            </w:r>
          </w:p>
        </w:tc>
        <w:tc>
          <w:tcPr>
            <w:tcW w:w="590" w:type="dxa"/>
            <w:tcBorders>
              <w:top w:val="nil"/>
              <w:left w:val="nil"/>
              <w:bottom w:val="nil"/>
              <w:right w:val="nil"/>
            </w:tcBorders>
            <w:shd w:val="clear" w:color="auto" w:fill="auto"/>
            <w:noWrap/>
            <w:hideMark/>
          </w:tcPr>
          <w:p w:rsidR="002F1032" w:rsidRPr="003A12CE" w:rsidRDefault="006F41AB" w:rsidP="00A95103">
            <w:pPr>
              <w:pStyle w:val="grabittestotabella"/>
              <w:keepNext/>
              <w:spacing w:before="0" w:after="0"/>
              <w:jc w:val="center"/>
              <w:rPr>
                <w:rFonts w:ascii="Times New Roman" w:hAnsi="Times New Roman"/>
                <w:sz w:val="20"/>
                <w:szCs w:val="20"/>
                <w:lang w:val="it-IT"/>
              </w:rPr>
            </w:pPr>
            <w:r w:rsidRPr="006F41AB">
              <w:rPr>
                <w:rFonts w:ascii="Times New Roman" w:hAnsi="Times New Roman"/>
                <w:sz w:val="20"/>
                <w:szCs w:val="20"/>
                <w:lang w:val="it-IT"/>
              </w:rPr>
              <w:t>15,45</w:t>
            </w:r>
          </w:p>
        </w:tc>
        <w:tc>
          <w:tcPr>
            <w:tcW w:w="524" w:type="dxa"/>
            <w:tcBorders>
              <w:top w:val="nil"/>
              <w:left w:val="nil"/>
              <w:bottom w:val="nil"/>
              <w:right w:val="nil"/>
            </w:tcBorders>
            <w:shd w:val="clear" w:color="auto" w:fill="auto"/>
            <w:noWrap/>
            <w:hideMark/>
          </w:tcPr>
          <w:p w:rsidR="002F1032" w:rsidRPr="003A12CE" w:rsidRDefault="006F41AB" w:rsidP="00A95103">
            <w:pPr>
              <w:pStyle w:val="grabittestotabella"/>
              <w:keepNext/>
              <w:spacing w:before="0" w:after="0"/>
              <w:jc w:val="center"/>
              <w:rPr>
                <w:rFonts w:ascii="Times New Roman" w:hAnsi="Times New Roman"/>
                <w:sz w:val="20"/>
                <w:szCs w:val="20"/>
                <w:lang w:val="it-IT"/>
              </w:rPr>
            </w:pPr>
            <w:r w:rsidRPr="006F41AB">
              <w:rPr>
                <w:rFonts w:ascii="Times New Roman" w:hAnsi="Times New Roman"/>
                <w:sz w:val="20"/>
                <w:szCs w:val="20"/>
                <w:lang w:val="it-IT"/>
              </w:rPr>
              <w:t>21</w:t>
            </w:r>
          </w:p>
        </w:tc>
        <w:tc>
          <w:tcPr>
            <w:tcW w:w="740" w:type="dxa"/>
            <w:tcBorders>
              <w:top w:val="nil"/>
              <w:left w:val="nil"/>
              <w:bottom w:val="nil"/>
              <w:right w:val="nil"/>
            </w:tcBorders>
            <w:shd w:val="clear" w:color="auto" w:fill="auto"/>
            <w:noWrap/>
            <w:hideMark/>
          </w:tcPr>
          <w:p w:rsidR="002F1032" w:rsidRPr="003A12CE" w:rsidRDefault="006F41AB" w:rsidP="00A95103">
            <w:pPr>
              <w:pStyle w:val="grabittestotabella"/>
              <w:keepNext/>
              <w:spacing w:before="0" w:after="0"/>
              <w:jc w:val="center"/>
              <w:rPr>
                <w:rFonts w:ascii="Times New Roman" w:hAnsi="Times New Roman"/>
                <w:sz w:val="20"/>
                <w:szCs w:val="20"/>
                <w:lang w:val="it-IT"/>
              </w:rPr>
            </w:pPr>
            <w:r w:rsidRPr="006F41AB">
              <w:rPr>
                <w:rFonts w:ascii="Times New Roman" w:hAnsi="Times New Roman"/>
                <w:sz w:val="20"/>
                <w:szCs w:val="20"/>
                <w:lang w:val="it-IT"/>
              </w:rPr>
              <w:t>0,01</w:t>
            </w:r>
          </w:p>
        </w:tc>
        <w:tc>
          <w:tcPr>
            <w:tcW w:w="896" w:type="dxa"/>
            <w:tcBorders>
              <w:top w:val="nil"/>
              <w:left w:val="nil"/>
              <w:bottom w:val="nil"/>
              <w:right w:val="nil"/>
            </w:tcBorders>
            <w:shd w:val="clear" w:color="auto" w:fill="auto"/>
            <w:noWrap/>
            <w:hideMark/>
          </w:tcPr>
          <w:p w:rsidR="002F1032" w:rsidRPr="003A12CE" w:rsidRDefault="006F41AB" w:rsidP="00A95103">
            <w:pPr>
              <w:pStyle w:val="grabittestotabella"/>
              <w:keepNext/>
              <w:spacing w:before="0" w:after="0"/>
              <w:jc w:val="center"/>
              <w:rPr>
                <w:rFonts w:ascii="Times New Roman" w:hAnsi="Times New Roman"/>
                <w:sz w:val="20"/>
                <w:szCs w:val="20"/>
                <w:lang w:val="it-IT"/>
              </w:rPr>
            </w:pPr>
            <w:r w:rsidRPr="006F41AB">
              <w:rPr>
                <w:rFonts w:ascii="Times New Roman" w:hAnsi="Times New Roman"/>
                <w:sz w:val="20"/>
                <w:szCs w:val="20"/>
                <w:lang w:val="it-IT"/>
              </w:rPr>
              <w:t>44,94</w:t>
            </w:r>
          </w:p>
        </w:tc>
        <w:tc>
          <w:tcPr>
            <w:tcW w:w="790" w:type="dxa"/>
            <w:tcBorders>
              <w:top w:val="nil"/>
              <w:left w:val="nil"/>
              <w:bottom w:val="nil"/>
              <w:right w:val="nil"/>
            </w:tcBorders>
            <w:shd w:val="clear" w:color="auto" w:fill="auto"/>
            <w:hideMark/>
          </w:tcPr>
          <w:p w:rsidR="002F1032" w:rsidRPr="003A12CE" w:rsidRDefault="006F41AB" w:rsidP="00A95103">
            <w:pPr>
              <w:pStyle w:val="grabittestotabella"/>
              <w:keepNext/>
              <w:spacing w:before="0" w:after="0"/>
              <w:jc w:val="center"/>
              <w:rPr>
                <w:rFonts w:ascii="Times New Roman" w:hAnsi="Times New Roman"/>
                <w:sz w:val="20"/>
                <w:szCs w:val="20"/>
                <w:lang w:val="it-IT"/>
              </w:rPr>
            </w:pPr>
            <w:r w:rsidRPr="006F41AB">
              <w:rPr>
                <w:rFonts w:ascii="Times New Roman" w:hAnsi="Times New Roman"/>
                <w:sz w:val="20"/>
                <w:szCs w:val="20"/>
                <w:lang w:val="it-IT"/>
              </w:rPr>
              <w:t>18,25</w:t>
            </w:r>
          </w:p>
        </w:tc>
        <w:tc>
          <w:tcPr>
            <w:tcW w:w="935" w:type="dxa"/>
            <w:tcBorders>
              <w:top w:val="nil"/>
              <w:left w:val="nil"/>
              <w:bottom w:val="nil"/>
              <w:right w:val="nil"/>
            </w:tcBorders>
            <w:shd w:val="clear" w:color="auto" w:fill="auto"/>
            <w:noWrap/>
            <w:hideMark/>
          </w:tcPr>
          <w:p w:rsidR="002F1032" w:rsidRPr="003A12CE" w:rsidRDefault="006F41AB" w:rsidP="00A95103">
            <w:pPr>
              <w:pStyle w:val="grabittestotabella"/>
              <w:keepNext/>
              <w:spacing w:before="0" w:after="0"/>
              <w:jc w:val="center"/>
              <w:rPr>
                <w:rFonts w:ascii="Times New Roman" w:hAnsi="Times New Roman"/>
                <w:sz w:val="20"/>
                <w:szCs w:val="20"/>
                <w:lang w:val="it-IT"/>
              </w:rPr>
            </w:pPr>
            <w:r w:rsidRPr="006F41AB">
              <w:rPr>
                <w:rFonts w:ascii="Times New Roman" w:hAnsi="Times New Roman"/>
                <w:sz w:val="20"/>
                <w:szCs w:val="20"/>
                <w:lang w:val="it-IT"/>
              </w:rPr>
              <w:t>0,142</w:t>
            </w:r>
          </w:p>
        </w:tc>
      </w:tr>
      <w:tr w:rsidR="002F1032" w:rsidRPr="003A12CE" w:rsidTr="00C96CD1">
        <w:trPr>
          <w:trHeight w:val="317"/>
        </w:trPr>
        <w:tc>
          <w:tcPr>
            <w:tcW w:w="1006" w:type="dxa"/>
            <w:tcBorders>
              <w:top w:val="nil"/>
              <w:left w:val="nil"/>
              <w:bottom w:val="single" w:sz="8" w:space="0" w:color="auto"/>
              <w:right w:val="nil"/>
            </w:tcBorders>
            <w:shd w:val="clear" w:color="auto" w:fill="auto"/>
            <w:noWrap/>
            <w:hideMark/>
          </w:tcPr>
          <w:p w:rsidR="002F1032" w:rsidRPr="003A12CE" w:rsidRDefault="006F41AB" w:rsidP="00A95103">
            <w:pPr>
              <w:pStyle w:val="grabittestotabella"/>
              <w:spacing w:before="0" w:after="0"/>
              <w:rPr>
                <w:rFonts w:ascii="Times New Roman" w:hAnsi="Times New Roman"/>
                <w:sz w:val="20"/>
                <w:szCs w:val="20"/>
                <w:lang w:val="it-IT"/>
              </w:rPr>
            </w:pPr>
            <w:r w:rsidRPr="006F41AB">
              <w:rPr>
                <w:rFonts w:ascii="Times New Roman" w:hAnsi="Times New Roman"/>
                <w:sz w:val="20"/>
                <w:szCs w:val="20"/>
                <w:lang w:val="it-IT"/>
              </w:rPr>
              <w:t>Trapani</w:t>
            </w:r>
          </w:p>
        </w:tc>
        <w:tc>
          <w:tcPr>
            <w:tcW w:w="851" w:type="dxa"/>
            <w:tcBorders>
              <w:top w:val="nil"/>
              <w:left w:val="nil"/>
              <w:bottom w:val="single" w:sz="8" w:space="0" w:color="auto"/>
              <w:right w:val="nil"/>
            </w:tcBorders>
            <w:shd w:val="clear" w:color="auto" w:fill="auto"/>
            <w:noWrap/>
            <w:hideMark/>
          </w:tcPr>
          <w:p w:rsidR="002F1032" w:rsidRPr="003A12CE" w:rsidRDefault="006F41AB" w:rsidP="00A95103">
            <w:pPr>
              <w:pStyle w:val="grabittestotabella"/>
              <w:spacing w:before="0" w:after="0"/>
              <w:jc w:val="center"/>
              <w:rPr>
                <w:rFonts w:ascii="Times New Roman" w:hAnsi="Times New Roman"/>
                <w:sz w:val="20"/>
                <w:szCs w:val="20"/>
                <w:lang w:val="it-IT"/>
              </w:rPr>
            </w:pPr>
            <w:r w:rsidRPr="006F41AB">
              <w:rPr>
                <w:rFonts w:ascii="Times New Roman" w:hAnsi="Times New Roman"/>
                <w:sz w:val="20"/>
                <w:szCs w:val="20"/>
                <w:lang w:val="it-IT"/>
              </w:rPr>
              <w:t>0,49</w:t>
            </w:r>
          </w:p>
        </w:tc>
        <w:tc>
          <w:tcPr>
            <w:tcW w:w="774" w:type="dxa"/>
            <w:tcBorders>
              <w:top w:val="nil"/>
              <w:left w:val="nil"/>
              <w:bottom w:val="single" w:sz="8" w:space="0" w:color="auto"/>
              <w:right w:val="nil"/>
            </w:tcBorders>
            <w:shd w:val="clear" w:color="auto" w:fill="auto"/>
            <w:hideMark/>
          </w:tcPr>
          <w:p w:rsidR="002F1032" w:rsidRPr="003A12CE" w:rsidRDefault="006F41AB" w:rsidP="00A95103">
            <w:pPr>
              <w:pStyle w:val="grabittestotabella"/>
              <w:spacing w:before="0" w:after="0"/>
              <w:jc w:val="center"/>
              <w:rPr>
                <w:rFonts w:ascii="Times New Roman" w:hAnsi="Times New Roman"/>
                <w:sz w:val="20"/>
                <w:szCs w:val="20"/>
                <w:lang w:val="it-IT"/>
              </w:rPr>
            </w:pPr>
            <w:r w:rsidRPr="006F41AB">
              <w:rPr>
                <w:rFonts w:ascii="Times New Roman" w:hAnsi="Times New Roman"/>
                <w:sz w:val="20"/>
                <w:szCs w:val="20"/>
                <w:lang w:val="it-IT"/>
              </w:rPr>
              <w:t>15,34</w:t>
            </w:r>
          </w:p>
        </w:tc>
        <w:tc>
          <w:tcPr>
            <w:tcW w:w="590" w:type="dxa"/>
            <w:tcBorders>
              <w:top w:val="nil"/>
              <w:left w:val="nil"/>
              <w:bottom w:val="single" w:sz="8" w:space="0" w:color="auto"/>
              <w:right w:val="nil"/>
            </w:tcBorders>
            <w:shd w:val="clear" w:color="auto" w:fill="auto"/>
            <w:noWrap/>
            <w:hideMark/>
          </w:tcPr>
          <w:p w:rsidR="002F1032" w:rsidRPr="003A12CE" w:rsidRDefault="006F41AB" w:rsidP="00A95103">
            <w:pPr>
              <w:pStyle w:val="grabittestotabella"/>
              <w:spacing w:before="0" w:after="0"/>
              <w:jc w:val="center"/>
              <w:rPr>
                <w:rFonts w:ascii="Times New Roman" w:hAnsi="Times New Roman"/>
                <w:sz w:val="20"/>
                <w:szCs w:val="20"/>
                <w:lang w:val="it-IT"/>
              </w:rPr>
            </w:pPr>
            <w:r w:rsidRPr="006F41AB">
              <w:rPr>
                <w:rFonts w:ascii="Times New Roman" w:hAnsi="Times New Roman"/>
                <w:sz w:val="20"/>
                <w:szCs w:val="20"/>
                <w:lang w:val="it-IT"/>
              </w:rPr>
              <w:t>0,04</w:t>
            </w:r>
          </w:p>
        </w:tc>
        <w:tc>
          <w:tcPr>
            <w:tcW w:w="524" w:type="dxa"/>
            <w:tcBorders>
              <w:top w:val="nil"/>
              <w:left w:val="nil"/>
              <w:bottom w:val="single" w:sz="8" w:space="0" w:color="auto"/>
              <w:right w:val="nil"/>
            </w:tcBorders>
            <w:shd w:val="clear" w:color="auto" w:fill="auto"/>
            <w:noWrap/>
            <w:hideMark/>
          </w:tcPr>
          <w:p w:rsidR="002F1032" w:rsidRPr="003A12CE" w:rsidRDefault="006F41AB" w:rsidP="00A95103">
            <w:pPr>
              <w:pStyle w:val="grabittestotabella"/>
              <w:spacing w:before="0" w:after="0"/>
              <w:jc w:val="center"/>
              <w:rPr>
                <w:rFonts w:ascii="Times New Roman" w:hAnsi="Times New Roman"/>
                <w:sz w:val="20"/>
                <w:szCs w:val="20"/>
                <w:lang w:val="it-IT"/>
              </w:rPr>
            </w:pPr>
            <w:r w:rsidRPr="006F41AB">
              <w:rPr>
                <w:rFonts w:ascii="Times New Roman" w:hAnsi="Times New Roman"/>
                <w:sz w:val="20"/>
                <w:szCs w:val="20"/>
                <w:lang w:val="it-IT"/>
              </w:rPr>
              <w:t>9</w:t>
            </w:r>
          </w:p>
        </w:tc>
        <w:tc>
          <w:tcPr>
            <w:tcW w:w="740" w:type="dxa"/>
            <w:tcBorders>
              <w:top w:val="nil"/>
              <w:left w:val="nil"/>
              <w:bottom w:val="single" w:sz="8" w:space="0" w:color="auto"/>
              <w:right w:val="nil"/>
            </w:tcBorders>
            <w:shd w:val="clear" w:color="auto" w:fill="auto"/>
            <w:noWrap/>
            <w:hideMark/>
          </w:tcPr>
          <w:p w:rsidR="002F1032" w:rsidRPr="003A12CE" w:rsidRDefault="006F41AB" w:rsidP="00A95103">
            <w:pPr>
              <w:pStyle w:val="grabittestotabella"/>
              <w:spacing w:before="0" w:after="0"/>
              <w:jc w:val="center"/>
              <w:rPr>
                <w:rFonts w:ascii="Times New Roman" w:hAnsi="Times New Roman"/>
                <w:sz w:val="20"/>
                <w:szCs w:val="20"/>
                <w:lang w:val="it-IT"/>
              </w:rPr>
            </w:pPr>
            <w:r w:rsidRPr="006F41AB">
              <w:rPr>
                <w:rFonts w:ascii="Times New Roman" w:hAnsi="Times New Roman"/>
                <w:sz w:val="20"/>
                <w:szCs w:val="20"/>
                <w:lang w:val="it-IT"/>
              </w:rPr>
              <w:t>13,48</w:t>
            </w:r>
          </w:p>
        </w:tc>
        <w:tc>
          <w:tcPr>
            <w:tcW w:w="896" w:type="dxa"/>
            <w:tcBorders>
              <w:top w:val="nil"/>
              <w:left w:val="nil"/>
              <w:bottom w:val="single" w:sz="8" w:space="0" w:color="auto"/>
              <w:right w:val="nil"/>
            </w:tcBorders>
            <w:shd w:val="clear" w:color="auto" w:fill="auto"/>
            <w:noWrap/>
            <w:hideMark/>
          </w:tcPr>
          <w:p w:rsidR="002F1032" w:rsidRPr="003A12CE" w:rsidRDefault="006F41AB" w:rsidP="00A95103">
            <w:pPr>
              <w:pStyle w:val="grabittestotabella"/>
              <w:spacing w:before="0" w:after="0"/>
              <w:jc w:val="center"/>
              <w:rPr>
                <w:rFonts w:ascii="Times New Roman" w:hAnsi="Times New Roman"/>
                <w:sz w:val="20"/>
                <w:szCs w:val="20"/>
                <w:lang w:val="it-IT"/>
              </w:rPr>
            </w:pPr>
            <w:r w:rsidRPr="006F41AB">
              <w:rPr>
                <w:rFonts w:ascii="Times New Roman" w:hAnsi="Times New Roman"/>
                <w:sz w:val="20"/>
                <w:szCs w:val="20"/>
                <w:lang w:val="it-IT"/>
              </w:rPr>
              <w:t>3,31</w:t>
            </w:r>
          </w:p>
        </w:tc>
        <w:tc>
          <w:tcPr>
            <w:tcW w:w="790" w:type="dxa"/>
            <w:tcBorders>
              <w:top w:val="nil"/>
              <w:left w:val="nil"/>
              <w:bottom w:val="single" w:sz="8" w:space="0" w:color="auto"/>
              <w:right w:val="nil"/>
            </w:tcBorders>
            <w:shd w:val="clear" w:color="auto" w:fill="auto"/>
            <w:hideMark/>
          </w:tcPr>
          <w:p w:rsidR="002F1032" w:rsidRPr="003A12CE" w:rsidRDefault="006F41AB" w:rsidP="00A95103">
            <w:pPr>
              <w:pStyle w:val="grabittestotabella"/>
              <w:spacing w:before="0" w:after="0"/>
              <w:jc w:val="center"/>
              <w:rPr>
                <w:rFonts w:ascii="Times New Roman" w:hAnsi="Times New Roman"/>
                <w:sz w:val="20"/>
                <w:szCs w:val="20"/>
                <w:lang w:val="it-IT"/>
              </w:rPr>
            </w:pPr>
            <w:r w:rsidRPr="006F41AB">
              <w:rPr>
                <w:rFonts w:ascii="Times New Roman" w:hAnsi="Times New Roman"/>
                <w:sz w:val="20"/>
                <w:szCs w:val="20"/>
                <w:lang w:val="it-IT"/>
              </w:rPr>
              <w:t>61,36</w:t>
            </w:r>
          </w:p>
        </w:tc>
        <w:tc>
          <w:tcPr>
            <w:tcW w:w="935" w:type="dxa"/>
            <w:tcBorders>
              <w:top w:val="nil"/>
              <w:left w:val="nil"/>
              <w:bottom w:val="single" w:sz="8" w:space="0" w:color="auto"/>
              <w:right w:val="nil"/>
            </w:tcBorders>
            <w:shd w:val="clear" w:color="auto" w:fill="auto"/>
            <w:noWrap/>
            <w:hideMark/>
          </w:tcPr>
          <w:p w:rsidR="002F1032" w:rsidRPr="003A12CE" w:rsidRDefault="006F41AB" w:rsidP="00A95103">
            <w:pPr>
              <w:pStyle w:val="grabittestotabella"/>
              <w:spacing w:before="0" w:after="0"/>
              <w:jc w:val="center"/>
              <w:rPr>
                <w:rFonts w:ascii="Times New Roman" w:hAnsi="Times New Roman"/>
                <w:sz w:val="20"/>
                <w:szCs w:val="20"/>
                <w:lang w:val="it-IT"/>
              </w:rPr>
            </w:pPr>
            <w:r w:rsidRPr="006F41AB">
              <w:rPr>
                <w:rFonts w:ascii="Times New Roman" w:hAnsi="Times New Roman"/>
                <w:sz w:val="20"/>
                <w:szCs w:val="20"/>
                <w:lang w:val="it-IT"/>
              </w:rPr>
              <w:t>0,006</w:t>
            </w:r>
          </w:p>
        </w:tc>
      </w:tr>
    </w:tbl>
    <w:p w:rsidR="00A17DE3" w:rsidRDefault="00A17DE3" w:rsidP="00A95103">
      <w:pPr>
        <w:spacing w:line="240" w:lineRule="auto"/>
        <w:rPr>
          <w:bCs/>
          <w:szCs w:val="24"/>
        </w:rPr>
      </w:pPr>
      <w:r w:rsidRPr="005D48A0">
        <w:rPr>
          <w:szCs w:val="24"/>
          <w:lang w:eastAsia="it-IT"/>
        </w:rPr>
        <w:t xml:space="preserve">Il sistema produttivo </w:t>
      </w:r>
      <w:r w:rsidR="002B3E80">
        <w:rPr>
          <w:szCs w:val="24"/>
          <w:lang w:eastAsia="it-IT"/>
        </w:rPr>
        <w:t xml:space="preserve">del </w:t>
      </w:r>
      <w:r w:rsidR="002B3E80" w:rsidRPr="005D48A0">
        <w:rPr>
          <w:szCs w:val="24"/>
          <w:lang w:eastAsia="it-IT"/>
        </w:rPr>
        <w:t xml:space="preserve">vino Alcamo DOC </w:t>
      </w:r>
      <w:r w:rsidRPr="005D48A0">
        <w:rPr>
          <w:szCs w:val="24"/>
          <w:lang w:eastAsia="it-IT"/>
        </w:rPr>
        <w:t>si caratterizza per la qualità dei vini</w:t>
      </w:r>
      <w:r w:rsidR="00E22D83">
        <w:rPr>
          <w:szCs w:val="24"/>
          <w:lang w:eastAsia="it-IT"/>
        </w:rPr>
        <w:t>,</w:t>
      </w:r>
      <w:r w:rsidRPr="005D48A0">
        <w:rPr>
          <w:szCs w:val="24"/>
          <w:lang w:eastAsia="it-IT"/>
        </w:rPr>
        <w:t xml:space="preserve"> non sempre </w:t>
      </w:r>
      <w:r>
        <w:rPr>
          <w:szCs w:val="24"/>
          <w:lang w:eastAsia="it-IT"/>
        </w:rPr>
        <w:t>riconosciuta</w:t>
      </w:r>
      <w:r w:rsidR="00E22D83">
        <w:rPr>
          <w:szCs w:val="24"/>
          <w:lang w:eastAsia="it-IT"/>
        </w:rPr>
        <w:t xml:space="preserve"> come elevata</w:t>
      </w:r>
      <w:r w:rsidRPr="005D48A0">
        <w:rPr>
          <w:szCs w:val="24"/>
          <w:lang w:eastAsia="it-IT"/>
        </w:rPr>
        <w:t>, per il limitato numero di imprese della trasformazione</w:t>
      </w:r>
      <w:r>
        <w:rPr>
          <w:szCs w:val="24"/>
          <w:lang w:eastAsia="it-IT"/>
        </w:rPr>
        <w:t xml:space="preserve"> (grandi aziende e cantine sociali)</w:t>
      </w:r>
      <w:r w:rsidRPr="005D48A0">
        <w:rPr>
          <w:szCs w:val="24"/>
          <w:lang w:eastAsia="it-IT"/>
        </w:rPr>
        <w:t xml:space="preserve"> e per l’assenza di un Consorzio di tutela. Ciò, unitamente alla mancanza di </w:t>
      </w:r>
      <w:r w:rsidRPr="005D48A0">
        <w:rPr>
          <w:bCs/>
          <w:szCs w:val="24"/>
        </w:rPr>
        <w:t>nodi di cooperazione tra le imprese della DOC</w:t>
      </w:r>
      <w:r>
        <w:rPr>
          <w:bCs/>
          <w:szCs w:val="24"/>
        </w:rPr>
        <w:t>, le I</w:t>
      </w:r>
      <w:r w:rsidRPr="005D48A0">
        <w:rPr>
          <w:bCs/>
          <w:szCs w:val="24"/>
        </w:rPr>
        <w:t>stituzioni e</w:t>
      </w:r>
      <w:r>
        <w:rPr>
          <w:bCs/>
          <w:szCs w:val="24"/>
        </w:rPr>
        <w:t xml:space="preserve"> </w:t>
      </w:r>
      <w:r w:rsidRPr="005D48A0">
        <w:rPr>
          <w:bCs/>
          <w:szCs w:val="24"/>
        </w:rPr>
        <w:t xml:space="preserve">gli altri attori dell’economia, genera un network </w:t>
      </w:r>
      <w:r w:rsidR="006C5905">
        <w:rPr>
          <w:bCs/>
          <w:szCs w:val="24"/>
        </w:rPr>
        <w:t>rarefatto</w:t>
      </w:r>
      <w:r>
        <w:rPr>
          <w:bCs/>
          <w:szCs w:val="24"/>
        </w:rPr>
        <w:t xml:space="preserve"> (Grafo 1)</w:t>
      </w:r>
      <w:r w:rsidR="003A7C17">
        <w:rPr>
          <w:bCs/>
          <w:szCs w:val="24"/>
        </w:rPr>
        <w:t>.</w:t>
      </w:r>
    </w:p>
    <w:p w:rsidR="003A12CE" w:rsidRPr="000214D9" w:rsidRDefault="003A12CE" w:rsidP="00A95103">
      <w:pPr>
        <w:spacing w:line="240" w:lineRule="auto"/>
        <w:rPr>
          <w:szCs w:val="24"/>
          <w:lang w:eastAsia="it-IT"/>
        </w:rPr>
      </w:pPr>
      <w:r>
        <w:rPr>
          <w:szCs w:val="24"/>
          <w:lang w:eastAsia="it-IT"/>
        </w:rPr>
        <w:lastRenderedPageBreak/>
        <w:t>Il Brunello di Montalcino è una DOCG dal 1967. Conosciuto in tutto il mondo per le sue qualità organolettiche, questo vino rievoca un territorio altrettanto qualificato, patrimonio dell’umanità</w:t>
      </w:r>
      <w:r w:rsidRPr="002928D1">
        <w:rPr>
          <w:szCs w:val="24"/>
          <w:lang w:eastAsia="it-IT"/>
        </w:rPr>
        <w:t xml:space="preserve"> </w:t>
      </w:r>
      <w:r>
        <w:rPr>
          <w:szCs w:val="24"/>
          <w:lang w:eastAsia="it-IT"/>
        </w:rPr>
        <w:t xml:space="preserve">UNESCO dal 2004. Il Sistema produttivo si identifica in circa 200 piccole e piccolissime imprese (solo la Banfi con 800 ha circa di “Brunello” assurge a dimensioni </w:t>
      </w:r>
      <w:proofErr w:type="spellStart"/>
      <w:r>
        <w:rPr>
          <w:szCs w:val="24"/>
          <w:lang w:eastAsia="it-IT"/>
        </w:rPr>
        <w:t>medio-alte</w:t>
      </w:r>
      <w:proofErr w:type="spellEnd"/>
      <w:r>
        <w:rPr>
          <w:szCs w:val="24"/>
          <w:lang w:eastAsia="it-IT"/>
        </w:rPr>
        <w:t>), solidali nell’impegno a promuovere la reputazione della</w:t>
      </w:r>
      <w:r w:rsidRPr="002928D1">
        <w:rPr>
          <w:szCs w:val="24"/>
          <w:lang w:eastAsia="it-IT"/>
        </w:rPr>
        <w:t xml:space="preserve"> DOCG</w:t>
      </w:r>
      <w:r>
        <w:rPr>
          <w:szCs w:val="24"/>
          <w:lang w:eastAsia="it-IT"/>
        </w:rPr>
        <w:t>. Il network generato dalle imprese del Brunello tra di loro e con il territorio (Istituzioni ed economia locale) appare infatti altamente coeso attorno al Consorzio di tutela</w:t>
      </w:r>
      <w:r w:rsidRPr="00A54F64">
        <w:rPr>
          <w:rFonts w:eastAsia="+mn-ea" w:cs="+mn-cs"/>
          <w:color w:val="7C220A"/>
          <w:kern w:val="24"/>
          <w:sz w:val="40"/>
          <w:szCs w:val="40"/>
        </w:rPr>
        <w:t xml:space="preserve"> </w:t>
      </w:r>
      <w:r>
        <w:rPr>
          <w:szCs w:val="24"/>
          <w:lang w:eastAsia="it-IT"/>
        </w:rPr>
        <w:t>che svolge un</w:t>
      </w:r>
      <w:r>
        <w:rPr>
          <w:rFonts w:eastAsia="+mn-ea" w:cs="+mn-cs"/>
          <w:color w:val="7C220A"/>
          <w:kern w:val="24"/>
          <w:sz w:val="40"/>
          <w:szCs w:val="40"/>
        </w:rPr>
        <w:t xml:space="preserve"> </w:t>
      </w:r>
      <w:r w:rsidRPr="000214D9">
        <w:rPr>
          <w:szCs w:val="24"/>
          <w:lang w:eastAsia="it-IT"/>
        </w:rPr>
        <w:t>ruolo c</w:t>
      </w:r>
      <w:r w:rsidR="002B3E80">
        <w:rPr>
          <w:szCs w:val="24"/>
          <w:lang w:eastAsia="it-IT"/>
        </w:rPr>
        <w:t xml:space="preserve">entrale all’interno della rete che </w:t>
      </w:r>
      <w:r w:rsidRPr="000214D9">
        <w:rPr>
          <w:szCs w:val="24"/>
          <w:lang w:eastAsia="it-IT"/>
        </w:rPr>
        <w:t>ingenera un clima di rispetto e di fiducia tra i soci produttori e tra questi ed il territorio di Montalcino (Grafo 2).</w:t>
      </w:r>
    </w:p>
    <w:p w:rsidR="003A12CE" w:rsidRDefault="003A12CE" w:rsidP="00A95103">
      <w:pPr>
        <w:spacing w:line="240" w:lineRule="auto"/>
        <w:rPr>
          <w:szCs w:val="24"/>
          <w:lang w:eastAsia="it-IT"/>
        </w:rPr>
      </w:pPr>
      <w:r>
        <w:rPr>
          <w:szCs w:val="24"/>
          <w:lang w:eastAsia="it-IT"/>
        </w:rPr>
        <w:t>Si tratta dunque di un s</w:t>
      </w:r>
      <w:r w:rsidRPr="00BD0B5D">
        <w:rPr>
          <w:szCs w:val="24"/>
          <w:lang w:eastAsia="it-IT"/>
        </w:rPr>
        <w:t xml:space="preserve">istema </w:t>
      </w:r>
      <w:r>
        <w:rPr>
          <w:szCs w:val="24"/>
          <w:lang w:eastAsia="it-IT"/>
        </w:rPr>
        <w:t>maturo dove le imprese della DOGC, le istituzioni e gli altri attori dell’economi</w:t>
      </w:r>
      <w:r w:rsidR="002B3E80">
        <w:rPr>
          <w:szCs w:val="24"/>
          <w:lang w:eastAsia="it-IT"/>
        </w:rPr>
        <w:t>a locale co-operano in sintonia</w:t>
      </w:r>
      <w:r>
        <w:rPr>
          <w:szCs w:val="24"/>
          <w:lang w:eastAsia="it-IT"/>
        </w:rPr>
        <w:t xml:space="preserve">. </w:t>
      </w:r>
      <w:r w:rsidRPr="00B05667">
        <w:rPr>
          <w:szCs w:val="24"/>
          <w:lang w:eastAsia="it-IT"/>
        </w:rPr>
        <w:t xml:space="preserve">Pertanto </w:t>
      </w:r>
      <w:r>
        <w:rPr>
          <w:szCs w:val="24"/>
          <w:lang w:eastAsia="it-IT"/>
        </w:rPr>
        <w:t>la</w:t>
      </w:r>
      <w:r w:rsidRPr="00B05667">
        <w:rPr>
          <w:szCs w:val="24"/>
          <w:lang w:eastAsia="it-IT"/>
        </w:rPr>
        <w:t xml:space="preserve"> valorizzazione della tipicità del </w:t>
      </w:r>
      <w:r>
        <w:rPr>
          <w:szCs w:val="24"/>
          <w:lang w:eastAsia="it-IT"/>
        </w:rPr>
        <w:t>vino avviene</w:t>
      </w:r>
      <w:r w:rsidRPr="00B05667">
        <w:rPr>
          <w:szCs w:val="24"/>
          <w:lang w:eastAsia="it-IT"/>
        </w:rPr>
        <w:t xml:space="preserve"> </w:t>
      </w:r>
      <w:r>
        <w:rPr>
          <w:szCs w:val="24"/>
          <w:lang w:eastAsia="it-IT"/>
        </w:rPr>
        <w:t>congiuntamente</w:t>
      </w:r>
      <w:r w:rsidRPr="00B05667">
        <w:rPr>
          <w:szCs w:val="24"/>
          <w:lang w:eastAsia="it-IT"/>
        </w:rPr>
        <w:t xml:space="preserve"> </w:t>
      </w:r>
      <w:r>
        <w:rPr>
          <w:szCs w:val="24"/>
          <w:lang w:eastAsia="it-IT"/>
        </w:rPr>
        <w:t>all’</w:t>
      </w:r>
      <w:r w:rsidRPr="00B05667">
        <w:rPr>
          <w:szCs w:val="24"/>
          <w:lang w:eastAsia="it-IT"/>
        </w:rPr>
        <w:t xml:space="preserve">attenzione all’ambiente, </w:t>
      </w:r>
      <w:r w:rsidR="002B3E80">
        <w:rPr>
          <w:szCs w:val="24"/>
          <w:lang w:eastAsia="it-IT"/>
        </w:rPr>
        <w:t>al paesaggio, alla biodiversità,</w:t>
      </w:r>
      <w:r>
        <w:rPr>
          <w:szCs w:val="24"/>
          <w:lang w:eastAsia="it-IT"/>
        </w:rPr>
        <w:t xml:space="preserve"> dando vita ad una fiorente economia legata al turismo, nella quale vino, cultura, gastronomia, artigianato, strutture ricettive e di intrattenimento, tutto rispecchia una comune identità e finalità di intenti.</w:t>
      </w:r>
    </w:p>
    <w:p w:rsidR="003A12CE" w:rsidRDefault="003A12CE" w:rsidP="00A95103">
      <w:pPr>
        <w:spacing w:line="240" w:lineRule="auto"/>
        <w:rPr>
          <w:bCs/>
          <w:szCs w:val="24"/>
        </w:rPr>
      </w:pPr>
    </w:p>
    <w:tbl>
      <w:tblPr>
        <w:tblStyle w:val="Grigliatabella"/>
        <w:tblW w:w="0" w:type="auto"/>
        <w:tblBorders>
          <w:left w:val="none" w:sz="0" w:space="0" w:color="auto"/>
          <w:right w:val="none" w:sz="0" w:space="0" w:color="auto"/>
        </w:tblBorders>
        <w:tblLayout w:type="fixed"/>
        <w:tblLook w:val="04A0"/>
      </w:tblPr>
      <w:tblGrid>
        <w:gridCol w:w="5880"/>
        <w:gridCol w:w="2934"/>
      </w:tblGrid>
      <w:tr w:rsidR="003A7C17" w:rsidTr="00F60941">
        <w:trPr>
          <w:trHeight w:val="276"/>
        </w:trPr>
        <w:tc>
          <w:tcPr>
            <w:tcW w:w="8814" w:type="dxa"/>
            <w:gridSpan w:val="2"/>
          </w:tcPr>
          <w:p w:rsidR="003A7C17" w:rsidRPr="00F60941" w:rsidRDefault="003A7C17" w:rsidP="00A95103">
            <w:pPr>
              <w:keepNext/>
              <w:spacing w:line="240" w:lineRule="auto"/>
              <w:rPr>
                <w:sz w:val="20"/>
                <w:szCs w:val="20"/>
                <w:lang w:eastAsia="it-IT"/>
              </w:rPr>
            </w:pPr>
            <w:r w:rsidRPr="00F60941">
              <w:rPr>
                <w:sz w:val="20"/>
                <w:szCs w:val="20"/>
                <w:lang w:eastAsia="it-IT"/>
              </w:rPr>
              <w:t>Grafo 1  Network delle</w:t>
            </w:r>
            <w:r w:rsidRPr="00F60941">
              <w:rPr>
                <w:sz w:val="20"/>
                <w:szCs w:val="20"/>
              </w:rPr>
              <w:t xml:space="preserve"> </w:t>
            </w:r>
            <w:r w:rsidRPr="00F60941">
              <w:rPr>
                <w:sz w:val="20"/>
                <w:szCs w:val="20"/>
                <w:lang w:eastAsia="it-IT"/>
              </w:rPr>
              <w:t>Imprese della DOC Alcamo</w:t>
            </w:r>
          </w:p>
        </w:tc>
      </w:tr>
      <w:tr w:rsidR="003A7C17" w:rsidTr="00F60941">
        <w:trPr>
          <w:trHeight w:val="2998"/>
        </w:trPr>
        <w:tc>
          <w:tcPr>
            <w:tcW w:w="5880" w:type="dxa"/>
            <w:tcBorders>
              <w:right w:val="single" w:sz="4" w:space="0" w:color="FFFFFF" w:themeColor="background1"/>
            </w:tcBorders>
          </w:tcPr>
          <w:p w:rsidR="003A7C17" w:rsidRDefault="003A7C17" w:rsidP="00A95103">
            <w:pPr>
              <w:spacing w:line="240" w:lineRule="auto"/>
              <w:rPr>
                <w:noProof/>
                <w:sz w:val="24"/>
                <w:szCs w:val="24"/>
                <w:lang w:eastAsia="it-IT"/>
              </w:rPr>
            </w:pPr>
            <w:r>
              <w:rPr>
                <w:noProof/>
                <w:szCs w:val="24"/>
                <w:lang w:eastAsia="zh-TW"/>
              </w:rPr>
              <w:drawing>
                <wp:inline distT="0" distB="0" distL="0" distR="0">
                  <wp:extent cx="2991349" cy="2037977"/>
                  <wp:effectExtent l="19050" t="0" r="0" b="0"/>
                  <wp:docPr id="1" name="Immagine 2" descr="C:\Documents and Settings\Lorella\Documenti\UNIPA_DOTTORATO\Lavoro\TESI DOTTORATO\TESI\TESI CAPITOLI\Copia di GRAFI BRUNELLO e ALCAMO\Grafo alcamo Degree F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orella\Documenti\UNIPA_DOTTORATO\Lavoro\TESI DOTTORATO\TESI\TESI CAPITOLI\Copia di GRAFI BRUNELLO e ALCAMO\Grafo alcamo Degree FINALE.JPG"/>
                          <pic:cNvPicPr>
                            <a:picLocks noChangeAspect="1" noChangeArrowheads="1"/>
                          </pic:cNvPicPr>
                        </pic:nvPicPr>
                        <pic:blipFill>
                          <a:blip r:embed="rId8" cstate="print"/>
                          <a:srcRect/>
                          <a:stretch>
                            <a:fillRect/>
                          </a:stretch>
                        </pic:blipFill>
                        <pic:spPr bwMode="auto">
                          <a:xfrm>
                            <a:off x="0" y="0"/>
                            <a:ext cx="2991349" cy="2037977"/>
                          </a:xfrm>
                          <a:prstGeom prst="rect">
                            <a:avLst/>
                          </a:prstGeom>
                          <a:noFill/>
                          <a:ln w="9525">
                            <a:noFill/>
                            <a:miter lim="800000"/>
                            <a:headEnd/>
                            <a:tailEnd/>
                          </a:ln>
                        </pic:spPr>
                      </pic:pic>
                    </a:graphicData>
                  </a:graphic>
                </wp:inline>
              </w:drawing>
            </w:r>
          </w:p>
        </w:tc>
        <w:tc>
          <w:tcPr>
            <w:tcW w:w="2934" w:type="dxa"/>
            <w:tcBorders>
              <w:left w:val="single" w:sz="4" w:space="0" w:color="FFFFFF" w:themeColor="background1"/>
            </w:tcBorders>
          </w:tcPr>
          <w:tbl>
            <w:tblPr>
              <w:tblW w:w="2730" w:type="dxa"/>
              <w:tblInd w:w="32" w:type="dxa"/>
              <w:tblBorders>
                <w:insideV w:val="single" w:sz="4" w:space="0" w:color="auto"/>
              </w:tblBorders>
              <w:tblLayout w:type="fixed"/>
              <w:tblLook w:val="04A0"/>
            </w:tblPr>
            <w:tblGrid>
              <w:gridCol w:w="2730"/>
            </w:tblGrid>
            <w:tr w:rsidR="003A7C17" w:rsidRPr="00FD7FB7" w:rsidTr="00F60941">
              <w:trPr>
                <w:trHeight w:val="152"/>
              </w:trPr>
              <w:tc>
                <w:tcPr>
                  <w:tcW w:w="5000" w:type="pct"/>
                </w:tcPr>
                <w:p w:rsidR="003A7C17" w:rsidRPr="00FD7FB7" w:rsidRDefault="003A7C17" w:rsidP="00A95103">
                  <w:pPr>
                    <w:spacing w:line="240" w:lineRule="auto"/>
                    <w:rPr>
                      <w:sz w:val="20"/>
                      <w:szCs w:val="20"/>
                    </w:rPr>
                  </w:pPr>
                  <w:r w:rsidRPr="00FD7FB7">
                    <w:rPr>
                      <w:sz w:val="20"/>
                      <w:szCs w:val="20"/>
                    </w:rPr>
                    <w:t xml:space="preserve">Istituzioni: box </w:t>
                  </w:r>
                </w:p>
              </w:tc>
            </w:tr>
            <w:tr w:rsidR="003A7C17" w:rsidRPr="00FD7FB7" w:rsidTr="00F60941">
              <w:trPr>
                <w:trHeight w:val="152"/>
              </w:trPr>
              <w:tc>
                <w:tcPr>
                  <w:tcW w:w="5000" w:type="pct"/>
                </w:tcPr>
                <w:p w:rsidR="003A7C17" w:rsidRPr="00FD7FB7" w:rsidRDefault="003A7C17" w:rsidP="00A95103">
                  <w:pPr>
                    <w:spacing w:line="240" w:lineRule="auto"/>
                    <w:rPr>
                      <w:sz w:val="20"/>
                      <w:szCs w:val="20"/>
                    </w:rPr>
                  </w:pPr>
                  <w:r w:rsidRPr="00FD7FB7">
                    <w:rPr>
                      <w:sz w:val="20"/>
                      <w:szCs w:val="20"/>
                    </w:rPr>
                    <w:t xml:space="preserve">Attori locali: up </w:t>
                  </w:r>
                  <w:proofErr w:type="spellStart"/>
                  <w:r w:rsidRPr="00FD7FB7">
                    <w:rPr>
                      <w:sz w:val="20"/>
                      <w:szCs w:val="20"/>
                    </w:rPr>
                    <w:t>triangle</w:t>
                  </w:r>
                  <w:proofErr w:type="spellEnd"/>
                  <w:r w:rsidRPr="00FD7FB7">
                    <w:rPr>
                      <w:sz w:val="20"/>
                      <w:szCs w:val="20"/>
                    </w:rPr>
                    <w:t xml:space="preserve"> </w:t>
                  </w:r>
                </w:p>
              </w:tc>
            </w:tr>
            <w:tr w:rsidR="003A7C17" w:rsidRPr="00FD7FB7" w:rsidTr="00F60941">
              <w:trPr>
                <w:trHeight w:val="147"/>
              </w:trPr>
              <w:tc>
                <w:tcPr>
                  <w:tcW w:w="5000" w:type="pct"/>
                </w:tcPr>
                <w:p w:rsidR="003A7C17" w:rsidRPr="00FD7FB7" w:rsidRDefault="003A7C17" w:rsidP="00A95103">
                  <w:pPr>
                    <w:spacing w:line="240" w:lineRule="auto"/>
                    <w:rPr>
                      <w:sz w:val="20"/>
                      <w:szCs w:val="20"/>
                    </w:rPr>
                  </w:pPr>
                  <w:r w:rsidRPr="00FD7FB7">
                    <w:rPr>
                      <w:sz w:val="20"/>
                      <w:szCs w:val="20"/>
                    </w:rPr>
                    <w:t xml:space="preserve">Consumatori: </w:t>
                  </w:r>
                  <w:proofErr w:type="spellStart"/>
                  <w:r w:rsidRPr="00FD7FB7">
                    <w:rPr>
                      <w:sz w:val="20"/>
                      <w:szCs w:val="20"/>
                    </w:rPr>
                    <w:t>diamond</w:t>
                  </w:r>
                  <w:proofErr w:type="spellEnd"/>
                  <w:r w:rsidRPr="00FD7FB7">
                    <w:rPr>
                      <w:sz w:val="20"/>
                      <w:szCs w:val="20"/>
                    </w:rPr>
                    <w:t xml:space="preserve"> </w:t>
                  </w:r>
                </w:p>
              </w:tc>
            </w:tr>
            <w:tr w:rsidR="003A7C17" w:rsidRPr="00FD7FB7" w:rsidTr="00F60941">
              <w:trPr>
                <w:trHeight w:val="152"/>
              </w:trPr>
              <w:tc>
                <w:tcPr>
                  <w:tcW w:w="5000" w:type="pct"/>
                </w:tcPr>
                <w:p w:rsidR="003A7C17" w:rsidRPr="00FD7FB7" w:rsidRDefault="003A7C17" w:rsidP="00A95103">
                  <w:pPr>
                    <w:spacing w:line="240" w:lineRule="auto"/>
                    <w:rPr>
                      <w:sz w:val="20"/>
                      <w:szCs w:val="20"/>
                    </w:rPr>
                  </w:pPr>
                  <w:r w:rsidRPr="00FD7FB7">
                    <w:rPr>
                      <w:sz w:val="20"/>
                      <w:szCs w:val="20"/>
                    </w:rPr>
                    <w:t xml:space="preserve">Imprese: </w:t>
                  </w:r>
                  <w:proofErr w:type="spellStart"/>
                  <w:r w:rsidRPr="00FD7FB7">
                    <w:rPr>
                      <w:sz w:val="20"/>
                      <w:szCs w:val="20"/>
                    </w:rPr>
                    <w:t>square</w:t>
                  </w:r>
                  <w:proofErr w:type="spellEnd"/>
                  <w:r w:rsidRPr="00FD7FB7">
                    <w:rPr>
                      <w:sz w:val="20"/>
                      <w:szCs w:val="20"/>
                    </w:rPr>
                    <w:t xml:space="preserve"> </w:t>
                  </w:r>
                </w:p>
              </w:tc>
            </w:tr>
            <w:tr w:rsidR="003A7C17" w:rsidRPr="00FD7FB7" w:rsidTr="00F60941">
              <w:trPr>
                <w:trHeight w:val="152"/>
              </w:trPr>
              <w:tc>
                <w:tcPr>
                  <w:tcW w:w="5000" w:type="pct"/>
                </w:tcPr>
                <w:p w:rsidR="003A7C17" w:rsidRPr="00FD7FB7" w:rsidRDefault="003A7C17" w:rsidP="00A95103">
                  <w:pPr>
                    <w:spacing w:line="240" w:lineRule="auto"/>
                    <w:rPr>
                      <w:sz w:val="20"/>
                      <w:szCs w:val="20"/>
                    </w:rPr>
                  </w:pPr>
                  <w:r w:rsidRPr="00FD7FB7">
                    <w:rPr>
                      <w:sz w:val="20"/>
                      <w:szCs w:val="20"/>
                    </w:rPr>
                    <w:t xml:space="preserve">Aziende: </w:t>
                  </w:r>
                  <w:proofErr w:type="spellStart"/>
                  <w:r w:rsidRPr="00FD7FB7">
                    <w:rPr>
                      <w:sz w:val="20"/>
                      <w:szCs w:val="20"/>
                    </w:rPr>
                    <w:t>circle</w:t>
                  </w:r>
                  <w:proofErr w:type="spellEnd"/>
                  <w:r w:rsidRPr="00FD7FB7">
                    <w:rPr>
                      <w:sz w:val="20"/>
                      <w:szCs w:val="20"/>
                    </w:rPr>
                    <w:t xml:space="preserve"> </w:t>
                  </w:r>
                </w:p>
              </w:tc>
            </w:tr>
          </w:tbl>
          <w:p w:rsidR="003A7C17" w:rsidRPr="00FD7FB7" w:rsidRDefault="00193529" w:rsidP="00A95103">
            <w:pPr>
              <w:spacing w:line="240" w:lineRule="auto"/>
              <w:rPr>
                <w:sz w:val="20"/>
                <w:szCs w:val="20"/>
              </w:rPr>
            </w:pPr>
            <w:r>
              <w:rPr>
                <w:noProof/>
                <w:sz w:val="20"/>
                <w:szCs w:val="20"/>
                <w:lang w:eastAsia="it-IT"/>
              </w:rPr>
              <w:pict>
                <v:shapetype id="_x0000_t32" coordsize="21600,21600" o:spt="32" o:oned="t" path="m,l21600,21600e" filled="f">
                  <v:path arrowok="t" fillok="f" o:connecttype="none"/>
                  <o:lock v:ext="edit" shapetype="t"/>
                </v:shapetype>
                <v:shape id="_x0000_s1029" type="#_x0000_t32" style="position:absolute;left:0;text-align:left;margin-left:1.15pt;margin-top:6.4pt;width:20.1pt;height:0;flip:x;z-index:251656704;mso-position-horizontal-relative:text;mso-position-vertical-relative:text" o:connectortype="straight"/>
              </w:pict>
            </w:r>
            <w:r w:rsidR="003A7C17">
              <w:rPr>
                <w:sz w:val="20"/>
                <w:szCs w:val="20"/>
              </w:rPr>
              <w:t xml:space="preserve">            </w:t>
            </w:r>
            <w:r w:rsidR="003A7C17" w:rsidRPr="00FD7FB7">
              <w:rPr>
                <w:sz w:val="20"/>
                <w:szCs w:val="20"/>
              </w:rPr>
              <w:t xml:space="preserve">frequenza contatti bassa (non più di 3 volte all’anno) </w:t>
            </w:r>
          </w:p>
          <w:p w:rsidR="003A7C17" w:rsidRPr="00FD7FB7" w:rsidRDefault="003A7C17" w:rsidP="00A95103">
            <w:pPr>
              <w:spacing w:line="240" w:lineRule="auto"/>
              <w:rPr>
                <w:sz w:val="20"/>
                <w:szCs w:val="20"/>
              </w:rPr>
            </w:pPr>
          </w:p>
          <w:p w:rsidR="003A7C17" w:rsidRPr="00FD7FB7" w:rsidRDefault="00193529" w:rsidP="00A95103">
            <w:pPr>
              <w:spacing w:line="240" w:lineRule="auto"/>
              <w:rPr>
                <w:sz w:val="20"/>
                <w:szCs w:val="20"/>
              </w:rPr>
            </w:pPr>
            <w:r>
              <w:rPr>
                <w:noProof/>
                <w:sz w:val="20"/>
                <w:szCs w:val="20"/>
                <w:lang w:eastAsia="it-IT"/>
              </w:rPr>
              <w:pict>
                <v:shape id="_x0000_s1030" type="#_x0000_t32" style="position:absolute;left:0;text-align:left;margin-left:1.15pt;margin-top:5.85pt;width:20.1pt;height:0;flip:x;z-index:251657728" o:connectortype="straight" strokeweight="1.5pt"/>
              </w:pict>
            </w:r>
            <w:r w:rsidR="003A7C17">
              <w:rPr>
                <w:sz w:val="20"/>
                <w:szCs w:val="20"/>
              </w:rPr>
              <w:t xml:space="preserve">             </w:t>
            </w:r>
            <w:r w:rsidR="003A7C17" w:rsidRPr="00FD7FB7">
              <w:rPr>
                <w:sz w:val="20"/>
                <w:szCs w:val="20"/>
              </w:rPr>
              <w:t>frequenza contatti media (2-3 volte in sei mesi)</w:t>
            </w:r>
          </w:p>
          <w:p w:rsidR="003A7C17" w:rsidRPr="00FD7FB7" w:rsidRDefault="003A7C17" w:rsidP="00A95103">
            <w:pPr>
              <w:spacing w:line="240" w:lineRule="auto"/>
              <w:rPr>
                <w:sz w:val="20"/>
                <w:szCs w:val="20"/>
              </w:rPr>
            </w:pPr>
          </w:p>
          <w:p w:rsidR="003A7C17" w:rsidRDefault="00193529" w:rsidP="00A95103">
            <w:pPr>
              <w:spacing w:line="240" w:lineRule="auto"/>
              <w:rPr>
                <w:noProof/>
                <w:sz w:val="24"/>
                <w:szCs w:val="24"/>
                <w:lang w:eastAsia="it-IT"/>
              </w:rPr>
            </w:pPr>
            <w:r w:rsidRPr="00193529">
              <w:rPr>
                <w:rFonts w:asciiTheme="minorHAnsi" w:hAnsiTheme="minorHAnsi" w:cstheme="minorBidi"/>
                <w:noProof/>
                <w:sz w:val="20"/>
                <w:szCs w:val="20"/>
                <w:lang w:eastAsia="it-IT"/>
              </w:rPr>
              <w:pict>
                <v:shape id="_x0000_s1031" type="#_x0000_t32" style="position:absolute;left:0;text-align:left;margin-left:1.15pt;margin-top:6.8pt;width:20.1pt;height:0;flip:x;z-index:251658752" o:connectortype="straight" strokeweight="2.5pt"/>
              </w:pict>
            </w:r>
            <w:r w:rsidR="003A7C17">
              <w:rPr>
                <w:sz w:val="20"/>
                <w:szCs w:val="20"/>
              </w:rPr>
              <w:t xml:space="preserve">            </w:t>
            </w:r>
            <w:r w:rsidR="003A7C17" w:rsidRPr="00FD7FB7">
              <w:rPr>
                <w:sz w:val="20"/>
                <w:szCs w:val="20"/>
              </w:rPr>
              <w:t>frequenza contatti alta (almeno 1 volta al mese)</w:t>
            </w:r>
          </w:p>
        </w:tc>
      </w:tr>
    </w:tbl>
    <w:p w:rsidR="003A12CE" w:rsidRDefault="003A12CE" w:rsidP="00A95103">
      <w:pPr>
        <w:spacing w:line="240" w:lineRule="auto"/>
        <w:rPr>
          <w:szCs w:val="24"/>
          <w:lang w:eastAsia="it-IT"/>
        </w:rPr>
      </w:pPr>
    </w:p>
    <w:tbl>
      <w:tblPr>
        <w:tblStyle w:val="Grigliatabella"/>
        <w:tblW w:w="8813" w:type="dxa"/>
        <w:tblBorders>
          <w:left w:val="none" w:sz="0" w:space="0" w:color="auto"/>
          <w:right w:val="none" w:sz="0" w:space="0" w:color="auto"/>
        </w:tblBorders>
        <w:tblLayout w:type="fixed"/>
        <w:tblLook w:val="04A0"/>
      </w:tblPr>
      <w:tblGrid>
        <w:gridCol w:w="6050"/>
        <w:gridCol w:w="2763"/>
      </w:tblGrid>
      <w:tr w:rsidR="003A7C17" w:rsidTr="00F60941">
        <w:trPr>
          <w:trHeight w:val="272"/>
        </w:trPr>
        <w:tc>
          <w:tcPr>
            <w:tcW w:w="8813" w:type="dxa"/>
            <w:gridSpan w:val="2"/>
          </w:tcPr>
          <w:p w:rsidR="003A7C17" w:rsidRPr="00F60941" w:rsidRDefault="003A7C17" w:rsidP="00A95103">
            <w:pPr>
              <w:keepNext/>
              <w:spacing w:line="240" w:lineRule="auto"/>
              <w:rPr>
                <w:noProof/>
                <w:sz w:val="20"/>
                <w:szCs w:val="20"/>
                <w:lang w:eastAsia="it-IT"/>
              </w:rPr>
            </w:pPr>
            <w:r w:rsidRPr="00F60941">
              <w:rPr>
                <w:sz w:val="20"/>
                <w:szCs w:val="20"/>
                <w:lang w:eastAsia="it-IT"/>
              </w:rPr>
              <w:t xml:space="preserve">Grafo 2  </w:t>
            </w:r>
            <w:proofErr w:type="spellStart"/>
            <w:r w:rsidRPr="00F60941">
              <w:rPr>
                <w:sz w:val="20"/>
                <w:szCs w:val="20"/>
                <w:lang w:eastAsia="it-IT"/>
              </w:rPr>
              <w:t>Betweenness</w:t>
            </w:r>
            <w:proofErr w:type="spellEnd"/>
            <w:r w:rsidRPr="00F60941">
              <w:rPr>
                <w:sz w:val="20"/>
                <w:szCs w:val="20"/>
                <w:lang w:eastAsia="it-IT"/>
              </w:rPr>
              <w:t xml:space="preserve"> del Network delle Imprese della DOCG Brunello di Montalcino</w:t>
            </w:r>
          </w:p>
        </w:tc>
      </w:tr>
      <w:tr w:rsidR="003A7C17" w:rsidTr="00F60941">
        <w:trPr>
          <w:trHeight w:val="3601"/>
        </w:trPr>
        <w:tc>
          <w:tcPr>
            <w:tcW w:w="6050" w:type="dxa"/>
            <w:tcBorders>
              <w:right w:val="single" w:sz="4" w:space="0" w:color="FFFFFF" w:themeColor="background1"/>
            </w:tcBorders>
          </w:tcPr>
          <w:p w:rsidR="003A7C17" w:rsidRDefault="003A7C17" w:rsidP="00A95103">
            <w:pPr>
              <w:spacing w:line="240" w:lineRule="auto"/>
              <w:rPr>
                <w:noProof/>
                <w:sz w:val="24"/>
                <w:szCs w:val="24"/>
                <w:lang w:eastAsia="it-IT"/>
              </w:rPr>
            </w:pPr>
            <w:r>
              <w:rPr>
                <w:noProof/>
                <w:szCs w:val="24"/>
                <w:lang w:eastAsia="zh-TW"/>
              </w:rPr>
              <w:drawing>
                <wp:inline distT="0" distB="0" distL="0" distR="0">
                  <wp:extent cx="3662456" cy="2300942"/>
                  <wp:effectExtent l="19050" t="0" r="0" b="0"/>
                  <wp:docPr id="2" name="Immagine 4" descr="C:\Documents and Settings\Lorella\Documenti\UNIPA_DOTTORATO\Lavoro\TESI DOTTORATO\TESI\DATI ALCAMO BRUNELLO\BRUNELLO DI MONTALCINO\Montalcino\Copia di Grafi montalcino\Between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orella\Documenti\UNIPA_DOTTORATO\Lavoro\TESI DOTTORATO\TESI\DATI ALCAMO BRUNELLO\BRUNELLO DI MONTALCINO\Montalcino\Copia di Grafi montalcino\Betweenness.jpg"/>
                          <pic:cNvPicPr>
                            <a:picLocks noChangeAspect="1" noChangeArrowheads="1"/>
                          </pic:cNvPicPr>
                        </pic:nvPicPr>
                        <pic:blipFill>
                          <a:blip r:embed="rId9" cstate="print"/>
                          <a:srcRect/>
                          <a:stretch>
                            <a:fillRect/>
                          </a:stretch>
                        </pic:blipFill>
                        <pic:spPr bwMode="auto">
                          <a:xfrm>
                            <a:off x="0" y="0"/>
                            <a:ext cx="3661407" cy="2300283"/>
                          </a:xfrm>
                          <a:prstGeom prst="rect">
                            <a:avLst/>
                          </a:prstGeom>
                          <a:noFill/>
                          <a:ln w="9525">
                            <a:noFill/>
                            <a:miter lim="800000"/>
                            <a:headEnd/>
                            <a:tailEnd/>
                          </a:ln>
                        </pic:spPr>
                      </pic:pic>
                    </a:graphicData>
                  </a:graphic>
                </wp:inline>
              </w:drawing>
            </w:r>
          </w:p>
        </w:tc>
        <w:tc>
          <w:tcPr>
            <w:tcW w:w="2763" w:type="dxa"/>
            <w:tcBorders>
              <w:left w:val="single" w:sz="4" w:space="0" w:color="FFFFFF" w:themeColor="background1"/>
            </w:tcBorders>
          </w:tcPr>
          <w:p w:rsidR="003A7C17" w:rsidRDefault="003A7C17" w:rsidP="00A95103">
            <w:pPr>
              <w:spacing w:line="240" w:lineRule="auto"/>
              <w:rPr>
                <w:noProof/>
                <w:sz w:val="24"/>
                <w:szCs w:val="24"/>
                <w:lang w:eastAsia="it-IT"/>
              </w:rPr>
            </w:pPr>
          </w:p>
          <w:p w:rsidR="003A7C17" w:rsidRPr="00F60941" w:rsidRDefault="003A7C17" w:rsidP="00A95103">
            <w:pPr>
              <w:spacing w:line="240" w:lineRule="auto"/>
              <w:jc w:val="left"/>
              <w:rPr>
                <w:noProof/>
                <w:sz w:val="20"/>
                <w:szCs w:val="20"/>
                <w:lang w:eastAsia="it-IT"/>
              </w:rPr>
            </w:pPr>
            <w:r w:rsidRPr="00F60941">
              <w:rPr>
                <w:noProof/>
                <w:sz w:val="20"/>
                <w:szCs w:val="20"/>
                <w:lang w:eastAsia="it-IT"/>
              </w:rPr>
              <w:t>Il Consorzio di tutela (diamond) coincide con il più alto valore di Betwe</w:t>
            </w:r>
            <w:r w:rsidR="00986F96" w:rsidRPr="00F60941">
              <w:rPr>
                <w:noProof/>
                <w:sz w:val="20"/>
                <w:szCs w:val="20"/>
                <w:lang w:eastAsia="it-IT"/>
              </w:rPr>
              <w:t>e</w:t>
            </w:r>
            <w:r w:rsidRPr="00F60941">
              <w:rPr>
                <w:noProof/>
                <w:sz w:val="20"/>
                <w:szCs w:val="20"/>
                <w:lang w:eastAsia="it-IT"/>
              </w:rPr>
              <w:t>nnes.</w:t>
            </w:r>
          </w:p>
          <w:p w:rsidR="003A7C17" w:rsidRDefault="003A7C17" w:rsidP="00A95103">
            <w:pPr>
              <w:spacing w:line="240" w:lineRule="auto"/>
              <w:jc w:val="left"/>
              <w:rPr>
                <w:noProof/>
                <w:sz w:val="24"/>
                <w:szCs w:val="24"/>
                <w:lang w:eastAsia="it-IT"/>
              </w:rPr>
            </w:pPr>
            <w:r w:rsidRPr="00F60941">
              <w:rPr>
                <w:noProof/>
                <w:sz w:val="20"/>
                <w:szCs w:val="20"/>
                <w:lang w:eastAsia="it-IT"/>
              </w:rPr>
              <w:t>Essa indica quanto un soggetto è intermediario (funzione di broker) tra altre due persone all’interno di un gruppo.</w:t>
            </w:r>
          </w:p>
        </w:tc>
      </w:tr>
    </w:tbl>
    <w:p w:rsidR="00F60941" w:rsidRDefault="00F60941" w:rsidP="00DA155D">
      <w:pPr>
        <w:pStyle w:val="Titolo1"/>
        <w:spacing w:before="0" w:after="0" w:line="240" w:lineRule="auto"/>
        <w:rPr>
          <w:sz w:val="24"/>
          <w:szCs w:val="24"/>
        </w:rPr>
      </w:pPr>
    </w:p>
    <w:p w:rsidR="00437DF4" w:rsidRPr="00DA155D" w:rsidRDefault="00437DF4" w:rsidP="00DA155D">
      <w:pPr>
        <w:pStyle w:val="Titolo1"/>
        <w:spacing w:before="0" w:after="0" w:line="240" w:lineRule="auto"/>
        <w:rPr>
          <w:sz w:val="24"/>
          <w:szCs w:val="24"/>
        </w:rPr>
      </w:pPr>
      <w:r w:rsidRPr="00DA155D">
        <w:rPr>
          <w:sz w:val="24"/>
          <w:szCs w:val="24"/>
        </w:rPr>
        <w:t>Conclusioni</w:t>
      </w:r>
    </w:p>
    <w:p w:rsidR="00D060FE" w:rsidRDefault="00D060FE" w:rsidP="00D060FE">
      <w:pPr>
        <w:spacing w:line="240" w:lineRule="auto"/>
      </w:pPr>
      <w:r>
        <w:t xml:space="preserve">I territori esaminati, nel complesso, beneficiano di un paesaggio agrario di qualità e di un modesto impatto delle attività agricole ma denotano carenze ecologiche per la modesta presenza di boschi (tranne Siena) e dell’agricoltura biologica. La componente sociale dell’agricoltura evidenzia i frequenti problemi di senilità e bassa qualificazione degli </w:t>
      </w:r>
      <w:r>
        <w:lastRenderedPageBreak/>
        <w:t>operatori nonché la ridotta occupazione agricola conseguente a livelli di reddito ritenuti, specialmente in Sicilia, insoddisfacenti (Columba e altri, 2012).</w:t>
      </w:r>
    </w:p>
    <w:p w:rsidR="00D060FE" w:rsidRDefault="00D060FE" w:rsidP="00D060FE">
      <w:pPr>
        <w:spacing w:line="240" w:lineRule="auto"/>
      </w:pPr>
      <w:r>
        <w:t>La possibilità di valorizzare i territori esaminati attraverso la fruizione dei loro requisiti di qualità viene declinata in modo differente nei due ambiti studiati.</w:t>
      </w:r>
    </w:p>
    <w:p w:rsidR="00D060FE" w:rsidRDefault="00D060FE" w:rsidP="00D060FE">
      <w:pPr>
        <w:spacing w:line="240" w:lineRule="auto"/>
      </w:pPr>
      <w:r>
        <w:t xml:space="preserve">Il sistema toscano, famoso per la bellezza del paesaggio, denota anche un forte orientamento alla qualità agroalimentare e si basa su di un capitale sociale e relazionale di alto profilo. La consapevolezza del bene comune rappresentato dall’ambiente determina una forte coesione strategica tra i produttori e le istituzioni. La capacità di cooperazione trova una sua specifica espressione nell’operatività e partecipazione dei produttori al Consorzio di Tutela del Brunello di Montalcino, che non manca di manifestare i suoi positivi effetti sull’economia del territorio. Si potrebbe definire antitetica la condizione della DOC Alcamo che proprio sugli aspetti prima esposti manifesta le maggiori carenze. Il Consorzio di tutela si può considerare il “nodo” che fa la differenza fra il reticolo relazionale del Brunello di Montalcino e della DOC Alcamo: quest’ultima, infatti, costituita da una base in apparenza più ampia di quella del Brunello, è invece mancante di quel </w:t>
      </w:r>
      <w:r w:rsidRPr="00D61001">
        <w:rPr>
          <w:i/>
        </w:rPr>
        <w:t xml:space="preserve">fil </w:t>
      </w:r>
      <w:proofErr w:type="spellStart"/>
      <w:r w:rsidRPr="00D61001">
        <w:rPr>
          <w:i/>
        </w:rPr>
        <w:t>rouge</w:t>
      </w:r>
      <w:proofErr w:type="spellEnd"/>
      <w:r>
        <w:t xml:space="preserve"> che, passando per le attività del Consorzio di tutela, collega le istituzioni e gli attori economici in un sistema territoriale organizzato attorno alla risorsa vino.</w:t>
      </w:r>
    </w:p>
    <w:p w:rsidR="00DA155D" w:rsidRDefault="00D060FE" w:rsidP="00D060FE">
      <w:pPr>
        <w:spacing w:line="240" w:lineRule="auto"/>
      </w:pPr>
      <w:r>
        <w:t>Proteggere e promuovere il vantaggio di un territorio di qualità richiede un elevato livello di coesione sociale e un radicato e profondo bagaglio culturale comune. Le istituzioni della pubblica amministrazione, culturali e della formazione ricoprono, quindi, un ruolo di cruciale importanza per l’affermazione di una economia della qualità del territorio.</w:t>
      </w:r>
    </w:p>
    <w:p w:rsidR="00D060FE" w:rsidRPr="00437DF4" w:rsidRDefault="00D060FE" w:rsidP="00D060FE">
      <w:pPr>
        <w:spacing w:line="240" w:lineRule="auto"/>
        <w:rPr>
          <w:szCs w:val="24"/>
        </w:rPr>
      </w:pPr>
    </w:p>
    <w:p w:rsidR="00437DF4" w:rsidRPr="00DA155D" w:rsidRDefault="00437DF4" w:rsidP="00DA155D">
      <w:pPr>
        <w:pStyle w:val="Titolo1"/>
        <w:spacing w:before="0" w:after="0" w:line="240" w:lineRule="auto"/>
        <w:rPr>
          <w:sz w:val="24"/>
          <w:szCs w:val="24"/>
        </w:rPr>
      </w:pPr>
      <w:r w:rsidRPr="00DA155D">
        <w:rPr>
          <w:sz w:val="24"/>
          <w:szCs w:val="24"/>
        </w:rPr>
        <w:t>Bibliografia</w:t>
      </w:r>
    </w:p>
    <w:p w:rsidR="00437DF4" w:rsidRDefault="00437DF4" w:rsidP="00A95103">
      <w:pPr>
        <w:spacing w:line="240" w:lineRule="auto"/>
        <w:rPr>
          <w:szCs w:val="24"/>
        </w:rPr>
      </w:pPr>
      <w:r w:rsidRPr="002C3C18">
        <w:rPr>
          <w:szCs w:val="24"/>
        </w:rPr>
        <w:t xml:space="preserve">AA. VV. (2006), </w:t>
      </w:r>
      <w:r w:rsidRPr="002C3C18">
        <w:rPr>
          <w:i/>
          <w:szCs w:val="24"/>
        </w:rPr>
        <w:t>Guida alla valorizzazione dei prodotti agroalimentari tipici. Concetti, metodi e strumenti</w:t>
      </w:r>
      <w:r>
        <w:rPr>
          <w:szCs w:val="24"/>
        </w:rPr>
        <w:t>,</w:t>
      </w:r>
      <w:r w:rsidRPr="002C3C18">
        <w:rPr>
          <w:szCs w:val="24"/>
        </w:rPr>
        <w:t xml:space="preserve"> ARSIA Regione Toscana, Sesto Fiorentino (FI)</w:t>
      </w:r>
      <w:r w:rsidR="003A7C17">
        <w:rPr>
          <w:szCs w:val="24"/>
        </w:rPr>
        <w:t>.</w:t>
      </w:r>
    </w:p>
    <w:p w:rsidR="006C5905" w:rsidRPr="006C5905" w:rsidRDefault="006C5905" w:rsidP="00A95103">
      <w:pPr>
        <w:spacing w:line="240" w:lineRule="auto"/>
        <w:rPr>
          <w:szCs w:val="24"/>
        </w:rPr>
      </w:pPr>
      <w:r w:rsidRPr="006C5905">
        <w:rPr>
          <w:szCs w:val="24"/>
        </w:rPr>
        <w:t xml:space="preserve">Columba P., Oliveri </w:t>
      </w:r>
      <w:proofErr w:type="spellStart"/>
      <w:r w:rsidRPr="006C5905">
        <w:rPr>
          <w:szCs w:val="24"/>
        </w:rPr>
        <w:t>Y</w:t>
      </w:r>
      <w:proofErr w:type="spellEnd"/>
      <w:r>
        <w:rPr>
          <w:szCs w:val="24"/>
        </w:rPr>
        <w:t>.</w:t>
      </w:r>
      <w:r w:rsidRPr="006C5905">
        <w:rPr>
          <w:szCs w:val="24"/>
        </w:rPr>
        <w:t xml:space="preserve">, </w:t>
      </w:r>
      <w:proofErr w:type="spellStart"/>
      <w:r w:rsidRPr="006C5905">
        <w:rPr>
          <w:szCs w:val="24"/>
        </w:rPr>
        <w:t>Pensovecchio</w:t>
      </w:r>
      <w:proofErr w:type="spellEnd"/>
      <w:r w:rsidRPr="006C5905">
        <w:rPr>
          <w:szCs w:val="24"/>
        </w:rPr>
        <w:t xml:space="preserve"> F.</w:t>
      </w:r>
      <w:r>
        <w:rPr>
          <w:szCs w:val="24"/>
        </w:rPr>
        <w:t xml:space="preserve"> (2012), </w:t>
      </w:r>
      <w:r w:rsidRPr="006C5905">
        <w:rPr>
          <w:i/>
          <w:szCs w:val="24"/>
        </w:rPr>
        <w:t>L’agricoltura biologica e lo sviluppo del territorio di qualità: un caso studio siciliano</w:t>
      </w:r>
      <w:r>
        <w:rPr>
          <w:i/>
          <w:szCs w:val="24"/>
        </w:rPr>
        <w:t>.</w:t>
      </w:r>
      <w:r>
        <w:rPr>
          <w:szCs w:val="24"/>
        </w:rPr>
        <w:t xml:space="preserve"> Relazione accettata al </w:t>
      </w:r>
      <w:r w:rsidRPr="006C5905">
        <w:rPr>
          <w:szCs w:val="24"/>
        </w:rPr>
        <w:t>V Workshop GRAB-IT, “Agricoltura biologica: modello sostenibile per un Mediterraneo in transizione”</w:t>
      </w:r>
      <w:r>
        <w:rPr>
          <w:szCs w:val="24"/>
        </w:rPr>
        <w:t>.</w:t>
      </w:r>
      <w:r w:rsidRPr="006C5905">
        <w:rPr>
          <w:szCs w:val="24"/>
        </w:rPr>
        <w:t xml:space="preserve"> Ancona, 10-11 maggio 2012</w:t>
      </w:r>
      <w:r>
        <w:rPr>
          <w:szCs w:val="24"/>
        </w:rPr>
        <w:t>.</w:t>
      </w:r>
    </w:p>
    <w:p w:rsidR="003A7C17" w:rsidRDefault="00437DF4" w:rsidP="00A95103">
      <w:pPr>
        <w:spacing w:line="240" w:lineRule="auto"/>
        <w:rPr>
          <w:szCs w:val="24"/>
        </w:rPr>
      </w:pPr>
      <w:proofErr w:type="spellStart"/>
      <w:r w:rsidRPr="00EA4C96">
        <w:rPr>
          <w:szCs w:val="24"/>
        </w:rPr>
        <w:t>Distaso</w:t>
      </w:r>
      <w:proofErr w:type="spellEnd"/>
      <w:r w:rsidRPr="00EA4C96">
        <w:rPr>
          <w:szCs w:val="24"/>
        </w:rPr>
        <w:t xml:space="preserve"> M. (2007), </w:t>
      </w:r>
      <w:r w:rsidRPr="00EA4C96">
        <w:rPr>
          <w:i/>
          <w:iCs/>
          <w:szCs w:val="24"/>
        </w:rPr>
        <w:t>L’Agro-Alimentare tra economia della qualità ed economia dei servizi</w:t>
      </w:r>
      <w:r w:rsidRPr="00EA4C96">
        <w:rPr>
          <w:szCs w:val="24"/>
        </w:rPr>
        <w:t xml:space="preserve">, </w:t>
      </w:r>
      <w:r w:rsidR="003A7C17" w:rsidRPr="00EA4C96">
        <w:rPr>
          <w:szCs w:val="24"/>
        </w:rPr>
        <w:t>Napoli, Edizioni Scientifiche Italiane.</w:t>
      </w:r>
    </w:p>
    <w:p w:rsidR="00437DF4" w:rsidRPr="004914F3" w:rsidRDefault="00437DF4" w:rsidP="00A95103">
      <w:pPr>
        <w:spacing w:line="240" w:lineRule="auto"/>
        <w:rPr>
          <w:szCs w:val="24"/>
        </w:rPr>
      </w:pPr>
      <w:r w:rsidRPr="004914F3">
        <w:rPr>
          <w:szCs w:val="24"/>
        </w:rPr>
        <w:t>ISTAT (2009),</w:t>
      </w:r>
      <w:r>
        <w:rPr>
          <w:szCs w:val="24"/>
        </w:rPr>
        <w:t xml:space="preserve"> </w:t>
      </w:r>
      <w:r w:rsidRPr="004914F3">
        <w:rPr>
          <w:i/>
          <w:szCs w:val="24"/>
        </w:rPr>
        <w:t>Atlante Statistico dei Comuni</w:t>
      </w:r>
      <w:r>
        <w:rPr>
          <w:szCs w:val="24"/>
        </w:rPr>
        <w:t>.</w:t>
      </w:r>
      <w:r w:rsidR="006C5905">
        <w:rPr>
          <w:szCs w:val="24"/>
        </w:rPr>
        <w:t xml:space="preserve"> </w:t>
      </w:r>
      <w:r w:rsidRPr="004914F3">
        <w:rPr>
          <w:szCs w:val="24"/>
        </w:rPr>
        <w:t>http://www3.istat.it/dati/catalogo/20061102_00/</w:t>
      </w:r>
    </w:p>
    <w:p w:rsidR="00437DF4" w:rsidRPr="00437DF4" w:rsidRDefault="00437DF4" w:rsidP="00A95103">
      <w:pPr>
        <w:spacing w:line="240" w:lineRule="auto"/>
        <w:rPr>
          <w:szCs w:val="24"/>
        </w:rPr>
      </w:pPr>
      <w:proofErr w:type="spellStart"/>
      <w:r w:rsidRPr="00437DF4">
        <w:rPr>
          <w:szCs w:val="24"/>
        </w:rPr>
        <w:t>Milia</w:t>
      </w:r>
      <w:proofErr w:type="spellEnd"/>
      <w:r w:rsidR="003A7C17">
        <w:rPr>
          <w:szCs w:val="24"/>
        </w:rPr>
        <w:t xml:space="preserve"> V., </w:t>
      </w:r>
      <w:proofErr w:type="spellStart"/>
      <w:r w:rsidR="003A7C17">
        <w:rPr>
          <w:szCs w:val="24"/>
        </w:rPr>
        <w:t>Trobia</w:t>
      </w:r>
      <w:proofErr w:type="spellEnd"/>
      <w:r w:rsidR="006C5905">
        <w:rPr>
          <w:szCs w:val="24"/>
        </w:rPr>
        <w:t xml:space="preserve"> A. (2011</w:t>
      </w:r>
      <w:r w:rsidRPr="00437DF4">
        <w:rPr>
          <w:szCs w:val="24"/>
        </w:rPr>
        <w:t xml:space="preserve">), </w:t>
      </w:r>
      <w:r w:rsidRPr="00437DF4">
        <w:rPr>
          <w:i/>
          <w:iCs/>
          <w:szCs w:val="24"/>
        </w:rPr>
        <w:t xml:space="preserve">Social Network </w:t>
      </w:r>
      <w:proofErr w:type="spellStart"/>
      <w:r w:rsidRPr="00437DF4">
        <w:rPr>
          <w:i/>
          <w:iCs/>
          <w:szCs w:val="24"/>
        </w:rPr>
        <w:t>Analisys</w:t>
      </w:r>
      <w:proofErr w:type="spellEnd"/>
      <w:r w:rsidRPr="00437DF4">
        <w:rPr>
          <w:i/>
          <w:iCs/>
          <w:szCs w:val="24"/>
        </w:rPr>
        <w:t>. Approcci, tecniche e nuove applicazioni</w:t>
      </w:r>
      <w:r w:rsidR="00986F96">
        <w:rPr>
          <w:szCs w:val="24"/>
        </w:rPr>
        <w:t xml:space="preserve">, Roma, </w:t>
      </w:r>
      <w:proofErr w:type="spellStart"/>
      <w:r w:rsidR="00986F96">
        <w:rPr>
          <w:szCs w:val="24"/>
        </w:rPr>
        <w:t>Carocci</w:t>
      </w:r>
      <w:proofErr w:type="spellEnd"/>
      <w:r w:rsidR="00986F96">
        <w:rPr>
          <w:szCs w:val="24"/>
        </w:rPr>
        <w:t>.</w:t>
      </w:r>
    </w:p>
    <w:p w:rsidR="00437DF4" w:rsidRPr="004914F3" w:rsidRDefault="00437DF4" w:rsidP="00A95103">
      <w:pPr>
        <w:spacing w:line="240" w:lineRule="auto"/>
        <w:rPr>
          <w:szCs w:val="24"/>
          <w:lang w:val="en-US"/>
        </w:rPr>
      </w:pPr>
      <w:r w:rsidRPr="00437DF4">
        <w:rPr>
          <w:szCs w:val="24"/>
          <w:lang w:val="en-US"/>
        </w:rPr>
        <w:t xml:space="preserve">OECD (2000), </w:t>
      </w:r>
      <w:r w:rsidRPr="004914F3">
        <w:rPr>
          <w:i/>
          <w:szCs w:val="24"/>
          <w:lang w:val="en-US"/>
        </w:rPr>
        <w:t>Frameworks to Measure Sustainable Development</w:t>
      </w:r>
      <w:r w:rsidRPr="004914F3">
        <w:rPr>
          <w:szCs w:val="24"/>
          <w:lang w:val="en-US"/>
        </w:rPr>
        <w:t>, Pari</w:t>
      </w:r>
      <w:r>
        <w:rPr>
          <w:szCs w:val="24"/>
          <w:lang w:val="en-US"/>
        </w:rPr>
        <w:t>s,</w:t>
      </w:r>
      <w:r w:rsidRPr="004914F3">
        <w:rPr>
          <w:szCs w:val="24"/>
          <w:lang w:val="en-US"/>
        </w:rPr>
        <w:t xml:space="preserve"> France.</w:t>
      </w:r>
    </w:p>
    <w:p w:rsidR="00437DF4" w:rsidRDefault="006C5905" w:rsidP="00A95103">
      <w:pPr>
        <w:spacing w:line="240" w:lineRule="auto"/>
        <w:rPr>
          <w:szCs w:val="24"/>
          <w:lang w:val="en-US"/>
        </w:rPr>
      </w:pPr>
      <w:r>
        <w:rPr>
          <w:szCs w:val="24"/>
          <w:lang w:val="en-US"/>
        </w:rPr>
        <w:t>OECD (2001),</w:t>
      </w:r>
      <w:r w:rsidR="00437DF4" w:rsidRPr="004914F3">
        <w:rPr>
          <w:szCs w:val="24"/>
          <w:lang w:val="en-US"/>
        </w:rPr>
        <w:t xml:space="preserve"> </w:t>
      </w:r>
      <w:r w:rsidR="00437DF4" w:rsidRPr="004914F3">
        <w:rPr>
          <w:i/>
          <w:szCs w:val="24"/>
          <w:lang w:val="en-US"/>
        </w:rPr>
        <w:t>Environmental indicators for agriculture. Volume 3 - Methods and results</w:t>
      </w:r>
      <w:r w:rsidR="00437DF4" w:rsidRPr="004914F3">
        <w:rPr>
          <w:szCs w:val="24"/>
          <w:lang w:val="en-US"/>
        </w:rPr>
        <w:t>, Paris, France.</w:t>
      </w:r>
    </w:p>
    <w:p w:rsidR="009F4C75" w:rsidRDefault="006C5905" w:rsidP="00A95103">
      <w:pPr>
        <w:spacing w:line="240" w:lineRule="auto"/>
        <w:rPr>
          <w:szCs w:val="24"/>
        </w:rPr>
      </w:pPr>
      <w:proofErr w:type="spellStart"/>
      <w:r w:rsidRPr="006C5905">
        <w:rPr>
          <w:szCs w:val="24"/>
        </w:rPr>
        <w:t>Trisorio</w:t>
      </w:r>
      <w:proofErr w:type="spellEnd"/>
      <w:r w:rsidRPr="006C5905">
        <w:rPr>
          <w:szCs w:val="24"/>
        </w:rPr>
        <w:t xml:space="preserve"> A. (a cura di) (2004)</w:t>
      </w:r>
      <w:r>
        <w:rPr>
          <w:szCs w:val="24"/>
        </w:rPr>
        <w:t>,</w:t>
      </w:r>
      <w:r w:rsidRPr="006C5905">
        <w:rPr>
          <w:szCs w:val="24"/>
        </w:rPr>
        <w:t xml:space="preserve"> </w:t>
      </w:r>
      <w:r w:rsidRPr="006C5905">
        <w:rPr>
          <w:i/>
          <w:szCs w:val="24"/>
        </w:rPr>
        <w:t>Misurare la sostenibilità. Indicatori per l’agricoltura italiana</w:t>
      </w:r>
      <w:r w:rsidRPr="006C5905">
        <w:rPr>
          <w:szCs w:val="24"/>
        </w:rPr>
        <w:t>. INEA, Roma.</w:t>
      </w:r>
    </w:p>
    <w:p w:rsidR="009F4C75" w:rsidRDefault="009F4C75">
      <w:pPr>
        <w:spacing w:after="200" w:line="276" w:lineRule="auto"/>
        <w:jc w:val="left"/>
        <w:rPr>
          <w:szCs w:val="24"/>
        </w:rPr>
      </w:pPr>
    </w:p>
    <w:sectPr w:rsidR="009F4C75" w:rsidSect="00A95103">
      <w:footerReference w:type="default" r:id="rId10"/>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EB1" w:rsidRDefault="00BF6EB1" w:rsidP="005A21A2">
      <w:pPr>
        <w:spacing w:line="240" w:lineRule="auto"/>
      </w:pPr>
      <w:r>
        <w:separator/>
      </w:r>
    </w:p>
  </w:endnote>
  <w:endnote w:type="continuationSeparator" w:id="0">
    <w:p w:rsidR="00BF6EB1" w:rsidRDefault="00BF6EB1" w:rsidP="005A21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3282"/>
      <w:docPartObj>
        <w:docPartGallery w:val="Page Numbers (Bottom of Page)"/>
        <w:docPartUnique/>
      </w:docPartObj>
    </w:sdtPr>
    <w:sdtContent>
      <w:p w:rsidR="005A21A2" w:rsidRDefault="00193529">
        <w:pPr>
          <w:pStyle w:val="Pidipagina"/>
          <w:jc w:val="center"/>
        </w:pPr>
        <w:fldSimple w:instr=" PAGE   \* MERGEFORMAT ">
          <w:r w:rsidR="00A16AE9">
            <w:rPr>
              <w:noProof/>
            </w:rPr>
            <w:t>1</w:t>
          </w:r>
        </w:fldSimple>
      </w:p>
    </w:sdtContent>
  </w:sdt>
  <w:p w:rsidR="005A21A2" w:rsidRDefault="005A21A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EB1" w:rsidRDefault="00BF6EB1" w:rsidP="005A21A2">
      <w:pPr>
        <w:spacing w:line="240" w:lineRule="auto"/>
      </w:pPr>
      <w:r>
        <w:separator/>
      </w:r>
    </w:p>
  </w:footnote>
  <w:footnote w:type="continuationSeparator" w:id="0">
    <w:p w:rsidR="00BF6EB1" w:rsidRDefault="00BF6EB1" w:rsidP="005A21A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FDC"/>
    <w:multiLevelType w:val="hybridMultilevel"/>
    <w:tmpl w:val="0C42A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F1B31DD"/>
    <w:multiLevelType w:val="hybridMultilevel"/>
    <w:tmpl w:val="4706049A"/>
    <w:lvl w:ilvl="0" w:tplc="C730255C">
      <w:start w:val="1"/>
      <w:numFmt w:val="bullet"/>
      <w:lvlText w:val=""/>
      <w:lvlJc w:val="left"/>
      <w:pPr>
        <w:tabs>
          <w:tab w:val="num" w:pos="720"/>
        </w:tabs>
        <w:ind w:left="720" w:hanging="360"/>
      </w:pPr>
      <w:rPr>
        <w:rFonts w:ascii="Wingdings 2" w:hAnsi="Wingdings 2" w:hint="default"/>
      </w:rPr>
    </w:lvl>
    <w:lvl w:ilvl="1" w:tplc="BC7EDA0E" w:tentative="1">
      <w:start w:val="1"/>
      <w:numFmt w:val="bullet"/>
      <w:lvlText w:val=""/>
      <w:lvlJc w:val="left"/>
      <w:pPr>
        <w:tabs>
          <w:tab w:val="num" w:pos="1440"/>
        </w:tabs>
        <w:ind w:left="1440" w:hanging="360"/>
      </w:pPr>
      <w:rPr>
        <w:rFonts w:ascii="Wingdings 2" w:hAnsi="Wingdings 2" w:hint="default"/>
      </w:rPr>
    </w:lvl>
    <w:lvl w:ilvl="2" w:tplc="D78EDEC8" w:tentative="1">
      <w:start w:val="1"/>
      <w:numFmt w:val="bullet"/>
      <w:lvlText w:val=""/>
      <w:lvlJc w:val="left"/>
      <w:pPr>
        <w:tabs>
          <w:tab w:val="num" w:pos="2160"/>
        </w:tabs>
        <w:ind w:left="2160" w:hanging="360"/>
      </w:pPr>
      <w:rPr>
        <w:rFonts w:ascii="Wingdings 2" w:hAnsi="Wingdings 2" w:hint="default"/>
      </w:rPr>
    </w:lvl>
    <w:lvl w:ilvl="3" w:tplc="53F443CC" w:tentative="1">
      <w:start w:val="1"/>
      <w:numFmt w:val="bullet"/>
      <w:lvlText w:val=""/>
      <w:lvlJc w:val="left"/>
      <w:pPr>
        <w:tabs>
          <w:tab w:val="num" w:pos="2880"/>
        </w:tabs>
        <w:ind w:left="2880" w:hanging="360"/>
      </w:pPr>
      <w:rPr>
        <w:rFonts w:ascii="Wingdings 2" w:hAnsi="Wingdings 2" w:hint="default"/>
      </w:rPr>
    </w:lvl>
    <w:lvl w:ilvl="4" w:tplc="7EEA3CCA" w:tentative="1">
      <w:start w:val="1"/>
      <w:numFmt w:val="bullet"/>
      <w:lvlText w:val=""/>
      <w:lvlJc w:val="left"/>
      <w:pPr>
        <w:tabs>
          <w:tab w:val="num" w:pos="3600"/>
        </w:tabs>
        <w:ind w:left="3600" w:hanging="360"/>
      </w:pPr>
      <w:rPr>
        <w:rFonts w:ascii="Wingdings 2" w:hAnsi="Wingdings 2" w:hint="default"/>
      </w:rPr>
    </w:lvl>
    <w:lvl w:ilvl="5" w:tplc="7EEA75F0" w:tentative="1">
      <w:start w:val="1"/>
      <w:numFmt w:val="bullet"/>
      <w:lvlText w:val=""/>
      <w:lvlJc w:val="left"/>
      <w:pPr>
        <w:tabs>
          <w:tab w:val="num" w:pos="4320"/>
        </w:tabs>
        <w:ind w:left="4320" w:hanging="360"/>
      </w:pPr>
      <w:rPr>
        <w:rFonts w:ascii="Wingdings 2" w:hAnsi="Wingdings 2" w:hint="default"/>
      </w:rPr>
    </w:lvl>
    <w:lvl w:ilvl="6" w:tplc="E370E9C8" w:tentative="1">
      <w:start w:val="1"/>
      <w:numFmt w:val="bullet"/>
      <w:lvlText w:val=""/>
      <w:lvlJc w:val="left"/>
      <w:pPr>
        <w:tabs>
          <w:tab w:val="num" w:pos="5040"/>
        </w:tabs>
        <w:ind w:left="5040" w:hanging="360"/>
      </w:pPr>
      <w:rPr>
        <w:rFonts w:ascii="Wingdings 2" w:hAnsi="Wingdings 2" w:hint="default"/>
      </w:rPr>
    </w:lvl>
    <w:lvl w:ilvl="7" w:tplc="2E76E564" w:tentative="1">
      <w:start w:val="1"/>
      <w:numFmt w:val="bullet"/>
      <w:lvlText w:val=""/>
      <w:lvlJc w:val="left"/>
      <w:pPr>
        <w:tabs>
          <w:tab w:val="num" w:pos="5760"/>
        </w:tabs>
        <w:ind w:left="5760" w:hanging="360"/>
      </w:pPr>
      <w:rPr>
        <w:rFonts w:ascii="Wingdings 2" w:hAnsi="Wingdings 2" w:hint="default"/>
      </w:rPr>
    </w:lvl>
    <w:lvl w:ilvl="8" w:tplc="F3E67D52" w:tentative="1">
      <w:start w:val="1"/>
      <w:numFmt w:val="bullet"/>
      <w:lvlText w:val=""/>
      <w:lvlJc w:val="left"/>
      <w:pPr>
        <w:tabs>
          <w:tab w:val="num" w:pos="6480"/>
        </w:tabs>
        <w:ind w:left="6480" w:hanging="360"/>
      </w:pPr>
      <w:rPr>
        <w:rFonts w:ascii="Wingdings 2" w:hAnsi="Wingdings 2" w:hint="default"/>
      </w:rPr>
    </w:lvl>
  </w:abstractNum>
  <w:abstractNum w:abstractNumId="2">
    <w:nsid w:val="63586AF6"/>
    <w:multiLevelType w:val="hybridMultilevel"/>
    <w:tmpl w:val="408A7AC2"/>
    <w:lvl w:ilvl="0" w:tplc="FC2A5B90">
      <w:start w:val="1"/>
      <w:numFmt w:val="bullet"/>
      <w:lvlText w:val=""/>
      <w:lvlJc w:val="left"/>
      <w:pPr>
        <w:tabs>
          <w:tab w:val="num" w:pos="720"/>
        </w:tabs>
        <w:ind w:left="720" w:hanging="360"/>
      </w:pPr>
      <w:rPr>
        <w:rFonts w:ascii="Wingdings 2" w:hAnsi="Wingdings 2" w:hint="default"/>
      </w:rPr>
    </w:lvl>
    <w:lvl w:ilvl="1" w:tplc="2B9666B8" w:tentative="1">
      <w:start w:val="1"/>
      <w:numFmt w:val="bullet"/>
      <w:lvlText w:val=""/>
      <w:lvlJc w:val="left"/>
      <w:pPr>
        <w:tabs>
          <w:tab w:val="num" w:pos="1440"/>
        </w:tabs>
        <w:ind w:left="1440" w:hanging="360"/>
      </w:pPr>
      <w:rPr>
        <w:rFonts w:ascii="Wingdings 2" w:hAnsi="Wingdings 2" w:hint="default"/>
      </w:rPr>
    </w:lvl>
    <w:lvl w:ilvl="2" w:tplc="3C82910A" w:tentative="1">
      <w:start w:val="1"/>
      <w:numFmt w:val="bullet"/>
      <w:lvlText w:val=""/>
      <w:lvlJc w:val="left"/>
      <w:pPr>
        <w:tabs>
          <w:tab w:val="num" w:pos="2160"/>
        </w:tabs>
        <w:ind w:left="2160" w:hanging="360"/>
      </w:pPr>
      <w:rPr>
        <w:rFonts w:ascii="Wingdings 2" w:hAnsi="Wingdings 2" w:hint="default"/>
      </w:rPr>
    </w:lvl>
    <w:lvl w:ilvl="3" w:tplc="C11CF2DC" w:tentative="1">
      <w:start w:val="1"/>
      <w:numFmt w:val="bullet"/>
      <w:lvlText w:val=""/>
      <w:lvlJc w:val="left"/>
      <w:pPr>
        <w:tabs>
          <w:tab w:val="num" w:pos="2880"/>
        </w:tabs>
        <w:ind w:left="2880" w:hanging="360"/>
      </w:pPr>
      <w:rPr>
        <w:rFonts w:ascii="Wingdings 2" w:hAnsi="Wingdings 2" w:hint="default"/>
      </w:rPr>
    </w:lvl>
    <w:lvl w:ilvl="4" w:tplc="A7CCD096" w:tentative="1">
      <w:start w:val="1"/>
      <w:numFmt w:val="bullet"/>
      <w:lvlText w:val=""/>
      <w:lvlJc w:val="left"/>
      <w:pPr>
        <w:tabs>
          <w:tab w:val="num" w:pos="3600"/>
        </w:tabs>
        <w:ind w:left="3600" w:hanging="360"/>
      </w:pPr>
      <w:rPr>
        <w:rFonts w:ascii="Wingdings 2" w:hAnsi="Wingdings 2" w:hint="default"/>
      </w:rPr>
    </w:lvl>
    <w:lvl w:ilvl="5" w:tplc="B5421F8A" w:tentative="1">
      <w:start w:val="1"/>
      <w:numFmt w:val="bullet"/>
      <w:lvlText w:val=""/>
      <w:lvlJc w:val="left"/>
      <w:pPr>
        <w:tabs>
          <w:tab w:val="num" w:pos="4320"/>
        </w:tabs>
        <w:ind w:left="4320" w:hanging="360"/>
      </w:pPr>
      <w:rPr>
        <w:rFonts w:ascii="Wingdings 2" w:hAnsi="Wingdings 2" w:hint="default"/>
      </w:rPr>
    </w:lvl>
    <w:lvl w:ilvl="6" w:tplc="46AA5812" w:tentative="1">
      <w:start w:val="1"/>
      <w:numFmt w:val="bullet"/>
      <w:lvlText w:val=""/>
      <w:lvlJc w:val="left"/>
      <w:pPr>
        <w:tabs>
          <w:tab w:val="num" w:pos="5040"/>
        </w:tabs>
        <w:ind w:left="5040" w:hanging="360"/>
      </w:pPr>
      <w:rPr>
        <w:rFonts w:ascii="Wingdings 2" w:hAnsi="Wingdings 2" w:hint="default"/>
      </w:rPr>
    </w:lvl>
    <w:lvl w:ilvl="7" w:tplc="2D4AF280" w:tentative="1">
      <w:start w:val="1"/>
      <w:numFmt w:val="bullet"/>
      <w:lvlText w:val=""/>
      <w:lvlJc w:val="left"/>
      <w:pPr>
        <w:tabs>
          <w:tab w:val="num" w:pos="5760"/>
        </w:tabs>
        <w:ind w:left="5760" w:hanging="360"/>
      </w:pPr>
      <w:rPr>
        <w:rFonts w:ascii="Wingdings 2" w:hAnsi="Wingdings 2" w:hint="default"/>
      </w:rPr>
    </w:lvl>
    <w:lvl w:ilvl="8" w:tplc="B0869B9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283"/>
  <w:characterSpacingControl w:val="doNotCompress"/>
  <w:footnotePr>
    <w:footnote w:id="-1"/>
    <w:footnote w:id="0"/>
  </w:footnotePr>
  <w:endnotePr>
    <w:endnote w:id="-1"/>
    <w:endnote w:id="0"/>
  </w:endnotePr>
  <w:compat/>
  <w:rsids>
    <w:rsidRoot w:val="00B530CA"/>
    <w:rsid w:val="000214D9"/>
    <w:rsid w:val="000A7D2F"/>
    <w:rsid w:val="000F1A28"/>
    <w:rsid w:val="001813CA"/>
    <w:rsid w:val="00181F1E"/>
    <w:rsid w:val="001834F7"/>
    <w:rsid w:val="00193529"/>
    <w:rsid w:val="001A5566"/>
    <w:rsid w:val="001D22AF"/>
    <w:rsid w:val="00246D21"/>
    <w:rsid w:val="00256084"/>
    <w:rsid w:val="002B3E80"/>
    <w:rsid w:val="002F1032"/>
    <w:rsid w:val="0034760F"/>
    <w:rsid w:val="003945CD"/>
    <w:rsid w:val="003A12CE"/>
    <w:rsid w:val="003A7C17"/>
    <w:rsid w:val="003B0170"/>
    <w:rsid w:val="003D46E7"/>
    <w:rsid w:val="00437DF4"/>
    <w:rsid w:val="00442E85"/>
    <w:rsid w:val="00460774"/>
    <w:rsid w:val="00473412"/>
    <w:rsid w:val="00483FD9"/>
    <w:rsid w:val="004D2ADB"/>
    <w:rsid w:val="004E1418"/>
    <w:rsid w:val="005A21A2"/>
    <w:rsid w:val="005D3E16"/>
    <w:rsid w:val="0062753D"/>
    <w:rsid w:val="006643E1"/>
    <w:rsid w:val="006A14CE"/>
    <w:rsid w:val="006B1CE1"/>
    <w:rsid w:val="006C5905"/>
    <w:rsid w:val="006F41AB"/>
    <w:rsid w:val="00725A00"/>
    <w:rsid w:val="0077292E"/>
    <w:rsid w:val="00880ACA"/>
    <w:rsid w:val="008A23C6"/>
    <w:rsid w:val="008C34BB"/>
    <w:rsid w:val="008D4923"/>
    <w:rsid w:val="00986F96"/>
    <w:rsid w:val="009B500A"/>
    <w:rsid w:val="009F4C75"/>
    <w:rsid w:val="00A16AE9"/>
    <w:rsid w:val="00A17DE3"/>
    <w:rsid w:val="00A2478B"/>
    <w:rsid w:val="00A93085"/>
    <w:rsid w:val="00A95103"/>
    <w:rsid w:val="00AA7B1B"/>
    <w:rsid w:val="00AE70C8"/>
    <w:rsid w:val="00B530CA"/>
    <w:rsid w:val="00B60A21"/>
    <w:rsid w:val="00B668C5"/>
    <w:rsid w:val="00B72662"/>
    <w:rsid w:val="00BE1FC1"/>
    <w:rsid w:val="00BF0C78"/>
    <w:rsid w:val="00BF6EB1"/>
    <w:rsid w:val="00C56B03"/>
    <w:rsid w:val="00C61B99"/>
    <w:rsid w:val="00C63083"/>
    <w:rsid w:val="00C92778"/>
    <w:rsid w:val="00CD663D"/>
    <w:rsid w:val="00D060FE"/>
    <w:rsid w:val="00D13497"/>
    <w:rsid w:val="00D23F14"/>
    <w:rsid w:val="00D61001"/>
    <w:rsid w:val="00DA155D"/>
    <w:rsid w:val="00E16CB6"/>
    <w:rsid w:val="00E22D83"/>
    <w:rsid w:val="00E57F39"/>
    <w:rsid w:val="00E64D26"/>
    <w:rsid w:val="00E85B48"/>
    <w:rsid w:val="00E86CDE"/>
    <w:rsid w:val="00EA1930"/>
    <w:rsid w:val="00ED0C11"/>
    <w:rsid w:val="00F136F8"/>
    <w:rsid w:val="00F452C6"/>
    <w:rsid w:val="00F520B9"/>
    <w:rsid w:val="00F60941"/>
    <w:rsid w:val="00F70DC1"/>
    <w:rsid w:val="00F76EF6"/>
    <w:rsid w:val="00FD022A"/>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4" type="connector" idref="#_x0000_s1029"/>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20B9"/>
    <w:pPr>
      <w:spacing w:after="0" w:line="360" w:lineRule="auto"/>
      <w:jc w:val="both"/>
    </w:pPr>
    <w:rPr>
      <w:rFonts w:ascii="Times New Roman" w:hAnsi="Times New Roman" w:cs="Times New Roman"/>
      <w:sz w:val="24"/>
    </w:rPr>
  </w:style>
  <w:style w:type="paragraph" w:styleId="Titolo1">
    <w:name w:val="heading 1"/>
    <w:basedOn w:val="Normale"/>
    <w:next w:val="Normale"/>
    <w:link w:val="Titolo1Carattere"/>
    <w:uiPriority w:val="9"/>
    <w:qFormat/>
    <w:rsid w:val="000214D9"/>
    <w:pPr>
      <w:keepNext/>
      <w:keepLines/>
      <w:spacing w:before="120" w:after="120"/>
      <w:outlineLvl w:val="0"/>
    </w:pPr>
    <w:rPr>
      <w:rFonts w:eastAsiaTheme="majorEastAsia"/>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E1418"/>
    <w:rPr>
      <w:b/>
      <w:bCs/>
    </w:rPr>
  </w:style>
  <w:style w:type="character" w:customStyle="1" w:styleId="Titolo1Carattere">
    <w:name w:val="Titolo 1 Carattere"/>
    <w:basedOn w:val="Carpredefinitoparagrafo"/>
    <w:link w:val="Titolo1"/>
    <w:uiPriority w:val="9"/>
    <w:rsid w:val="000214D9"/>
    <w:rPr>
      <w:rFonts w:ascii="Times New Roman" w:eastAsiaTheme="majorEastAsia" w:hAnsi="Times New Roman" w:cs="Times New Roman"/>
      <w:b/>
      <w:bCs/>
      <w:sz w:val="28"/>
      <w:szCs w:val="28"/>
    </w:rPr>
  </w:style>
  <w:style w:type="paragraph" w:styleId="Intestazione">
    <w:name w:val="header"/>
    <w:basedOn w:val="Normale"/>
    <w:link w:val="IntestazioneCarattere"/>
    <w:uiPriority w:val="99"/>
    <w:semiHidden/>
    <w:unhideWhenUsed/>
    <w:rsid w:val="005A21A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5A21A2"/>
    <w:rPr>
      <w:rFonts w:ascii="Times New Roman" w:hAnsi="Times New Roman" w:cs="Times New Roman"/>
      <w:sz w:val="24"/>
    </w:rPr>
  </w:style>
  <w:style w:type="paragraph" w:styleId="Pidipagina">
    <w:name w:val="footer"/>
    <w:basedOn w:val="Normale"/>
    <w:link w:val="PidipaginaCarattere"/>
    <w:uiPriority w:val="99"/>
    <w:unhideWhenUsed/>
    <w:rsid w:val="005A21A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A21A2"/>
    <w:rPr>
      <w:rFonts w:ascii="Times New Roman" w:hAnsi="Times New Roman" w:cs="Times New Roman"/>
      <w:sz w:val="24"/>
    </w:rPr>
  </w:style>
  <w:style w:type="paragraph" w:styleId="Testonotaapidipagina">
    <w:name w:val="footnote text"/>
    <w:basedOn w:val="Normale"/>
    <w:link w:val="TestonotaapidipaginaCarattere"/>
    <w:qFormat/>
    <w:rsid w:val="00F520B9"/>
    <w:pPr>
      <w:spacing w:line="240" w:lineRule="auto"/>
    </w:pPr>
    <w:rPr>
      <w:rFonts w:eastAsiaTheme="minorEastAsia" w:cstheme="minorBidi"/>
      <w:sz w:val="18"/>
      <w:szCs w:val="18"/>
      <w:lang w:eastAsia="zh-TW" w:bidi="he-IL"/>
    </w:rPr>
  </w:style>
  <w:style w:type="character" w:customStyle="1" w:styleId="TestonotaapidipaginaCarattere">
    <w:name w:val="Testo nota a piè di pagina Carattere"/>
    <w:basedOn w:val="Carpredefinitoparagrafo"/>
    <w:link w:val="Testonotaapidipagina"/>
    <w:rsid w:val="00F520B9"/>
    <w:rPr>
      <w:rFonts w:ascii="Times New Roman" w:eastAsiaTheme="minorEastAsia" w:hAnsi="Times New Roman"/>
      <w:sz w:val="18"/>
      <w:szCs w:val="18"/>
      <w:lang w:eastAsia="zh-TW" w:bidi="he-IL"/>
    </w:rPr>
  </w:style>
  <w:style w:type="character" w:styleId="Rimandonotaapidipagina">
    <w:name w:val="footnote reference"/>
    <w:basedOn w:val="Carpredefinitoparagrafo"/>
    <w:rsid w:val="005A21A2"/>
    <w:rPr>
      <w:vertAlign w:val="superscript"/>
    </w:rPr>
  </w:style>
  <w:style w:type="paragraph" w:customStyle="1" w:styleId="grabit-nota">
    <w:name w:val="grabit-nota"/>
    <w:basedOn w:val="Normale"/>
    <w:next w:val="Normale"/>
    <w:link w:val="grabit-notaCarattereCarattere"/>
    <w:rsid w:val="005A21A2"/>
    <w:pPr>
      <w:spacing w:before="60" w:after="60" w:line="240" w:lineRule="auto"/>
      <w:jc w:val="left"/>
    </w:pPr>
    <w:rPr>
      <w:rFonts w:ascii="Arial" w:eastAsia="Times New Roman" w:hAnsi="Arial"/>
      <w:sz w:val="14"/>
      <w:lang w:val="en-GB" w:eastAsia="de-DE"/>
    </w:rPr>
  </w:style>
  <w:style w:type="character" w:customStyle="1" w:styleId="grabit-notaCarattereCarattere">
    <w:name w:val="grabit-nota Carattere Carattere"/>
    <w:link w:val="grabit-nota"/>
    <w:rsid w:val="005A21A2"/>
    <w:rPr>
      <w:rFonts w:ascii="Arial" w:eastAsia="Times New Roman" w:hAnsi="Arial" w:cs="Times New Roman"/>
      <w:sz w:val="14"/>
      <w:lang w:val="en-GB" w:eastAsia="de-DE"/>
    </w:rPr>
  </w:style>
  <w:style w:type="paragraph" w:customStyle="1" w:styleId="grabittestotabella">
    <w:name w:val="grabit_testo tabella"/>
    <w:basedOn w:val="Normale"/>
    <w:next w:val="Normale"/>
    <w:link w:val="grabittestotabellaCarattereCarattere"/>
    <w:rsid w:val="002F1032"/>
    <w:pPr>
      <w:spacing w:before="20" w:after="20" w:line="240" w:lineRule="auto"/>
      <w:jc w:val="left"/>
    </w:pPr>
    <w:rPr>
      <w:rFonts w:ascii="Arial" w:eastAsia="Times New Roman" w:hAnsi="Arial"/>
      <w:sz w:val="14"/>
      <w:szCs w:val="14"/>
      <w:lang w:val="en-GB" w:eastAsia="de-DE"/>
    </w:rPr>
  </w:style>
  <w:style w:type="character" w:customStyle="1" w:styleId="grabittestotabellaCarattereCarattere">
    <w:name w:val="grabit_testo tabella Carattere Carattere"/>
    <w:link w:val="grabittestotabella"/>
    <w:rsid w:val="002F1032"/>
    <w:rPr>
      <w:rFonts w:ascii="Arial" w:eastAsia="Times New Roman" w:hAnsi="Arial" w:cs="Times New Roman"/>
      <w:sz w:val="14"/>
      <w:szCs w:val="14"/>
      <w:lang w:val="en-GB" w:eastAsia="de-DE"/>
    </w:rPr>
  </w:style>
  <w:style w:type="paragraph" w:styleId="Didascalia">
    <w:name w:val="caption"/>
    <w:basedOn w:val="Normale"/>
    <w:next w:val="Normale"/>
    <w:uiPriority w:val="35"/>
    <w:unhideWhenUsed/>
    <w:qFormat/>
    <w:rsid w:val="002F1032"/>
    <w:pPr>
      <w:spacing w:after="200" w:line="240" w:lineRule="auto"/>
      <w:jc w:val="left"/>
    </w:pPr>
    <w:rPr>
      <w:rFonts w:asciiTheme="minorHAnsi" w:eastAsiaTheme="minorEastAsia" w:hAnsiTheme="minorHAnsi" w:cstheme="minorBidi"/>
      <w:b/>
      <w:bCs/>
      <w:color w:val="4F81BD" w:themeColor="accent1"/>
      <w:sz w:val="18"/>
      <w:szCs w:val="18"/>
      <w:lang w:eastAsia="zh-TW" w:bidi="he-IL"/>
    </w:rPr>
  </w:style>
  <w:style w:type="table" w:styleId="Grigliatabella">
    <w:name w:val="Table Grid"/>
    <w:basedOn w:val="Tabellanormale"/>
    <w:uiPriority w:val="59"/>
    <w:rsid w:val="00A17DE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37DF4"/>
    <w:pPr>
      <w:spacing w:after="200" w:line="276" w:lineRule="auto"/>
      <w:ind w:left="720"/>
      <w:contextualSpacing/>
      <w:jc w:val="left"/>
    </w:pPr>
    <w:rPr>
      <w:rFonts w:asciiTheme="minorHAnsi" w:eastAsiaTheme="minorEastAsia" w:hAnsiTheme="minorHAnsi" w:cstheme="minorBidi"/>
      <w:sz w:val="22"/>
      <w:lang w:eastAsia="zh-TW" w:bidi="he-IL"/>
    </w:rPr>
  </w:style>
  <w:style w:type="paragraph" w:styleId="Testofumetto">
    <w:name w:val="Balloon Text"/>
    <w:basedOn w:val="Normale"/>
    <w:link w:val="TestofumettoCarattere"/>
    <w:uiPriority w:val="99"/>
    <w:semiHidden/>
    <w:unhideWhenUsed/>
    <w:rsid w:val="00E64D2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4D26"/>
    <w:rPr>
      <w:rFonts w:ascii="Tahoma" w:hAnsi="Tahoma" w:cs="Tahoma"/>
      <w:sz w:val="16"/>
      <w:szCs w:val="16"/>
    </w:rPr>
  </w:style>
  <w:style w:type="character" w:styleId="Collegamentoipertestuale">
    <w:name w:val="Hyperlink"/>
    <w:basedOn w:val="Carpredefinitoparagrafo"/>
    <w:uiPriority w:val="99"/>
    <w:unhideWhenUsed/>
    <w:rsid w:val="00A951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0F177-7681-47C1-A312-F81C5D42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1881</Words>
  <Characters>10723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Columba</dc:creator>
  <cp:lastModifiedBy>Ylenia Oliveri</cp:lastModifiedBy>
  <cp:revision>9</cp:revision>
  <dcterms:created xsi:type="dcterms:W3CDTF">2012-10-16T10:57:00Z</dcterms:created>
  <dcterms:modified xsi:type="dcterms:W3CDTF">2012-11-19T09:55:00Z</dcterms:modified>
</cp:coreProperties>
</file>