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2A13ED" w14:textId="0214BC80" w:rsidR="00DB7A46" w:rsidRDefault="004D7799" w:rsidP="00407861">
      <w:pPr>
        <w:pStyle w:val="ListParagraph"/>
        <w:spacing w:beforeAutospacing="1"/>
        <w:jc w:val="center"/>
        <w:rPr>
          <w:rFonts w:ascii="Times" w:hAnsi="Times"/>
        </w:rPr>
      </w:pPr>
      <w:r w:rsidRPr="00D22AA7">
        <w:rPr>
          <w:rFonts w:ascii="Times" w:hAnsi="Times"/>
        </w:rPr>
        <w:fldChar w:fldCharType="begin"/>
      </w:r>
      <w:r w:rsidRPr="00D22AA7">
        <w:rPr>
          <w:rFonts w:ascii="Times" w:hAnsi="Times"/>
        </w:rPr>
        <w:instrText xml:space="preserve"> INCLUDEPICTURE "https://encrypted-tbn0.gstatic.com/images?q=tbn:ANd9GcQoo2T-DEq37z2uxBFiFZQ0eQ8B8q-ZCk0FhG4wluQJcQqNLmA3jT5TOD8f-z6yCE9d1Do&amp;usqp=CAU" \* MERGEFORMATINET </w:instrText>
      </w:r>
      <w:r w:rsidRPr="00D22AA7">
        <w:rPr>
          <w:rFonts w:ascii="Times" w:hAnsi="Times"/>
        </w:rPr>
        <w:fldChar w:fldCharType="separate"/>
      </w:r>
      <w:r w:rsidRPr="00D22AA7">
        <w:rPr>
          <w:rFonts w:ascii="Times" w:hAnsi="Times"/>
          <w:noProof/>
        </w:rPr>
        <w:drawing>
          <wp:inline distT="0" distB="0" distL="0" distR="0" wp14:anchorId="796820D3" wp14:editId="2AC045E6">
            <wp:extent cx="1235413" cy="1235413"/>
            <wp:effectExtent l="0" t="0" r="0" b="0"/>
            <wp:docPr id="2093435204" name="Picture 12" descr="Università degli Studi di Paler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Università degli Studi di Palerm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4344" cy="1254344"/>
                    </a:xfrm>
                    <a:prstGeom prst="rect">
                      <a:avLst/>
                    </a:prstGeom>
                    <a:noFill/>
                    <a:ln>
                      <a:noFill/>
                    </a:ln>
                  </pic:spPr>
                </pic:pic>
              </a:graphicData>
            </a:graphic>
          </wp:inline>
        </w:drawing>
      </w:r>
      <w:r w:rsidRPr="00D22AA7">
        <w:rPr>
          <w:rFonts w:ascii="Times" w:hAnsi="Times"/>
        </w:rPr>
        <w:fldChar w:fldCharType="end"/>
      </w:r>
    </w:p>
    <w:p w14:paraId="2380B312" w14:textId="77777777" w:rsidR="00407861" w:rsidRDefault="00407861" w:rsidP="00407861">
      <w:pPr>
        <w:pStyle w:val="ListParagraph"/>
        <w:spacing w:beforeAutospacing="1"/>
        <w:jc w:val="center"/>
        <w:rPr>
          <w:rFonts w:ascii="Times" w:hAnsi="Times"/>
        </w:rPr>
      </w:pPr>
    </w:p>
    <w:p w14:paraId="7F0C5508" w14:textId="6311E46E" w:rsidR="00407861" w:rsidRPr="007F381F" w:rsidRDefault="00407861" w:rsidP="00407861">
      <w:pPr>
        <w:pStyle w:val="ListParagraph"/>
        <w:spacing w:beforeAutospacing="1"/>
        <w:jc w:val="center"/>
        <w:rPr>
          <w:rFonts w:ascii="Times" w:hAnsi="Times" w:cs="Arial"/>
          <w:b/>
          <w:bCs/>
          <w:color w:val="000000" w:themeColor="text1"/>
          <w:sz w:val="32"/>
          <w:szCs w:val="32"/>
          <w:lang w:val="it-IT"/>
        </w:rPr>
      </w:pPr>
      <w:r w:rsidRPr="007F381F">
        <w:rPr>
          <w:rFonts w:ascii="Times" w:hAnsi="Times"/>
          <w:b/>
          <w:bCs/>
          <w:sz w:val="32"/>
          <w:szCs w:val="32"/>
          <w:lang w:val="it-IT"/>
        </w:rPr>
        <w:t>UNIVERSITA DEGLI STUDI DI PALERMO</w:t>
      </w:r>
    </w:p>
    <w:p w14:paraId="43065C23" w14:textId="77777777" w:rsidR="00DB7A46" w:rsidRPr="007F381F" w:rsidRDefault="00DB7A46" w:rsidP="00407861">
      <w:pPr>
        <w:pStyle w:val="ListParagraph"/>
        <w:spacing w:beforeAutospacing="1"/>
        <w:jc w:val="center"/>
        <w:rPr>
          <w:rFonts w:ascii="Times" w:hAnsi="Times" w:cs="Arial"/>
          <w:b/>
          <w:bCs/>
          <w:color w:val="000000" w:themeColor="text1"/>
          <w:lang w:val="it-IT"/>
        </w:rPr>
      </w:pPr>
    </w:p>
    <w:p w14:paraId="17E9B958" w14:textId="6C552D52" w:rsidR="00DB7A46" w:rsidRPr="007F381F" w:rsidRDefault="00412E6C" w:rsidP="00407861">
      <w:pPr>
        <w:pStyle w:val="ListParagraph"/>
        <w:spacing w:beforeAutospacing="1"/>
        <w:jc w:val="center"/>
        <w:rPr>
          <w:rFonts w:ascii="Times" w:hAnsi="Times" w:cs="Arial"/>
          <w:b/>
          <w:bCs/>
          <w:color w:val="000000" w:themeColor="text1"/>
          <w:lang w:val="it-IT"/>
        </w:rPr>
      </w:pPr>
      <w:r w:rsidRPr="007F381F">
        <w:rPr>
          <w:rFonts w:ascii="Times" w:hAnsi="Times" w:cs="Arial"/>
          <w:b/>
          <w:bCs/>
          <w:color w:val="000000" w:themeColor="text1"/>
          <w:lang w:val="it-IT"/>
        </w:rPr>
        <w:t>Dottorato di Ricerca in MEDICINA MOLECOLARE E CLINICA</w:t>
      </w:r>
    </w:p>
    <w:p w14:paraId="3FE35DB4" w14:textId="4FF8A594" w:rsidR="00412E6C" w:rsidRPr="007F381F" w:rsidRDefault="00412E6C" w:rsidP="00407861">
      <w:pPr>
        <w:pStyle w:val="ListParagraph"/>
        <w:spacing w:beforeAutospacing="1"/>
        <w:jc w:val="center"/>
        <w:rPr>
          <w:rFonts w:ascii="Times" w:hAnsi="Times" w:cs="Arial"/>
          <w:b/>
          <w:bCs/>
          <w:color w:val="000000" w:themeColor="text1"/>
          <w:lang w:val="it-IT"/>
        </w:rPr>
      </w:pPr>
      <w:r w:rsidRPr="007F381F">
        <w:rPr>
          <w:rFonts w:ascii="Times" w:hAnsi="Times" w:cs="Arial"/>
          <w:b/>
          <w:bCs/>
          <w:color w:val="000000" w:themeColor="text1"/>
          <w:lang w:val="it-IT"/>
        </w:rPr>
        <w:t>Dipartimenti Promozione della Salute, Materno-Infantile, di Medicina Interna e Specialistica di Eccellenza “G. D’Alessandro</w:t>
      </w:r>
    </w:p>
    <w:p w14:paraId="28DE019A" w14:textId="77777777" w:rsidR="00DB7A46" w:rsidRPr="007F381F" w:rsidRDefault="00DB7A46" w:rsidP="00407861">
      <w:pPr>
        <w:pStyle w:val="ListParagraph"/>
        <w:spacing w:beforeAutospacing="1"/>
        <w:jc w:val="center"/>
        <w:rPr>
          <w:rFonts w:ascii="Times" w:hAnsi="Times" w:cs="Arial"/>
          <w:b/>
          <w:bCs/>
          <w:color w:val="000000" w:themeColor="text1"/>
          <w:lang w:val="it-IT"/>
        </w:rPr>
      </w:pPr>
    </w:p>
    <w:p w14:paraId="058C3410" w14:textId="27815256" w:rsidR="00DB7A46" w:rsidRPr="007F381F" w:rsidRDefault="00DB7A46" w:rsidP="00407861">
      <w:pPr>
        <w:pStyle w:val="ListParagraph"/>
        <w:spacing w:beforeAutospacing="1"/>
        <w:jc w:val="center"/>
        <w:rPr>
          <w:rFonts w:ascii="Times" w:hAnsi="Times" w:cs="Arial"/>
          <w:b/>
          <w:bCs/>
          <w:color w:val="000000" w:themeColor="text1"/>
          <w:lang w:val="it-IT"/>
        </w:rPr>
      </w:pPr>
    </w:p>
    <w:p w14:paraId="550DE536" w14:textId="6F9B3FEB" w:rsidR="00DB7A46" w:rsidRPr="007F381F" w:rsidRDefault="00DB7A46" w:rsidP="00407861">
      <w:pPr>
        <w:pStyle w:val="ListParagraph"/>
        <w:spacing w:beforeAutospacing="1"/>
        <w:jc w:val="center"/>
        <w:rPr>
          <w:rFonts w:ascii="Times" w:hAnsi="Times" w:cs="Arial"/>
          <w:b/>
          <w:bCs/>
          <w:color w:val="000000" w:themeColor="text1"/>
          <w:lang w:val="it-IT"/>
        </w:rPr>
      </w:pPr>
    </w:p>
    <w:p w14:paraId="744B5F39" w14:textId="77777777" w:rsidR="00DB7A46" w:rsidRPr="007F381F" w:rsidRDefault="00DB7A46" w:rsidP="00407861">
      <w:pPr>
        <w:pStyle w:val="ListParagraph"/>
        <w:spacing w:beforeAutospacing="1"/>
        <w:jc w:val="center"/>
        <w:rPr>
          <w:rFonts w:ascii="Times" w:hAnsi="Times" w:cs="Arial"/>
          <w:b/>
          <w:bCs/>
          <w:color w:val="000000" w:themeColor="text1"/>
          <w:lang w:val="it-IT"/>
        </w:rPr>
      </w:pPr>
    </w:p>
    <w:p w14:paraId="776E10CE" w14:textId="77777777" w:rsidR="00DB7A46" w:rsidRPr="007F381F" w:rsidRDefault="00DB7A46" w:rsidP="00407861">
      <w:pPr>
        <w:pStyle w:val="ListParagraph"/>
        <w:spacing w:beforeAutospacing="1"/>
        <w:jc w:val="center"/>
        <w:rPr>
          <w:rFonts w:ascii="Times" w:hAnsi="Times" w:cs="Arial"/>
          <w:b/>
          <w:bCs/>
          <w:color w:val="000000" w:themeColor="text1"/>
          <w:lang w:val="it-IT"/>
        </w:rPr>
      </w:pPr>
    </w:p>
    <w:p w14:paraId="4F7369E6" w14:textId="02CD9637" w:rsidR="004D7799" w:rsidRPr="00D22AA7" w:rsidRDefault="004D7799" w:rsidP="00407861">
      <w:pPr>
        <w:pStyle w:val="ListParagraph"/>
        <w:spacing w:beforeAutospacing="1"/>
        <w:jc w:val="center"/>
        <w:rPr>
          <w:rFonts w:ascii="Times" w:hAnsi="Times" w:cs="Arial"/>
          <w:b/>
          <w:bCs/>
          <w:color w:val="000000" w:themeColor="text1"/>
        </w:rPr>
      </w:pPr>
      <w:r w:rsidRPr="00D22AA7">
        <w:rPr>
          <w:rFonts w:ascii="Times" w:hAnsi="Times" w:cs="Arial"/>
          <w:b/>
          <w:bCs/>
          <w:color w:val="000000" w:themeColor="text1"/>
        </w:rPr>
        <w:t>ARTIFICIAL INTELLIGENCE-BASED ANALYSIS OF THE ANTI-ARTHRITIC ACTIVITY OF POLYPHENOLS IN RHEUMATOID ARTHRITIS CELLULAR MODE</w:t>
      </w:r>
      <w:r w:rsidR="003A2691">
        <w:rPr>
          <w:rFonts w:ascii="Times" w:hAnsi="Times" w:cs="Arial"/>
          <w:b/>
          <w:bCs/>
          <w:color w:val="000000" w:themeColor="text1"/>
        </w:rPr>
        <w:t>L</w:t>
      </w:r>
    </w:p>
    <w:p w14:paraId="5B2C60EA" w14:textId="77777777" w:rsidR="00DB7A46" w:rsidRPr="00D22AA7" w:rsidRDefault="00DB7A46" w:rsidP="00407861">
      <w:pPr>
        <w:pStyle w:val="ListParagraph"/>
        <w:spacing w:beforeAutospacing="1"/>
        <w:jc w:val="center"/>
        <w:rPr>
          <w:rFonts w:ascii="Times" w:hAnsi="Times" w:cs="Arial"/>
          <w:b/>
          <w:bCs/>
          <w:color w:val="000000" w:themeColor="text1"/>
        </w:rPr>
      </w:pPr>
    </w:p>
    <w:p w14:paraId="12BAC4FB" w14:textId="77777777" w:rsidR="00DB7A46" w:rsidRPr="00D22AA7" w:rsidRDefault="00DB7A46" w:rsidP="00407861">
      <w:pPr>
        <w:pStyle w:val="ListParagraph"/>
        <w:spacing w:beforeAutospacing="1"/>
        <w:jc w:val="center"/>
        <w:rPr>
          <w:rFonts w:ascii="Times" w:hAnsi="Times" w:cs="Arial"/>
          <w:b/>
          <w:bCs/>
          <w:color w:val="000000" w:themeColor="text1"/>
        </w:rPr>
      </w:pPr>
    </w:p>
    <w:p w14:paraId="464F0875" w14:textId="77777777" w:rsidR="00DB7A46" w:rsidRPr="00D22AA7" w:rsidRDefault="00DB7A46" w:rsidP="00407861">
      <w:pPr>
        <w:pStyle w:val="ListParagraph"/>
        <w:spacing w:beforeAutospacing="1"/>
        <w:jc w:val="center"/>
        <w:rPr>
          <w:rFonts w:ascii="Times" w:hAnsi="Times" w:cs="Arial"/>
          <w:b/>
          <w:bCs/>
          <w:color w:val="000000" w:themeColor="text1"/>
        </w:rPr>
      </w:pPr>
    </w:p>
    <w:p w14:paraId="750FAE72" w14:textId="19B8593B" w:rsidR="004D7799" w:rsidRPr="004D7799" w:rsidRDefault="004D7799" w:rsidP="00407861">
      <w:pPr>
        <w:pStyle w:val="ListParagraph"/>
        <w:spacing w:beforeAutospacing="1"/>
        <w:jc w:val="center"/>
        <w:rPr>
          <w:rFonts w:ascii="Times" w:hAnsi="Times" w:cs="Arial"/>
          <w:b/>
          <w:bCs/>
          <w:color w:val="000000" w:themeColor="text1"/>
        </w:rPr>
      </w:pPr>
    </w:p>
    <w:p w14:paraId="7B5492C5" w14:textId="77777777" w:rsidR="00DB7A46" w:rsidRPr="00D22AA7" w:rsidRDefault="00DB7A46" w:rsidP="00407861">
      <w:pPr>
        <w:pStyle w:val="ListParagraph"/>
        <w:spacing w:beforeAutospacing="1"/>
        <w:jc w:val="center"/>
        <w:rPr>
          <w:rFonts w:ascii="Times" w:hAnsi="Times" w:cs="Arial"/>
          <w:b/>
          <w:bCs/>
          <w:color w:val="000000" w:themeColor="text1"/>
        </w:rPr>
      </w:pPr>
    </w:p>
    <w:p w14:paraId="79FEC798" w14:textId="35F3BB36" w:rsidR="00DB7A46" w:rsidRPr="00D22AA7" w:rsidRDefault="00DB7A46" w:rsidP="00407861">
      <w:pPr>
        <w:pStyle w:val="ListParagraph"/>
        <w:tabs>
          <w:tab w:val="left" w:pos="8303"/>
        </w:tabs>
        <w:spacing w:beforeAutospacing="1"/>
        <w:jc w:val="center"/>
        <w:rPr>
          <w:rFonts w:ascii="Times" w:hAnsi="Times" w:cs="Arial"/>
          <w:b/>
          <w:bCs/>
          <w:color w:val="000000" w:themeColor="text1"/>
        </w:rPr>
      </w:pPr>
    </w:p>
    <w:p w14:paraId="1E03B45E" w14:textId="77777777" w:rsidR="00DB7A46" w:rsidRPr="00D22AA7" w:rsidRDefault="00DB7A46" w:rsidP="00407861">
      <w:pPr>
        <w:pStyle w:val="ListParagraph"/>
        <w:spacing w:beforeAutospacing="1"/>
        <w:jc w:val="center"/>
        <w:rPr>
          <w:rFonts w:ascii="Times" w:hAnsi="Times" w:cs="Arial"/>
          <w:b/>
          <w:bCs/>
          <w:color w:val="000000" w:themeColor="text1"/>
        </w:rPr>
      </w:pPr>
    </w:p>
    <w:p w14:paraId="09A420B8" w14:textId="77777777" w:rsidR="00DB7A46" w:rsidRPr="00D22AA7" w:rsidRDefault="00DB7A46" w:rsidP="00407861">
      <w:pPr>
        <w:pStyle w:val="ListParagraph"/>
        <w:spacing w:beforeAutospacing="1"/>
        <w:jc w:val="center"/>
        <w:rPr>
          <w:rFonts w:ascii="Times" w:hAnsi="Times" w:cs="Arial"/>
          <w:b/>
          <w:bCs/>
          <w:color w:val="000000" w:themeColor="text1"/>
        </w:rPr>
      </w:pPr>
    </w:p>
    <w:p w14:paraId="48CB9F81" w14:textId="6A6B9B29" w:rsidR="004D7799" w:rsidRPr="007F381F" w:rsidRDefault="00674759" w:rsidP="00674759">
      <w:pPr>
        <w:pStyle w:val="ListParagraph"/>
        <w:rPr>
          <w:rFonts w:ascii="Times" w:hAnsi="Times" w:cs="Arial"/>
          <w:b/>
          <w:bCs/>
          <w:color w:val="000000" w:themeColor="text1"/>
          <w:lang w:val="it-IT"/>
        </w:rPr>
      </w:pPr>
      <w:r>
        <w:rPr>
          <w:rFonts w:ascii="Times" w:hAnsi="Times" w:cs="Arial"/>
          <w:color w:val="000000" w:themeColor="text1"/>
        </w:rPr>
        <w:t xml:space="preserve">           </w:t>
      </w:r>
      <w:r w:rsidR="004D7799" w:rsidRPr="007F381F">
        <w:rPr>
          <w:rFonts w:ascii="Times" w:hAnsi="Times" w:cs="Arial"/>
          <w:color w:val="000000" w:themeColor="text1"/>
          <w:lang w:val="it-IT"/>
        </w:rPr>
        <w:t>IL DOTTORE</w:t>
      </w:r>
      <w:r w:rsidR="004D7799" w:rsidRPr="007F381F">
        <w:rPr>
          <w:rFonts w:ascii="Times" w:hAnsi="Times" w:cs="Arial"/>
          <w:b/>
          <w:bCs/>
          <w:color w:val="000000" w:themeColor="text1"/>
          <w:lang w:val="it-IT"/>
        </w:rPr>
        <w:t xml:space="preserve">                                                          </w:t>
      </w:r>
      <w:r w:rsidRPr="007F381F">
        <w:rPr>
          <w:rFonts w:ascii="Times" w:hAnsi="Times" w:cs="Arial"/>
          <w:b/>
          <w:bCs/>
          <w:color w:val="000000" w:themeColor="text1"/>
          <w:lang w:val="it-IT"/>
        </w:rPr>
        <w:t xml:space="preserve"> </w:t>
      </w:r>
      <w:r w:rsidR="004D7799" w:rsidRPr="007F381F">
        <w:rPr>
          <w:rFonts w:ascii="Times" w:hAnsi="Times" w:cs="Arial"/>
          <w:b/>
          <w:bCs/>
          <w:color w:val="000000" w:themeColor="text1"/>
          <w:lang w:val="it-IT"/>
        </w:rPr>
        <w:t xml:space="preserve"> </w:t>
      </w:r>
      <w:r w:rsidR="004D7799" w:rsidRPr="007F381F">
        <w:rPr>
          <w:rFonts w:ascii="Times" w:hAnsi="Times" w:cs="Arial"/>
          <w:color w:val="000000" w:themeColor="text1"/>
          <w:lang w:val="it-IT"/>
        </w:rPr>
        <w:t>IL COORDINATORE</w:t>
      </w:r>
    </w:p>
    <w:p w14:paraId="38E45AD0" w14:textId="7E89317C" w:rsidR="004D7799" w:rsidRPr="007F381F" w:rsidRDefault="00674759" w:rsidP="00407861">
      <w:pPr>
        <w:pStyle w:val="ListParagraph"/>
        <w:jc w:val="center"/>
        <w:rPr>
          <w:rFonts w:ascii="Times" w:hAnsi="Times" w:cs="Arial"/>
          <w:b/>
          <w:bCs/>
          <w:color w:val="000000" w:themeColor="text1"/>
          <w:lang w:val="it-IT"/>
        </w:rPr>
      </w:pPr>
      <w:r w:rsidRPr="007F381F">
        <w:rPr>
          <w:rFonts w:ascii="Times" w:hAnsi="Times" w:cs="Arial"/>
          <w:b/>
          <w:bCs/>
          <w:color w:val="000000" w:themeColor="text1"/>
          <w:lang w:val="it-IT"/>
        </w:rPr>
        <w:t xml:space="preserve">           </w:t>
      </w:r>
      <w:r w:rsidR="004D7799" w:rsidRPr="007F381F">
        <w:rPr>
          <w:rFonts w:ascii="Times" w:hAnsi="Times" w:cs="Arial"/>
          <w:b/>
          <w:bCs/>
          <w:color w:val="000000" w:themeColor="text1"/>
          <w:lang w:val="it-IT"/>
        </w:rPr>
        <w:t>D</w:t>
      </w:r>
      <w:r w:rsidR="00412E6C" w:rsidRPr="007F381F">
        <w:rPr>
          <w:rFonts w:ascii="Times" w:hAnsi="Times" w:cs="Arial"/>
          <w:b/>
          <w:bCs/>
          <w:color w:val="000000" w:themeColor="text1"/>
          <w:lang w:val="it-IT"/>
        </w:rPr>
        <w:t xml:space="preserve">ott. Muhammad Ali                                      </w:t>
      </w:r>
      <w:r w:rsidRPr="007F381F">
        <w:rPr>
          <w:rFonts w:ascii="Times" w:hAnsi="Times" w:cs="Arial"/>
          <w:b/>
          <w:bCs/>
          <w:color w:val="000000" w:themeColor="text1"/>
          <w:lang w:val="it-IT"/>
        </w:rPr>
        <w:t xml:space="preserve">  </w:t>
      </w:r>
      <w:r w:rsidR="00412E6C" w:rsidRPr="007F381F">
        <w:rPr>
          <w:rFonts w:ascii="Times" w:hAnsi="Times" w:cs="Arial"/>
          <w:b/>
          <w:bCs/>
          <w:color w:val="000000" w:themeColor="text1"/>
          <w:lang w:val="it-IT"/>
        </w:rPr>
        <w:t xml:space="preserve">  </w:t>
      </w:r>
      <w:r w:rsidRPr="007F381F">
        <w:rPr>
          <w:rFonts w:ascii="Times" w:hAnsi="Times" w:cs="Arial"/>
          <w:b/>
          <w:bCs/>
          <w:color w:val="000000" w:themeColor="text1"/>
          <w:lang w:val="it-IT"/>
        </w:rPr>
        <w:t xml:space="preserve">  </w:t>
      </w:r>
      <w:r w:rsidR="00412E6C" w:rsidRPr="007F381F">
        <w:rPr>
          <w:rFonts w:ascii="Times" w:hAnsi="Times" w:cs="Arial"/>
          <w:b/>
          <w:bCs/>
          <w:color w:val="000000" w:themeColor="text1"/>
          <w:lang w:val="it-IT"/>
        </w:rPr>
        <w:t xml:space="preserve">  Prof.</w:t>
      </w:r>
      <w:r w:rsidR="006305E8" w:rsidRPr="007F381F">
        <w:rPr>
          <w:rFonts w:ascii="Times" w:hAnsi="Times" w:cs="Arial"/>
          <w:b/>
          <w:bCs/>
          <w:color w:val="000000" w:themeColor="text1"/>
          <w:lang w:val="it-IT"/>
        </w:rPr>
        <w:t xml:space="preserve"> </w:t>
      </w:r>
      <w:proofErr w:type="spellStart"/>
      <w:r w:rsidR="00412E6C" w:rsidRPr="007F381F">
        <w:rPr>
          <w:rFonts w:ascii="Times" w:hAnsi="Times" w:cs="Arial"/>
          <w:b/>
          <w:bCs/>
          <w:color w:val="000000" w:themeColor="text1"/>
          <w:lang w:val="it-IT"/>
        </w:rPr>
        <w:t>AntoninoTuttolomondo</w:t>
      </w:r>
      <w:proofErr w:type="spellEnd"/>
    </w:p>
    <w:p w14:paraId="143CBF71" w14:textId="77777777" w:rsidR="004D7799" w:rsidRPr="007F381F" w:rsidRDefault="004D7799" w:rsidP="00407861">
      <w:pPr>
        <w:pStyle w:val="ListParagraph"/>
        <w:jc w:val="center"/>
        <w:rPr>
          <w:rFonts w:ascii="Times" w:hAnsi="Times" w:cs="Arial"/>
          <w:b/>
          <w:bCs/>
          <w:color w:val="000000" w:themeColor="text1"/>
          <w:lang w:val="it-IT"/>
        </w:rPr>
      </w:pPr>
    </w:p>
    <w:p w14:paraId="1A43CB18" w14:textId="77777777" w:rsidR="004D7799" w:rsidRPr="007F381F" w:rsidRDefault="004D7799" w:rsidP="00407861">
      <w:pPr>
        <w:pStyle w:val="ListParagraph"/>
        <w:jc w:val="center"/>
        <w:rPr>
          <w:rFonts w:ascii="Times" w:hAnsi="Times" w:cs="Arial"/>
          <w:b/>
          <w:bCs/>
          <w:color w:val="000000" w:themeColor="text1"/>
          <w:lang w:val="it-IT"/>
        </w:rPr>
      </w:pPr>
    </w:p>
    <w:p w14:paraId="7F5DEC6F" w14:textId="77777777" w:rsidR="004D7799" w:rsidRPr="007F381F" w:rsidRDefault="004D7799" w:rsidP="00407861">
      <w:pPr>
        <w:pStyle w:val="ListParagraph"/>
        <w:jc w:val="center"/>
        <w:rPr>
          <w:rFonts w:ascii="Times" w:hAnsi="Times" w:cs="Arial"/>
          <w:b/>
          <w:bCs/>
          <w:color w:val="000000" w:themeColor="text1"/>
          <w:lang w:val="it-IT"/>
        </w:rPr>
      </w:pPr>
    </w:p>
    <w:p w14:paraId="438CD996" w14:textId="77777777" w:rsidR="004D7799" w:rsidRPr="007F381F" w:rsidRDefault="004D7799" w:rsidP="00407861">
      <w:pPr>
        <w:pStyle w:val="ListParagraph"/>
        <w:jc w:val="center"/>
        <w:rPr>
          <w:rFonts w:ascii="Times" w:hAnsi="Times" w:cs="Arial"/>
          <w:b/>
          <w:bCs/>
          <w:color w:val="000000" w:themeColor="text1"/>
          <w:lang w:val="it-IT"/>
        </w:rPr>
      </w:pPr>
    </w:p>
    <w:p w14:paraId="2479F94D" w14:textId="77777777" w:rsidR="004D7799" w:rsidRPr="007F381F" w:rsidRDefault="004D7799" w:rsidP="00407861">
      <w:pPr>
        <w:pStyle w:val="ListParagraph"/>
        <w:jc w:val="center"/>
        <w:rPr>
          <w:rFonts w:ascii="Times" w:hAnsi="Times" w:cs="Arial"/>
          <w:b/>
          <w:bCs/>
          <w:color w:val="000000" w:themeColor="text1"/>
          <w:lang w:val="it-IT"/>
        </w:rPr>
      </w:pPr>
    </w:p>
    <w:p w14:paraId="049F0B6D" w14:textId="77777777" w:rsidR="004D7799" w:rsidRPr="007F381F" w:rsidRDefault="004D7799" w:rsidP="00407861">
      <w:pPr>
        <w:pStyle w:val="ListParagraph"/>
        <w:jc w:val="center"/>
        <w:rPr>
          <w:rFonts w:ascii="Times" w:hAnsi="Times" w:cs="Arial"/>
          <w:b/>
          <w:bCs/>
          <w:color w:val="000000" w:themeColor="text1"/>
          <w:lang w:val="it-IT"/>
        </w:rPr>
      </w:pPr>
    </w:p>
    <w:p w14:paraId="7DFEE0D1" w14:textId="67B10C3C" w:rsidR="004D7799" w:rsidRPr="007F381F" w:rsidRDefault="00674759" w:rsidP="00674759">
      <w:pPr>
        <w:pStyle w:val="ListParagraph"/>
        <w:rPr>
          <w:rFonts w:ascii="Times" w:hAnsi="Times" w:cs="Arial"/>
          <w:b/>
          <w:bCs/>
          <w:color w:val="000000" w:themeColor="text1"/>
          <w:lang w:val="it-IT"/>
        </w:rPr>
      </w:pPr>
      <w:r w:rsidRPr="007F381F">
        <w:rPr>
          <w:rFonts w:ascii="Times" w:hAnsi="Times" w:cs="Arial"/>
          <w:color w:val="000000" w:themeColor="text1"/>
          <w:lang w:val="it-IT"/>
        </w:rPr>
        <w:t xml:space="preserve">             </w:t>
      </w:r>
      <w:r w:rsidR="004D7799" w:rsidRPr="007F381F">
        <w:rPr>
          <w:rFonts w:ascii="Times" w:hAnsi="Times" w:cs="Arial"/>
          <w:color w:val="000000" w:themeColor="text1"/>
          <w:lang w:val="it-IT"/>
        </w:rPr>
        <w:t>IL TUTOR                                                                 CO TUTOR</w:t>
      </w:r>
    </w:p>
    <w:p w14:paraId="6C100C5E" w14:textId="5C37F980" w:rsidR="004D7799" w:rsidRPr="007F381F" w:rsidRDefault="00674759" w:rsidP="00674759">
      <w:pPr>
        <w:pStyle w:val="ListParagraph"/>
        <w:rPr>
          <w:rFonts w:ascii="Times" w:hAnsi="Times" w:cs="Arial"/>
          <w:b/>
          <w:bCs/>
          <w:color w:val="000000" w:themeColor="text1"/>
          <w:lang w:val="it-IT"/>
        </w:rPr>
      </w:pPr>
      <w:r w:rsidRPr="007F381F">
        <w:rPr>
          <w:rFonts w:ascii="Times" w:hAnsi="Times" w:cs="Arial"/>
          <w:b/>
          <w:bCs/>
          <w:color w:val="000000" w:themeColor="text1"/>
          <w:lang w:val="it-IT"/>
        </w:rPr>
        <w:t xml:space="preserve">             </w:t>
      </w:r>
      <w:r w:rsidR="00412E6C" w:rsidRPr="007F381F">
        <w:rPr>
          <w:rFonts w:ascii="Times" w:hAnsi="Times" w:cs="Arial"/>
          <w:b/>
          <w:bCs/>
          <w:color w:val="000000" w:themeColor="text1"/>
          <w:lang w:val="it-IT"/>
        </w:rPr>
        <w:t xml:space="preserve">Prof. Domenico Di Raimondo                       </w:t>
      </w:r>
      <w:r w:rsidRPr="007F381F">
        <w:rPr>
          <w:rFonts w:ascii="Times" w:hAnsi="Times" w:cs="Arial"/>
          <w:b/>
          <w:bCs/>
          <w:color w:val="000000" w:themeColor="text1"/>
          <w:lang w:val="it-IT"/>
        </w:rPr>
        <w:t xml:space="preserve">         </w:t>
      </w:r>
      <w:r w:rsidR="00412E6C" w:rsidRPr="007F381F">
        <w:rPr>
          <w:rFonts w:ascii="Times" w:hAnsi="Times" w:cs="Arial"/>
          <w:b/>
          <w:bCs/>
          <w:color w:val="000000" w:themeColor="text1"/>
          <w:lang w:val="it-IT"/>
        </w:rPr>
        <w:t xml:space="preserve"> Dott. Albert Comelli</w:t>
      </w:r>
    </w:p>
    <w:p w14:paraId="1E153F2B" w14:textId="77777777" w:rsidR="004D7799" w:rsidRPr="007F381F" w:rsidRDefault="004D7799" w:rsidP="00407861">
      <w:pPr>
        <w:pStyle w:val="ListParagraph"/>
        <w:jc w:val="center"/>
        <w:rPr>
          <w:rFonts w:ascii="Times" w:hAnsi="Times" w:cs="Arial"/>
          <w:b/>
          <w:bCs/>
          <w:color w:val="000000" w:themeColor="text1"/>
          <w:lang w:val="it-IT"/>
        </w:rPr>
      </w:pPr>
    </w:p>
    <w:p w14:paraId="1C0CE6B5" w14:textId="77777777" w:rsidR="004D7799" w:rsidRPr="007F381F" w:rsidRDefault="004D7799" w:rsidP="00407861">
      <w:pPr>
        <w:pStyle w:val="ListParagraph"/>
        <w:jc w:val="center"/>
        <w:rPr>
          <w:rFonts w:ascii="Times" w:hAnsi="Times" w:cs="Arial"/>
          <w:b/>
          <w:bCs/>
          <w:color w:val="000000" w:themeColor="text1"/>
          <w:lang w:val="it-IT"/>
        </w:rPr>
      </w:pPr>
    </w:p>
    <w:p w14:paraId="2AD56FF4" w14:textId="77777777" w:rsidR="00407861" w:rsidRPr="007F381F" w:rsidRDefault="00407861" w:rsidP="00407861">
      <w:pPr>
        <w:jc w:val="center"/>
        <w:rPr>
          <w:rFonts w:ascii="Times" w:hAnsi="Times" w:cs="Arial"/>
          <w:b/>
          <w:bCs/>
          <w:color w:val="000000" w:themeColor="text1"/>
          <w:lang w:val="it-IT"/>
        </w:rPr>
      </w:pPr>
    </w:p>
    <w:p w14:paraId="55DD5A4C" w14:textId="77777777" w:rsidR="00407861" w:rsidRPr="007F381F" w:rsidRDefault="00407861" w:rsidP="00407861">
      <w:pPr>
        <w:jc w:val="center"/>
        <w:rPr>
          <w:rFonts w:ascii="Times" w:hAnsi="Times" w:cs="Arial"/>
          <w:b/>
          <w:bCs/>
          <w:color w:val="000000" w:themeColor="text1"/>
          <w:lang w:val="it-IT"/>
        </w:rPr>
      </w:pPr>
    </w:p>
    <w:p w14:paraId="46EFF015" w14:textId="7B8793DF" w:rsidR="00DB7A46" w:rsidRPr="00407861" w:rsidRDefault="006305E8" w:rsidP="00407861">
      <w:pPr>
        <w:jc w:val="center"/>
        <w:rPr>
          <w:rFonts w:ascii="Times" w:hAnsi="Times" w:cs="Arial"/>
          <w:b/>
          <w:bCs/>
          <w:color w:val="000000" w:themeColor="text1"/>
        </w:rPr>
      </w:pPr>
      <w:r w:rsidRPr="007F381F">
        <w:rPr>
          <w:rFonts w:ascii="Times" w:hAnsi="Times" w:cs="Arial"/>
          <w:b/>
          <w:bCs/>
          <w:color w:val="000000" w:themeColor="text1"/>
          <w:lang w:val="it-IT"/>
        </w:rPr>
        <w:t xml:space="preserve">        </w:t>
      </w:r>
      <w:r w:rsidR="00407861" w:rsidRPr="007F381F">
        <w:rPr>
          <w:rFonts w:ascii="Times" w:hAnsi="Times" w:cs="Arial"/>
          <w:b/>
          <w:bCs/>
          <w:color w:val="000000" w:themeColor="text1"/>
          <w:lang w:val="it-IT"/>
        </w:rPr>
        <w:t xml:space="preserve">   </w:t>
      </w:r>
      <w:r w:rsidR="004D7799" w:rsidRPr="00407861">
        <w:rPr>
          <w:rFonts w:ascii="Times" w:hAnsi="Times" w:cs="Arial"/>
          <w:b/>
          <w:bCs/>
          <w:color w:val="000000" w:themeColor="text1"/>
        </w:rPr>
        <w:t>CYCLE XXXVI</w:t>
      </w:r>
      <w:r w:rsidR="00956847" w:rsidRPr="00407861">
        <w:rPr>
          <w:rFonts w:ascii="Times" w:hAnsi="Times" w:cs="Arial"/>
          <w:b/>
          <w:bCs/>
          <w:color w:val="000000" w:themeColor="text1"/>
        </w:rPr>
        <w:t>I</w:t>
      </w:r>
    </w:p>
    <w:p w14:paraId="64A4B4BE" w14:textId="77777777" w:rsidR="00980559" w:rsidRPr="00D22AA7" w:rsidRDefault="00412E6C" w:rsidP="00412E6C">
      <w:pPr>
        <w:rPr>
          <w:rFonts w:ascii="Times" w:hAnsi="Times" w:cs="Arial"/>
          <w:b/>
          <w:bCs/>
          <w:color w:val="000000" w:themeColor="text1"/>
        </w:rPr>
      </w:pPr>
      <w:r w:rsidRPr="00D22AA7">
        <w:rPr>
          <w:rFonts w:ascii="Times" w:hAnsi="Times" w:cs="Arial"/>
          <w:b/>
          <w:bCs/>
          <w:color w:val="000000" w:themeColor="text1"/>
        </w:rPr>
        <w:t xml:space="preserve"> </w:t>
      </w:r>
    </w:p>
    <w:p w14:paraId="063026D9" w14:textId="77777777" w:rsidR="00980559" w:rsidRPr="00D22AA7" w:rsidRDefault="00980559" w:rsidP="00412E6C">
      <w:pPr>
        <w:rPr>
          <w:rFonts w:ascii="Times" w:hAnsi="Times" w:cs="Arial"/>
          <w:b/>
          <w:bCs/>
          <w:color w:val="000000" w:themeColor="text1"/>
        </w:rPr>
      </w:pPr>
    </w:p>
    <w:p w14:paraId="5D46AB33" w14:textId="77777777" w:rsidR="00980559" w:rsidRPr="00980559" w:rsidRDefault="00980559" w:rsidP="00980559">
      <w:pPr>
        <w:rPr>
          <w:rFonts w:ascii="Times" w:hAnsi="Times" w:cs="Arial"/>
          <w:b/>
          <w:bCs/>
          <w:color w:val="000000" w:themeColor="text1"/>
        </w:rPr>
      </w:pPr>
      <w:r w:rsidRPr="00980559">
        <w:rPr>
          <w:rFonts w:ascii="Times" w:hAnsi="Times" w:cs="Arial"/>
          <w:b/>
          <w:bCs/>
          <w:color w:val="000000" w:themeColor="text1"/>
        </w:rPr>
        <w:lastRenderedPageBreak/>
        <w:t xml:space="preserve">ABSTRACT </w:t>
      </w:r>
    </w:p>
    <w:p w14:paraId="7327B111" w14:textId="77777777" w:rsidR="00980559" w:rsidRPr="00D22AA7" w:rsidRDefault="00980559" w:rsidP="00412E6C">
      <w:pPr>
        <w:rPr>
          <w:rFonts w:ascii="Times" w:hAnsi="Times" w:cs="Arial"/>
          <w:b/>
          <w:bCs/>
          <w:color w:val="000000" w:themeColor="text1"/>
        </w:rPr>
      </w:pPr>
    </w:p>
    <w:p w14:paraId="16EBECBF" w14:textId="77777777" w:rsidR="00980559" w:rsidRPr="00980559" w:rsidRDefault="00980559" w:rsidP="00780971">
      <w:pPr>
        <w:jc w:val="both"/>
        <w:rPr>
          <w:rFonts w:ascii="Times" w:hAnsi="Times" w:cs="Arial"/>
          <w:color w:val="000000" w:themeColor="text1"/>
        </w:rPr>
      </w:pPr>
      <w:r w:rsidRPr="00980559">
        <w:rPr>
          <w:rFonts w:ascii="Times" w:hAnsi="Times" w:cs="Arial"/>
          <w:color w:val="000000" w:themeColor="text1"/>
        </w:rPr>
        <w:t>Rheumatoid arthritis (RA) is a chronic autoimmune disorder characterized by persistent synovial inflammation, leading to joint damage and functional impairment. The disease involves a complex interplay of genetic, environmental, and immunological factors, with pro-inflammatory cytokines such as TNF-α, IL-1, and IL-6 playing a pivotal role in disease progression. Current therapeutic strategies aim to mitigate inflammation and prevent joint destruction, but challenges remain due to adverse effects and incomplete responses to treatment.</w:t>
      </w:r>
    </w:p>
    <w:p w14:paraId="73E621BE" w14:textId="77777777" w:rsidR="00980559" w:rsidRPr="00980559" w:rsidRDefault="00980559" w:rsidP="00780971">
      <w:pPr>
        <w:jc w:val="both"/>
        <w:rPr>
          <w:rFonts w:ascii="Times" w:hAnsi="Times" w:cs="Arial"/>
          <w:color w:val="000000" w:themeColor="text1"/>
        </w:rPr>
      </w:pPr>
      <w:r w:rsidRPr="00980559">
        <w:rPr>
          <w:rFonts w:ascii="Times" w:hAnsi="Times" w:cs="Arial"/>
          <w:color w:val="000000" w:themeColor="text1"/>
        </w:rPr>
        <w:t>Polyphenols, naturally occurring compounds with anti-inflammatory and antioxidant properties, have emerged as potential therapeutic agents for RA. Studies suggest that polyphenols such as curcumin, resveratrol, EGCG, and quercetin modulate key inflammatory pathways, including NF-κB and MAPK, thereby reducing oxidative stress and immune dysregulation. However, their bioavailability and targeted delivery remain significant challenges. Nanoparticle-based drug delivery systems offer a promising solution by enhancing polyphenol stability, improving bioavailability, and ensuring targeted delivery to inflamed synovial tissues. Various nanoparticles, including polymeric, liposomal, and metallic carriers, have been explored for optimizing RA treatment.</w:t>
      </w:r>
    </w:p>
    <w:p w14:paraId="5EA9655E" w14:textId="77777777" w:rsidR="00980559" w:rsidRPr="00980559" w:rsidRDefault="00980559" w:rsidP="00780971">
      <w:pPr>
        <w:jc w:val="both"/>
        <w:rPr>
          <w:rFonts w:ascii="Times" w:hAnsi="Times" w:cs="Arial"/>
          <w:color w:val="000000" w:themeColor="text1"/>
        </w:rPr>
      </w:pPr>
      <w:r w:rsidRPr="00980559">
        <w:rPr>
          <w:rFonts w:ascii="Times" w:hAnsi="Times" w:cs="Arial"/>
          <w:color w:val="000000" w:themeColor="text1"/>
        </w:rPr>
        <w:t>Artificial intelligence (AI) and machine learning (ML) have revolutionized microscopic image analysis in biomedical research, enabling precise detection and classification of synovial tissue alterations in RA. Deep learning models, particularly convolutional neural networks (CNNs), have demonstrated high accuracy in identifying pathological changes, facilitating early diagnosis and disease monitoring. Additionally, radiomic analysis, an advanced technique that extracts high-dimensional quantitative features from medical imaging data, has been explored for evaluating joint abnormalities and detecting synovial malignancies. By integrating AI-driven radiomic analysis with conventional imaging, clinicians can enhance diagnostic precision, assess disease severity, and improve personalized treatment strategies.</w:t>
      </w:r>
    </w:p>
    <w:p w14:paraId="23A29DD8" w14:textId="77777777" w:rsidR="00980559" w:rsidRPr="00980559" w:rsidRDefault="00980559" w:rsidP="00780971">
      <w:pPr>
        <w:jc w:val="both"/>
        <w:rPr>
          <w:rFonts w:ascii="Times" w:hAnsi="Times" w:cs="Arial"/>
          <w:color w:val="000000" w:themeColor="text1"/>
        </w:rPr>
      </w:pPr>
      <w:r w:rsidRPr="00980559">
        <w:rPr>
          <w:rFonts w:ascii="Times" w:hAnsi="Times" w:cs="Arial"/>
          <w:color w:val="000000" w:themeColor="text1"/>
        </w:rPr>
        <w:t>This research explores the anti-arthritic potential of polyphenols, employing nanoparticles for targeted drug delivery, AI-based microscopic image analysis, and radiomic analysis for comprehensive disease assessment. The study aims to enhance therapeutic efficacy while minimizing adverse effects, providing novel insights into the application of advanced technologies in RA management.</w:t>
      </w:r>
    </w:p>
    <w:p w14:paraId="02FBF9D9" w14:textId="77777777" w:rsidR="00980559" w:rsidRPr="00D22AA7" w:rsidRDefault="00980559" w:rsidP="00412E6C">
      <w:pPr>
        <w:rPr>
          <w:rFonts w:ascii="Times" w:hAnsi="Times" w:cs="Arial"/>
          <w:b/>
          <w:bCs/>
          <w:color w:val="000000" w:themeColor="text1"/>
        </w:rPr>
      </w:pPr>
    </w:p>
    <w:p w14:paraId="5508F250" w14:textId="77777777" w:rsidR="00980559" w:rsidRPr="00D22AA7" w:rsidRDefault="00980559" w:rsidP="00412E6C">
      <w:pPr>
        <w:rPr>
          <w:rFonts w:ascii="Times" w:hAnsi="Times" w:cs="Arial"/>
          <w:b/>
          <w:bCs/>
          <w:color w:val="000000" w:themeColor="text1"/>
        </w:rPr>
      </w:pPr>
    </w:p>
    <w:p w14:paraId="1374C3E1" w14:textId="77777777" w:rsidR="00980559" w:rsidRPr="00D22AA7" w:rsidRDefault="00980559" w:rsidP="00412E6C">
      <w:pPr>
        <w:rPr>
          <w:rFonts w:ascii="Times" w:hAnsi="Times" w:cs="Arial"/>
          <w:b/>
          <w:bCs/>
          <w:color w:val="000000" w:themeColor="text1"/>
        </w:rPr>
      </w:pPr>
    </w:p>
    <w:p w14:paraId="5A605CA5" w14:textId="77777777" w:rsidR="00980559" w:rsidRPr="00D22AA7" w:rsidRDefault="00980559" w:rsidP="00412E6C">
      <w:pPr>
        <w:rPr>
          <w:rFonts w:ascii="Times" w:hAnsi="Times" w:cs="Arial"/>
          <w:b/>
          <w:bCs/>
          <w:color w:val="000000" w:themeColor="text1"/>
        </w:rPr>
      </w:pPr>
    </w:p>
    <w:p w14:paraId="4CB290B3" w14:textId="77777777" w:rsidR="00980559" w:rsidRPr="00D22AA7" w:rsidRDefault="00980559" w:rsidP="00412E6C">
      <w:pPr>
        <w:rPr>
          <w:rFonts w:ascii="Times" w:hAnsi="Times" w:cs="Arial"/>
          <w:b/>
          <w:bCs/>
          <w:color w:val="000000" w:themeColor="text1"/>
        </w:rPr>
      </w:pPr>
    </w:p>
    <w:p w14:paraId="5B62E2A2" w14:textId="77777777" w:rsidR="00980559" w:rsidRPr="00D22AA7" w:rsidRDefault="00980559" w:rsidP="00412E6C">
      <w:pPr>
        <w:rPr>
          <w:rFonts w:ascii="Times" w:hAnsi="Times" w:cs="Arial"/>
          <w:b/>
          <w:bCs/>
          <w:color w:val="000000" w:themeColor="text1"/>
        </w:rPr>
      </w:pPr>
    </w:p>
    <w:p w14:paraId="1FB27008" w14:textId="77777777" w:rsidR="00780971" w:rsidRPr="00D22AA7" w:rsidRDefault="00780971" w:rsidP="00412E6C">
      <w:pPr>
        <w:rPr>
          <w:rFonts w:ascii="Times" w:hAnsi="Times" w:cs="Arial"/>
          <w:b/>
          <w:bCs/>
          <w:color w:val="000000" w:themeColor="text1"/>
        </w:rPr>
      </w:pPr>
    </w:p>
    <w:p w14:paraId="2F1E9EE3" w14:textId="77777777" w:rsidR="00780971" w:rsidRPr="00D22AA7" w:rsidRDefault="00780971" w:rsidP="00412E6C">
      <w:pPr>
        <w:rPr>
          <w:rFonts w:ascii="Times" w:hAnsi="Times" w:cs="Arial"/>
          <w:b/>
          <w:bCs/>
          <w:color w:val="000000" w:themeColor="text1"/>
        </w:rPr>
      </w:pPr>
    </w:p>
    <w:p w14:paraId="69D7AC1F" w14:textId="77777777" w:rsidR="00780971" w:rsidRPr="00D22AA7" w:rsidRDefault="00780971" w:rsidP="00412E6C">
      <w:pPr>
        <w:rPr>
          <w:rFonts w:ascii="Times" w:hAnsi="Times" w:cs="Arial"/>
          <w:b/>
          <w:bCs/>
          <w:color w:val="000000" w:themeColor="text1"/>
        </w:rPr>
      </w:pPr>
    </w:p>
    <w:p w14:paraId="5DBE3D7C" w14:textId="77777777" w:rsidR="00980559" w:rsidRPr="00D22AA7" w:rsidRDefault="00980559" w:rsidP="00412E6C">
      <w:pPr>
        <w:rPr>
          <w:rFonts w:ascii="Times" w:hAnsi="Times" w:cs="Arial"/>
          <w:b/>
          <w:bCs/>
          <w:color w:val="000000" w:themeColor="text1"/>
        </w:rPr>
      </w:pPr>
    </w:p>
    <w:p w14:paraId="30886ECF" w14:textId="77777777" w:rsidR="00980559" w:rsidRPr="00D22AA7" w:rsidRDefault="00980559" w:rsidP="00412E6C">
      <w:pPr>
        <w:rPr>
          <w:rFonts w:ascii="Times" w:hAnsi="Times" w:cs="Arial"/>
          <w:b/>
          <w:bCs/>
          <w:color w:val="000000" w:themeColor="text1"/>
        </w:rPr>
      </w:pPr>
    </w:p>
    <w:p w14:paraId="63BD2EAF" w14:textId="77777777" w:rsidR="00980559" w:rsidRDefault="00980559" w:rsidP="00412E6C">
      <w:pPr>
        <w:rPr>
          <w:rFonts w:ascii="Times" w:hAnsi="Times" w:cs="Arial"/>
          <w:b/>
          <w:bCs/>
          <w:color w:val="000000" w:themeColor="text1"/>
        </w:rPr>
      </w:pPr>
    </w:p>
    <w:p w14:paraId="105D5719" w14:textId="77777777" w:rsidR="00B16409" w:rsidRDefault="00B16409" w:rsidP="00412E6C">
      <w:pPr>
        <w:rPr>
          <w:rFonts w:ascii="Times" w:hAnsi="Times" w:cs="Arial"/>
          <w:b/>
          <w:bCs/>
          <w:color w:val="000000" w:themeColor="text1"/>
        </w:rPr>
      </w:pPr>
    </w:p>
    <w:p w14:paraId="0C583AF4" w14:textId="77777777" w:rsidR="00B16409" w:rsidRDefault="00B16409" w:rsidP="00412E6C">
      <w:pPr>
        <w:rPr>
          <w:rFonts w:ascii="Times" w:hAnsi="Times" w:cs="Arial"/>
          <w:b/>
          <w:bCs/>
          <w:color w:val="000000" w:themeColor="text1"/>
        </w:rPr>
      </w:pPr>
    </w:p>
    <w:p w14:paraId="68DB0DAA" w14:textId="77777777" w:rsidR="00407861" w:rsidRDefault="00407861" w:rsidP="00412E6C">
      <w:pPr>
        <w:rPr>
          <w:rFonts w:ascii="Times" w:hAnsi="Times" w:cs="Arial"/>
          <w:b/>
          <w:bCs/>
          <w:color w:val="000000" w:themeColor="text1"/>
        </w:rPr>
      </w:pPr>
    </w:p>
    <w:p w14:paraId="6C958619" w14:textId="77777777" w:rsidR="00407861" w:rsidRPr="00D22AA7" w:rsidRDefault="00407861" w:rsidP="00412E6C">
      <w:pPr>
        <w:rPr>
          <w:rFonts w:ascii="Times" w:hAnsi="Times" w:cs="Arial"/>
          <w:b/>
          <w:bCs/>
          <w:color w:val="000000" w:themeColor="text1"/>
        </w:rPr>
      </w:pPr>
    </w:p>
    <w:p w14:paraId="1BE5EB0F" w14:textId="77777777" w:rsidR="00980559" w:rsidRPr="00D22AA7" w:rsidRDefault="00980559" w:rsidP="00412E6C">
      <w:pPr>
        <w:rPr>
          <w:rFonts w:ascii="Times" w:hAnsi="Times" w:cs="Arial"/>
          <w:b/>
          <w:bCs/>
          <w:color w:val="000000" w:themeColor="text1"/>
        </w:rPr>
      </w:pPr>
    </w:p>
    <w:p w14:paraId="46BF8BDD" w14:textId="6170145E" w:rsidR="00DB7A46" w:rsidRPr="004F43A9" w:rsidRDefault="004F43A9" w:rsidP="00412E6C">
      <w:pPr>
        <w:rPr>
          <w:rFonts w:ascii="Times" w:hAnsi="Times" w:cs="Arial"/>
          <w:b/>
          <w:bCs/>
          <w:color w:val="000000" w:themeColor="text1"/>
          <w:sz w:val="28"/>
          <w:szCs w:val="28"/>
        </w:rPr>
      </w:pPr>
      <w:r w:rsidRPr="004F43A9">
        <w:rPr>
          <w:rFonts w:ascii="Times" w:hAnsi="Times" w:cs="Arial"/>
          <w:b/>
          <w:bCs/>
          <w:color w:val="000000" w:themeColor="text1"/>
          <w:sz w:val="28"/>
          <w:szCs w:val="28"/>
        </w:rPr>
        <w:lastRenderedPageBreak/>
        <w:t>CONTENT</w:t>
      </w:r>
    </w:p>
    <w:p w14:paraId="16ECEB32" w14:textId="6FA6B0DC" w:rsidR="00386CA0" w:rsidRPr="003E280E" w:rsidRDefault="00D45672" w:rsidP="003E280E">
      <w:pPr>
        <w:pStyle w:val="Caption"/>
        <w:rPr>
          <w:rStyle w:val="Bullets"/>
          <w:rFonts w:ascii="Times" w:hAnsi="Times"/>
          <w:b/>
          <w:bCs/>
          <w:i w:val="0"/>
          <w:iCs w:val="0"/>
        </w:rPr>
      </w:pPr>
      <w:r w:rsidRPr="00D22AA7">
        <w:rPr>
          <w:rFonts w:ascii="Times" w:hAnsi="Times" w:cs="Arial"/>
          <w:b/>
          <w:bCs/>
          <w:color w:val="000000" w:themeColor="text1"/>
        </w:rPr>
        <w:t xml:space="preserve"> </w:t>
      </w:r>
      <w:r w:rsidR="001245F6" w:rsidRPr="003E280E">
        <w:rPr>
          <w:rStyle w:val="Bullets"/>
          <w:rFonts w:ascii="Times" w:hAnsi="Times"/>
          <w:i w:val="0"/>
          <w:iCs w:val="0"/>
        </w:rPr>
        <w:t xml:space="preserve">1. </w:t>
      </w:r>
      <w:r w:rsidRPr="003E280E">
        <w:rPr>
          <w:rStyle w:val="Bullets"/>
          <w:rFonts w:ascii="Times" w:hAnsi="Times"/>
          <w:b/>
          <w:bCs/>
          <w:i w:val="0"/>
          <w:iCs w:val="0"/>
        </w:rPr>
        <w:t>I</w:t>
      </w:r>
      <w:r w:rsidR="003E280E" w:rsidRPr="003E280E">
        <w:rPr>
          <w:rStyle w:val="Bullets"/>
          <w:rFonts w:ascii="Times" w:hAnsi="Times"/>
          <w:b/>
          <w:bCs/>
          <w:i w:val="0"/>
          <w:iCs w:val="0"/>
        </w:rPr>
        <w:t>NTRODUCTION</w:t>
      </w:r>
      <w:r w:rsidR="005D0EBC">
        <w:rPr>
          <w:rStyle w:val="Bullets"/>
          <w:rFonts w:ascii="Times" w:hAnsi="Times"/>
          <w:b/>
          <w:bCs/>
          <w:i w:val="0"/>
          <w:iCs w:val="0"/>
        </w:rPr>
        <w:t>…………………………………………………………… 6</w:t>
      </w:r>
    </w:p>
    <w:p w14:paraId="1C656311" w14:textId="3CB09577" w:rsidR="7823A281" w:rsidRPr="003E280E" w:rsidRDefault="7823A281" w:rsidP="003E280E">
      <w:pPr>
        <w:pStyle w:val="Caption"/>
        <w:rPr>
          <w:rStyle w:val="Bullets"/>
          <w:rFonts w:ascii="Times" w:hAnsi="Times"/>
          <w:i w:val="0"/>
          <w:iCs w:val="0"/>
        </w:rPr>
      </w:pPr>
      <w:r w:rsidRPr="003E280E">
        <w:rPr>
          <w:rStyle w:val="Bullets"/>
          <w:rFonts w:ascii="Times" w:hAnsi="Times"/>
          <w:i w:val="0"/>
          <w:iCs w:val="0"/>
        </w:rPr>
        <w:t>1.1 Rheumatoid Arthritis: An Overview</w:t>
      </w:r>
      <w:r w:rsidR="005D0EBC">
        <w:rPr>
          <w:rStyle w:val="Bullets"/>
          <w:rFonts w:ascii="Times" w:hAnsi="Times"/>
          <w:i w:val="0"/>
          <w:iCs w:val="0"/>
        </w:rPr>
        <w:t>…………………………………………. 6</w:t>
      </w:r>
    </w:p>
    <w:p w14:paraId="0FB447CE" w14:textId="70A6B41D" w:rsidR="7823A281" w:rsidRPr="003E280E" w:rsidRDefault="7823A281" w:rsidP="003E280E">
      <w:pPr>
        <w:pStyle w:val="Caption"/>
        <w:rPr>
          <w:rStyle w:val="Bullets"/>
          <w:rFonts w:ascii="Times" w:hAnsi="Times"/>
          <w:i w:val="0"/>
          <w:iCs w:val="0"/>
        </w:rPr>
      </w:pPr>
      <w:r w:rsidRPr="003E280E">
        <w:rPr>
          <w:rStyle w:val="Bullets"/>
          <w:rFonts w:ascii="Times" w:hAnsi="Times"/>
          <w:i w:val="0"/>
          <w:iCs w:val="0"/>
        </w:rPr>
        <w:t>1.2 Role of Polyphenols in Rheumatoid Arthritis</w:t>
      </w:r>
      <w:r w:rsidR="005D0EBC">
        <w:rPr>
          <w:rStyle w:val="Bullets"/>
          <w:rFonts w:ascii="Times" w:hAnsi="Times"/>
          <w:i w:val="0"/>
          <w:iCs w:val="0"/>
        </w:rPr>
        <w:t>…………………………………6</w:t>
      </w:r>
    </w:p>
    <w:p w14:paraId="6F945CE7" w14:textId="7650300A" w:rsidR="7823A281" w:rsidRPr="003E280E" w:rsidRDefault="7823A281" w:rsidP="003E280E">
      <w:pPr>
        <w:pStyle w:val="Caption"/>
        <w:rPr>
          <w:rStyle w:val="Bullets"/>
          <w:rFonts w:ascii="Times" w:hAnsi="Times"/>
          <w:i w:val="0"/>
          <w:iCs w:val="0"/>
        </w:rPr>
      </w:pPr>
      <w:r w:rsidRPr="003E280E">
        <w:rPr>
          <w:rStyle w:val="Bullets"/>
          <w:rFonts w:ascii="Times" w:hAnsi="Times"/>
          <w:i w:val="0"/>
          <w:iCs w:val="0"/>
        </w:rPr>
        <w:t>1.3 Nanoparticles for Targeted Drug Delivery</w:t>
      </w:r>
      <w:r w:rsidR="005D0EBC">
        <w:rPr>
          <w:rStyle w:val="Bullets"/>
          <w:rFonts w:ascii="Times" w:hAnsi="Times"/>
          <w:i w:val="0"/>
          <w:iCs w:val="0"/>
        </w:rPr>
        <w:t>…………………………………… 6</w:t>
      </w:r>
    </w:p>
    <w:p w14:paraId="2A654EA7" w14:textId="0542D6E5" w:rsidR="7823A281" w:rsidRPr="003E280E" w:rsidRDefault="7823A281" w:rsidP="003E280E">
      <w:pPr>
        <w:pStyle w:val="Caption"/>
        <w:rPr>
          <w:rStyle w:val="Bullets"/>
          <w:rFonts w:ascii="Times" w:hAnsi="Times"/>
          <w:i w:val="0"/>
          <w:iCs w:val="0"/>
        </w:rPr>
      </w:pPr>
      <w:r w:rsidRPr="003E280E">
        <w:rPr>
          <w:rStyle w:val="Bullets"/>
          <w:rFonts w:ascii="Times" w:hAnsi="Times"/>
          <w:i w:val="0"/>
          <w:iCs w:val="0"/>
        </w:rPr>
        <w:t>1.4 Artificial Intelligence and Machine Learning in Microscopic Analysis</w:t>
      </w:r>
      <w:r w:rsidR="005D0EBC">
        <w:rPr>
          <w:rStyle w:val="Bullets"/>
          <w:rFonts w:ascii="Times" w:hAnsi="Times"/>
          <w:i w:val="0"/>
          <w:iCs w:val="0"/>
        </w:rPr>
        <w:t>……… 7</w:t>
      </w:r>
    </w:p>
    <w:p w14:paraId="2187CB30" w14:textId="3C35B9E1" w:rsidR="7823A281" w:rsidRPr="003E280E" w:rsidRDefault="7823A281" w:rsidP="003E280E">
      <w:pPr>
        <w:pStyle w:val="Caption"/>
        <w:rPr>
          <w:rStyle w:val="Bullets"/>
          <w:rFonts w:ascii="Times" w:hAnsi="Times"/>
          <w:i w:val="0"/>
          <w:iCs w:val="0"/>
        </w:rPr>
      </w:pPr>
      <w:r w:rsidRPr="003E280E">
        <w:rPr>
          <w:rStyle w:val="Bullets"/>
          <w:rFonts w:ascii="Times" w:hAnsi="Times"/>
          <w:i w:val="0"/>
          <w:iCs w:val="0"/>
        </w:rPr>
        <w:t>1.5 Radiomics for Tumor Detection</w:t>
      </w:r>
      <w:r w:rsidR="005D0EBC">
        <w:rPr>
          <w:rStyle w:val="Bullets"/>
          <w:rFonts w:ascii="Times" w:hAnsi="Times"/>
          <w:i w:val="0"/>
          <w:iCs w:val="0"/>
        </w:rPr>
        <w:t>……………………………………………….7</w:t>
      </w:r>
    </w:p>
    <w:p w14:paraId="1A07937D" w14:textId="58B2B3EE" w:rsidR="00386CA0" w:rsidRPr="003E280E" w:rsidRDefault="00D45672" w:rsidP="003E280E">
      <w:pPr>
        <w:pStyle w:val="Caption"/>
        <w:rPr>
          <w:rStyle w:val="Bullets"/>
          <w:rFonts w:ascii="Times" w:hAnsi="Times"/>
          <w:i w:val="0"/>
          <w:iCs w:val="0"/>
        </w:rPr>
      </w:pPr>
      <w:r w:rsidRPr="003E280E">
        <w:rPr>
          <w:rStyle w:val="Bullets"/>
          <w:rFonts w:ascii="Times" w:hAnsi="Times"/>
          <w:i w:val="0"/>
          <w:iCs w:val="0"/>
        </w:rPr>
        <w:t>1.6. Thesis outline</w:t>
      </w:r>
      <w:r w:rsidR="005D0EBC">
        <w:rPr>
          <w:rStyle w:val="Bullets"/>
          <w:rFonts w:ascii="Times" w:hAnsi="Times"/>
          <w:i w:val="0"/>
          <w:iCs w:val="0"/>
        </w:rPr>
        <w:t>………………………………………………………………….7</w:t>
      </w:r>
    </w:p>
    <w:p w14:paraId="2FB1F056" w14:textId="70D061A0" w:rsidR="00386CA0" w:rsidRPr="003E280E" w:rsidRDefault="001245F6" w:rsidP="003E280E">
      <w:pPr>
        <w:pStyle w:val="Caption"/>
        <w:rPr>
          <w:rStyle w:val="Bullets"/>
          <w:rFonts w:ascii="Times" w:hAnsi="Times"/>
          <w:i w:val="0"/>
          <w:iCs w:val="0"/>
        </w:rPr>
      </w:pPr>
      <w:r w:rsidRPr="003E280E">
        <w:rPr>
          <w:rStyle w:val="Bullets"/>
          <w:rFonts w:ascii="Times" w:hAnsi="Times"/>
          <w:i w:val="0"/>
          <w:iCs w:val="0"/>
        </w:rPr>
        <w:t xml:space="preserve">2. </w:t>
      </w:r>
      <w:r w:rsidR="003E280E" w:rsidRPr="003E280E">
        <w:rPr>
          <w:rStyle w:val="Bullets"/>
          <w:rFonts w:ascii="Times" w:hAnsi="Times"/>
          <w:b/>
          <w:bCs/>
          <w:i w:val="0"/>
          <w:iCs w:val="0"/>
        </w:rPr>
        <w:t>PATHOGENEGIS OF RHEUMATOID ARTHRITIS AND ANTIARTHRITIC EFFECT OF POLYPHENOLS</w:t>
      </w:r>
      <w:r w:rsidR="005D0EBC">
        <w:rPr>
          <w:rStyle w:val="Bullets"/>
          <w:rFonts w:ascii="Times" w:hAnsi="Times"/>
          <w:b/>
          <w:bCs/>
          <w:i w:val="0"/>
          <w:iCs w:val="0"/>
        </w:rPr>
        <w:t>…………………………………………………</w:t>
      </w:r>
      <w:proofErr w:type="gramStart"/>
      <w:r w:rsidR="005D0EBC">
        <w:rPr>
          <w:rStyle w:val="Bullets"/>
          <w:rFonts w:ascii="Times" w:hAnsi="Times"/>
          <w:b/>
          <w:bCs/>
          <w:i w:val="0"/>
          <w:iCs w:val="0"/>
        </w:rPr>
        <w:t>…..</w:t>
      </w:r>
      <w:proofErr w:type="gramEnd"/>
      <w:r w:rsidR="0011707B">
        <w:rPr>
          <w:rStyle w:val="Bullets"/>
          <w:rFonts w:ascii="Times" w:hAnsi="Times"/>
          <w:b/>
          <w:bCs/>
          <w:i w:val="0"/>
          <w:iCs w:val="0"/>
        </w:rPr>
        <w:t>10</w:t>
      </w:r>
    </w:p>
    <w:p w14:paraId="6D14CC30" w14:textId="3FAC59F4" w:rsidR="0CB2AEEE" w:rsidRPr="003E280E" w:rsidRDefault="0CB2AEEE" w:rsidP="003E280E">
      <w:pPr>
        <w:pStyle w:val="Caption"/>
        <w:rPr>
          <w:rStyle w:val="Bullets"/>
          <w:rFonts w:ascii="Times" w:hAnsi="Times"/>
          <w:i w:val="0"/>
          <w:iCs w:val="0"/>
        </w:rPr>
      </w:pPr>
      <w:r w:rsidRPr="003E280E">
        <w:rPr>
          <w:rStyle w:val="Bullets"/>
          <w:rFonts w:ascii="Times" w:hAnsi="Times"/>
          <w:i w:val="0"/>
          <w:iCs w:val="0"/>
        </w:rPr>
        <w:t>2.1. Pathogenesis of Rheumatoid arthritis</w:t>
      </w:r>
      <w:r w:rsidR="005D0EBC">
        <w:rPr>
          <w:rStyle w:val="Bullets"/>
          <w:rFonts w:ascii="Times" w:hAnsi="Times"/>
          <w:i w:val="0"/>
          <w:iCs w:val="0"/>
        </w:rPr>
        <w:t>…………………………………………</w:t>
      </w:r>
      <w:r w:rsidR="0011707B">
        <w:rPr>
          <w:rStyle w:val="Bullets"/>
          <w:rFonts w:ascii="Times" w:hAnsi="Times"/>
          <w:i w:val="0"/>
          <w:iCs w:val="0"/>
        </w:rPr>
        <w:t>10</w:t>
      </w:r>
    </w:p>
    <w:p w14:paraId="091BFC9E" w14:textId="3EDCC3B0" w:rsidR="0CB2AEEE" w:rsidRPr="003E280E" w:rsidRDefault="0CB2AEEE" w:rsidP="003E280E">
      <w:pPr>
        <w:pStyle w:val="Caption"/>
        <w:rPr>
          <w:rStyle w:val="Bullets"/>
          <w:rFonts w:ascii="Times" w:hAnsi="Times"/>
          <w:i w:val="0"/>
          <w:iCs w:val="0"/>
        </w:rPr>
      </w:pPr>
      <w:r w:rsidRPr="003E280E">
        <w:rPr>
          <w:rStyle w:val="Bullets"/>
          <w:rFonts w:ascii="Times" w:hAnsi="Times"/>
          <w:i w:val="0"/>
          <w:iCs w:val="0"/>
        </w:rPr>
        <w:t xml:space="preserve">2.2. </w:t>
      </w:r>
      <w:r w:rsidR="00956847" w:rsidRPr="003E280E">
        <w:rPr>
          <w:rStyle w:val="Bullets"/>
          <w:rFonts w:ascii="Times" w:hAnsi="Times"/>
          <w:i w:val="0"/>
          <w:iCs w:val="0"/>
        </w:rPr>
        <w:t>Envionmenta, genetic and pathogic factors of causing RA</w:t>
      </w:r>
      <w:r w:rsidR="005D0EBC">
        <w:rPr>
          <w:rStyle w:val="Bullets"/>
          <w:rFonts w:ascii="Times" w:hAnsi="Times"/>
          <w:i w:val="0"/>
          <w:iCs w:val="0"/>
        </w:rPr>
        <w:t>…………………..</w:t>
      </w:r>
      <w:r w:rsidR="00E1259F">
        <w:rPr>
          <w:rStyle w:val="Bullets"/>
          <w:rFonts w:ascii="Times" w:hAnsi="Times"/>
          <w:i w:val="0"/>
          <w:iCs w:val="0"/>
        </w:rPr>
        <w:t>.</w:t>
      </w:r>
      <w:r w:rsidR="0011707B">
        <w:rPr>
          <w:rStyle w:val="Bullets"/>
          <w:rFonts w:ascii="Times" w:hAnsi="Times"/>
          <w:i w:val="0"/>
          <w:iCs w:val="0"/>
        </w:rPr>
        <w:t>11</w:t>
      </w:r>
    </w:p>
    <w:p w14:paraId="3B4023A1" w14:textId="0CB503BE" w:rsidR="0CB2AEEE" w:rsidRPr="003E280E" w:rsidRDefault="0CB2AEEE" w:rsidP="003E280E">
      <w:pPr>
        <w:pStyle w:val="Caption"/>
        <w:rPr>
          <w:rStyle w:val="Bullets"/>
          <w:rFonts w:ascii="Times" w:hAnsi="Times"/>
          <w:i w:val="0"/>
          <w:iCs w:val="0"/>
        </w:rPr>
      </w:pPr>
      <w:r w:rsidRPr="003E280E">
        <w:rPr>
          <w:rStyle w:val="Bullets"/>
          <w:rFonts w:ascii="Times" w:hAnsi="Times"/>
          <w:i w:val="0"/>
          <w:iCs w:val="0"/>
        </w:rPr>
        <w:t xml:space="preserve">2.3.  </w:t>
      </w:r>
      <w:r w:rsidR="00E82637" w:rsidRPr="003E280E">
        <w:rPr>
          <w:rStyle w:val="Bullets"/>
          <w:rFonts w:ascii="Times" w:hAnsi="Times"/>
          <w:i w:val="0"/>
          <w:iCs w:val="0"/>
        </w:rPr>
        <w:t>Polyphenols in disease management</w:t>
      </w:r>
      <w:r w:rsidR="005D0EBC">
        <w:rPr>
          <w:rStyle w:val="Bullets"/>
          <w:rFonts w:ascii="Times" w:hAnsi="Times"/>
          <w:i w:val="0"/>
          <w:iCs w:val="0"/>
        </w:rPr>
        <w:t>…………………………………………</w:t>
      </w:r>
      <w:r w:rsidR="00E1259F">
        <w:rPr>
          <w:rStyle w:val="Bullets"/>
          <w:rFonts w:ascii="Times" w:hAnsi="Times"/>
          <w:i w:val="0"/>
          <w:iCs w:val="0"/>
        </w:rPr>
        <w:t>.</w:t>
      </w:r>
      <w:r w:rsidR="0011707B">
        <w:rPr>
          <w:rStyle w:val="Bullets"/>
          <w:rFonts w:ascii="Times" w:hAnsi="Times"/>
          <w:i w:val="0"/>
          <w:iCs w:val="0"/>
        </w:rPr>
        <w:t>11</w:t>
      </w:r>
    </w:p>
    <w:p w14:paraId="535F5A94" w14:textId="309B05EA" w:rsidR="0CB2AEEE" w:rsidRPr="003E280E" w:rsidRDefault="0CB2AEEE" w:rsidP="003E280E">
      <w:pPr>
        <w:pStyle w:val="Caption"/>
        <w:rPr>
          <w:rStyle w:val="Bullets"/>
          <w:rFonts w:ascii="Times" w:hAnsi="Times"/>
          <w:i w:val="0"/>
          <w:iCs w:val="0"/>
        </w:rPr>
      </w:pPr>
      <w:r w:rsidRPr="003E280E">
        <w:rPr>
          <w:rStyle w:val="Bullets"/>
          <w:rFonts w:ascii="Times" w:hAnsi="Times"/>
          <w:i w:val="0"/>
          <w:iCs w:val="0"/>
        </w:rPr>
        <w:t xml:space="preserve">2.4. Polyphenols </w:t>
      </w:r>
      <w:r w:rsidR="00E82637" w:rsidRPr="003E280E">
        <w:rPr>
          <w:rStyle w:val="Bullets"/>
          <w:rFonts w:ascii="Times" w:hAnsi="Times"/>
          <w:i w:val="0"/>
          <w:iCs w:val="0"/>
        </w:rPr>
        <w:t>modulate signaling pathways</w:t>
      </w:r>
      <w:r w:rsidR="005D0EBC">
        <w:rPr>
          <w:rStyle w:val="Bullets"/>
          <w:rFonts w:ascii="Times" w:hAnsi="Times"/>
          <w:i w:val="0"/>
          <w:iCs w:val="0"/>
        </w:rPr>
        <w:t>……………………………………</w:t>
      </w:r>
      <w:r w:rsidR="0011707B">
        <w:rPr>
          <w:rStyle w:val="Bullets"/>
          <w:rFonts w:ascii="Times" w:hAnsi="Times"/>
          <w:i w:val="0"/>
          <w:iCs w:val="0"/>
        </w:rPr>
        <w:t>15</w:t>
      </w:r>
    </w:p>
    <w:p w14:paraId="7AB826F1" w14:textId="013E6032" w:rsidR="00E82637" w:rsidRPr="003E280E" w:rsidRDefault="00E82637" w:rsidP="003E280E">
      <w:pPr>
        <w:pStyle w:val="Caption"/>
        <w:rPr>
          <w:rStyle w:val="Bullets"/>
          <w:rFonts w:ascii="Times" w:hAnsi="Times"/>
          <w:i w:val="0"/>
          <w:iCs w:val="0"/>
        </w:rPr>
      </w:pPr>
      <w:r w:rsidRPr="003E280E">
        <w:rPr>
          <w:rStyle w:val="Bullets"/>
          <w:rFonts w:ascii="Times" w:hAnsi="Times"/>
          <w:i w:val="0"/>
          <w:iCs w:val="0"/>
        </w:rPr>
        <w:t>2.5. Olive oil: a rich source of bioactive polyphenols</w:t>
      </w:r>
      <w:r w:rsidR="005D0EBC">
        <w:rPr>
          <w:rStyle w:val="Bullets"/>
          <w:rFonts w:ascii="Times" w:hAnsi="Times"/>
          <w:i w:val="0"/>
          <w:iCs w:val="0"/>
        </w:rPr>
        <w:t>…………………………</w:t>
      </w:r>
      <w:proofErr w:type="gramStart"/>
      <w:r w:rsidR="00E1259F">
        <w:rPr>
          <w:rStyle w:val="Bullets"/>
          <w:rFonts w:ascii="Times" w:hAnsi="Times"/>
          <w:i w:val="0"/>
          <w:iCs w:val="0"/>
        </w:rPr>
        <w:t>…..</w:t>
      </w:r>
      <w:proofErr w:type="gramEnd"/>
      <w:r w:rsidR="0011707B">
        <w:rPr>
          <w:rStyle w:val="Bullets"/>
          <w:rFonts w:ascii="Times" w:hAnsi="Times"/>
          <w:i w:val="0"/>
          <w:iCs w:val="0"/>
        </w:rPr>
        <w:t>16</w:t>
      </w:r>
    </w:p>
    <w:p w14:paraId="490020D1" w14:textId="5949F9DF"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2.6</w:t>
      </w:r>
      <w:r w:rsidR="00900066">
        <w:rPr>
          <w:rStyle w:val="Bullets"/>
          <w:rFonts w:ascii="Times" w:hAnsi="Times"/>
          <w:i w:val="0"/>
          <w:iCs w:val="0"/>
        </w:rPr>
        <w:t>.</w:t>
      </w:r>
      <w:r w:rsidRPr="003E280E">
        <w:rPr>
          <w:rStyle w:val="Bullets"/>
          <w:rFonts w:ascii="Times" w:hAnsi="Times"/>
          <w:i w:val="0"/>
          <w:iCs w:val="0"/>
        </w:rPr>
        <w:t xml:space="preserve"> Spices and grape as sources of bioactive polyphenols</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11707B">
        <w:rPr>
          <w:rStyle w:val="Bullets"/>
          <w:rFonts w:ascii="Times" w:hAnsi="Times"/>
          <w:i w:val="0"/>
          <w:iCs w:val="0"/>
        </w:rPr>
        <w:t>16</w:t>
      </w:r>
    </w:p>
    <w:p w14:paraId="0CD8B797" w14:textId="213B87AD" w:rsidR="0DE242D6" w:rsidRPr="003E280E" w:rsidRDefault="004D2C3B" w:rsidP="003E280E">
      <w:pPr>
        <w:pStyle w:val="Caption"/>
        <w:rPr>
          <w:rStyle w:val="Bullets"/>
          <w:rFonts w:ascii="Times" w:hAnsi="Times"/>
          <w:i w:val="0"/>
          <w:iCs w:val="0"/>
        </w:rPr>
      </w:pPr>
      <w:r w:rsidRPr="003E280E">
        <w:rPr>
          <w:rStyle w:val="Bullets"/>
          <w:rFonts w:ascii="Times" w:hAnsi="Times"/>
          <w:i w:val="0"/>
          <w:iCs w:val="0"/>
        </w:rPr>
        <w:t>2.7. Antiarthritic activity of vitamin E</w:t>
      </w:r>
      <w:r w:rsidR="005D0EBC">
        <w:rPr>
          <w:rStyle w:val="Bullets"/>
          <w:rFonts w:ascii="Times" w:hAnsi="Times"/>
          <w:i w:val="0"/>
          <w:iCs w:val="0"/>
        </w:rPr>
        <w:t>…………………………………</w:t>
      </w:r>
      <w:r w:rsidR="00E1259F">
        <w:rPr>
          <w:rStyle w:val="Bullets"/>
          <w:rFonts w:ascii="Times" w:hAnsi="Times"/>
          <w:i w:val="0"/>
          <w:iCs w:val="0"/>
        </w:rPr>
        <w:t>……</w:t>
      </w:r>
      <w:proofErr w:type="gramStart"/>
      <w:r w:rsidR="00E1259F">
        <w:rPr>
          <w:rStyle w:val="Bullets"/>
          <w:rFonts w:ascii="Times" w:hAnsi="Times"/>
          <w:i w:val="0"/>
          <w:iCs w:val="0"/>
        </w:rPr>
        <w:t>…..</w:t>
      </w:r>
      <w:proofErr w:type="gramEnd"/>
      <w:r w:rsidR="005D0EBC">
        <w:rPr>
          <w:rStyle w:val="Bullets"/>
          <w:rFonts w:ascii="Times" w:hAnsi="Times"/>
          <w:i w:val="0"/>
          <w:iCs w:val="0"/>
        </w:rPr>
        <w:t>…</w:t>
      </w:r>
      <w:r w:rsidR="0011707B">
        <w:rPr>
          <w:rStyle w:val="Bullets"/>
          <w:rFonts w:ascii="Times" w:hAnsi="Times"/>
          <w:i w:val="0"/>
          <w:iCs w:val="0"/>
        </w:rPr>
        <w:t>20</w:t>
      </w:r>
    </w:p>
    <w:p w14:paraId="585DE97C" w14:textId="70A79546" w:rsidR="00386CA0" w:rsidRPr="003E280E" w:rsidRDefault="001245F6" w:rsidP="003E280E">
      <w:pPr>
        <w:pStyle w:val="Caption"/>
        <w:rPr>
          <w:rStyle w:val="Bullets"/>
          <w:rFonts w:ascii="Times" w:hAnsi="Times"/>
          <w:b/>
          <w:bCs/>
          <w:i w:val="0"/>
          <w:iCs w:val="0"/>
        </w:rPr>
      </w:pPr>
      <w:r w:rsidRPr="003E280E">
        <w:rPr>
          <w:rStyle w:val="Bullets"/>
          <w:rFonts w:ascii="Times" w:hAnsi="Times"/>
          <w:i w:val="0"/>
          <w:iCs w:val="0"/>
        </w:rPr>
        <w:t xml:space="preserve">3. </w:t>
      </w:r>
      <w:r w:rsidR="00D45672" w:rsidRPr="003E280E">
        <w:rPr>
          <w:rStyle w:val="Bullets"/>
          <w:rFonts w:ascii="Times" w:hAnsi="Times"/>
          <w:i w:val="0"/>
          <w:iCs w:val="0"/>
        </w:rPr>
        <w:t xml:space="preserve"> </w:t>
      </w:r>
      <w:r w:rsidR="003E280E" w:rsidRPr="003E280E">
        <w:rPr>
          <w:rStyle w:val="Bullets"/>
          <w:rFonts w:ascii="Times" w:hAnsi="Times"/>
          <w:b/>
          <w:bCs/>
          <w:i w:val="0"/>
          <w:iCs w:val="0"/>
        </w:rPr>
        <w:t>THE USE OF NANOPARTICLES FOR THE DELIVERY OF RESVERATRO</w:t>
      </w:r>
      <w:r w:rsidR="0011707B">
        <w:rPr>
          <w:rStyle w:val="Bullets"/>
          <w:rFonts w:ascii="Times" w:hAnsi="Times"/>
          <w:b/>
          <w:bCs/>
          <w:i w:val="0"/>
          <w:iCs w:val="0"/>
        </w:rPr>
        <w:t>L</w:t>
      </w:r>
    </w:p>
    <w:p w14:paraId="40671952" w14:textId="33AC4584" w:rsidR="7F4A1ADC" w:rsidRPr="003E280E" w:rsidRDefault="7F4A1ADC" w:rsidP="003E280E">
      <w:pPr>
        <w:pStyle w:val="Caption"/>
        <w:rPr>
          <w:rStyle w:val="Bullets"/>
          <w:rFonts w:ascii="Times" w:hAnsi="Times"/>
          <w:i w:val="0"/>
          <w:iCs w:val="0"/>
        </w:rPr>
      </w:pPr>
      <w:proofErr w:type="gramStart"/>
      <w:r w:rsidRPr="003E280E">
        <w:rPr>
          <w:rStyle w:val="Bullets"/>
          <w:rFonts w:ascii="Times" w:hAnsi="Times"/>
          <w:i w:val="0"/>
          <w:iCs w:val="0"/>
        </w:rPr>
        <w:t xml:space="preserve">3.1 </w:t>
      </w:r>
      <w:r w:rsidR="00E55017">
        <w:rPr>
          <w:rStyle w:val="Bullets"/>
          <w:rFonts w:ascii="Times" w:hAnsi="Times"/>
          <w:i w:val="0"/>
          <w:iCs w:val="0"/>
        </w:rPr>
        <w:t xml:space="preserve"> </w:t>
      </w:r>
      <w:r w:rsidRPr="003E280E">
        <w:rPr>
          <w:rStyle w:val="Bullets"/>
          <w:rFonts w:ascii="Times" w:hAnsi="Times"/>
          <w:i w:val="0"/>
          <w:iCs w:val="0"/>
        </w:rPr>
        <w:t>Liposomes</w:t>
      </w:r>
      <w:proofErr w:type="gramEnd"/>
      <w:r w:rsidR="005D0EBC">
        <w:rPr>
          <w:rStyle w:val="Bullets"/>
          <w:rFonts w:ascii="Times" w:hAnsi="Times"/>
          <w:i w:val="0"/>
          <w:iCs w:val="0"/>
        </w:rPr>
        <w:t>……………………………………………………………………</w:t>
      </w:r>
      <w:r w:rsidR="00E1259F">
        <w:rPr>
          <w:rStyle w:val="Bullets"/>
          <w:rFonts w:ascii="Times" w:hAnsi="Times"/>
          <w:i w:val="0"/>
          <w:iCs w:val="0"/>
        </w:rPr>
        <w:t>..</w:t>
      </w:r>
      <w:r w:rsidR="0011707B">
        <w:rPr>
          <w:rStyle w:val="Bullets"/>
          <w:rFonts w:ascii="Times" w:hAnsi="Times"/>
          <w:i w:val="0"/>
          <w:iCs w:val="0"/>
        </w:rPr>
        <w:t>22</w:t>
      </w:r>
    </w:p>
    <w:p w14:paraId="7C55BBDB" w14:textId="18072F78"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2</w:t>
      </w:r>
      <w:r w:rsidRPr="003E280E">
        <w:rPr>
          <w:rStyle w:val="Bullets"/>
          <w:rFonts w:ascii="Times" w:hAnsi="Times"/>
          <w:i w:val="0"/>
          <w:iCs w:val="0"/>
        </w:rPr>
        <w:t xml:space="preserve">. </w:t>
      </w:r>
      <w:r w:rsidR="004D2C3B" w:rsidRPr="003E280E">
        <w:rPr>
          <w:rStyle w:val="Bullets"/>
          <w:rFonts w:ascii="Times" w:hAnsi="Times"/>
          <w:i w:val="0"/>
          <w:iCs w:val="0"/>
        </w:rPr>
        <w:t xml:space="preserve">Solid Lipid Nanoparticles </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11707B">
        <w:rPr>
          <w:rStyle w:val="Bullets"/>
          <w:rFonts w:ascii="Times" w:hAnsi="Times"/>
          <w:i w:val="0"/>
          <w:iCs w:val="0"/>
        </w:rPr>
        <w:t>23</w:t>
      </w:r>
    </w:p>
    <w:p w14:paraId="4CCF9CFC" w14:textId="66B4C5BD"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3</w:t>
      </w:r>
      <w:r w:rsidRPr="003E280E">
        <w:rPr>
          <w:rStyle w:val="Bullets"/>
          <w:rFonts w:ascii="Times" w:hAnsi="Times"/>
          <w:i w:val="0"/>
          <w:iCs w:val="0"/>
        </w:rPr>
        <w:t xml:space="preserve">. </w:t>
      </w:r>
      <w:r w:rsidR="004D2C3B" w:rsidRPr="003E280E">
        <w:rPr>
          <w:rStyle w:val="Bullets"/>
          <w:rFonts w:ascii="Times" w:hAnsi="Times"/>
          <w:i w:val="0"/>
          <w:iCs w:val="0"/>
        </w:rPr>
        <w:t>Polymeric Nanoparticles</w:t>
      </w:r>
      <w:r w:rsidR="005D0EBC">
        <w:rPr>
          <w:rStyle w:val="Bullets"/>
          <w:rFonts w:ascii="Times" w:hAnsi="Times"/>
          <w:i w:val="0"/>
          <w:iCs w:val="0"/>
        </w:rPr>
        <w:t>………………………………………………………</w:t>
      </w:r>
      <w:r w:rsidR="00E1259F">
        <w:rPr>
          <w:rStyle w:val="Bullets"/>
          <w:rFonts w:ascii="Times" w:hAnsi="Times"/>
          <w:i w:val="0"/>
          <w:iCs w:val="0"/>
        </w:rPr>
        <w:t>.</w:t>
      </w:r>
      <w:r w:rsidR="0011707B">
        <w:rPr>
          <w:rStyle w:val="Bullets"/>
          <w:rFonts w:ascii="Times" w:hAnsi="Times"/>
          <w:i w:val="0"/>
          <w:iCs w:val="0"/>
        </w:rPr>
        <w:t>23</w:t>
      </w:r>
    </w:p>
    <w:p w14:paraId="1EEBD73D" w14:textId="284602DB"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4</w:t>
      </w:r>
      <w:r w:rsidRPr="003E280E">
        <w:rPr>
          <w:rStyle w:val="Bullets"/>
          <w:rFonts w:ascii="Times" w:hAnsi="Times"/>
          <w:i w:val="0"/>
          <w:iCs w:val="0"/>
        </w:rPr>
        <w:t xml:space="preserve">. </w:t>
      </w:r>
      <w:r w:rsidR="004D2C3B" w:rsidRPr="003E280E">
        <w:rPr>
          <w:rStyle w:val="Bullets"/>
          <w:rFonts w:ascii="Times" w:hAnsi="Times"/>
          <w:i w:val="0"/>
          <w:iCs w:val="0"/>
        </w:rPr>
        <w:t>Zinc Oxide Nanoparticles</w:t>
      </w:r>
      <w:r w:rsidR="005D0EBC">
        <w:rPr>
          <w:rStyle w:val="Bullets"/>
          <w:rFonts w:ascii="Times" w:hAnsi="Times"/>
          <w:i w:val="0"/>
          <w:iCs w:val="0"/>
        </w:rPr>
        <w:t>………………………………………………………</w:t>
      </w:r>
      <w:r w:rsidR="0011707B">
        <w:rPr>
          <w:rStyle w:val="Bullets"/>
          <w:rFonts w:ascii="Times" w:hAnsi="Times"/>
          <w:i w:val="0"/>
          <w:iCs w:val="0"/>
        </w:rPr>
        <w:t>24</w:t>
      </w:r>
    </w:p>
    <w:p w14:paraId="3B96642D" w14:textId="7DC46FE2"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5</w:t>
      </w:r>
      <w:r w:rsidRPr="003E280E">
        <w:rPr>
          <w:rStyle w:val="Bullets"/>
          <w:rFonts w:ascii="Times" w:hAnsi="Times"/>
          <w:i w:val="0"/>
          <w:iCs w:val="0"/>
        </w:rPr>
        <w:t>. Gold Nanoparticles</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5D0EBC">
        <w:rPr>
          <w:rStyle w:val="Bullets"/>
          <w:rFonts w:ascii="Times" w:hAnsi="Times"/>
          <w:i w:val="0"/>
          <w:iCs w:val="0"/>
        </w:rPr>
        <w:t>…</w:t>
      </w:r>
      <w:r w:rsidR="0011707B">
        <w:rPr>
          <w:rStyle w:val="Bullets"/>
          <w:rFonts w:ascii="Times" w:hAnsi="Times"/>
          <w:i w:val="0"/>
          <w:iCs w:val="0"/>
        </w:rPr>
        <w:t>25</w:t>
      </w:r>
    </w:p>
    <w:p w14:paraId="0E973D0C" w14:textId="0833AF42"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6</w:t>
      </w:r>
      <w:r w:rsidRPr="003E280E">
        <w:rPr>
          <w:rStyle w:val="Bullets"/>
          <w:rFonts w:ascii="Times" w:hAnsi="Times"/>
          <w:i w:val="0"/>
          <w:iCs w:val="0"/>
        </w:rPr>
        <w:t xml:space="preserve">. </w:t>
      </w:r>
      <w:r w:rsidR="004D2C3B" w:rsidRPr="003E280E">
        <w:rPr>
          <w:rStyle w:val="Bullets"/>
          <w:rFonts w:ascii="Times" w:hAnsi="Times"/>
          <w:i w:val="0"/>
          <w:iCs w:val="0"/>
        </w:rPr>
        <w:t>Carbon Nanotubes</w:t>
      </w:r>
      <w:r w:rsidR="0011707B">
        <w:rPr>
          <w:rStyle w:val="Bullets"/>
          <w:rFonts w:ascii="Times" w:hAnsi="Times"/>
          <w:i w:val="0"/>
          <w:iCs w:val="0"/>
        </w:rPr>
        <w:t>………………………………………………………………25</w:t>
      </w:r>
    </w:p>
    <w:p w14:paraId="065633BC" w14:textId="4B7B63A5"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7</w:t>
      </w:r>
      <w:r w:rsidRPr="003E280E">
        <w:rPr>
          <w:rStyle w:val="Bullets"/>
          <w:rFonts w:ascii="Times" w:hAnsi="Times"/>
          <w:i w:val="0"/>
          <w:iCs w:val="0"/>
        </w:rPr>
        <w:t>. Zeolitic Imidazolate Framework-8 Nanoparticles (ZIF-8 NPs)</w:t>
      </w:r>
      <w:r w:rsidR="005D0EBC" w:rsidRPr="005D0EBC">
        <w:rPr>
          <w:rStyle w:val="Bullets"/>
          <w:rFonts w:ascii="Times" w:hAnsi="Times"/>
          <w:i w:val="0"/>
          <w:iCs w:val="0"/>
        </w:rPr>
        <w:t xml:space="preserve"> </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5D0EBC">
        <w:rPr>
          <w:rStyle w:val="Bullets"/>
          <w:rFonts w:ascii="Times" w:hAnsi="Times"/>
          <w:i w:val="0"/>
          <w:iCs w:val="0"/>
        </w:rPr>
        <w:t>…</w:t>
      </w:r>
      <w:r w:rsidR="0011707B">
        <w:rPr>
          <w:rStyle w:val="Bullets"/>
          <w:rFonts w:ascii="Times" w:hAnsi="Times"/>
          <w:i w:val="0"/>
          <w:iCs w:val="0"/>
        </w:rPr>
        <w:t>27</w:t>
      </w:r>
    </w:p>
    <w:p w14:paraId="26C7635E" w14:textId="6E403AF6"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8</w:t>
      </w:r>
      <w:r w:rsidRPr="003E280E">
        <w:rPr>
          <w:rStyle w:val="Bullets"/>
          <w:rFonts w:ascii="Times" w:hAnsi="Times"/>
          <w:i w:val="0"/>
          <w:iCs w:val="0"/>
        </w:rPr>
        <w:t>. Mesoporous Silica Nanoparticles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28</w:t>
      </w:r>
    </w:p>
    <w:p w14:paraId="6CEC68EA" w14:textId="3122DAE4" w:rsidR="7F4A1ADC" w:rsidRPr="003E280E" w:rsidRDefault="7F4A1ADC" w:rsidP="003E280E">
      <w:pPr>
        <w:pStyle w:val="Caption"/>
        <w:rPr>
          <w:rStyle w:val="Bullets"/>
          <w:rFonts w:ascii="Times" w:hAnsi="Times"/>
          <w:i w:val="0"/>
          <w:iCs w:val="0"/>
        </w:rPr>
      </w:pPr>
      <w:r w:rsidRPr="003E280E">
        <w:rPr>
          <w:rStyle w:val="Bullets"/>
          <w:rFonts w:ascii="Times" w:hAnsi="Times"/>
          <w:i w:val="0"/>
          <w:iCs w:val="0"/>
        </w:rPr>
        <w:t>3.</w:t>
      </w:r>
      <w:r w:rsidR="00900066">
        <w:rPr>
          <w:rStyle w:val="Bullets"/>
          <w:rFonts w:ascii="Times" w:hAnsi="Times"/>
          <w:i w:val="0"/>
          <w:iCs w:val="0"/>
        </w:rPr>
        <w:t>9.</w:t>
      </w:r>
      <w:r w:rsidRPr="003E280E">
        <w:rPr>
          <w:rStyle w:val="Bullets"/>
          <w:rFonts w:ascii="Times" w:hAnsi="Times"/>
          <w:i w:val="0"/>
          <w:iCs w:val="0"/>
        </w:rPr>
        <w:t xml:space="preserve"> </w:t>
      </w:r>
      <w:r w:rsidR="004D2C3B" w:rsidRPr="003E280E">
        <w:rPr>
          <w:rStyle w:val="Bullets"/>
          <w:rFonts w:ascii="Times" w:hAnsi="Times"/>
          <w:i w:val="0"/>
          <w:iCs w:val="0"/>
        </w:rPr>
        <w:t>Bioactive glasses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29</w:t>
      </w:r>
    </w:p>
    <w:p w14:paraId="25D31683" w14:textId="35E374A4" w:rsidR="00386CA0" w:rsidRPr="003E280E" w:rsidRDefault="001245F6" w:rsidP="003E280E">
      <w:pPr>
        <w:pStyle w:val="Caption"/>
        <w:rPr>
          <w:rStyle w:val="Bullets"/>
          <w:rFonts w:ascii="Times" w:hAnsi="Times"/>
          <w:b/>
          <w:bCs/>
          <w:i w:val="0"/>
          <w:iCs w:val="0"/>
        </w:rPr>
      </w:pPr>
      <w:r w:rsidRPr="003E280E">
        <w:rPr>
          <w:rStyle w:val="Bullets"/>
          <w:rFonts w:ascii="Times" w:hAnsi="Times"/>
          <w:b/>
          <w:bCs/>
          <w:i w:val="0"/>
          <w:iCs w:val="0"/>
        </w:rPr>
        <w:t xml:space="preserve">4. </w:t>
      </w:r>
      <w:r w:rsidR="00D45672" w:rsidRPr="003E280E">
        <w:rPr>
          <w:rStyle w:val="Bullets"/>
          <w:rFonts w:ascii="Times" w:hAnsi="Times"/>
          <w:b/>
          <w:bCs/>
          <w:i w:val="0"/>
          <w:iCs w:val="0"/>
        </w:rPr>
        <w:t xml:space="preserve"> </w:t>
      </w:r>
      <w:r w:rsidR="003E280E" w:rsidRPr="003E280E">
        <w:rPr>
          <w:rStyle w:val="Bullets"/>
          <w:rFonts w:ascii="Times" w:hAnsi="Times"/>
          <w:b/>
          <w:bCs/>
          <w:i w:val="0"/>
          <w:iCs w:val="0"/>
        </w:rPr>
        <w:t>THE USE OF ARTIFICIAL INTELLIGENCE APPLIED IN MICROSCOPIC IMAGES OF CELLS AND TISSUES</w:t>
      </w:r>
      <w:r w:rsidR="005D0EBC">
        <w:rPr>
          <w:rStyle w:val="Bullets"/>
          <w:rFonts w:ascii="Times" w:hAnsi="Times"/>
          <w:i w:val="0"/>
          <w:iCs w:val="0"/>
        </w:rPr>
        <w:t>……………………………………</w:t>
      </w:r>
    </w:p>
    <w:p w14:paraId="6783005E" w14:textId="0458D662"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 xml:space="preserve">4.1. Cell culture: A foundational technique in molecular and cellular biology </w:t>
      </w:r>
      <w:proofErr w:type="gramStart"/>
      <w:r w:rsidRPr="003E280E">
        <w:rPr>
          <w:rStyle w:val="Bullets"/>
          <w:rFonts w:ascii="Times" w:hAnsi="Times"/>
          <w:i w:val="0"/>
          <w:iCs w:val="0"/>
        </w:rPr>
        <w:t>research</w:t>
      </w:r>
      <w:r w:rsidR="0011707B">
        <w:rPr>
          <w:rStyle w:val="Bullets"/>
          <w:rFonts w:ascii="Times" w:hAnsi="Times"/>
          <w:i w:val="0"/>
          <w:iCs w:val="0"/>
        </w:rPr>
        <w:t>..</w:t>
      </w:r>
      <w:proofErr w:type="gramEnd"/>
      <w:r w:rsidR="0011707B">
        <w:rPr>
          <w:rStyle w:val="Bullets"/>
          <w:rFonts w:ascii="Times" w:hAnsi="Times"/>
          <w:i w:val="0"/>
          <w:iCs w:val="0"/>
        </w:rPr>
        <w:t>30</w:t>
      </w:r>
    </w:p>
    <w:p w14:paraId="0C742034" w14:textId="64ADDD27"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4.2. Machine learning and artificial intelligence revolution in microscopic image of cells and tissues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……….30</w:t>
      </w:r>
    </w:p>
    <w:p w14:paraId="1B3DBB43" w14:textId="011383A4"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4.3. Reinforcement learning</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31</w:t>
      </w:r>
    </w:p>
    <w:p w14:paraId="4269CEE1" w14:textId="6FA0A486"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lastRenderedPageBreak/>
        <w:t xml:space="preserve">4.4. </w:t>
      </w:r>
      <w:r w:rsidR="004D2F31">
        <w:rPr>
          <w:rStyle w:val="Bullets"/>
          <w:rFonts w:ascii="Times" w:hAnsi="Times"/>
          <w:i w:val="0"/>
          <w:iCs w:val="0"/>
        </w:rPr>
        <w:t>E</w:t>
      </w:r>
      <w:r w:rsidRPr="003E280E">
        <w:rPr>
          <w:rStyle w:val="Bullets"/>
          <w:rFonts w:ascii="Times" w:hAnsi="Times"/>
          <w:i w:val="0"/>
          <w:iCs w:val="0"/>
        </w:rPr>
        <w:t xml:space="preserve">valuation </w:t>
      </w:r>
      <w:proofErr w:type="spellStart"/>
      <w:r w:rsidRPr="003E280E">
        <w:rPr>
          <w:rStyle w:val="Bullets"/>
          <w:rFonts w:ascii="Times" w:hAnsi="Times"/>
          <w:i w:val="0"/>
          <w:iCs w:val="0"/>
        </w:rPr>
        <w:t>matrics</w:t>
      </w:r>
      <w:proofErr w:type="spellEnd"/>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32</w:t>
      </w:r>
    </w:p>
    <w:p w14:paraId="2D8D23CE" w14:textId="391E5E9D"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4.5</w:t>
      </w:r>
      <w:r w:rsidR="004D2F31">
        <w:rPr>
          <w:rStyle w:val="Bullets"/>
          <w:rFonts w:ascii="Times" w:hAnsi="Times"/>
          <w:i w:val="0"/>
          <w:iCs w:val="0"/>
        </w:rPr>
        <w:t>.</w:t>
      </w:r>
      <w:r w:rsidRPr="003E280E">
        <w:rPr>
          <w:rStyle w:val="Bullets"/>
          <w:rFonts w:ascii="Times" w:hAnsi="Times"/>
          <w:i w:val="0"/>
          <w:iCs w:val="0"/>
        </w:rPr>
        <w:t xml:space="preserve"> Introduction of Artificial Neural networks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33</w:t>
      </w:r>
    </w:p>
    <w:p w14:paraId="2791E316" w14:textId="599F1DC4"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4.6. Deep convolutional neural networks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11707B">
        <w:rPr>
          <w:rStyle w:val="Bullets"/>
          <w:rFonts w:ascii="Times" w:hAnsi="Times"/>
          <w:i w:val="0"/>
          <w:iCs w:val="0"/>
        </w:rPr>
        <w:t>34</w:t>
      </w:r>
    </w:p>
    <w:p w14:paraId="745D851C" w14:textId="7AC28246" w:rsidR="004D2C3B" w:rsidRPr="003E280E" w:rsidRDefault="004D2C3B" w:rsidP="003E280E">
      <w:pPr>
        <w:pStyle w:val="Caption"/>
        <w:rPr>
          <w:rStyle w:val="Bullets"/>
          <w:rFonts w:ascii="Times" w:hAnsi="Times"/>
          <w:i w:val="0"/>
          <w:iCs w:val="0"/>
        </w:rPr>
      </w:pPr>
      <w:r w:rsidRPr="003E280E">
        <w:rPr>
          <w:rStyle w:val="Bullets"/>
          <w:rFonts w:ascii="Times" w:hAnsi="Times"/>
          <w:i w:val="0"/>
          <w:iCs w:val="0"/>
        </w:rPr>
        <w:t>4.7. Introduction of generative adversarial networks</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5D0EBC">
        <w:rPr>
          <w:rStyle w:val="Bullets"/>
          <w:rFonts w:ascii="Times" w:hAnsi="Times"/>
          <w:i w:val="0"/>
          <w:iCs w:val="0"/>
        </w:rPr>
        <w:t>…</w:t>
      </w:r>
      <w:r w:rsidR="00083055">
        <w:rPr>
          <w:rStyle w:val="Bullets"/>
          <w:rFonts w:ascii="Times" w:hAnsi="Times"/>
          <w:i w:val="0"/>
          <w:iCs w:val="0"/>
        </w:rPr>
        <w:t>35</w:t>
      </w:r>
    </w:p>
    <w:p w14:paraId="1997B18D" w14:textId="67B46D34" w:rsidR="0DE242D6" w:rsidRPr="003E280E" w:rsidRDefault="004D2C3B" w:rsidP="003E280E">
      <w:pPr>
        <w:pStyle w:val="Caption"/>
        <w:rPr>
          <w:rStyle w:val="Bullets"/>
          <w:rFonts w:ascii="Times" w:hAnsi="Times"/>
          <w:i w:val="0"/>
          <w:iCs w:val="0"/>
        </w:rPr>
      </w:pPr>
      <w:r w:rsidRPr="003E280E">
        <w:rPr>
          <w:rStyle w:val="Bullets"/>
          <w:rFonts w:ascii="Times" w:hAnsi="Times"/>
          <w:i w:val="0"/>
          <w:iCs w:val="0"/>
        </w:rPr>
        <w:t>4.8. Introduction of vision transformers</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5D0EBC">
        <w:rPr>
          <w:rStyle w:val="Bullets"/>
          <w:rFonts w:ascii="Times" w:hAnsi="Times"/>
          <w:i w:val="0"/>
          <w:iCs w:val="0"/>
        </w:rPr>
        <w:t>…</w:t>
      </w:r>
      <w:r w:rsidR="00083055">
        <w:rPr>
          <w:rStyle w:val="Bullets"/>
          <w:rFonts w:ascii="Times" w:hAnsi="Times"/>
          <w:i w:val="0"/>
          <w:iCs w:val="0"/>
        </w:rPr>
        <w:t>37</w:t>
      </w:r>
    </w:p>
    <w:p w14:paraId="2E13589D" w14:textId="72C83B63" w:rsidR="00386CA0" w:rsidRPr="003E280E" w:rsidRDefault="00D45672" w:rsidP="003E280E">
      <w:pPr>
        <w:pStyle w:val="Caption"/>
        <w:rPr>
          <w:rStyle w:val="Bullets"/>
          <w:rFonts w:ascii="Times" w:hAnsi="Times"/>
          <w:i w:val="0"/>
          <w:iCs w:val="0"/>
        </w:rPr>
      </w:pPr>
      <w:r w:rsidRPr="003E280E">
        <w:rPr>
          <w:rStyle w:val="Bullets"/>
          <w:rFonts w:ascii="Times" w:hAnsi="Times"/>
          <w:i w:val="0"/>
          <w:iCs w:val="0"/>
        </w:rPr>
        <w:t xml:space="preserve">5. </w:t>
      </w:r>
      <w:r w:rsidR="003E280E" w:rsidRPr="003E280E">
        <w:rPr>
          <w:rStyle w:val="Bullets"/>
          <w:rFonts w:ascii="Times" w:hAnsi="Times"/>
          <w:b/>
          <w:bCs/>
          <w:i w:val="0"/>
          <w:iCs w:val="0"/>
        </w:rPr>
        <w:t>RADIOMICS ANALYSIS IN MAGNETIC RESONANCE IMAGING TO DETECT TUMORS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083055">
        <w:rPr>
          <w:rStyle w:val="Bullets"/>
          <w:rFonts w:ascii="Times" w:hAnsi="Times"/>
          <w:i w:val="0"/>
          <w:iCs w:val="0"/>
        </w:rPr>
        <w:t>41</w:t>
      </w:r>
    </w:p>
    <w:p w14:paraId="36907913" w14:textId="61E4B0DE"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 xml:space="preserve">5.1. </w:t>
      </w:r>
      <w:r w:rsidR="00637175">
        <w:rPr>
          <w:rStyle w:val="Bullets"/>
          <w:rFonts w:ascii="Times" w:hAnsi="Times"/>
          <w:i w:val="0"/>
          <w:iCs w:val="0"/>
        </w:rPr>
        <w:t>P</w:t>
      </w:r>
      <w:r w:rsidRPr="003E280E">
        <w:rPr>
          <w:rStyle w:val="Bullets"/>
          <w:rFonts w:ascii="Times" w:hAnsi="Times"/>
          <w:i w:val="0"/>
          <w:iCs w:val="0"/>
        </w:rPr>
        <w:t>rostate cancer detection methodology</w:t>
      </w:r>
      <w:r w:rsidR="005D0EBC">
        <w:rPr>
          <w:rStyle w:val="Bullets"/>
          <w:rFonts w:ascii="Times" w:hAnsi="Times"/>
          <w:i w:val="0"/>
          <w:iCs w:val="0"/>
        </w:rPr>
        <w:t>………………………………………….</w:t>
      </w:r>
      <w:r w:rsidR="00083055">
        <w:rPr>
          <w:rStyle w:val="Bullets"/>
          <w:rFonts w:ascii="Times" w:hAnsi="Times"/>
          <w:i w:val="0"/>
          <w:iCs w:val="0"/>
        </w:rPr>
        <w:t>41</w:t>
      </w:r>
    </w:p>
    <w:p w14:paraId="41CC4586" w14:textId="069B3D14"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 xml:space="preserve">5.1.1 </w:t>
      </w:r>
      <w:r w:rsidR="00637175">
        <w:rPr>
          <w:rStyle w:val="Bullets"/>
          <w:rFonts w:ascii="Times" w:hAnsi="Times"/>
          <w:i w:val="0"/>
          <w:iCs w:val="0"/>
        </w:rPr>
        <w:t>M</w:t>
      </w:r>
      <w:r w:rsidRPr="003E280E">
        <w:rPr>
          <w:rStyle w:val="Bullets"/>
          <w:rFonts w:ascii="Times" w:hAnsi="Times"/>
          <w:i w:val="0"/>
          <w:iCs w:val="0"/>
        </w:rPr>
        <w:t>aterial and methods</w:t>
      </w:r>
      <w:r w:rsidR="005D0EBC">
        <w:rPr>
          <w:rStyle w:val="Bullets"/>
          <w:rFonts w:ascii="Times" w:hAnsi="Times"/>
          <w:i w:val="0"/>
          <w:iCs w:val="0"/>
        </w:rPr>
        <w:t>……………………………………………………</w:t>
      </w:r>
      <w:r w:rsidR="00E1259F">
        <w:rPr>
          <w:rStyle w:val="Bullets"/>
          <w:rFonts w:ascii="Times" w:hAnsi="Times"/>
          <w:i w:val="0"/>
          <w:iCs w:val="0"/>
        </w:rPr>
        <w:t>.</w:t>
      </w:r>
      <w:r w:rsidR="005D0EBC">
        <w:rPr>
          <w:rStyle w:val="Bullets"/>
          <w:rFonts w:ascii="Times" w:hAnsi="Times"/>
          <w:i w:val="0"/>
          <w:iCs w:val="0"/>
        </w:rPr>
        <w:t>…….</w:t>
      </w:r>
      <w:r w:rsidR="00083055">
        <w:rPr>
          <w:rStyle w:val="Bullets"/>
          <w:rFonts w:ascii="Times" w:hAnsi="Times"/>
          <w:i w:val="0"/>
          <w:iCs w:val="0"/>
        </w:rPr>
        <w:t>41</w:t>
      </w:r>
    </w:p>
    <w:p w14:paraId="590C5B07" w14:textId="1431CE51"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5.1.1.1. Population</w:t>
      </w:r>
      <w:r w:rsidR="005D0EBC">
        <w:rPr>
          <w:rStyle w:val="Bullets"/>
          <w:rFonts w:ascii="Times" w:hAnsi="Times"/>
          <w:i w:val="0"/>
          <w:iCs w:val="0"/>
        </w:rPr>
        <w:t>……………………………………………………………………</w:t>
      </w:r>
      <w:r w:rsidR="00083055">
        <w:rPr>
          <w:rStyle w:val="Bullets"/>
          <w:rFonts w:ascii="Times" w:hAnsi="Times"/>
          <w:i w:val="0"/>
          <w:iCs w:val="0"/>
        </w:rPr>
        <w:t>41</w:t>
      </w:r>
    </w:p>
    <w:p w14:paraId="3BA876A6" w14:textId="2F83BAFA"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5.1.1.2. Using the MRI technique</w:t>
      </w:r>
      <w:r w:rsidR="005D0EBC">
        <w:rPr>
          <w:rStyle w:val="Bullets"/>
          <w:rFonts w:ascii="Times" w:hAnsi="Times"/>
          <w:i w:val="0"/>
          <w:iCs w:val="0"/>
        </w:rPr>
        <w:t>……………………………………………………</w:t>
      </w:r>
      <w:r w:rsidR="00083055">
        <w:rPr>
          <w:rStyle w:val="Bullets"/>
          <w:rFonts w:ascii="Times" w:hAnsi="Times"/>
          <w:i w:val="0"/>
          <w:iCs w:val="0"/>
        </w:rPr>
        <w:t>42</w:t>
      </w:r>
    </w:p>
    <w:p w14:paraId="01853921" w14:textId="783D8827"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5.1.1.3. Manual segmentation</w:t>
      </w:r>
      <w:r w:rsidR="005D0EBC">
        <w:rPr>
          <w:rStyle w:val="Bullets"/>
          <w:rFonts w:ascii="Times" w:hAnsi="Times"/>
          <w:i w:val="0"/>
          <w:iCs w:val="0"/>
        </w:rPr>
        <w:t>………………………………………………</w:t>
      </w:r>
      <w:proofErr w:type="gramStart"/>
      <w:r w:rsidR="005D0EBC">
        <w:rPr>
          <w:rStyle w:val="Bullets"/>
          <w:rFonts w:ascii="Times" w:hAnsi="Times"/>
          <w:i w:val="0"/>
          <w:iCs w:val="0"/>
        </w:rPr>
        <w:t>…</w:t>
      </w:r>
      <w:r w:rsidR="00E1259F">
        <w:rPr>
          <w:rStyle w:val="Bullets"/>
          <w:rFonts w:ascii="Times" w:hAnsi="Times"/>
          <w:i w:val="0"/>
          <w:iCs w:val="0"/>
        </w:rPr>
        <w:t>..</w:t>
      </w:r>
      <w:proofErr w:type="gramEnd"/>
      <w:r w:rsidR="005D0EBC">
        <w:rPr>
          <w:rStyle w:val="Bullets"/>
          <w:rFonts w:ascii="Times" w:hAnsi="Times"/>
          <w:i w:val="0"/>
          <w:iCs w:val="0"/>
        </w:rPr>
        <w:t>……</w:t>
      </w:r>
      <w:r w:rsidR="00083055">
        <w:rPr>
          <w:rStyle w:val="Bullets"/>
          <w:rFonts w:ascii="Times" w:hAnsi="Times"/>
          <w:i w:val="0"/>
          <w:iCs w:val="0"/>
        </w:rPr>
        <w:t>42</w:t>
      </w:r>
    </w:p>
    <w:p w14:paraId="30B0010C" w14:textId="462273DC"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5.1.1.4. Radiomics features extraction</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……43</w:t>
      </w:r>
    </w:p>
    <w:p w14:paraId="508E4D77" w14:textId="0A7A82E2"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5.1.1.5. Computational and statistical analysis</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……………43</w:t>
      </w:r>
    </w:p>
    <w:p w14:paraId="403CBEBD" w14:textId="439773BE"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5.5. Methodology for bladder cancer</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………43</w:t>
      </w:r>
    </w:p>
    <w:p w14:paraId="03D2FBB3" w14:textId="7CF66338"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 xml:space="preserve">5.2.1.1. </w:t>
      </w:r>
      <w:r w:rsidR="00637175">
        <w:rPr>
          <w:rStyle w:val="Bullets"/>
          <w:rFonts w:ascii="Times" w:hAnsi="Times"/>
          <w:i w:val="0"/>
          <w:iCs w:val="0"/>
        </w:rPr>
        <w:t>P</w:t>
      </w:r>
      <w:r w:rsidRPr="003E280E">
        <w:rPr>
          <w:rStyle w:val="Bullets"/>
          <w:rFonts w:ascii="Times" w:hAnsi="Times"/>
          <w:i w:val="0"/>
          <w:iCs w:val="0"/>
        </w:rPr>
        <w:t>opulation</w:t>
      </w:r>
      <w:r w:rsidR="00083055">
        <w:rPr>
          <w:rStyle w:val="Bullets"/>
          <w:rFonts w:ascii="Times" w:hAnsi="Times"/>
          <w:i w:val="0"/>
          <w:iCs w:val="0"/>
        </w:rPr>
        <w:t>……………………………………………………………………44</w:t>
      </w:r>
    </w:p>
    <w:p w14:paraId="64A26A52" w14:textId="508DE01F"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5.2.1.2. MRI technique</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……44</w:t>
      </w:r>
    </w:p>
    <w:p w14:paraId="7FB71683" w14:textId="08566B85"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5.2.1.3. Qualitative image analysis</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……44</w:t>
      </w:r>
    </w:p>
    <w:p w14:paraId="43FBDB9E" w14:textId="2E23374B"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 xml:space="preserve">5.2.1.4. Segmentation and radiomics features </w:t>
      </w:r>
      <w:proofErr w:type="spellStart"/>
      <w:r w:rsidRPr="003E280E">
        <w:rPr>
          <w:rStyle w:val="Bullets"/>
          <w:rFonts w:ascii="Times" w:hAnsi="Times"/>
          <w:i w:val="0"/>
          <w:iCs w:val="0"/>
        </w:rPr>
        <w:t>extration</w:t>
      </w:r>
      <w:proofErr w:type="spellEnd"/>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……45</w:t>
      </w:r>
    </w:p>
    <w:p w14:paraId="319BE58A" w14:textId="43C33C6F"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5.2.1.5. Computational and statistical analysis</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……45</w:t>
      </w:r>
    </w:p>
    <w:p w14:paraId="373B3B47" w14:textId="7D9658C3" w:rsidR="00386CA0" w:rsidRDefault="00D45672" w:rsidP="003E280E">
      <w:pPr>
        <w:pStyle w:val="Caption"/>
        <w:rPr>
          <w:rStyle w:val="Bullets"/>
          <w:rFonts w:ascii="Times" w:hAnsi="Times"/>
          <w:b/>
          <w:bCs/>
          <w:i w:val="0"/>
          <w:iCs w:val="0"/>
        </w:rPr>
      </w:pPr>
      <w:r w:rsidRPr="003E280E">
        <w:rPr>
          <w:rStyle w:val="Bullets"/>
          <w:rFonts w:ascii="Times" w:hAnsi="Times"/>
          <w:b/>
          <w:bCs/>
          <w:i w:val="0"/>
          <w:iCs w:val="0"/>
        </w:rPr>
        <w:t xml:space="preserve">6. </w:t>
      </w:r>
      <w:r w:rsidR="00CB55F3">
        <w:rPr>
          <w:rStyle w:val="Bullets"/>
          <w:rFonts w:ascii="Times" w:hAnsi="Times"/>
          <w:b/>
          <w:bCs/>
          <w:i w:val="0"/>
          <w:iCs w:val="0"/>
        </w:rPr>
        <w:t>THE INVITRO EVALUATION OF SOME POLYPHENOLS</w:t>
      </w:r>
    </w:p>
    <w:p w14:paraId="2F42334A" w14:textId="00AFF723"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6.1. In vitro </w:t>
      </w:r>
      <w:r w:rsidR="00637175">
        <w:rPr>
          <w:rStyle w:val="Bullets"/>
          <w:rFonts w:ascii="Times" w:hAnsi="Times"/>
          <w:i w:val="0"/>
          <w:iCs w:val="0"/>
        </w:rPr>
        <w:t>e</w:t>
      </w:r>
      <w:r w:rsidRPr="00CB55F3">
        <w:rPr>
          <w:rStyle w:val="Bullets"/>
          <w:rFonts w:ascii="Times" w:hAnsi="Times"/>
          <w:i w:val="0"/>
          <w:iCs w:val="0"/>
        </w:rPr>
        <w:t xml:space="preserve">valuation of </w:t>
      </w:r>
      <w:proofErr w:type="spellStart"/>
      <w:r w:rsidRPr="00CB55F3">
        <w:rPr>
          <w:rStyle w:val="Bullets"/>
          <w:rFonts w:ascii="Times" w:hAnsi="Times"/>
          <w:i w:val="0"/>
          <w:iCs w:val="0"/>
        </w:rPr>
        <w:t>tyrosol</w:t>
      </w:r>
      <w:proofErr w:type="spellEnd"/>
      <w:r w:rsidR="00083055">
        <w:rPr>
          <w:rStyle w:val="Bullets"/>
          <w:rFonts w:ascii="Times" w:hAnsi="Times"/>
          <w:i w:val="0"/>
          <w:iCs w:val="0"/>
        </w:rPr>
        <w:t>……………………………………</w:t>
      </w:r>
      <w:proofErr w:type="gramStart"/>
      <w:r w:rsidR="00083055">
        <w:rPr>
          <w:rStyle w:val="Bullets"/>
          <w:rFonts w:ascii="Times" w:hAnsi="Times"/>
          <w:i w:val="0"/>
          <w:iCs w:val="0"/>
        </w:rPr>
        <w:t>…</w:t>
      </w:r>
      <w:r w:rsidR="00E1259F">
        <w:rPr>
          <w:rStyle w:val="Bullets"/>
          <w:rFonts w:ascii="Times" w:hAnsi="Times"/>
          <w:i w:val="0"/>
          <w:iCs w:val="0"/>
        </w:rPr>
        <w:t>..</w:t>
      </w:r>
      <w:proofErr w:type="gramEnd"/>
      <w:r w:rsidR="00083055">
        <w:rPr>
          <w:rStyle w:val="Bullets"/>
          <w:rFonts w:ascii="Times" w:hAnsi="Times"/>
          <w:i w:val="0"/>
          <w:iCs w:val="0"/>
        </w:rPr>
        <w:t>……………47</w:t>
      </w:r>
    </w:p>
    <w:p w14:paraId="226221E0" w14:textId="79A8AAA4"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6.2. In vitro </w:t>
      </w:r>
      <w:r w:rsidR="00637175">
        <w:rPr>
          <w:rStyle w:val="Bullets"/>
          <w:rFonts w:ascii="Times" w:hAnsi="Times"/>
          <w:i w:val="0"/>
          <w:iCs w:val="0"/>
        </w:rPr>
        <w:t>e</w:t>
      </w:r>
      <w:r w:rsidRPr="00CB55F3">
        <w:rPr>
          <w:rStyle w:val="Bullets"/>
          <w:rFonts w:ascii="Times" w:hAnsi="Times"/>
          <w:i w:val="0"/>
          <w:iCs w:val="0"/>
        </w:rPr>
        <w:t>valuation of Oleocanthal</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…50</w:t>
      </w:r>
    </w:p>
    <w:p w14:paraId="00E9F7B1" w14:textId="672DF255"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6.3. In vitro </w:t>
      </w:r>
      <w:r w:rsidR="00637175">
        <w:rPr>
          <w:rStyle w:val="Bullets"/>
          <w:rFonts w:ascii="Times" w:hAnsi="Times"/>
          <w:i w:val="0"/>
          <w:iCs w:val="0"/>
        </w:rPr>
        <w:t>e</w:t>
      </w:r>
      <w:r w:rsidRPr="00CB55F3">
        <w:rPr>
          <w:rStyle w:val="Bullets"/>
          <w:rFonts w:ascii="Times" w:hAnsi="Times"/>
          <w:i w:val="0"/>
          <w:iCs w:val="0"/>
        </w:rPr>
        <w:t>valuation of Curcumin</w:t>
      </w:r>
      <w:r w:rsidR="00083055">
        <w:rPr>
          <w:rStyle w:val="Bullets"/>
          <w:rFonts w:ascii="Times" w:hAnsi="Times"/>
          <w:i w:val="0"/>
          <w:iCs w:val="0"/>
        </w:rPr>
        <w:t>………………………………</w:t>
      </w:r>
      <w:r w:rsidR="00E1259F">
        <w:rPr>
          <w:rStyle w:val="Bullets"/>
          <w:rFonts w:ascii="Times" w:hAnsi="Times"/>
          <w:i w:val="0"/>
          <w:iCs w:val="0"/>
        </w:rPr>
        <w:t>…………</w:t>
      </w:r>
      <w:proofErr w:type="gramStart"/>
      <w:r w:rsidR="00E1259F">
        <w:rPr>
          <w:rStyle w:val="Bullets"/>
          <w:rFonts w:ascii="Times" w:hAnsi="Times"/>
          <w:i w:val="0"/>
          <w:iCs w:val="0"/>
        </w:rPr>
        <w:t>…..</w:t>
      </w:r>
      <w:proofErr w:type="gramEnd"/>
      <w:r w:rsidR="00083055">
        <w:rPr>
          <w:rStyle w:val="Bullets"/>
          <w:rFonts w:ascii="Times" w:hAnsi="Times"/>
          <w:i w:val="0"/>
          <w:iCs w:val="0"/>
        </w:rPr>
        <w:t>……50</w:t>
      </w:r>
    </w:p>
    <w:p w14:paraId="182AB4F5" w14:textId="4CC4D19B"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6.4. In vitro </w:t>
      </w:r>
      <w:r w:rsidR="00637175">
        <w:rPr>
          <w:rStyle w:val="Bullets"/>
          <w:rFonts w:ascii="Times" w:hAnsi="Times"/>
          <w:i w:val="0"/>
          <w:iCs w:val="0"/>
        </w:rPr>
        <w:t>e</w:t>
      </w:r>
      <w:r w:rsidRPr="00CB55F3">
        <w:rPr>
          <w:rStyle w:val="Bullets"/>
          <w:rFonts w:ascii="Times" w:hAnsi="Times"/>
          <w:i w:val="0"/>
          <w:iCs w:val="0"/>
        </w:rPr>
        <w:t xml:space="preserve">valuation of </w:t>
      </w:r>
      <w:proofErr w:type="spellStart"/>
      <w:r w:rsidRPr="00CB55F3">
        <w:rPr>
          <w:rStyle w:val="Bullets"/>
          <w:rFonts w:ascii="Times" w:hAnsi="Times"/>
          <w:i w:val="0"/>
          <w:iCs w:val="0"/>
        </w:rPr>
        <w:t>Stillbenes</w:t>
      </w:r>
      <w:proofErr w:type="spellEnd"/>
      <w:r w:rsidR="00083055">
        <w:rPr>
          <w:rStyle w:val="Bullets"/>
          <w:rFonts w:ascii="Times" w:hAnsi="Times"/>
          <w:i w:val="0"/>
          <w:iCs w:val="0"/>
        </w:rPr>
        <w:t>………………………</w:t>
      </w:r>
      <w:r w:rsidR="00E1259F">
        <w:rPr>
          <w:rStyle w:val="Bullets"/>
          <w:rFonts w:ascii="Times" w:hAnsi="Times"/>
          <w:i w:val="0"/>
          <w:iCs w:val="0"/>
        </w:rPr>
        <w:t>…………</w:t>
      </w:r>
      <w:proofErr w:type="gramStart"/>
      <w:r w:rsidR="00E1259F">
        <w:rPr>
          <w:rStyle w:val="Bullets"/>
          <w:rFonts w:ascii="Times" w:hAnsi="Times"/>
          <w:i w:val="0"/>
          <w:iCs w:val="0"/>
        </w:rPr>
        <w:t>…..</w:t>
      </w:r>
      <w:proofErr w:type="gramEnd"/>
      <w:r w:rsidR="00083055">
        <w:rPr>
          <w:rStyle w:val="Bullets"/>
          <w:rFonts w:ascii="Times" w:hAnsi="Times"/>
          <w:i w:val="0"/>
          <w:iCs w:val="0"/>
        </w:rPr>
        <w:t>……………53</w:t>
      </w:r>
    </w:p>
    <w:p w14:paraId="565E8D93" w14:textId="341AB8A6"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6.5. In vitro </w:t>
      </w:r>
      <w:r w:rsidR="00637175">
        <w:rPr>
          <w:rStyle w:val="Bullets"/>
          <w:rFonts w:ascii="Times" w:hAnsi="Times"/>
          <w:i w:val="0"/>
          <w:iCs w:val="0"/>
        </w:rPr>
        <w:t>e</w:t>
      </w:r>
      <w:r w:rsidRPr="00CB55F3">
        <w:rPr>
          <w:rStyle w:val="Bullets"/>
          <w:rFonts w:ascii="Times" w:hAnsi="Times"/>
          <w:i w:val="0"/>
          <w:iCs w:val="0"/>
        </w:rPr>
        <w:t xml:space="preserve">valuation of </w:t>
      </w:r>
      <w:proofErr w:type="spellStart"/>
      <w:r w:rsidRPr="00CB55F3">
        <w:rPr>
          <w:rStyle w:val="Bullets"/>
          <w:rFonts w:ascii="Times" w:hAnsi="Times"/>
          <w:i w:val="0"/>
          <w:iCs w:val="0"/>
        </w:rPr>
        <w:t>Kaemperitrin</w:t>
      </w:r>
      <w:proofErr w:type="spellEnd"/>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…………………54</w:t>
      </w:r>
    </w:p>
    <w:p w14:paraId="723331D6" w14:textId="7B33789A" w:rsidR="00CB55F3" w:rsidRPr="00CB55F3" w:rsidRDefault="00CB55F3" w:rsidP="003E280E">
      <w:pPr>
        <w:pStyle w:val="Caption"/>
        <w:rPr>
          <w:rStyle w:val="Bullets"/>
          <w:rFonts w:ascii="Times" w:hAnsi="Times"/>
          <w:i w:val="0"/>
          <w:iCs w:val="0"/>
        </w:rPr>
      </w:pPr>
      <w:r w:rsidRPr="00CB55F3">
        <w:rPr>
          <w:rStyle w:val="Bullets"/>
          <w:rFonts w:ascii="Times" w:hAnsi="Times"/>
          <w:i w:val="0"/>
          <w:iCs w:val="0"/>
        </w:rPr>
        <w:t xml:space="preserve">6.6. In vitro </w:t>
      </w:r>
      <w:r w:rsidR="00637175">
        <w:rPr>
          <w:rStyle w:val="Bullets"/>
          <w:rFonts w:ascii="Times" w:hAnsi="Times"/>
          <w:i w:val="0"/>
          <w:iCs w:val="0"/>
        </w:rPr>
        <w:t>e</w:t>
      </w:r>
      <w:r w:rsidRPr="00CB55F3">
        <w:rPr>
          <w:rStyle w:val="Bullets"/>
          <w:rFonts w:ascii="Times" w:hAnsi="Times"/>
          <w:i w:val="0"/>
          <w:iCs w:val="0"/>
        </w:rPr>
        <w:t>valuation of Gallic acid</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…………………59</w:t>
      </w:r>
    </w:p>
    <w:p w14:paraId="4B150834" w14:textId="65390AFD" w:rsidR="004C783C" w:rsidRPr="00CB55F3" w:rsidRDefault="00CB55F3" w:rsidP="003E280E">
      <w:pPr>
        <w:pStyle w:val="Caption"/>
        <w:rPr>
          <w:rStyle w:val="Bullets"/>
          <w:rFonts w:ascii="Times" w:hAnsi="Times"/>
          <w:b/>
          <w:bCs/>
          <w:i w:val="0"/>
          <w:iCs w:val="0"/>
        </w:rPr>
      </w:pPr>
      <w:r w:rsidRPr="00CB55F3">
        <w:rPr>
          <w:rStyle w:val="Bullets"/>
          <w:rFonts w:ascii="Times" w:hAnsi="Times"/>
          <w:i w:val="0"/>
          <w:iCs w:val="0"/>
        </w:rPr>
        <w:t>6.7.</w:t>
      </w:r>
      <w:r>
        <w:rPr>
          <w:rStyle w:val="Bullets"/>
          <w:rFonts w:ascii="Times" w:hAnsi="Times"/>
          <w:b/>
          <w:bCs/>
          <w:i w:val="0"/>
          <w:iCs w:val="0"/>
        </w:rPr>
        <w:t xml:space="preserve"> </w:t>
      </w:r>
      <w:r w:rsidRPr="00CB55F3">
        <w:rPr>
          <w:rStyle w:val="Bullets"/>
          <w:rFonts w:ascii="Times" w:hAnsi="Times"/>
          <w:i w:val="0"/>
          <w:iCs w:val="0"/>
        </w:rPr>
        <w:t xml:space="preserve">In vitro </w:t>
      </w:r>
      <w:r w:rsidR="00637175">
        <w:rPr>
          <w:rStyle w:val="Bullets"/>
          <w:rFonts w:ascii="Times" w:hAnsi="Times"/>
          <w:i w:val="0"/>
          <w:iCs w:val="0"/>
        </w:rPr>
        <w:t>e</w:t>
      </w:r>
      <w:r w:rsidRPr="00CB55F3">
        <w:rPr>
          <w:rStyle w:val="Bullets"/>
          <w:rFonts w:ascii="Times" w:hAnsi="Times"/>
          <w:i w:val="0"/>
          <w:iCs w:val="0"/>
        </w:rPr>
        <w:t>valuation of Quercetin</w:t>
      </w:r>
      <w:r w:rsidR="00083055">
        <w:rPr>
          <w:rStyle w:val="Bullets"/>
          <w:rFonts w:ascii="Times" w:hAnsi="Times"/>
          <w:i w:val="0"/>
          <w:iCs w:val="0"/>
        </w:rPr>
        <w:t>………………</w:t>
      </w:r>
      <w:r w:rsidR="00E1259F">
        <w:rPr>
          <w:rStyle w:val="Bullets"/>
          <w:rFonts w:ascii="Times" w:hAnsi="Times"/>
          <w:i w:val="0"/>
          <w:iCs w:val="0"/>
        </w:rPr>
        <w:t>……………...</w:t>
      </w:r>
      <w:r w:rsidR="00083055">
        <w:rPr>
          <w:rStyle w:val="Bullets"/>
          <w:rFonts w:ascii="Times" w:hAnsi="Times"/>
          <w:i w:val="0"/>
          <w:iCs w:val="0"/>
        </w:rPr>
        <w:t>……………………59</w:t>
      </w:r>
    </w:p>
    <w:p w14:paraId="765DEE21" w14:textId="0F5CC3D4" w:rsidR="00386CA0" w:rsidRPr="003E280E" w:rsidRDefault="00D45672" w:rsidP="003E280E">
      <w:pPr>
        <w:pStyle w:val="Caption"/>
        <w:rPr>
          <w:rStyle w:val="Bullets"/>
          <w:rFonts w:ascii="Times" w:hAnsi="Times"/>
          <w:b/>
          <w:bCs/>
          <w:i w:val="0"/>
          <w:iCs w:val="0"/>
        </w:rPr>
      </w:pPr>
      <w:r w:rsidRPr="003E280E">
        <w:rPr>
          <w:rStyle w:val="Bullets"/>
          <w:rFonts w:ascii="Times" w:hAnsi="Times"/>
          <w:b/>
          <w:bCs/>
          <w:i w:val="0"/>
          <w:iCs w:val="0"/>
        </w:rPr>
        <w:t xml:space="preserve">7. </w:t>
      </w:r>
      <w:r w:rsidR="003E280E" w:rsidRPr="003E280E">
        <w:rPr>
          <w:rStyle w:val="Bullets"/>
          <w:rFonts w:ascii="Times" w:hAnsi="Times"/>
          <w:b/>
          <w:bCs/>
          <w:i w:val="0"/>
          <w:iCs w:val="0"/>
        </w:rPr>
        <w:t xml:space="preserve">THE </w:t>
      </w:r>
      <w:r w:rsidR="005C72B3">
        <w:rPr>
          <w:rStyle w:val="Bullets"/>
          <w:rFonts w:ascii="Times" w:hAnsi="Times"/>
          <w:b/>
          <w:bCs/>
          <w:i w:val="0"/>
          <w:iCs w:val="0"/>
        </w:rPr>
        <w:t xml:space="preserve">USE </w:t>
      </w:r>
      <w:proofErr w:type="gramStart"/>
      <w:r w:rsidR="005C72B3">
        <w:rPr>
          <w:rStyle w:val="Bullets"/>
          <w:rFonts w:ascii="Times" w:hAnsi="Times"/>
          <w:b/>
          <w:bCs/>
          <w:i w:val="0"/>
          <w:iCs w:val="0"/>
        </w:rPr>
        <w:t xml:space="preserve">OF </w:t>
      </w:r>
      <w:r w:rsidR="003E280E" w:rsidRPr="003E280E">
        <w:rPr>
          <w:rStyle w:val="Bullets"/>
          <w:rFonts w:ascii="Times" w:hAnsi="Times"/>
          <w:b/>
          <w:bCs/>
          <w:i w:val="0"/>
          <w:iCs w:val="0"/>
        </w:rPr>
        <w:t xml:space="preserve"> NANOPARTICLES</w:t>
      </w:r>
      <w:proofErr w:type="gramEnd"/>
      <w:r w:rsidR="003E280E" w:rsidRPr="003E280E">
        <w:rPr>
          <w:rStyle w:val="Bullets"/>
          <w:rFonts w:ascii="Times" w:hAnsi="Times"/>
          <w:b/>
          <w:bCs/>
          <w:i w:val="0"/>
          <w:iCs w:val="0"/>
        </w:rPr>
        <w:t xml:space="preserve"> FOR DELIVERY OF RESVERATROL</w:t>
      </w:r>
      <w:r w:rsidR="003B0FB4">
        <w:rPr>
          <w:rStyle w:val="Bullets"/>
          <w:rFonts w:ascii="Times" w:hAnsi="Times"/>
          <w:b/>
          <w:bCs/>
          <w:i w:val="0"/>
          <w:iCs w:val="0"/>
        </w:rPr>
        <w:t>....</w:t>
      </w:r>
      <w:r w:rsidR="005F50F4">
        <w:rPr>
          <w:rStyle w:val="Bullets"/>
          <w:rFonts w:ascii="Times" w:hAnsi="Times"/>
          <w:b/>
          <w:bCs/>
          <w:i w:val="0"/>
          <w:iCs w:val="0"/>
        </w:rPr>
        <w:t>67</w:t>
      </w:r>
    </w:p>
    <w:p w14:paraId="1EEE1277" w14:textId="7DCEE129" w:rsidR="003E280E" w:rsidRPr="003E280E" w:rsidRDefault="00D45672" w:rsidP="003E280E">
      <w:pPr>
        <w:pStyle w:val="Caption"/>
        <w:rPr>
          <w:rStyle w:val="Bullets"/>
          <w:rFonts w:ascii="Times" w:hAnsi="Times"/>
          <w:b/>
          <w:bCs/>
          <w:i w:val="0"/>
          <w:iCs w:val="0"/>
        </w:rPr>
      </w:pPr>
      <w:r w:rsidRPr="003E280E">
        <w:rPr>
          <w:rStyle w:val="Bullets"/>
          <w:rFonts w:ascii="Times" w:hAnsi="Times"/>
          <w:b/>
          <w:bCs/>
          <w:i w:val="0"/>
          <w:iCs w:val="0"/>
        </w:rPr>
        <w:t xml:space="preserve">8. </w:t>
      </w:r>
      <w:r w:rsidR="003E280E" w:rsidRPr="003E280E">
        <w:rPr>
          <w:rStyle w:val="Bullets"/>
          <w:rFonts w:ascii="Times" w:hAnsi="Times"/>
          <w:b/>
          <w:bCs/>
          <w:i w:val="0"/>
          <w:iCs w:val="0"/>
        </w:rPr>
        <w:t xml:space="preserve">THE </w:t>
      </w:r>
      <w:r w:rsidR="005C72B3">
        <w:rPr>
          <w:rStyle w:val="Bullets"/>
          <w:rFonts w:ascii="Times" w:hAnsi="Times"/>
          <w:b/>
          <w:bCs/>
          <w:i w:val="0"/>
          <w:iCs w:val="0"/>
        </w:rPr>
        <w:t xml:space="preserve">EVALUATION OF </w:t>
      </w:r>
      <w:r w:rsidR="003E280E" w:rsidRPr="003E280E">
        <w:rPr>
          <w:rStyle w:val="Bullets"/>
          <w:rFonts w:ascii="Times" w:hAnsi="Times"/>
          <w:b/>
          <w:bCs/>
          <w:i w:val="0"/>
          <w:iCs w:val="0"/>
        </w:rPr>
        <w:t>USE OF AI IN MICROSCOPIC IMAGES OF CELLS</w:t>
      </w:r>
      <w:r w:rsidR="005F50F4">
        <w:rPr>
          <w:rStyle w:val="Bullets"/>
          <w:rFonts w:ascii="Times" w:hAnsi="Times"/>
          <w:b/>
          <w:bCs/>
          <w:i w:val="0"/>
          <w:iCs w:val="0"/>
        </w:rPr>
        <w:t>…79</w:t>
      </w:r>
    </w:p>
    <w:p w14:paraId="13A4D103" w14:textId="1D566146" w:rsidR="003E280E" w:rsidRPr="003E280E" w:rsidRDefault="00D45672" w:rsidP="003E280E">
      <w:pPr>
        <w:pStyle w:val="Caption"/>
        <w:rPr>
          <w:rStyle w:val="Bullets"/>
          <w:rFonts w:ascii="Times" w:hAnsi="Times"/>
          <w:b/>
          <w:bCs/>
          <w:i w:val="0"/>
          <w:iCs w:val="0"/>
        </w:rPr>
      </w:pPr>
      <w:r w:rsidRPr="003E280E">
        <w:rPr>
          <w:rStyle w:val="Bullets"/>
          <w:rFonts w:ascii="Times" w:hAnsi="Times"/>
          <w:b/>
          <w:bCs/>
          <w:i w:val="0"/>
          <w:iCs w:val="0"/>
        </w:rPr>
        <w:t xml:space="preserve">9. </w:t>
      </w:r>
      <w:r w:rsidR="005C72B3">
        <w:rPr>
          <w:rStyle w:val="Bullets"/>
          <w:rFonts w:ascii="Times" w:hAnsi="Times"/>
          <w:b/>
          <w:bCs/>
          <w:i w:val="0"/>
          <w:iCs w:val="0"/>
        </w:rPr>
        <w:t xml:space="preserve">THE EVALUATION OF USE OF </w:t>
      </w:r>
      <w:r w:rsidR="003E280E" w:rsidRPr="003E280E">
        <w:rPr>
          <w:rStyle w:val="Bullets"/>
          <w:rFonts w:ascii="Times" w:hAnsi="Times"/>
          <w:b/>
          <w:bCs/>
          <w:i w:val="0"/>
          <w:iCs w:val="0"/>
        </w:rPr>
        <w:t>RADIOMICS ANALYSIS FOR TUMOR DETECTION</w:t>
      </w:r>
      <w:r w:rsidR="005F50F4">
        <w:rPr>
          <w:rStyle w:val="Bullets"/>
          <w:rFonts w:ascii="Times" w:hAnsi="Times"/>
          <w:b/>
          <w:bCs/>
          <w:i w:val="0"/>
          <w:iCs w:val="0"/>
        </w:rPr>
        <w:t>………………………………………………………………………</w:t>
      </w:r>
      <w:proofErr w:type="gramStart"/>
      <w:r w:rsidR="005F50F4">
        <w:rPr>
          <w:rStyle w:val="Bullets"/>
          <w:rFonts w:ascii="Times" w:hAnsi="Times"/>
          <w:b/>
          <w:bCs/>
          <w:i w:val="0"/>
          <w:iCs w:val="0"/>
        </w:rPr>
        <w:t>…</w:t>
      </w:r>
      <w:r w:rsidR="003B0FB4">
        <w:rPr>
          <w:rStyle w:val="Bullets"/>
          <w:rFonts w:ascii="Times" w:hAnsi="Times"/>
          <w:b/>
          <w:bCs/>
          <w:i w:val="0"/>
          <w:iCs w:val="0"/>
        </w:rPr>
        <w:t>..</w:t>
      </w:r>
      <w:proofErr w:type="gramEnd"/>
      <w:r w:rsidR="005F50F4">
        <w:rPr>
          <w:rStyle w:val="Bullets"/>
          <w:rFonts w:ascii="Times" w:hAnsi="Times"/>
          <w:b/>
          <w:bCs/>
          <w:i w:val="0"/>
          <w:iCs w:val="0"/>
        </w:rPr>
        <w:t>………86</w:t>
      </w:r>
    </w:p>
    <w:p w14:paraId="57327682" w14:textId="15DE886F"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t xml:space="preserve">9.1.1. </w:t>
      </w:r>
      <w:r w:rsidR="00D037D7">
        <w:rPr>
          <w:rStyle w:val="Bullets"/>
          <w:rFonts w:ascii="Times" w:hAnsi="Times"/>
          <w:i w:val="0"/>
          <w:iCs w:val="0"/>
        </w:rPr>
        <w:t>P</w:t>
      </w:r>
      <w:r w:rsidRPr="003E280E">
        <w:rPr>
          <w:rStyle w:val="Bullets"/>
          <w:rFonts w:ascii="Times" w:hAnsi="Times"/>
          <w:i w:val="0"/>
          <w:iCs w:val="0"/>
        </w:rPr>
        <w:t>opulation</w:t>
      </w:r>
      <w:r w:rsidR="005F50F4">
        <w:rPr>
          <w:rStyle w:val="Bullets"/>
          <w:rFonts w:ascii="Times" w:hAnsi="Times"/>
          <w:i w:val="0"/>
          <w:iCs w:val="0"/>
        </w:rPr>
        <w:t>……………………………………………………………</w:t>
      </w:r>
      <w:r w:rsidR="003B0FB4">
        <w:rPr>
          <w:rStyle w:val="Bullets"/>
          <w:rFonts w:ascii="Times" w:hAnsi="Times"/>
          <w:i w:val="0"/>
          <w:iCs w:val="0"/>
        </w:rPr>
        <w:t>.</w:t>
      </w:r>
      <w:r w:rsidR="005F50F4">
        <w:rPr>
          <w:rStyle w:val="Bullets"/>
          <w:rFonts w:ascii="Times" w:hAnsi="Times"/>
          <w:i w:val="0"/>
          <w:iCs w:val="0"/>
        </w:rPr>
        <w:t>…………86</w:t>
      </w:r>
    </w:p>
    <w:p w14:paraId="69C3CF1C" w14:textId="535373B0" w:rsidR="007F4FA1" w:rsidRPr="003E280E" w:rsidRDefault="007F4FA1" w:rsidP="003E280E">
      <w:pPr>
        <w:pStyle w:val="Caption"/>
        <w:rPr>
          <w:rStyle w:val="Bullets"/>
          <w:rFonts w:ascii="Times" w:hAnsi="Times"/>
          <w:i w:val="0"/>
          <w:iCs w:val="0"/>
        </w:rPr>
      </w:pPr>
      <w:r w:rsidRPr="003E280E">
        <w:rPr>
          <w:rStyle w:val="Bullets"/>
          <w:rFonts w:ascii="Times" w:hAnsi="Times"/>
          <w:i w:val="0"/>
          <w:iCs w:val="0"/>
        </w:rPr>
        <w:lastRenderedPageBreak/>
        <w:t>9.1.2. Radiomics performance</w:t>
      </w:r>
      <w:r w:rsidR="005F50F4">
        <w:rPr>
          <w:rStyle w:val="Bullets"/>
          <w:rFonts w:ascii="Times" w:hAnsi="Times"/>
          <w:i w:val="0"/>
          <w:iCs w:val="0"/>
        </w:rPr>
        <w:t>…………………………………………………………87</w:t>
      </w:r>
    </w:p>
    <w:p w14:paraId="193423A5" w14:textId="7F7B5DAE" w:rsidR="00427C82" w:rsidRPr="003E280E" w:rsidRDefault="00427C82" w:rsidP="003E280E">
      <w:pPr>
        <w:pStyle w:val="Caption"/>
        <w:rPr>
          <w:rStyle w:val="Bullets"/>
          <w:rFonts w:ascii="Times" w:hAnsi="Times"/>
          <w:i w:val="0"/>
          <w:iCs w:val="0"/>
        </w:rPr>
      </w:pPr>
      <w:r w:rsidRPr="003E280E">
        <w:rPr>
          <w:rStyle w:val="Bullets"/>
          <w:rFonts w:ascii="Times" w:hAnsi="Times"/>
          <w:i w:val="0"/>
          <w:iCs w:val="0"/>
        </w:rPr>
        <w:t xml:space="preserve">9.2. </w:t>
      </w:r>
      <w:r w:rsidR="00D037D7">
        <w:rPr>
          <w:rStyle w:val="Bullets"/>
          <w:rFonts w:ascii="Times" w:hAnsi="Times"/>
          <w:i w:val="0"/>
          <w:iCs w:val="0"/>
        </w:rPr>
        <w:t>B</w:t>
      </w:r>
      <w:r w:rsidRPr="003E280E">
        <w:rPr>
          <w:rStyle w:val="Bullets"/>
          <w:rFonts w:ascii="Times" w:hAnsi="Times"/>
          <w:i w:val="0"/>
          <w:iCs w:val="0"/>
        </w:rPr>
        <w:t>ladder cancer</w:t>
      </w:r>
      <w:r w:rsidR="005F50F4">
        <w:rPr>
          <w:rStyle w:val="Bullets"/>
          <w:rFonts w:ascii="Times" w:hAnsi="Times"/>
          <w:i w:val="0"/>
          <w:iCs w:val="0"/>
        </w:rPr>
        <w:t>……………………………………………………………</w:t>
      </w:r>
      <w:r w:rsidR="003B0FB4">
        <w:rPr>
          <w:rStyle w:val="Bullets"/>
          <w:rFonts w:ascii="Times" w:hAnsi="Times"/>
          <w:i w:val="0"/>
          <w:iCs w:val="0"/>
        </w:rPr>
        <w:t>...</w:t>
      </w:r>
      <w:r w:rsidR="005F50F4">
        <w:rPr>
          <w:rStyle w:val="Bullets"/>
          <w:rFonts w:ascii="Times" w:hAnsi="Times"/>
          <w:i w:val="0"/>
          <w:iCs w:val="0"/>
        </w:rPr>
        <w:t>……. 89</w:t>
      </w:r>
    </w:p>
    <w:p w14:paraId="7C7B98E3" w14:textId="3AC5E33B" w:rsidR="00427C82" w:rsidRPr="003E280E" w:rsidRDefault="00427C82" w:rsidP="003E280E">
      <w:pPr>
        <w:pStyle w:val="Caption"/>
        <w:rPr>
          <w:rStyle w:val="Bullets"/>
          <w:rFonts w:ascii="Times" w:hAnsi="Times"/>
          <w:i w:val="0"/>
          <w:iCs w:val="0"/>
        </w:rPr>
      </w:pPr>
      <w:r w:rsidRPr="003E280E">
        <w:rPr>
          <w:rStyle w:val="Bullets"/>
          <w:rFonts w:ascii="Times" w:hAnsi="Times"/>
          <w:i w:val="0"/>
          <w:iCs w:val="0"/>
        </w:rPr>
        <w:t xml:space="preserve">9.2.1. </w:t>
      </w:r>
      <w:r w:rsidR="00D037D7">
        <w:rPr>
          <w:rStyle w:val="Bullets"/>
          <w:rFonts w:ascii="Times" w:hAnsi="Times"/>
          <w:i w:val="0"/>
          <w:iCs w:val="0"/>
        </w:rPr>
        <w:t>P</w:t>
      </w:r>
      <w:r w:rsidRPr="003E280E">
        <w:rPr>
          <w:rStyle w:val="Bullets"/>
          <w:rFonts w:ascii="Times" w:hAnsi="Times"/>
          <w:i w:val="0"/>
          <w:iCs w:val="0"/>
        </w:rPr>
        <w:t>opulation</w:t>
      </w:r>
      <w:r w:rsidR="005F50F4">
        <w:rPr>
          <w:rStyle w:val="Bullets"/>
          <w:rFonts w:ascii="Times" w:hAnsi="Times"/>
          <w:i w:val="0"/>
          <w:iCs w:val="0"/>
        </w:rPr>
        <w:t>…………………………………………………………………</w:t>
      </w:r>
      <w:r w:rsidR="003B0FB4">
        <w:rPr>
          <w:rStyle w:val="Bullets"/>
          <w:rFonts w:ascii="Times" w:hAnsi="Times"/>
          <w:i w:val="0"/>
          <w:iCs w:val="0"/>
        </w:rPr>
        <w:t>.</w:t>
      </w:r>
      <w:r w:rsidR="005F50F4">
        <w:rPr>
          <w:rStyle w:val="Bullets"/>
          <w:rFonts w:ascii="Times" w:hAnsi="Times"/>
          <w:i w:val="0"/>
          <w:iCs w:val="0"/>
        </w:rPr>
        <w:t>……89</w:t>
      </w:r>
    </w:p>
    <w:p w14:paraId="2402AD37" w14:textId="06077576" w:rsidR="00427C82" w:rsidRPr="003E280E" w:rsidRDefault="00427C82" w:rsidP="003E280E">
      <w:pPr>
        <w:pStyle w:val="Caption"/>
        <w:rPr>
          <w:rStyle w:val="Bullets"/>
          <w:rFonts w:ascii="Times" w:hAnsi="Times"/>
          <w:i w:val="0"/>
          <w:iCs w:val="0"/>
        </w:rPr>
      </w:pPr>
      <w:r w:rsidRPr="003E280E">
        <w:rPr>
          <w:rStyle w:val="Bullets"/>
          <w:rFonts w:ascii="Times" w:hAnsi="Times"/>
          <w:i w:val="0"/>
          <w:iCs w:val="0"/>
        </w:rPr>
        <w:t xml:space="preserve">9.2.2. </w:t>
      </w:r>
      <w:r w:rsidR="00D037D7">
        <w:rPr>
          <w:rStyle w:val="Bullets"/>
          <w:rFonts w:ascii="Times" w:hAnsi="Times"/>
          <w:i w:val="0"/>
          <w:iCs w:val="0"/>
        </w:rPr>
        <w:t>T</w:t>
      </w:r>
      <w:r w:rsidRPr="003E280E">
        <w:rPr>
          <w:rStyle w:val="Bullets"/>
          <w:rFonts w:ascii="Times" w:hAnsi="Times"/>
          <w:i w:val="0"/>
          <w:iCs w:val="0"/>
        </w:rPr>
        <w:t>e</w:t>
      </w:r>
      <w:r w:rsidR="00D037D7">
        <w:rPr>
          <w:rStyle w:val="Bullets"/>
          <w:rFonts w:ascii="Times" w:hAnsi="Times"/>
          <w:i w:val="0"/>
          <w:iCs w:val="0"/>
        </w:rPr>
        <w:t>x</w:t>
      </w:r>
      <w:r w:rsidRPr="003E280E">
        <w:rPr>
          <w:rStyle w:val="Bullets"/>
          <w:rFonts w:ascii="Times" w:hAnsi="Times"/>
          <w:i w:val="0"/>
          <w:iCs w:val="0"/>
        </w:rPr>
        <w:t>ture features</w:t>
      </w:r>
      <w:r w:rsidR="005F50F4">
        <w:rPr>
          <w:rStyle w:val="Bullets"/>
          <w:rFonts w:ascii="Times" w:hAnsi="Times"/>
          <w:i w:val="0"/>
          <w:iCs w:val="0"/>
        </w:rPr>
        <w:t>……………………………………………………………</w:t>
      </w:r>
      <w:r w:rsidR="003B0FB4">
        <w:rPr>
          <w:rStyle w:val="Bullets"/>
          <w:rFonts w:ascii="Times" w:hAnsi="Times"/>
          <w:i w:val="0"/>
          <w:iCs w:val="0"/>
        </w:rPr>
        <w:t>....</w:t>
      </w:r>
      <w:r w:rsidR="005F50F4">
        <w:rPr>
          <w:rStyle w:val="Bullets"/>
          <w:rFonts w:ascii="Times" w:hAnsi="Times"/>
          <w:i w:val="0"/>
          <w:iCs w:val="0"/>
        </w:rPr>
        <w:t>…89</w:t>
      </w:r>
    </w:p>
    <w:p w14:paraId="61798BDA" w14:textId="0A7F36AF" w:rsidR="001245F6" w:rsidRPr="003E280E" w:rsidRDefault="00D45672" w:rsidP="003E280E">
      <w:pPr>
        <w:pStyle w:val="Caption"/>
        <w:rPr>
          <w:rStyle w:val="Bullets"/>
          <w:rFonts w:ascii="Times" w:hAnsi="Times"/>
          <w:b/>
          <w:bCs/>
          <w:i w:val="0"/>
          <w:iCs w:val="0"/>
        </w:rPr>
      </w:pPr>
      <w:r w:rsidRPr="003E280E">
        <w:rPr>
          <w:rStyle w:val="Bullets"/>
          <w:rFonts w:ascii="Times" w:hAnsi="Times"/>
          <w:b/>
          <w:bCs/>
          <w:i w:val="0"/>
          <w:iCs w:val="0"/>
        </w:rPr>
        <w:t xml:space="preserve">10. </w:t>
      </w:r>
      <w:r w:rsidR="003E280E">
        <w:rPr>
          <w:rStyle w:val="Bullets"/>
          <w:rFonts w:ascii="Times" w:hAnsi="Times"/>
          <w:b/>
          <w:bCs/>
          <w:i w:val="0"/>
          <w:iCs w:val="0"/>
        </w:rPr>
        <w:t>CONCLUSION AND DISCUSSION</w:t>
      </w:r>
      <w:r w:rsidR="005F50F4">
        <w:rPr>
          <w:rStyle w:val="Bullets"/>
          <w:rFonts w:ascii="Times" w:hAnsi="Times"/>
          <w:i w:val="0"/>
          <w:iCs w:val="0"/>
        </w:rPr>
        <w:t>……………………………………………90</w:t>
      </w:r>
    </w:p>
    <w:p w14:paraId="27088056" w14:textId="7112EA2A" w:rsidR="00386CA0" w:rsidRPr="003E280E" w:rsidRDefault="003E280E" w:rsidP="003E280E">
      <w:pPr>
        <w:pStyle w:val="Caption"/>
        <w:rPr>
          <w:rStyle w:val="Bullets"/>
          <w:rFonts w:ascii="Times" w:hAnsi="Times"/>
          <w:b/>
          <w:bCs/>
          <w:i w:val="0"/>
          <w:iCs w:val="0"/>
        </w:rPr>
      </w:pPr>
      <w:r w:rsidRPr="003E280E">
        <w:rPr>
          <w:rStyle w:val="Bullets"/>
          <w:rFonts w:ascii="Times" w:hAnsi="Times"/>
          <w:b/>
          <w:bCs/>
          <w:i w:val="0"/>
          <w:iCs w:val="0"/>
        </w:rPr>
        <w:t>REFERENCES</w:t>
      </w:r>
    </w:p>
    <w:p w14:paraId="75A6BD74" w14:textId="77777777" w:rsidR="00BE72D1" w:rsidRPr="00D22AA7" w:rsidRDefault="00BE72D1" w:rsidP="001245F6">
      <w:pPr>
        <w:rPr>
          <w:rFonts w:ascii="Times" w:hAnsi="Times" w:cs="Arial"/>
          <w:color w:val="000000"/>
        </w:rPr>
      </w:pPr>
    </w:p>
    <w:p w14:paraId="7270F42B" w14:textId="77777777" w:rsidR="00BE72D1" w:rsidRPr="00D22AA7" w:rsidRDefault="00BE72D1" w:rsidP="001245F6">
      <w:pPr>
        <w:rPr>
          <w:rFonts w:ascii="Times" w:hAnsi="Times" w:cs="Arial"/>
          <w:color w:val="000000"/>
        </w:rPr>
      </w:pPr>
    </w:p>
    <w:p w14:paraId="1A49E5B4" w14:textId="77777777" w:rsidR="00BE72D1" w:rsidRPr="00D22AA7" w:rsidRDefault="00BE72D1" w:rsidP="001245F6">
      <w:pPr>
        <w:rPr>
          <w:rFonts w:ascii="Times" w:hAnsi="Times" w:cs="Arial"/>
          <w:color w:val="000000"/>
        </w:rPr>
      </w:pPr>
    </w:p>
    <w:p w14:paraId="6C0F7E78" w14:textId="77777777" w:rsidR="00BE72D1" w:rsidRPr="00D22AA7" w:rsidRDefault="00BE72D1" w:rsidP="001245F6">
      <w:pPr>
        <w:rPr>
          <w:rFonts w:ascii="Times" w:hAnsi="Times" w:cs="Arial"/>
          <w:color w:val="000000"/>
        </w:rPr>
      </w:pPr>
    </w:p>
    <w:p w14:paraId="57299483" w14:textId="77777777" w:rsidR="00BE72D1" w:rsidRPr="00D22AA7" w:rsidRDefault="00BE72D1" w:rsidP="001245F6">
      <w:pPr>
        <w:rPr>
          <w:rFonts w:ascii="Times" w:hAnsi="Times" w:cs="Arial"/>
          <w:color w:val="000000"/>
        </w:rPr>
      </w:pPr>
    </w:p>
    <w:p w14:paraId="58F22FA7" w14:textId="77777777" w:rsidR="00BE72D1" w:rsidRPr="00D22AA7" w:rsidRDefault="00BE72D1" w:rsidP="001245F6">
      <w:pPr>
        <w:rPr>
          <w:rFonts w:ascii="Times" w:hAnsi="Times" w:cs="Arial"/>
          <w:color w:val="000000"/>
        </w:rPr>
      </w:pPr>
    </w:p>
    <w:p w14:paraId="4E6C2C53" w14:textId="77777777" w:rsidR="00BE72D1" w:rsidRPr="00D22AA7" w:rsidRDefault="00BE72D1" w:rsidP="001245F6">
      <w:pPr>
        <w:rPr>
          <w:rFonts w:ascii="Times" w:hAnsi="Times" w:cs="Arial"/>
          <w:color w:val="000000"/>
        </w:rPr>
      </w:pPr>
    </w:p>
    <w:p w14:paraId="784F6B2F" w14:textId="77777777" w:rsidR="00BE72D1" w:rsidRPr="00D22AA7" w:rsidRDefault="00BE72D1" w:rsidP="001245F6">
      <w:pPr>
        <w:rPr>
          <w:rFonts w:ascii="Times" w:hAnsi="Times" w:cs="Arial"/>
          <w:color w:val="000000"/>
        </w:rPr>
      </w:pPr>
    </w:p>
    <w:p w14:paraId="55BAD5CD" w14:textId="77777777" w:rsidR="00BE72D1" w:rsidRPr="00D22AA7" w:rsidRDefault="00BE72D1" w:rsidP="001245F6">
      <w:pPr>
        <w:rPr>
          <w:rFonts w:ascii="Times" w:hAnsi="Times" w:cs="Arial"/>
          <w:color w:val="000000"/>
        </w:rPr>
      </w:pPr>
    </w:p>
    <w:p w14:paraId="1D4E616F" w14:textId="77777777" w:rsidR="00BE72D1" w:rsidRPr="00D22AA7" w:rsidRDefault="00BE72D1" w:rsidP="001245F6">
      <w:pPr>
        <w:rPr>
          <w:rFonts w:ascii="Times" w:hAnsi="Times" w:cs="Arial"/>
          <w:color w:val="000000"/>
        </w:rPr>
      </w:pPr>
    </w:p>
    <w:p w14:paraId="0F508BDF" w14:textId="77777777" w:rsidR="00BE72D1" w:rsidRPr="00D22AA7" w:rsidRDefault="00BE72D1" w:rsidP="001245F6">
      <w:pPr>
        <w:rPr>
          <w:rFonts w:ascii="Times" w:hAnsi="Times" w:cs="Arial"/>
          <w:color w:val="000000"/>
        </w:rPr>
      </w:pPr>
    </w:p>
    <w:p w14:paraId="05D74E96" w14:textId="77777777" w:rsidR="00BE72D1" w:rsidRPr="00D22AA7" w:rsidRDefault="00BE72D1" w:rsidP="001245F6">
      <w:pPr>
        <w:rPr>
          <w:rFonts w:ascii="Times" w:hAnsi="Times" w:cs="Arial"/>
          <w:color w:val="000000"/>
        </w:rPr>
      </w:pPr>
    </w:p>
    <w:p w14:paraId="6AE522CD" w14:textId="77777777" w:rsidR="00BE72D1" w:rsidRPr="00D22AA7" w:rsidRDefault="00BE72D1" w:rsidP="001245F6">
      <w:pPr>
        <w:rPr>
          <w:rFonts w:ascii="Times" w:hAnsi="Times" w:cs="Arial"/>
          <w:color w:val="000000"/>
        </w:rPr>
      </w:pPr>
    </w:p>
    <w:p w14:paraId="6960B660" w14:textId="77777777" w:rsidR="00BE72D1" w:rsidRPr="00D22AA7" w:rsidRDefault="00BE72D1" w:rsidP="001245F6">
      <w:pPr>
        <w:rPr>
          <w:rFonts w:ascii="Times" w:hAnsi="Times" w:cs="Arial"/>
          <w:color w:val="000000"/>
        </w:rPr>
      </w:pPr>
    </w:p>
    <w:p w14:paraId="6D6722F5" w14:textId="77777777" w:rsidR="00BE72D1" w:rsidRPr="00D22AA7" w:rsidRDefault="00BE72D1" w:rsidP="001245F6">
      <w:pPr>
        <w:rPr>
          <w:rFonts w:ascii="Times" w:hAnsi="Times" w:cs="Arial"/>
          <w:color w:val="000000"/>
        </w:rPr>
      </w:pPr>
    </w:p>
    <w:p w14:paraId="458FEDEE" w14:textId="77777777" w:rsidR="00BE72D1" w:rsidRPr="00D22AA7" w:rsidRDefault="00BE72D1" w:rsidP="001245F6">
      <w:pPr>
        <w:rPr>
          <w:rFonts w:ascii="Times" w:hAnsi="Times" w:cs="Arial"/>
          <w:color w:val="000000"/>
        </w:rPr>
      </w:pPr>
    </w:p>
    <w:p w14:paraId="64E266C5" w14:textId="77777777" w:rsidR="00BE72D1" w:rsidRPr="00D22AA7" w:rsidRDefault="00BE72D1" w:rsidP="001245F6">
      <w:pPr>
        <w:rPr>
          <w:rFonts w:ascii="Times" w:hAnsi="Times" w:cs="Arial"/>
          <w:color w:val="000000"/>
        </w:rPr>
      </w:pPr>
    </w:p>
    <w:p w14:paraId="39AAD4F2" w14:textId="77777777" w:rsidR="00BE72D1" w:rsidRPr="00D22AA7" w:rsidRDefault="00BE72D1" w:rsidP="001245F6">
      <w:pPr>
        <w:rPr>
          <w:rFonts w:ascii="Times" w:hAnsi="Times" w:cs="Arial"/>
          <w:color w:val="000000"/>
        </w:rPr>
      </w:pPr>
    </w:p>
    <w:p w14:paraId="54A980AD" w14:textId="77777777" w:rsidR="00BE72D1" w:rsidRPr="00D22AA7" w:rsidRDefault="00BE72D1" w:rsidP="001245F6">
      <w:pPr>
        <w:rPr>
          <w:rFonts w:ascii="Times" w:hAnsi="Times" w:cs="Arial"/>
          <w:color w:val="000000"/>
        </w:rPr>
      </w:pPr>
    </w:p>
    <w:p w14:paraId="58DFE0F5" w14:textId="77777777" w:rsidR="00BE72D1" w:rsidRPr="00D22AA7" w:rsidRDefault="00BE72D1" w:rsidP="001245F6">
      <w:pPr>
        <w:rPr>
          <w:rFonts w:ascii="Times" w:hAnsi="Times" w:cs="Arial"/>
          <w:color w:val="000000"/>
        </w:rPr>
      </w:pPr>
    </w:p>
    <w:p w14:paraId="0AC05D19" w14:textId="77777777" w:rsidR="00BE72D1" w:rsidRPr="00D22AA7" w:rsidRDefault="00BE72D1" w:rsidP="001245F6">
      <w:pPr>
        <w:rPr>
          <w:rFonts w:ascii="Times" w:hAnsi="Times" w:cs="Arial"/>
          <w:color w:val="000000"/>
        </w:rPr>
      </w:pPr>
    </w:p>
    <w:p w14:paraId="390496C5" w14:textId="77777777" w:rsidR="00BE72D1" w:rsidRPr="00D22AA7" w:rsidRDefault="00BE72D1" w:rsidP="001245F6">
      <w:pPr>
        <w:rPr>
          <w:rFonts w:ascii="Times" w:hAnsi="Times" w:cs="Arial"/>
          <w:color w:val="000000"/>
        </w:rPr>
      </w:pPr>
    </w:p>
    <w:p w14:paraId="538B609E" w14:textId="77777777" w:rsidR="00BE72D1" w:rsidRPr="00D22AA7" w:rsidRDefault="00BE72D1" w:rsidP="001245F6">
      <w:pPr>
        <w:rPr>
          <w:rFonts w:ascii="Times" w:hAnsi="Times" w:cs="Arial"/>
          <w:color w:val="000000"/>
        </w:rPr>
      </w:pPr>
    </w:p>
    <w:p w14:paraId="0417B2ED" w14:textId="77777777" w:rsidR="00BE72D1" w:rsidRPr="00D22AA7" w:rsidRDefault="00BE72D1" w:rsidP="001245F6">
      <w:pPr>
        <w:rPr>
          <w:rFonts w:ascii="Times" w:hAnsi="Times" w:cs="Arial"/>
          <w:color w:val="000000"/>
        </w:rPr>
      </w:pPr>
    </w:p>
    <w:p w14:paraId="27C9EB15" w14:textId="77777777" w:rsidR="00BE72D1" w:rsidRPr="00D22AA7" w:rsidRDefault="00BE72D1" w:rsidP="001245F6">
      <w:pPr>
        <w:rPr>
          <w:rFonts w:ascii="Times" w:hAnsi="Times" w:cs="Arial"/>
          <w:color w:val="000000"/>
        </w:rPr>
      </w:pPr>
    </w:p>
    <w:p w14:paraId="73FF1CB4" w14:textId="77777777" w:rsidR="00BE72D1" w:rsidRPr="00D22AA7" w:rsidRDefault="00BE72D1" w:rsidP="001245F6">
      <w:pPr>
        <w:rPr>
          <w:rFonts w:ascii="Times" w:hAnsi="Times" w:cs="Arial"/>
          <w:color w:val="000000"/>
        </w:rPr>
      </w:pPr>
    </w:p>
    <w:p w14:paraId="359DF525" w14:textId="77777777" w:rsidR="00BE72D1" w:rsidRPr="00D22AA7" w:rsidRDefault="00BE72D1" w:rsidP="001245F6">
      <w:pPr>
        <w:rPr>
          <w:rFonts w:ascii="Times" w:hAnsi="Times" w:cs="Arial"/>
          <w:color w:val="000000"/>
        </w:rPr>
      </w:pPr>
    </w:p>
    <w:p w14:paraId="29D675EE" w14:textId="77777777" w:rsidR="00BE72D1" w:rsidRPr="00D22AA7" w:rsidRDefault="00BE72D1" w:rsidP="001245F6">
      <w:pPr>
        <w:rPr>
          <w:rFonts w:ascii="Times" w:hAnsi="Times" w:cs="Arial"/>
          <w:color w:val="000000"/>
        </w:rPr>
      </w:pPr>
    </w:p>
    <w:p w14:paraId="25E2A5DD" w14:textId="77777777" w:rsidR="00BE72D1" w:rsidRPr="00D22AA7" w:rsidRDefault="00BE72D1" w:rsidP="001245F6">
      <w:pPr>
        <w:rPr>
          <w:rFonts w:ascii="Times" w:hAnsi="Times" w:cs="Arial"/>
          <w:color w:val="000000"/>
        </w:rPr>
      </w:pPr>
    </w:p>
    <w:p w14:paraId="7AFA6690" w14:textId="77777777" w:rsidR="00BE72D1" w:rsidRPr="00D22AA7" w:rsidRDefault="00BE72D1" w:rsidP="001245F6">
      <w:pPr>
        <w:rPr>
          <w:rFonts w:ascii="Times" w:hAnsi="Times" w:cs="Arial"/>
          <w:color w:val="000000"/>
        </w:rPr>
      </w:pPr>
    </w:p>
    <w:p w14:paraId="1BE18977" w14:textId="77777777" w:rsidR="00BE72D1" w:rsidRPr="00D22AA7" w:rsidRDefault="00BE72D1" w:rsidP="001245F6">
      <w:pPr>
        <w:rPr>
          <w:rFonts w:ascii="Times" w:hAnsi="Times" w:cs="Arial"/>
          <w:color w:val="000000"/>
        </w:rPr>
      </w:pPr>
    </w:p>
    <w:p w14:paraId="1C131A22" w14:textId="77777777" w:rsidR="00BE72D1" w:rsidRPr="00D22AA7" w:rsidRDefault="00BE72D1" w:rsidP="001245F6">
      <w:pPr>
        <w:rPr>
          <w:rFonts w:ascii="Times" w:hAnsi="Times" w:cs="Arial"/>
          <w:color w:val="000000"/>
        </w:rPr>
      </w:pPr>
    </w:p>
    <w:p w14:paraId="2291A1B0" w14:textId="77777777" w:rsidR="00BE72D1" w:rsidRPr="00D22AA7" w:rsidRDefault="00BE72D1" w:rsidP="001245F6">
      <w:pPr>
        <w:rPr>
          <w:rFonts w:ascii="Times" w:hAnsi="Times" w:cs="Arial"/>
          <w:color w:val="000000"/>
        </w:rPr>
      </w:pPr>
    </w:p>
    <w:p w14:paraId="0CB6BFC9" w14:textId="77777777" w:rsidR="00BE72D1" w:rsidRPr="00D22AA7" w:rsidRDefault="00BE72D1" w:rsidP="001245F6">
      <w:pPr>
        <w:rPr>
          <w:rFonts w:ascii="Times" w:hAnsi="Times" w:cs="Arial"/>
          <w:color w:val="000000"/>
        </w:rPr>
      </w:pPr>
    </w:p>
    <w:p w14:paraId="3E478491" w14:textId="77777777" w:rsidR="00BE72D1" w:rsidRPr="00D22AA7" w:rsidRDefault="00BE72D1" w:rsidP="001245F6">
      <w:pPr>
        <w:rPr>
          <w:rFonts w:ascii="Times" w:hAnsi="Times" w:cs="Arial"/>
          <w:color w:val="000000"/>
        </w:rPr>
      </w:pPr>
    </w:p>
    <w:p w14:paraId="67D6AE46" w14:textId="77777777" w:rsidR="00BE72D1" w:rsidRPr="00D22AA7" w:rsidRDefault="00BE72D1" w:rsidP="001245F6">
      <w:pPr>
        <w:rPr>
          <w:rFonts w:ascii="Times" w:hAnsi="Times"/>
          <w:b/>
          <w:bCs/>
          <w:color w:val="000000"/>
        </w:rPr>
      </w:pPr>
    </w:p>
    <w:p w14:paraId="020AB231" w14:textId="77777777" w:rsidR="00BE72D1" w:rsidRPr="00D22AA7" w:rsidRDefault="00D45672">
      <w:pPr>
        <w:pStyle w:val="Heading1"/>
        <w:spacing w:beforeAutospacing="1" w:afterAutospacing="1"/>
        <w:rPr>
          <w:rFonts w:ascii="Times" w:hAnsi="Times"/>
          <w:b/>
          <w:bCs/>
          <w:color w:val="000000"/>
        </w:rPr>
      </w:pPr>
      <w:r w:rsidRPr="00D22AA7">
        <w:rPr>
          <w:rFonts w:ascii="Times" w:hAnsi="Times"/>
          <w:b/>
          <w:bCs/>
          <w:color w:val="000000"/>
        </w:rPr>
        <w:lastRenderedPageBreak/>
        <w:t>Chapter 1</w:t>
      </w:r>
    </w:p>
    <w:p w14:paraId="68593A43" w14:textId="6C9DEFF0" w:rsidR="00386CA0" w:rsidRPr="00D22AA7" w:rsidRDefault="00D45672">
      <w:pPr>
        <w:pStyle w:val="Heading1"/>
        <w:spacing w:beforeAutospacing="1" w:afterAutospacing="1"/>
        <w:rPr>
          <w:rFonts w:ascii="Times" w:hAnsi="Times"/>
          <w:b/>
          <w:bCs/>
          <w:color w:val="000000"/>
        </w:rPr>
      </w:pPr>
      <w:r w:rsidRPr="00D22AA7">
        <w:rPr>
          <w:rFonts w:ascii="Times" w:hAnsi="Times"/>
          <w:b/>
          <w:bCs/>
          <w:color w:val="000000"/>
        </w:rPr>
        <w:t>Introduction</w:t>
      </w:r>
    </w:p>
    <w:p w14:paraId="421D0949" w14:textId="6F62B9C5" w:rsidR="00386CA0" w:rsidRPr="00D22AA7" w:rsidRDefault="00D45672">
      <w:pPr>
        <w:pStyle w:val="Heading2"/>
        <w:rPr>
          <w:rFonts w:ascii="Times" w:hAnsi="Times"/>
          <w:b/>
          <w:bCs/>
          <w:color w:val="000000"/>
          <w:sz w:val="24"/>
          <w:szCs w:val="24"/>
        </w:rPr>
      </w:pPr>
      <w:r w:rsidRPr="00D22AA7">
        <w:rPr>
          <w:rFonts w:ascii="Times" w:hAnsi="Times"/>
          <w:b/>
          <w:bCs/>
          <w:color w:val="000000"/>
          <w:sz w:val="24"/>
          <w:szCs w:val="24"/>
        </w:rPr>
        <w:t>1.1 Rheumatoid Arthritis</w:t>
      </w:r>
    </w:p>
    <w:p w14:paraId="3CF8C6F1" w14:textId="47628A8D" w:rsidR="00706CEE" w:rsidRPr="00D22AA7" w:rsidRDefault="00706CEE" w:rsidP="007F381F">
      <w:pPr>
        <w:pStyle w:val="ListParagraph"/>
        <w:spacing w:beforeAutospacing="1" w:afterAutospacing="1"/>
        <w:ind w:left="0"/>
        <w:jc w:val="both"/>
        <w:rPr>
          <w:rFonts w:ascii="Times" w:hAnsi="Times"/>
        </w:rPr>
      </w:pPr>
      <w:r w:rsidRPr="00D22AA7">
        <w:rPr>
          <w:rFonts w:ascii="Times" w:hAnsi="Times"/>
        </w:rPr>
        <w:t xml:space="preserve">Rheumatoid arthritis (RA) is an autoimmune disease where the immune system mistakenly attacks the synovium, the lining of the joints, causing inflammation, pain, and potential joint damage. The primary symptoms of RA include joint pain, particularly in the small joints such as the hands, wrists, and feet, with the pain often being symmetrical, affecting both sides of the body. Swelling, redness, and warmth around the affected joints are common signs of inflammation. People with RA also experience joint stiffness, especially in the morning or after periods of inactivity, which can last for over an hour and hinder movement </w:t>
      </w:r>
      <w:r w:rsidRPr="00D22AA7">
        <w:rPr>
          <w:rFonts w:ascii="Times" w:hAnsi="Times"/>
        </w:rPr>
        <w:fldChar w:fldCharType="begin"/>
      </w:r>
      <w:r w:rsidRPr="00D22AA7">
        <w:rPr>
          <w:rFonts w:ascii="Times" w:hAnsi="Times"/>
        </w:rPr>
        <w:instrText xml:space="preserve"> ADDIN ZOTERO_ITEM CSL_CITATION {"citationID":"qHqAcTOt","properties":{"formattedCitation":"[1]","plainCitation":"[1]","noteIndex":0},"citationItems":[{"id":202,"uris":["http://zotero.org/users/9439317/items/KTMU5YWZ"],"itemData":{"id":202,"type":"article-journal","abstract":"Rheumatoid arthritis (RA) occurs in about 5 per 1000 people and can lead to severe joint damage and disability. Significant progress has been made over the past 2 decades regarding understanding of disease pathophysiology, optimal outcome measures, and effective treatment strategies, including the recognition of the importance of diagnosing and treating RA early.Early diagnosis and treatment of RA can avert or substantially slow progression of joint damage in up to 90% of patients, thereby preventing irreversible disability. The development of novel instruments to measure disease activity and identify the presence or absence of remission have facilitated new treatment strategies to arrest RA before joints are damaged irreversibly. Outcomes have been improved by recognizing the benefits of early diagnosis and early therapy with disease-modifying antirheumatic drugs (DMARDs). The treatment target is remission or a state of at least low disease activity, which should be attained within 6 months. Methotrexate is first-line therapy and should be prescribed at an optimal dose of 25 mg weekly and in combination with glucocorticoids; 40% to 50% of patients reach remission or at least low disease activity with this regimen. If this treatment fails, sequential application of targeted therapies, such as biologic agents (eg, tumor necrosis factor [TNF] inhibitors) or Janus kinase inhibitors in combination with methotrexate, have allowed up to 75% of these patients to reach the treatment target over time. New therapies have been developed in response to new pathogenetic findings. The costs of some therapies are considerable, but these costs are decreasing with the advent of biosimilar drugs (drugs essentially identical to the original biologic drugs but usually available at lower cost).Scientific advances have improved therapies that prevent progression of irreversible joint damage in up to 90% of patients with RA. Early treatment with methotrexate plus glucocorticoids and subsequently with other DMARDs, such as inhibitors of TNF, IL-6, or Janus kinases, improves outcomes and prevents RA-related disability. A treat-to-target strategy aimed at reducing disease activity by at least 50% within 3 months and achieving remission or low disease activity within 6 months, with sequential drug treatment if needed, can prevent RA-related disability.","container-title":"JAMA","DOI":"10.1001/jama.2018.13103","ISSN":"0098-7484","issue":"13","page":"1360-1372","title":"Diagnosis and Management of Rheumatoid Arthritis: A Review","URL":"https://doi.org/10.1001/jama.2018.13103","volume":"320","author":[{"family":"Aletaha","given":"Daniel"},{"family":"Smolen","given":"Josef S"}],"issued":{"date-parts":[["2018",10,2]]}}}],"schema":"https://github.com/citation-style-language/schema/raw/master/csl-citation.json"} </w:instrText>
      </w:r>
      <w:r w:rsidRPr="00D22AA7">
        <w:rPr>
          <w:rFonts w:ascii="Times" w:hAnsi="Times"/>
        </w:rPr>
        <w:fldChar w:fldCharType="separate"/>
      </w:r>
      <w:r w:rsidRPr="00D22AA7">
        <w:rPr>
          <w:rFonts w:ascii="Times" w:hAnsi="Times"/>
          <w:noProof/>
        </w:rPr>
        <w:t>[1]</w:t>
      </w:r>
      <w:r w:rsidRPr="00D22AA7">
        <w:rPr>
          <w:rFonts w:ascii="Times" w:hAnsi="Times"/>
        </w:rPr>
        <w:fldChar w:fldCharType="end"/>
      </w:r>
      <w:r w:rsidRPr="00D22AA7">
        <w:rPr>
          <w:rFonts w:ascii="Times" w:hAnsi="Times"/>
        </w:rPr>
        <w:t xml:space="preserve">. Fatigue is another prevalent symptom, often leading to a general feeling of tiredness that disrupts daily activities. Chronic inflammation can result in decreased range of motion in the affected joints, and low-grade fever may also accompany flare-ups. In more severe cases, RA can affect organs beyond the joints, including the heart, lungs, and eyes, contributing to symptoms such as shortness of breath or dry eyes. The disease can fluctuate in severity, with periods of flare-ups followed by times of remission, making early diagnosis and treatment crucial for managing symptoms and preventing long-term joint damage </w:t>
      </w:r>
      <w:r w:rsidRPr="00D22AA7">
        <w:rPr>
          <w:rFonts w:ascii="Times" w:hAnsi="Times"/>
        </w:rPr>
        <w:fldChar w:fldCharType="begin"/>
      </w:r>
      <w:r w:rsidRPr="00D22AA7">
        <w:rPr>
          <w:rFonts w:ascii="Times" w:hAnsi="Times"/>
        </w:rPr>
        <w:instrText xml:space="preserve"> ADDIN ZOTERO_ITEM CSL_CITATION {"citationID":"VvxA8giJ","properties":{"formattedCitation":"[2]","plainCitation":"[2]","noteIndex":0},"citationItems":[{"id":15096,"uris":["http://zotero.org/users/9439317/items/7UNLAND6"],"itemData":{"id":15096,"type":"article-journal","abstract":"Rheumatoid arthritis (RA) is a chronic and systemic autoimmune disease of unknown etiology. The most common form of this disease is chronic inflammatory arthritis, which begins with inflammation of the synovial membrane of the affected joints and eventually leads to disability of the affected limb. Despite significant advances in RA pharmaceutical therapies and the availability of a variety of medicines on the market, none of the available medicinal therapies has been able to completely cure the disease. In addition, a significant percentage (30–40%) of patients do not respond appropriately to any of the available medicines. Recently, mesenchymal stromal cells (MSCs) have shown promising results in controlling inflammatory and autoimmune diseases, including RA. Experimental studies and clinical trials have demonstrated the high power of MSCs in modulating the immune system. In this article, we first examine the mechanism of RA disease, the role of cytokines and existing medicinal therapies. We then discuss the immunomodulatory function of MSCs from different perspectives. Our understanding of how MSCs work in suppressing the immune system will lead to better utilization of these cells as a promising tool in the treatment of autoimmune diseases.","container-title":"Stem Cell Research &amp; Therapy","DOI":"10.1186/s13287-023-03473-7","ISSN":"1757-6512","issue":"1","journalAbbreviation":"Stem Cell Research &amp; Therapy","page":"268","title":"Rheumatoid arthritis: the old issue, the new therapeutic approach","URL":"https://doi.org/10.1186/s13287-023-03473-7","volume":"14","author":[{"family":"Babaahmadi","given":"Mahnaz"},{"family":"Tayebi","given":"Behnoosh"},{"family":"Gholipour","given":"Nima Makvand"},{"family":"Kamardi","given":"Mehrnaz Tayebi"},{"family":"Heidari","given":"Sahel"},{"family":"Baharvand","given":"Hossein"},{"family":"Eslaminejad","given":"Mohamadreza Baghaban"},{"family":"Hajizadeh-Saffar","given":"Ensiyeh"},{"family":"Hassani","given":"Seyedeh-Nafiseh"}],"issued":{"date-parts":[["2023",9,23]]}}}],"schema":"https://github.com/citation-style-language/schema/raw/master/csl-citation.json"} </w:instrText>
      </w:r>
      <w:r w:rsidRPr="00D22AA7">
        <w:rPr>
          <w:rFonts w:ascii="Times" w:hAnsi="Times"/>
        </w:rPr>
        <w:fldChar w:fldCharType="separate"/>
      </w:r>
      <w:r w:rsidRPr="00D22AA7">
        <w:rPr>
          <w:rFonts w:ascii="Times" w:hAnsi="Times"/>
          <w:noProof/>
        </w:rPr>
        <w:t>[2]</w:t>
      </w:r>
      <w:r w:rsidRPr="00D22AA7">
        <w:rPr>
          <w:rFonts w:ascii="Times" w:hAnsi="Times"/>
        </w:rPr>
        <w:fldChar w:fldCharType="end"/>
      </w:r>
      <w:r w:rsidRPr="00D22AA7">
        <w:rPr>
          <w:rFonts w:ascii="Times" w:hAnsi="Times"/>
        </w:rPr>
        <w:t xml:space="preserve">. RA affects approximately 1% of the global population, with women being three times more likely to develop the condition than men </w:t>
      </w:r>
      <w:r w:rsidRPr="00D22AA7">
        <w:rPr>
          <w:rFonts w:ascii="Times" w:hAnsi="Times"/>
        </w:rPr>
        <w:fldChar w:fldCharType="begin"/>
      </w:r>
      <w:r w:rsidRPr="00D22AA7">
        <w:rPr>
          <w:rFonts w:ascii="Times" w:hAnsi="Times"/>
        </w:rPr>
        <w:instrText xml:space="preserve"> ADDIN ZOTERO_TEMP </w:instrText>
      </w:r>
      <w:r w:rsidRPr="00D22AA7">
        <w:rPr>
          <w:rFonts w:ascii="Times" w:hAnsi="Times"/>
        </w:rPr>
        <w:fldChar w:fldCharType="separate"/>
      </w:r>
      <w:r w:rsidRPr="00D22AA7">
        <w:rPr>
          <w:rFonts w:ascii="Times" w:hAnsi="Times"/>
          <w:noProof/>
        </w:rPr>
        <w:t>[1]</w:t>
      </w:r>
      <w:r w:rsidRPr="00D22AA7">
        <w:rPr>
          <w:rFonts w:ascii="Times" w:hAnsi="Times"/>
          <w:noProof/>
        </w:rPr>
        <w:fldChar w:fldCharType="end"/>
      </w:r>
      <w:r w:rsidRPr="00D22AA7">
        <w:rPr>
          <w:rFonts w:ascii="Times" w:hAnsi="Times"/>
        </w:rPr>
        <w:t xml:space="preserve"> in Italy, the annual economic cost of RA exceeded EUR 2.0 billion in 2015, with 45% attributed to direct medical costs, 45% to indirect costs, and 10% to direct non-medical expenses </w:t>
      </w:r>
      <w:r w:rsidRPr="00D22AA7">
        <w:rPr>
          <w:rFonts w:ascii="Times" w:hAnsi="Times"/>
        </w:rPr>
        <w:fldChar w:fldCharType="begin"/>
      </w:r>
      <w:r w:rsidR="00A921D3" w:rsidRPr="00D22AA7">
        <w:rPr>
          <w:rFonts w:ascii="Times" w:hAnsi="Times"/>
        </w:rPr>
        <w:instrText xml:space="preserve"> ADDIN ZOTERO_ITEM CSL_CITATION {"citationID":"GnpInUcy","properties":{"formattedCitation":"[3]","plainCitation":"[3]","noteIndex":0},"citationItems":[{"id":5906,"uris":["http://zotero.org/users/9439317/items/ML3Y6X7H"],"itemData":{"id":5906,"type":"article-journal","abstract":"Objectives: This study aimed to: 1) describe treatment patterns and drug utilization profile (in terms of therapeutic strategy used, switch, persistence and drug consumption variation) among adult patients affected by rheumatoid arthritis (RA), and 2) estimate the health care resource utilization and its associated direct cost for the management of RA patients.\nMethods: A retrospective cohort analysis, using administrative databases of six Local Health Units in Italy, was performed. All adult patients with a confirmed diagnosis of RA between January 1, 2010 and December 31, 2014 were enrolled. The date of the first RA diagnosis according to the study criteria during the study period represented the index date (ID) for each patient. Patients enrolled were observed from the ID for at least 12 months (follow-up period), and their clinical characteristics were investigated for 12 months prior to the ID.\nResults: A total of 10,401 patients with a confirmed RA diagnosis were included. Mean age was 63.0 years and 25% were male; 67% of patients were untreated at ID. During the followup period, 67.8% of patients treated with biologic agents were persistent with initial therapy, compared to 45.7% for patients on conventional synthetic disease-modifying antirheumatic drugs (csDMARDs), while 11% of patients treated with biologic agents switched during the follow-up period, compared to 17.6% of csDMARDs-treated ones. At the end of the follow-up period, 14.7% of all patients in the analysis had an increase and 12.6% of them had a decrease in their initial drug consumption. The mean cost per RA patient was €3,743.\nConclusion: Our study showed that there is still much that needs to be learned about the prescription of csDMARDs and biologics to RA patients in Italy and to identify areas for future research. The knowledge of RA management in a real-life clinical setting could offer an opportunity to improve the management of RA in Italy.","container-title":"Open Access Rheumatology: Research and Reviews","DOI":"10.2147/OARRR.S164738","ISSN":"1179-156X","journalAbbreviation":"OARRR","language":"en","license":"http://creativecommons.org/licenses/by-nc/3.0/","page":"103-111","source":"DOI.org (Crossref)","title":"Treatment patterns, health care resource utilization and costs of rheumatoid arthritis patients in Italy: findings from a retrospective administrative database analysis","title-short":"Treatment patterns, health care resource utilization and costs of rheumatoid arthritis patients in Italy","URL":"https://www.dovepress.com/treatment-patterns-health-care-resource-utilization-and-costs-of-rheum-peer-reviewed-article-OARRR","volume":"Volume 10","author":[{"family":"Fakhouri","given":"Walid"},{"family":"Lopez-Romero","given":"Pedro"},{"family":"Antonelli","given":"Silvia"},{"family":"Losi","given":"Serena"},{"family":"Rogai","given":"Veronica"},{"family":"Buda","given":"Stefano"},{"family":"Sangiorgi","given":"Diego"},{"family":"Perrone","given":"Valentina"},{"family":"Degli Esposti","given":"Luca"}],"accessed":{"date-parts":[["2024",5,23]]},"issued":{"date-parts":[["2018",8]]}}}],"schema":"https://github.com/citation-style-language/schema/raw/master/csl-citation.json"} </w:instrText>
      </w:r>
      <w:r w:rsidRPr="00D22AA7">
        <w:rPr>
          <w:rFonts w:ascii="Times" w:hAnsi="Times"/>
        </w:rPr>
        <w:fldChar w:fldCharType="separate"/>
      </w:r>
      <w:r w:rsidR="00A921D3" w:rsidRPr="00D22AA7">
        <w:rPr>
          <w:rFonts w:ascii="Times" w:hAnsi="Times"/>
          <w:noProof/>
        </w:rPr>
        <w:t>[3]</w:t>
      </w:r>
      <w:r w:rsidRPr="00D22AA7">
        <w:rPr>
          <w:rFonts w:ascii="Times" w:hAnsi="Times"/>
        </w:rPr>
        <w:fldChar w:fldCharType="end"/>
      </w:r>
      <w:r w:rsidRPr="00D22AA7">
        <w:rPr>
          <w:rFonts w:ascii="Times" w:hAnsi="Times"/>
        </w:rPr>
        <w:t>.</w:t>
      </w:r>
    </w:p>
    <w:p w14:paraId="0AC7471D" w14:textId="55E39C1D" w:rsidR="00386CA0" w:rsidRPr="00D22AA7" w:rsidRDefault="00D45672" w:rsidP="007F381F">
      <w:pPr>
        <w:pStyle w:val="BodyText"/>
        <w:jc w:val="both"/>
        <w:rPr>
          <w:rFonts w:ascii="Times" w:hAnsi="Times"/>
        </w:rPr>
      </w:pPr>
      <w:r w:rsidRPr="00D22AA7">
        <w:rPr>
          <w:rFonts w:ascii="Times" w:hAnsi="Times"/>
        </w:rPr>
        <w:t>The pathogenesis of RA involves a complex interplay of genetic, environmental, and immunological factors. Pro-inflammatory cytokines such as tumor necrosis factor-alpha (TNF-α), interleukin-1 (IL-1), and interleukin-6 (IL-6) play a crucial role in disease progression. The activation of immune cells, including T cells, B cells, and macrophages, contributes to synovial inflammation and the production of autoantibodies such as rheumatoid factor (RF) and anti-citrullinated protein antibodies (ACPAs). The dysregulated immune response leads to synovial hyperplasia, angiogenesis, and the formation of pannus, which invades and destroys the joint structures</w:t>
      </w:r>
      <w:r w:rsidR="00C1537C">
        <w:rPr>
          <w:rFonts w:ascii="Times" w:hAnsi="Times"/>
        </w:rPr>
        <w:fldChar w:fldCharType="begin"/>
      </w:r>
      <w:r w:rsidR="00C1537C">
        <w:rPr>
          <w:rFonts w:ascii="Times" w:hAnsi="Times"/>
        </w:rPr>
        <w:instrText xml:space="preserve"> ADDIN ZOTERO_ITEM CSL_CITATION {"citationID":"HO1ffzGz","properties":{"formattedCitation":"[4]","plainCitation":"[4]","noteIndex":0},"citationItems":[{"id":15242,"uris":["http://zotero.org/users/9439317/items/PPWYJJEL"],"itemData":{"id":15242,"type":"article-journal","container-title":"International immunopharmacology","ISSN":"1567-5769","journalAbbreviation":"International immunopharmacology","page":"348-359","title":"Monocytes in rheumatoid arthritis: Circulating precursors of macrophages and osteoclasts and, their heterogeneity and plasticity role in RA pathogenesis","volume":"65","author":[{"family":"Rana","given":"Amit Kumar"},{"family":"Li","given":"Yang"},{"family":"Dang","given":"Qiujie"},{"family":"Yang","given":"Fan"}],"issued":{"date-parts":[["2018"]]}}}],"schema":"https://github.com/citation-style-language/schema/raw/master/csl-citation.json"} </w:instrText>
      </w:r>
      <w:r w:rsidR="00C1537C">
        <w:rPr>
          <w:rFonts w:ascii="Times" w:hAnsi="Times"/>
        </w:rPr>
        <w:fldChar w:fldCharType="separate"/>
      </w:r>
      <w:r w:rsidR="00C1537C">
        <w:rPr>
          <w:rFonts w:ascii="Times" w:hAnsi="Times"/>
          <w:noProof/>
        </w:rPr>
        <w:t>[4]</w:t>
      </w:r>
      <w:r w:rsidR="00C1537C">
        <w:rPr>
          <w:rFonts w:ascii="Times" w:hAnsi="Times"/>
        </w:rPr>
        <w:fldChar w:fldCharType="end"/>
      </w:r>
      <w:r w:rsidRPr="00D22AA7">
        <w:rPr>
          <w:rFonts w:ascii="Times" w:hAnsi="Times"/>
        </w:rPr>
        <w:t>.</w:t>
      </w:r>
    </w:p>
    <w:p w14:paraId="19FFDE35" w14:textId="77777777" w:rsidR="00386CA0" w:rsidRPr="00D22AA7" w:rsidRDefault="00D45672" w:rsidP="007F381F">
      <w:pPr>
        <w:pStyle w:val="Heading2"/>
        <w:jc w:val="both"/>
        <w:rPr>
          <w:rFonts w:ascii="Times" w:hAnsi="Times"/>
          <w:b/>
          <w:bCs/>
          <w:color w:val="000000"/>
          <w:sz w:val="24"/>
          <w:szCs w:val="24"/>
        </w:rPr>
      </w:pPr>
      <w:r w:rsidRPr="00D22AA7">
        <w:rPr>
          <w:rFonts w:ascii="Times" w:hAnsi="Times"/>
          <w:b/>
          <w:bCs/>
          <w:color w:val="000000"/>
          <w:sz w:val="24"/>
          <w:szCs w:val="24"/>
        </w:rPr>
        <w:t>1.2 Role of Polyphenols in Rheumatoid Arthritis</w:t>
      </w:r>
    </w:p>
    <w:p w14:paraId="07FC535A" w14:textId="6439D6C5" w:rsidR="00386CA0" w:rsidRPr="00D22AA7" w:rsidRDefault="00D45672" w:rsidP="007F381F">
      <w:pPr>
        <w:pStyle w:val="BodyText"/>
        <w:jc w:val="both"/>
        <w:rPr>
          <w:rFonts w:ascii="Times" w:hAnsi="Times"/>
        </w:rPr>
      </w:pPr>
      <w:r w:rsidRPr="00D22AA7">
        <w:rPr>
          <w:rFonts w:ascii="Times" w:hAnsi="Times"/>
        </w:rPr>
        <w:t>Polyphenols are naturally occurring compounds found in various plants, fruits, and vegetables. They exhibit potent anti-inflammatory, antioxidant, and immunomodulatory properties. Studies have demonstrated that polyphenols such as curcumin, resveratrol, epigallocatechin gallate (EGCG), and quercetin can inhibit inflammatory pathways, suppress oxidative stress, and modulate immune cell activity in RA. By targeting key signaling pathways, including NF-κB and MAPK, polyphenols hold promise as potential therapeutic agents for RA management</w:t>
      </w:r>
      <w:r w:rsidR="00C1537C">
        <w:rPr>
          <w:rFonts w:ascii="Times" w:hAnsi="Times"/>
        </w:rPr>
        <w:t xml:space="preserve"> </w:t>
      </w:r>
      <w:r w:rsidR="00C1537C">
        <w:rPr>
          <w:rFonts w:ascii="Times" w:hAnsi="Times"/>
        </w:rPr>
        <w:fldChar w:fldCharType="begin"/>
      </w:r>
      <w:r w:rsidR="00C1537C">
        <w:rPr>
          <w:rFonts w:ascii="Times" w:hAnsi="Times"/>
        </w:rPr>
        <w:instrText xml:space="preserve"> ADDIN ZOTERO_ITEM CSL_CITATION {"citationID":"bn6HpdY7","properties":{"formattedCitation":"[5]","plainCitation":"[5]","noteIndex":0},"citationItems":[{"id":13827,"uris":["http://zotero.org/users/9439317/items/9IC44EIS"],"itemData":{"id":13827,"type":"article-journal","abstract":"Rheumatoid arthritis is an autoimmune disease characterized by chronic inflammation in the joints, leukocyte infiltration in the synovium, and joint and bone degradation. It affects about 1% of the world's population, mostly women and elderly, but has no medical cure. Patients are recommended to manage their conditions through lifestyle changes and medications. Mounting evidence from clinical trials, animal models, and cell culture studies suggested that dietary polyphenols have a beneficial effect on the development and symptoms of rheumatoid arthritis. In RA patients, phenolic compounds have been found to reduce early morning stiffness, morning pain, and after activity pain, and decrease plasma levels of inflammatory mediators. In rodents with RA, polyphenols were shown to delay the onset, alleviate the symptoms, and reduce inflammation. The major mechanisms of RA prevention and symptom alleviation were the reduction of inflammatory mediators and inhibition of specific signaling pathways involved in the inflammatory response in rheumatoid arthritis. Future research is needed to assess the bioactivity of phase-2 and microbial metabolites of polyphenols and explore how interactions between polyphenols and gut microbiome affect RA development.","container-title":"Journal of Functional Foods","DOI":"10.1016/j.jff.2020.104003","ISSN":"17564646","title":"Efficacy and mechanisms of dietary polyphenols in mitigating rheumatoid arthritis","volume":"71","author":[{"family":"Christman","given":"Lindsey M."},{"family":"Gu","given":"Liwei"}],"issued":{"date-parts":[["2020",8,1]]}}}],"schema":"https://github.com/citation-style-language/schema/raw/master/csl-citation.json"} </w:instrText>
      </w:r>
      <w:r w:rsidR="00C1537C">
        <w:rPr>
          <w:rFonts w:ascii="Times" w:hAnsi="Times"/>
        </w:rPr>
        <w:fldChar w:fldCharType="separate"/>
      </w:r>
      <w:r w:rsidR="00C1537C">
        <w:rPr>
          <w:rFonts w:ascii="Times" w:hAnsi="Times"/>
          <w:noProof/>
        </w:rPr>
        <w:t>[5]</w:t>
      </w:r>
      <w:r w:rsidR="00C1537C">
        <w:rPr>
          <w:rFonts w:ascii="Times" w:hAnsi="Times"/>
        </w:rPr>
        <w:fldChar w:fldCharType="end"/>
      </w:r>
      <w:r w:rsidRPr="00D22AA7">
        <w:rPr>
          <w:rFonts w:ascii="Times" w:hAnsi="Times"/>
        </w:rPr>
        <w:t>.</w:t>
      </w:r>
    </w:p>
    <w:p w14:paraId="76164ABB" w14:textId="77777777" w:rsidR="00386CA0" w:rsidRPr="00D22AA7" w:rsidRDefault="00D45672" w:rsidP="007F381F">
      <w:pPr>
        <w:pStyle w:val="Heading2"/>
        <w:jc w:val="both"/>
        <w:rPr>
          <w:rFonts w:ascii="Times" w:hAnsi="Times"/>
          <w:b/>
          <w:bCs/>
          <w:color w:val="000000"/>
          <w:sz w:val="24"/>
          <w:szCs w:val="24"/>
        </w:rPr>
      </w:pPr>
      <w:r w:rsidRPr="00D22AA7">
        <w:rPr>
          <w:rFonts w:ascii="Times" w:hAnsi="Times"/>
          <w:b/>
          <w:bCs/>
          <w:color w:val="000000"/>
          <w:sz w:val="24"/>
          <w:szCs w:val="24"/>
        </w:rPr>
        <w:t>1.3 Nanoparticles for Targeted Drug Delivery</w:t>
      </w:r>
    </w:p>
    <w:p w14:paraId="503DDA20" w14:textId="75D7D162" w:rsidR="00386CA0" w:rsidRPr="00D22AA7" w:rsidRDefault="00065C40" w:rsidP="007F381F">
      <w:pPr>
        <w:pStyle w:val="BodyText"/>
        <w:jc w:val="both"/>
        <w:rPr>
          <w:rFonts w:ascii="Times" w:hAnsi="Times"/>
        </w:rPr>
      </w:pPr>
      <w:r w:rsidRPr="00D22AA7">
        <w:rPr>
          <w:rFonts w:ascii="Times" w:hAnsi="Times"/>
        </w:rPr>
        <w:t>The incorporation of nanoparticles (NPs) into biomedical applications has garnered substantial interest, primarily due to their potential to revolutionize drug delivery systems. These nanoscale carriers facilitate targeted therapy, improving drug bioavailability while minimizing systemic tox</w:t>
      </w:r>
      <w:r w:rsidRPr="00D22AA7">
        <w:rPr>
          <w:rFonts w:ascii="Times" w:hAnsi="Times"/>
        </w:rPr>
        <w:lastRenderedPageBreak/>
        <w:t xml:space="preserve">icity. By enabling controlled and sustained release, NPs enhance therapeutic efficacy, reduce adverse effects, and optimize treatment outcomes. Their versatility extends across various medical fields, including oncology, regenerative medicine, and infectious disease management, making them a promising tool for advancing modern healthcare </w:t>
      </w:r>
      <w:proofErr w:type="gramStart"/>
      <w:r w:rsidRPr="00D22AA7">
        <w:rPr>
          <w:rFonts w:ascii="Times" w:hAnsi="Times"/>
        </w:rPr>
        <w:t>solutions.</w:t>
      </w:r>
      <w:r w:rsidR="00D45672" w:rsidRPr="00D22AA7">
        <w:rPr>
          <w:rFonts w:ascii="Times" w:hAnsi="Times"/>
        </w:rPr>
        <w:t>In</w:t>
      </w:r>
      <w:proofErr w:type="gramEnd"/>
      <w:r w:rsidR="00D45672" w:rsidRPr="00D22AA7">
        <w:rPr>
          <w:rFonts w:ascii="Times" w:hAnsi="Times"/>
        </w:rPr>
        <w:t xml:space="preserve"> RA treatment, nanoparticle-based drug delivery systems can provide targeted therapy to inflamed synovial tissues. Polymeric nanoparticles, liposomes, and metallic nanoparticles have been explored for the encapsulation and delivery of anti-inflammatory agents, including polyphenols and biologics, to improve therapeutic efficacy and minimize adverse effects</w:t>
      </w:r>
      <w:r w:rsidR="00C1537C">
        <w:rPr>
          <w:rFonts w:ascii="Times" w:hAnsi="Times"/>
        </w:rPr>
        <w:t xml:space="preserve"> </w:t>
      </w:r>
      <w:r w:rsidR="00C1537C">
        <w:rPr>
          <w:rFonts w:ascii="Times" w:hAnsi="Times"/>
        </w:rPr>
        <w:fldChar w:fldCharType="begin"/>
      </w:r>
      <w:r w:rsidR="00C1537C">
        <w:rPr>
          <w:rFonts w:ascii="Times" w:hAnsi="Times"/>
        </w:rPr>
        <w:instrText xml:space="preserve"> ADDIN ZOTERO_ITEM CSL_CITATION {"citationID":"MnTFD5z0","properties":{"formattedCitation":"[6]","plainCitation":"[6]","noteIndex":0},"citationItems":[{"id":5747,"uris":["http://zotero.org/users/9439317/items/Q9D96D38"],"itemData":{"id":5747,"type":"article-journal","abstract":"Resveratrol is a polyphenolic compound that has gained considerable attention in the past decade due to its multifaceted therapeutic potential, including anti-inflammatory and anticancer properties. However, its anticancer efficacy is impeded by low water solubility, dose-limiting toxicity, low bioavailability, and rapid hepatic metabolism. To overcome these hurdles, various nanoparticles such as organic and inorganic nanoparticles, liposomes, polymeric nanoparticles, dendrimers, solid lipid nanoparticles, gold nanoparticles, zinc oxide nanoparticles, zeolitic imidazolate frameworks, carbon nanotubes, bioactive glass nanoparticles, and mesoporous nanoparticles were employed to deliver resveratrol, enhancing its water solubility, bioavailability, and efficacy against various types of cancer. Resveratrol-loaded nanoparticle or resveratrol-conjugated nanoparticle administration exhibits excellent anticancer potency compared to free resveratrol. This review highlights the latest developments in nanoparticle-based delivery systems for resveratrol, focusing on the potential to overcome limitations associated with the compound’s bioavailability and therapeutic effectiveness.","container-title":"Pharmaceuticals","DOI":"10.3390/ph17010126","ISSN":"1424-8247","issue":"1","title":"Recent Developments in Nanoparticle Formulations for Resveratrol Encapsulation as an Anticancer Agent","volume":"17","author":[{"family":"Ali","given":"Muhammad"},{"family":"Benfante","given":"Viviana"},{"family":"Di Raimondo","given":"Domenico"},{"family":"Salvaggio","given":"Giuseppe"},{"family":"Tuttolomondo","given":"Antonino"},{"family":"Comelli","given":"Albert"}],"issued":{"date-parts":[["2024"]]}}}],"schema":"https://github.com/citation-style-language/schema/raw/master/csl-citation.json"} </w:instrText>
      </w:r>
      <w:r w:rsidR="00C1537C">
        <w:rPr>
          <w:rFonts w:ascii="Times" w:hAnsi="Times"/>
        </w:rPr>
        <w:fldChar w:fldCharType="separate"/>
      </w:r>
      <w:r w:rsidR="00C1537C">
        <w:rPr>
          <w:rFonts w:ascii="Times" w:hAnsi="Times"/>
          <w:noProof/>
        </w:rPr>
        <w:t>[6]</w:t>
      </w:r>
      <w:r w:rsidR="00C1537C">
        <w:rPr>
          <w:rFonts w:ascii="Times" w:hAnsi="Times"/>
        </w:rPr>
        <w:fldChar w:fldCharType="end"/>
      </w:r>
      <w:r w:rsidR="00D45672" w:rsidRPr="00D22AA7">
        <w:rPr>
          <w:rFonts w:ascii="Times" w:hAnsi="Times"/>
        </w:rPr>
        <w:t>.</w:t>
      </w:r>
      <w:r w:rsidR="00C1537C">
        <w:rPr>
          <w:rFonts w:ascii="Times" w:hAnsi="Times"/>
        </w:rPr>
        <w:t xml:space="preserve"> </w:t>
      </w:r>
    </w:p>
    <w:p w14:paraId="6FE5D091" w14:textId="77777777" w:rsidR="00386CA0" w:rsidRPr="00D22AA7" w:rsidRDefault="00D45672" w:rsidP="007F381F">
      <w:pPr>
        <w:pStyle w:val="Heading2"/>
        <w:jc w:val="both"/>
        <w:rPr>
          <w:rFonts w:ascii="Times" w:hAnsi="Times"/>
          <w:b/>
          <w:bCs/>
          <w:color w:val="000000"/>
          <w:sz w:val="24"/>
          <w:szCs w:val="24"/>
        </w:rPr>
      </w:pPr>
      <w:r w:rsidRPr="00D22AA7">
        <w:rPr>
          <w:rFonts w:ascii="Times" w:hAnsi="Times"/>
          <w:b/>
          <w:bCs/>
          <w:color w:val="000000"/>
          <w:sz w:val="24"/>
          <w:szCs w:val="24"/>
        </w:rPr>
        <w:t>1.4 Artificial Intelligence and Machine Learning in Microscopic Analysis</w:t>
      </w:r>
    </w:p>
    <w:p w14:paraId="5E7F4DCC" w14:textId="4FA33644" w:rsidR="00386CA0" w:rsidRPr="00D22AA7" w:rsidRDefault="00D45672" w:rsidP="007F381F">
      <w:pPr>
        <w:pStyle w:val="BodyText"/>
        <w:jc w:val="both"/>
        <w:rPr>
          <w:rFonts w:ascii="Times" w:hAnsi="Times"/>
        </w:rPr>
      </w:pPr>
      <w:r w:rsidRPr="00D22AA7">
        <w:rPr>
          <w:rFonts w:ascii="Times" w:hAnsi="Times"/>
        </w:rPr>
        <w:t>Artificial intelligence (AI) and machine learning (ML) have revolutionized biomedical research, particularly in the analysis of microscopic images of cells and tissues. AI-driven image processing techniques enable the automated detection, segmentation, and classification of synovial tissue alterations in RA. Deep learning algorithms, including convolutional neural networks (CNNs), have demonstrated high accuracy in identifying pathological changes in synovial biopsies and cellular morphology. The integration of AI and ML in microscopic analysis enhances diagnostic precision and accelerates the assessment of disease progression</w:t>
      </w:r>
      <w:r w:rsidR="00C1537C">
        <w:rPr>
          <w:rFonts w:ascii="Times" w:hAnsi="Times"/>
        </w:rPr>
        <w:t xml:space="preserve"> </w:t>
      </w:r>
      <w:r w:rsidR="00C1537C">
        <w:rPr>
          <w:rFonts w:ascii="Times" w:hAnsi="Times"/>
        </w:rPr>
        <w:fldChar w:fldCharType="begin"/>
      </w:r>
      <w:r w:rsidR="00C1537C">
        <w:rPr>
          <w:rFonts w:ascii="Times" w:hAnsi="Times"/>
        </w:rPr>
        <w:instrText xml:space="preserve"> ADDIN ZOTERO_ITEM CSL_CITATION {"citationID":"94tsr7d7","properties":{"formattedCitation":"[7]","plainCitation":"[7]","noteIndex":0},"citationItems":[{"id":16038,"uris":["http://zotero.org/users/9439317/items/BIJFS8F6"],"itemData":{"id":16038,"type":"article-journal","abstract":"Artificial intelligence (AI) transforms image data analysis across many biomedical fields, such as cell biology, radiology, pathology, cancer biology, and immunology, with object detection, image feature extraction, classification, and segmentation applications. Advancements in deep learning (DL) research have been a critical factor in advancing computer techniques for biomedical image analysis and data mining. A significant improvement in the accuracy of cell detection and segmentation algorithms has been achieved as a result of the emergence of open-source software and innovative deep neural network architectures. Automated cell segmentation now enables the extraction of quantifiable cellular and spatial features from microscope images of cells and tissues, providing critical insights into cellular organization in various diseases. This review aims to examine the latest AI and DL techniques for cell analysis and data mining in microscopy images, aid the biologists who have less background knowledge in AI and machine learning (ML), and incorporate the ML models into microscopy focus images.","container-title":"Journal of Imaging","DOI":"10.3390/jimaging11020059","ISSN":"2313-433X","issue":"2","title":"Applications of Artificial Intelligence, Deep Learning, and Machine Learning to Support the Analysis of Microscopic Images of Cells and Tissues","volume":"11","author":[{"family":"Ali","given":"Muhammad"},{"family":"Benfante","given":"Viviana"},{"family":"Basirinia","given":"Ghazal"},{"family":"Alongi","given":"Pierpaolo"},{"family":"Sperandeo","given":"Alessandro"},{"family":"Quattrocchi","given":"Alberto"},{"family":"Giannone","given":"Antonino G."},{"family":"Cabibi","given":"Daniela"},{"family":"Yezzi","given":"Anthony"},{"family":"Di Raimondo","given":"Domenico"},{"family":"Tuttolomondo","given":"Antonino"},{"family":"Comelli","given":"Albert"}],"issued":{"date-parts":[["2025"]]}}}],"schema":"https://github.com/citation-style-language/schema/raw/master/csl-citation.json"} </w:instrText>
      </w:r>
      <w:r w:rsidR="00C1537C">
        <w:rPr>
          <w:rFonts w:ascii="Times" w:hAnsi="Times"/>
        </w:rPr>
        <w:fldChar w:fldCharType="separate"/>
      </w:r>
      <w:r w:rsidR="00C1537C">
        <w:rPr>
          <w:rFonts w:ascii="Times" w:hAnsi="Times"/>
          <w:noProof/>
        </w:rPr>
        <w:t>[7]</w:t>
      </w:r>
      <w:r w:rsidR="00C1537C">
        <w:rPr>
          <w:rFonts w:ascii="Times" w:hAnsi="Times"/>
        </w:rPr>
        <w:fldChar w:fldCharType="end"/>
      </w:r>
      <w:r w:rsidRPr="00D22AA7">
        <w:rPr>
          <w:rFonts w:ascii="Times" w:hAnsi="Times"/>
        </w:rPr>
        <w:t>.</w:t>
      </w:r>
    </w:p>
    <w:p w14:paraId="54D8865E" w14:textId="77777777" w:rsidR="00386CA0" w:rsidRPr="00D22AA7" w:rsidRDefault="00D45672" w:rsidP="007F381F">
      <w:pPr>
        <w:pStyle w:val="Heading2"/>
        <w:jc w:val="both"/>
        <w:rPr>
          <w:rFonts w:ascii="Times" w:hAnsi="Times"/>
          <w:b/>
          <w:bCs/>
          <w:color w:val="000000"/>
          <w:sz w:val="24"/>
          <w:szCs w:val="24"/>
        </w:rPr>
      </w:pPr>
      <w:r w:rsidRPr="00D22AA7">
        <w:rPr>
          <w:rFonts w:ascii="Times" w:hAnsi="Times"/>
          <w:b/>
          <w:bCs/>
          <w:color w:val="000000"/>
          <w:sz w:val="24"/>
          <w:szCs w:val="24"/>
        </w:rPr>
        <w:t>1.5 Radiomics for Tumor Detection</w:t>
      </w:r>
    </w:p>
    <w:p w14:paraId="11A79646" w14:textId="6108F988" w:rsidR="00386CA0" w:rsidRPr="00D22AA7" w:rsidRDefault="00D45672" w:rsidP="007F381F">
      <w:pPr>
        <w:pStyle w:val="BodyText"/>
        <w:jc w:val="both"/>
        <w:rPr>
          <w:rFonts w:ascii="Times" w:hAnsi="Times"/>
        </w:rPr>
      </w:pPr>
      <w:r w:rsidRPr="00D22AA7">
        <w:rPr>
          <w:rFonts w:ascii="Times" w:hAnsi="Times"/>
        </w:rPr>
        <w:t>Radiomics is an emerging field that involves the extraction of high-dimensional quantitative features from medical imaging data, such as MRI, CT, and PET scans. These features provide valuable insights into tissue heterogeneity, aiding in the early detection and characterization of tumors. In RA, radiomics has been explored for evaluating joint abnormalities and detecting synovial malignancies. By integrating AI-based radiomic analysis with traditional imaging techniques, clinicians can achieve more accurate and personalized disease assessment, leading to improved treatment strategies</w:t>
      </w:r>
      <w:r w:rsidR="00C1537C">
        <w:rPr>
          <w:rFonts w:ascii="Times" w:hAnsi="Times"/>
        </w:rPr>
        <w:t xml:space="preserve"> </w:t>
      </w:r>
      <w:r w:rsidR="00C1537C">
        <w:rPr>
          <w:rFonts w:ascii="Times" w:hAnsi="Times"/>
        </w:rPr>
        <w:fldChar w:fldCharType="begin"/>
      </w:r>
      <w:r w:rsidR="00C1537C">
        <w:rPr>
          <w:rFonts w:ascii="Times" w:hAnsi="Times"/>
        </w:rPr>
        <w:instrText xml:space="preserve"> ADDIN ZOTERO_ITEM CSL_CITATION {"citationID":"77cZV8Z1","properties":{"formattedCitation":"[8,9]","plainCitation":"[8,9]","noteIndex":0},"citationItems":[{"id":5812,"uris":["http://zotero.org/users/9439317/items/H88HPF8J"],"itemData":{"id":5812,"type":"paper-conference","abstract":"Aim of this study was to evaluate the performance of MRI radiomics analysis in distinguishing low-grade (LG) versus high-grade (HG) bladder lesions and non-muscle-invasive bladder cancer (NMIBC) versus muscle-invasive bladder cancer (MIBC). We proposed a computational statistical analysis model that is standardized and reproducible, and identified predictive and prognostic models to facilitate the process of making medical decisions. Sixteen patients with bladder lesions and preoperative mpMRI were included for a total of 35 bladder lesions. Lesions were manually segmented from T2-weighted sequences. PyRadiomics software was used to extract radiomics features and a total of 120 radiomics features were obtained from each lesions. An operator-independent statistical system was adopted for the selection and reduction of the characteristics, while discriminant analysis was used for the construction of the predictive model. The performance in the discrimination between LG and HG lesions, with an AUROC of 0.84 (95% C.I. between 0.71 and 0.98), sensitivity of 65.6%, specificity of 81.5%, with p</w:instrText>
      </w:r>
      <w:r w:rsidR="00C1537C">
        <w:instrText> </w:instrText>
      </w:r>
      <w:r w:rsidR="00C1537C">
        <w:rPr>
          <w:rFonts w:ascii="Times" w:hAnsi="Times"/>
        </w:rPr>
        <w:instrText>&lt;</w:instrText>
      </w:r>
      <w:r w:rsidR="00C1537C">
        <w:instrText> </w:instrText>
      </w:r>
      <w:r w:rsidR="00C1537C">
        <w:rPr>
          <w:rFonts w:ascii="Times" w:hAnsi="Times"/>
        </w:rPr>
        <w:instrText>0.001. The performance in the discrimination between NMIBC and MIBC, with an AUROC of 0.7 (95% C.I. between 0.11 and 1), sensitivity of 100%, specificity of 86.7%, with p-value of 0.0031. Our results demonstrate the valuable contribution of radiomics analysis in improving the characterization and differentiation of bladder lesions, both in terms of differentiating LG from HG lesions and discriminating NMIBC from MIBC.","container-title":"Image Analysis and Processing - ICIAP 2023 Workshops","event-place":"Cham","ISBN":"978-3-031-51026-7","page":"93-103","publisher":"Springer Nature Switzerland","publisher-place":"Cham","title":"Grading and Staging of Bladder Tumors Using Radiomics Analysis in Magnetic Resonance Imaging","author":[{"family":"Benfante","given":"Viviana"},{"family":"Salvaggio","given":"Giuseppe"},{"family":"Ali","given":"Muhammad"},{"family":"Cutaia","given":"Giuseppe"},{"family":"Salvaggio","given":"Leonardo"},{"family":"Salerno","given":"Sergio"},{"family":"Busè","given":"Gabriele"},{"family":"Tulone","given":"Gabriele"},{"family":"Pavan","given":"Nicola"},{"family":"Di Raimondo","given":"Domenico"},{"family":"Tuttolomondo","given":"Antonino"},{"family":"Simonato","given":"Alchiede"},{"family":"Comelli","given":"Albert"}],"editor":[{"family":"Foresti","given":"Gian Luca"},{"family":"Fusiello","given":"Andrea"},{"family":"Hancock","given":"Edwin"}],"issued":{"date-parts":[["2024"]]}}},{"id":5813,"uris":["http://zotero.org/users/9439317/items/PPBTYCMJ"],"itemData":{"id":5813,"type":"paper-conference","abstract":"The purpose of the study was to evaluate the performance of radiomics analysis of MR images for the detection of prostate cancer. The radiomics analysis was conducted using axial T2-weighted images from 49 prostate cancers. The study employs a sophisticated hybrid descriptive-inferential method for the meticulous selection and reduction of features, followed by discriminant analysis to construct a robust predictive model. Among 71 radiomics features, original_glrlm_ShortRunLowGrayLevelEmphasis demonstrated exemplary performance in differentiating between the whole prostate gland and prostate cancer. It had an AUROC of 68.46 (95% CI 0.544 – 0.824; p</w:instrText>
      </w:r>
      <w:r w:rsidR="00C1537C">
        <w:instrText> </w:instrText>
      </w:r>
      <w:r w:rsidR="00C1537C">
        <w:rPr>
          <w:rFonts w:ascii="Times" w:hAnsi="Times"/>
        </w:rPr>
        <w:instrText>=</w:instrText>
      </w:r>
      <w:r w:rsidR="00C1537C">
        <w:instrText> </w:instrText>
      </w:r>
      <w:r w:rsidR="00C1537C">
        <w:rPr>
          <w:rFonts w:ascii="Times" w:hAnsi="Times"/>
        </w:rPr>
        <w:instrText xml:space="preserve">0.022), sensitivity of 76.25%, specificity of 73.15%, and accuracy of 71.02%. Radiomic analysis of T2 weighted MR images was demonstrated to have clinical application in prostate cancer detection, paving the way for improved diagnostic procedures and tailor-made treatment plans for prostate cancer patients.","container-title":"Image Analysis and Processing - ICIAP 2023 Workshops","event-place":"Cham","ISBN":"978-3-031-51026-7","page":"83-92","publisher":"Springer Nature Switzerland","publisher-place":"Cham","title":"Prostate Cancer Detection: Performance of Radiomics Analysis in Multiparametric MRI","author":[{"family":"Ali","given":"Muhammad"},{"family":"Benfante","given":"Viviana"},{"family":"Cutaia","given":"Giuseppe"},{"family":"Salvaggio","given":"Leonardo"},{"family":"Rubino","given":"Sara"},{"family":"Portoghese","given":"Marzia"},{"family":"Ferraro","given":"Marcella"},{"family":"Corso","given":"Rosario"},{"family":"Piraino","given":"Giovanni"},{"family":"Ingrassia","given":"Tommaso"},{"family":"Tulone","given":"Gabriele"},{"family":"Pavan","given":"Nicola"},{"family":"Di Raimondo","given":"Domenico"},{"family":"Tuttolomondo","given":"Antonino"},{"family":"Simonato","given":"Alchiede"},{"family":"Salvaggio","given":"Giuseppe"}],"editor":[{"family":"Foresti","given":"Gian Luca"},{"family":"Fusiello","given":"Andrea"},{"family":"Hancock","given":"Edwin"}],"issued":{"date-parts":[["2024"]]}}}],"schema":"https://github.com/citation-style-language/schema/raw/master/csl-citation.json"} </w:instrText>
      </w:r>
      <w:r w:rsidR="00C1537C">
        <w:rPr>
          <w:rFonts w:ascii="Times" w:hAnsi="Times"/>
        </w:rPr>
        <w:fldChar w:fldCharType="separate"/>
      </w:r>
      <w:r w:rsidR="00C1537C">
        <w:rPr>
          <w:rFonts w:ascii="Times" w:hAnsi="Times"/>
          <w:noProof/>
        </w:rPr>
        <w:t>[8,9]</w:t>
      </w:r>
      <w:r w:rsidR="00C1537C">
        <w:rPr>
          <w:rFonts w:ascii="Times" w:hAnsi="Times"/>
        </w:rPr>
        <w:fldChar w:fldCharType="end"/>
      </w:r>
      <w:r w:rsidRPr="00D22AA7">
        <w:rPr>
          <w:rFonts w:ascii="Times" w:hAnsi="Times"/>
        </w:rPr>
        <w:t>.</w:t>
      </w:r>
    </w:p>
    <w:p w14:paraId="653CB1E7" w14:textId="77777777" w:rsidR="00386CA0" w:rsidRPr="00D22AA7" w:rsidRDefault="00D45672" w:rsidP="007F381F">
      <w:pPr>
        <w:pStyle w:val="Heading2"/>
        <w:jc w:val="both"/>
        <w:rPr>
          <w:rFonts w:ascii="Times" w:hAnsi="Times"/>
          <w:b/>
          <w:bCs/>
          <w:color w:val="000000"/>
          <w:sz w:val="24"/>
          <w:szCs w:val="24"/>
        </w:rPr>
      </w:pPr>
      <w:r w:rsidRPr="00D22AA7">
        <w:rPr>
          <w:rFonts w:ascii="Times" w:hAnsi="Times"/>
          <w:b/>
          <w:bCs/>
          <w:color w:val="000000"/>
          <w:sz w:val="24"/>
          <w:szCs w:val="24"/>
        </w:rPr>
        <w:t>1.6 Thesis outline</w:t>
      </w:r>
    </w:p>
    <w:p w14:paraId="6481C6C7" w14:textId="77777777" w:rsidR="00386CA0" w:rsidRPr="00D22AA7" w:rsidRDefault="00D45672" w:rsidP="007F381F">
      <w:pPr>
        <w:pStyle w:val="BodyText"/>
        <w:jc w:val="both"/>
        <w:rPr>
          <w:rFonts w:ascii="Times" w:hAnsi="Times"/>
        </w:rPr>
      </w:pPr>
      <w:r w:rsidRPr="00D22AA7">
        <w:rPr>
          <w:rFonts w:ascii="Times" w:hAnsi="Times"/>
        </w:rPr>
        <w:t>This thesis is structured as follows:</w:t>
      </w:r>
    </w:p>
    <w:p w14:paraId="61B3B4A8" w14:textId="77777777"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2:</w:t>
      </w:r>
      <w:r w:rsidRPr="00D22AA7">
        <w:rPr>
          <w:rFonts w:ascii="Times" w:hAnsi="Times"/>
        </w:rPr>
        <w:t xml:space="preserve"> Pathogenesis of rheumatoid arthritis and antiarthritic effect of polyphenols</w:t>
      </w:r>
    </w:p>
    <w:p w14:paraId="46266E3E" w14:textId="77777777"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3:</w:t>
      </w:r>
      <w:r w:rsidRPr="00D22AA7">
        <w:rPr>
          <w:rFonts w:ascii="Times" w:hAnsi="Times"/>
        </w:rPr>
        <w:t xml:space="preserve"> The use of nanoparticles for the delivery of polyphenols</w:t>
      </w:r>
    </w:p>
    <w:p w14:paraId="4B6018DD" w14:textId="77777777"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4:</w:t>
      </w:r>
      <w:r w:rsidRPr="00D22AA7">
        <w:rPr>
          <w:rFonts w:ascii="Times" w:hAnsi="Times"/>
        </w:rPr>
        <w:t xml:space="preserve"> The use of artificial intelligence applied in microscopy imaging of cells</w:t>
      </w:r>
    </w:p>
    <w:p w14:paraId="40A6B60B" w14:textId="77777777"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5:</w:t>
      </w:r>
      <w:r w:rsidRPr="00D22AA7">
        <w:rPr>
          <w:rFonts w:ascii="Times" w:hAnsi="Times"/>
        </w:rPr>
        <w:t xml:space="preserve"> Radiomics analysis in magnetic resonance imaging to detect tumors</w:t>
      </w:r>
    </w:p>
    <w:p w14:paraId="56A2A314" w14:textId="033258B5"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6:</w:t>
      </w:r>
      <w:r w:rsidRPr="00D22AA7">
        <w:rPr>
          <w:rFonts w:ascii="Times" w:hAnsi="Times"/>
        </w:rPr>
        <w:t xml:space="preserve"> </w:t>
      </w:r>
      <w:r w:rsidR="00BF56F1">
        <w:rPr>
          <w:rFonts w:ascii="Times" w:hAnsi="Times"/>
        </w:rPr>
        <w:t>The invitro evaluation of some polyphenols</w:t>
      </w:r>
    </w:p>
    <w:p w14:paraId="3857235D" w14:textId="3DC6C676"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7:</w:t>
      </w:r>
      <w:r w:rsidRPr="00D22AA7">
        <w:rPr>
          <w:rFonts w:ascii="Times" w:hAnsi="Times"/>
        </w:rPr>
        <w:t xml:space="preserve"> The </w:t>
      </w:r>
      <w:r w:rsidR="00BF56F1">
        <w:rPr>
          <w:rFonts w:ascii="Times" w:hAnsi="Times"/>
        </w:rPr>
        <w:t xml:space="preserve">use </w:t>
      </w:r>
      <w:r w:rsidRPr="00D22AA7">
        <w:rPr>
          <w:rFonts w:ascii="Times" w:hAnsi="Times"/>
        </w:rPr>
        <w:t>of</w:t>
      </w:r>
      <w:r w:rsidR="00BF56F1">
        <w:rPr>
          <w:rFonts w:ascii="Times" w:hAnsi="Times"/>
        </w:rPr>
        <w:t xml:space="preserve"> various</w:t>
      </w:r>
      <w:r w:rsidRPr="00D22AA7">
        <w:rPr>
          <w:rFonts w:ascii="Times" w:hAnsi="Times"/>
        </w:rPr>
        <w:t xml:space="preserve"> nanoparticles for delivery of polyphenol</w:t>
      </w:r>
    </w:p>
    <w:p w14:paraId="01F46C3F" w14:textId="3D7A42B3" w:rsidR="00386CA0" w:rsidRPr="00D22AA7"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8:</w:t>
      </w:r>
      <w:r w:rsidRPr="00D22AA7">
        <w:rPr>
          <w:rFonts w:ascii="Times" w:hAnsi="Times"/>
        </w:rPr>
        <w:t xml:space="preserve"> The </w:t>
      </w:r>
      <w:r w:rsidR="00BF56F1">
        <w:rPr>
          <w:rFonts w:ascii="Times" w:hAnsi="Times"/>
        </w:rPr>
        <w:t xml:space="preserve">evaluation </w:t>
      </w:r>
      <w:r w:rsidRPr="00D22AA7">
        <w:rPr>
          <w:rFonts w:ascii="Times" w:hAnsi="Times"/>
        </w:rPr>
        <w:t>of the use of AI in microscopic imaging of cells</w:t>
      </w:r>
    </w:p>
    <w:p w14:paraId="18E96EFA" w14:textId="78215D3A" w:rsidR="00386CA0" w:rsidRDefault="00D45672" w:rsidP="007F381F">
      <w:pPr>
        <w:pStyle w:val="BodyText"/>
        <w:numPr>
          <w:ilvl w:val="0"/>
          <w:numId w:val="7"/>
        </w:numPr>
        <w:tabs>
          <w:tab w:val="clear" w:pos="709"/>
          <w:tab w:val="left" w:pos="0"/>
        </w:tabs>
        <w:jc w:val="both"/>
        <w:rPr>
          <w:rFonts w:ascii="Times" w:hAnsi="Times"/>
        </w:rPr>
      </w:pPr>
      <w:r w:rsidRPr="00D22AA7">
        <w:rPr>
          <w:rStyle w:val="StrongEmphasis"/>
          <w:rFonts w:ascii="Times" w:hAnsi="Times"/>
        </w:rPr>
        <w:t>Chapter 9:</w:t>
      </w:r>
      <w:r w:rsidRPr="00D22AA7">
        <w:rPr>
          <w:rFonts w:ascii="Times" w:hAnsi="Times"/>
        </w:rPr>
        <w:t xml:space="preserve"> The </w:t>
      </w:r>
      <w:r w:rsidR="00BF56F1">
        <w:rPr>
          <w:rFonts w:ascii="Times" w:hAnsi="Times"/>
        </w:rPr>
        <w:t xml:space="preserve">evaluation of </w:t>
      </w:r>
      <w:r w:rsidRPr="00D22AA7">
        <w:rPr>
          <w:rFonts w:ascii="Times" w:hAnsi="Times"/>
        </w:rPr>
        <w:t>using radiomic analysis for tumor detection</w:t>
      </w:r>
    </w:p>
    <w:p w14:paraId="6B694E9F" w14:textId="77777777" w:rsidR="008A0BEC" w:rsidRDefault="008A0BEC" w:rsidP="007F381F">
      <w:pPr>
        <w:pStyle w:val="BodyText"/>
        <w:tabs>
          <w:tab w:val="left" w:pos="0"/>
        </w:tabs>
        <w:jc w:val="both"/>
        <w:rPr>
          <w:rFonts w:ascii="Times" w:hAnsi="Times"/>
        </w:rPr>
      </w:pPr>
    </w:p>
    <w:p w14:paraId="32825900" w14:textId="77777777" w:rsidR="008A0BEC" w:rsidRDefault="008A0BEC" w:rsidP="007F381F">
      <w:pPr>
        <w:pStyle w:val="BodyText"/>
        <w:tabs>
          <w:tab w:val="left" w:pos="0"/>
        </w:tabs>
        <w:jc w:val="both"/>
        <w:rPr>
          <w:rFonts w:ascii="Times" w:hAnsi="Times"/>
        </w:rPr>
      </w:pPr>
    </w:p>
    <w:p w14:paraId="1F5A7F77" w14:textId="77777777" w:rsidR="008A0BEC" w:rsidRPr="00D22AA7" w:rsidRDefault="008A0BEC" w:rsidP="007F381F">
      <w:pPr>
        <w:pStyle w:val="BodyText"/>
        <w:tabs>
          <w:tab w:val="left" w:pos="0"/>
        </w:tabs>
        <w:jc w:val="both"/>
        <w:rPr>
          <w:rFonts w:ascii="Times" w:hAnsi="Times"/>
        </w:rPr>
      </w:pPr>
    </w:p>
    <w:p w14:paraId="1BA1740F" w14:textId="64CDFBFC" w:rsidR="00DB7A46" w:rsidRPr="00D22AA7" w:rsidRDefault="00DB7A46" w:rsidP="007F381F">
      <w:pPr>
        <w:pStyle w:val="NormalWeb"/>
        <w:numPr>
          <w:ilvl w:val="1"/>
          <w:numId w:val="15"/>
        </w:numPr>
        <w:jc w:val="both"/>
        <w:rPr>
          <w:rFonts w:ascii="Times" w:hAnsi="Times"/>
        </w:rPr>
      </w:pPr>
      <w:r w:rsidRPr="00D22AA7">
        <w:rPr>
          <w:rFonts w:ascii="Times" w:hAnsi="Times"/>
          <w:b/>
          <w:bCs/>
        </w:rPr>
        <w:lastRenderedPageBreak/>
        <w:t xml:space="preserve">Research Contributions </w:t>
      </w:r>
    </w:p>
    <w:p w14:paraId="402D549E" w14:textId="6C4EE525" w:rsidR="00DB7A46" w:rsidRPr="00D22AA7" w:rsidRDefault="00DB7A46" w:rsidP="007F381F">
      <w:pPr>
        <w:pStyle w:val="NormalWeb"/>
        <w:numPr>
          <w:ilvl w:val="0"/>
          <w:numId w:val="18"/>
        </w:numPr>
        <w:jc w:val="both"/>
        <w:rPr>
          <w:rFonts w:ascii="Times" w:hAnsi="Times"/>
        </w:rPr>
      </w:pPr>
      <w:r w:rsidRPr="00D22AA7">
        <w:rPr>
          <w:rFonts w:ascii="Times" w:hAnsi="Times"/>
          <w:b/>
          <w:bCs/>
          <w:u w:val="single"/>
        </w:rPr>
        <w:t>Ali, M.;</w:t>
      </w:r>
      <w:r w:rsidRPr="00D22AA7">
        <w:rPr>
          <w:rFonts w:ascii="Times" w:hAnsi="Times"/>
        </w:rPr>
        <w:t xml:space="preserve"> Benfante, V.; Stefano, A.; Yezzi, A.; Di Raimondo, D.; Tuttolomondo, A.; Comelli, A. Anti-Arthritic and Anti-Cancer Activities of Polyphenols: A Review of the Most Recent In Vitro Assays. </w:t>
      </w:r>
      <w:r w:rsidRPr="00D22AA7">
        <w:rPr>
          <w:rFonts w:ascii="Times" w:hAnsi="Times"/>
          <w:i/>
          <w:iCs/>
        </w:rPr>
        <w:t>Life</w:t>
      </w:r>
      <w:r w:rsidRPr="00D22AA7">
        <w:rPr>
          <w:rFonts w:ascii="Times" w:hAnsi="Times"/>
        </w:rPr>
        <w:t> 2023, </w:t>
      </w:r>
      <w:r w:rsidRPr="00D22AA7">
        <w:rPr>
          <w:rFonts w:ascii="Times" w:hAnsi="Times"/>
          <w:i/>
          <w:iCs/>
        </w:rPr>
        <w:t>13</w:t>
      </w:r>
      <w:r w:rsidRPr="00D22AA7">
        <w:rPr>
          <w:rFonts w:ascii="Times" w:hAnsi="Times"/>
        </w:rPr>
        <w:t xml:space="preserve">, 361. </w:t>
      </w:r>
      <w:hyperlink r:id="rId9" w:history="1">
        <w:r w:rsidRPr="00D22AA7">
          <w:rPr>
            <w:rStyle w:val="Hyperlink"/>
            <w:rFonts w:ascii="Times" w:hAnsi="Times"/>
            <w:color w:val="000000" w:themeColor="text1"/>
            <w:u w:val="none"/>
          </w:rPr>
          <w:t>https://doi.org/10.3390/life13020361</w:t>
        </w:r>
      </w:hyperlink>
    </w:p>
    <w:p w14:paraId="1D9B9B9C" w14:textId="187A9CC4" w:rsidR="00DB7A46" w:rsidRPr="00D22AA7" w:rsidRDefault="00DB7A46" w:rsidP="007F381F">
      <w:pPr>
        <w:pStyle w:val="NormalWeb"/>
        <w:numPr>
          <w:ilvl w:val="0"/>
          <w:numId w:val="18"/>
        </w:numPr>
        <w:jc w:val="both"/>
        <w:rPr>
          <w:rFonts w:ascii="Times" w:hAnsi="Times"/>
        </w:rPr>
      </w:pPr>
      <w:r w:rsidRPr="00D22AA7">
        <w:rPr>
          <w:rFonts w:ascii="Times" w:hAnsi="Times"/>
          <w:b/>
          <w:bCs/>
          <w:u w:val="single"/>
        </w:rPr>
        <w:t>Ali, M.;</w:t>
      </w:r>
      <w:r w:rsidRPr="00D22AA7">
        <w:rPr>
          <w:rFonts w:ascii="Times" w:hAnsi="Times"/>
        </w:rPr>
        <w:t xml:space="preserve"> Benfante, V.; Di Raimondo, D.; Salvaggio, G.; Tuttolomondo, A.; Comelli, A. Recent Developments in Nanoparticle Formulations for Resveratrol Encapsulation as an Anticancer Agent. </w:t>
      </w:r>
      <w:r w:rsidRPr="00D22AA7">
        <w:rPr>
          <w:rFonts w:ascii="Times" w:hAnsi="Times"/>
          <w:i/>
          <w:iCs/>
        </w:rPr>
        <w:t>Pharmaceuticals</w:t>
      </w:r>
      <w:r w:rsidRPr="00D22AA7">
        <w:rPr>
          <w:rFonts w:ascii="Times" w:hAnsi="Times"/>
        </w:rPr>
        <w:t> 2024, </w:t>
      </w:r>
      <w:r w:rsidRPr="00D22AA7">
        <w:rPr>
          <w:rFonts w:ascii="Times" w:hAnsi="Times"/>
          <w:i/>
          <w:iCs/>
        </w:rPr>
        <w:t>17</w:t>
      </w:r>
      <w:r w:rsidRPr="00D22AA7">
        <w:rPr>
          <w:rFonts w:ascii="Times" w:hAnsi="Times"/>
        </w:rPr>
        <w:t xml:space="preserve">, 126. </w:t>
      </w:r>
      <w:hyperlink r:id="rId10" w:history="1">
        <w:r w:rsidRPr="00D22AA7">
          <w:rPr>
            <w:rStyle w:val="Hyperlink"/>
            <w:rFonts w:ascii="Times" w:hAnsi="Times"/>
            <w:color w:val="000000" w:themeColor="text1"/>
            <w:u w:val="none"/>
          </w:rPr>
          <w:t>https://doi.org/10.3390/ph17010126</w:t>
        </w:r>
      </w:hyperlink>
    </w:p>
    <w:p w14:paraId="0A27A534" w14:textId="28909928" w:rsidR="00DB7A46" w:rsidRPr="00D22AA7" w:rsidRDefault="00DB7A46" w:rsidP="007F381F">
      <w:pPr>
        <w:pStyle w:val="NormalWeb"/>
        <w:numPr>
          <w:ilvl w:val="0"/>
          <w:numId w:val="18"/>
        </w:numPr>
        <w:jc w:val="both"/>
        <w:rPr>
          <w:rFonts w:ascii="Times" w:hAnsi="Times"/>
        </w:rPr>
      </w:pPr>
      <w:r w:rsidRPr="00D22AA7">
        <w:rPr>
          <w:rFonts w:ascii="Times" w:hAnsi="Times"/>
          <w:b/>
          <w:bCs/>
          <w:u w:val="single"/>
        </w:rPr>
        <w:t>Ali, M.;</w:t>
      </w:r>
      <w:r w:rsidRPr="00D22AA7">
        <w:rPr>
          <w:rFonts w:ascii="Times" w:hAnsi="Times"/>
        </w:rPr>
        <w:t xml:space="preserve"> Benfante, V.; Di Raimondo, D.; Laudicella, R.; Tuttolomondo, A.; Comelli, A. A Review of Advances in Molecular Imaging of Rheumatoid Arthritis: From In Vitro to Clinic Applications Using Radiolabeled Targeting Vectors with Technetium-99m. </w:t>
      </w:r>
      <w:r w:rsidRPr="00D22AA7">
        <w:rPr>
          <w:rFonts w:ascii="Times" w:hAnsi="Times"/>
          <w:i/>
          <w:iCs/>
        </w:rPr>
        <w:t>Life</w:t>
      </w:r>
      <w:r w:rsidRPr="00D22AA7">
        <w:rPr>
          <w:rFonts w:ascii="Times" w:hAnsi="Times"/>
        </w:rPr>
        <w:t> 2024, </w:t>
      </w:r>
      <w:r w:rsidRPr="00D22AA7">
        <w:rPr>
          <w:rFonts w:ascii="Times" w:hAnsi="Times"/>
          <w:i/>
          <w:iCs/>
        </w:rPr>
        <w:t>14</w:t>
      </w:r>
      <w:r w:rsidRPr="00D22AA7">
        <w:rPr>
          <w:rFonts w:ascii="Times" w:hAnsi="Times"/>
        </w:rPr>
        <w:t xml:space="preserve">, 751. </w:t>
      </w:r>
      <w:hyperlink r:id="rId11" w:history="1">
        <w:r w:rsidRPr="00D22AA7">
          <w:rPr>
            <w:rStyle w:val="Hyperlink"/>
            <w:rFonts w:ascii="Times" w:hAnsi="Times"/>
            <w:color w:val="000000" w:themeColor="text1"/>
            <w:u w:val="none"/>
          </w:rPr>
          <w:t>https://doi.org/10.3390/life14060751</w:t>
        </w:r>
      </w:hyperlink>
    </w:p>
    <w:p w14:paraId="5B57DCB9" w14:textId="4E34D2DD" w:rsidR="00DB7A46" w:rsidRPr="00D22AA7" w:rsidRDefault="00DB7A46" w:rsidP="007F381F">
      <w:pPr>
        <w:pStyle w:val="NormalWeb"/>
        <w:numPr>
          <w:ilvl w:val="0"/>
          <w:numId w:val="18"/>
        </w:numPr>
        <w:jc w:val="both"/>
        <w:rPr>
          <w:rFonts w:ascii="Times" w:hAnsi="Times"/>
        </w:rPr>
      </w:pPr>
      <w:r w:rsidRPr="007F381F">
        <w:rPr>
          <w:rFonts w:ascii="Times" w:hAnsi="Times"/>
          <w:b/>
          <w:bCs/>
          <w:u w:val="single"/>
          <w:lang w:val="it-IT"/>
        </w:rPr>
        <w:t>Ali, M.;</w:t>
      </w:r>
      <w:r w:rsidRPr="007F381F">
        <w:rPr>
          <w:rFonts w:ascii="Times" w:hAnsi="Times"/>
          <w:lang w:val="it-IT"/>
        </w:rPr>
        <w:t xml:space="preserve"> Benfante, V.; </w:t>
      </w:r>
      <w:proofErr w:type="spellStart"/>
      <w:r w:rsidRPr="007F381F">
        <w:rPr>
          <w:rFonts w:ascii="Times" w:hAnsi="Times"/>
          <w:lang w:val="it-IT"/>
        </w:rPr>
        <w:t>Basirinia</w:t>
      </w:r>
      <w:proofErr w:type="spellEnd"/>
      <w:r w:rsidRPr="007F381F">
        <w:rPr>
          <w:rFonts w:ascii="Times" w:hAnsi="Times"/>
          <w:lang w:val="it-IT"/>
        </w:rPr>
        <w:t xml:space="preserve">, G.; Alongi, P.; Sperandeo, A.; Quattrocchi, A.; Giannone, A.G.; </w:t>
      </w:r>
      <w:proofErr w:type="spellStart"/>
      <w:r w:rsidRPr="007F381F">
        <w:rPr>
          <w:rFonts w:ascii="Times" w:hAnsi="Times"/>
          <w:lang w:val="it-IT"/>
        </w:rPr>
        <w:t>Cabibi</w:t>
      </w:r>
      <w:proofErr w:type="spellEnd"/>
      <w:r w:rsidRPr="007F381F">
        <w:rPr>
          <w:rFonts w:ascii="Times" w:hAnsi="Times"/>
          <w:lang w:val="it-IT"/>
        </w:rPr>
        <w:t xml:space="preserve">, D.; </w:t>
      </w:r>
      <w:proofErr w:type="spellStart"/>
      <w:r w:rsidRPr="007F381F">
        <w:rPr>
          <w:rFonts w:ascii="Times" w:hAnsi="Times"/>
          <w:lang w:val="it-IT"/>
        </w:rPr>
        <w:t>Yezzi</w:t>
      </w:r>
      <w:proofErr w:type="spellEnd"/>
      <w:r w:rsidRPr="007F381F">
        <w:rPr>
          <w:rFonts w:ascii="Times" w:hAnsi="Times"/>
          <w:lang w:val="it-IT"/>
        </w:rPr>
        <w:t xml:space="preserve">, A.; Di Raimondo, D.; et al. </w:t>
      </w:r>
      <w:r w:rsidRPr="00D22AA7">
        <w:rPr>
          <w:rFonts w:ascii="Times" w:hAnsi="Times"/>
        </w:rPr>
        <w:t>Applications of Artificial Intelligence, Deep Learning, and Machine Learning to Support the Analysis of Microscopic Images of Cells and Tissues. </w:t>
      </w:r>
      <w:r w:rsidRPr="00D22AA7">
        <w:rPr>
          <w:rFonts w:ascii="Times" w:hAnsi="Times"/>
          <w:i/>
          <w:iCs/>
        </w:rPr>
        <w:t>J. Imaging</w:t>
      </w:r>
      <w:r w:rsidRPr="00D22AA7">
        <w:rPr>
          <w:rFonts w:ascii="Times" w:hAnsi="Times"/>
        </w:rPr>
        <w:t> 2025, </w:t>
      </w:r>
      <w:r w:rsidRPr="00D22AA7">
        <w:rPr>
          <w:rFonts w:ascii="Times" w:hAnsi="Times"/>
          <w:i/>
          <w:iCs/>
        </w:rPr>
        <w:t>11</w:t>
      </w:r>
      <w:r w:rsidRPr="00D22AA7">
        <w:rPr>
          <w:rFonts w:ascii="Times" w:hAnsi="Times"/>
        </w:rPr>
        <w:t xml:space="preserve">, 59. </w:t>
      </w:r>
      <w:hyperlink r:id="rId12" w:history="1">
        <w:r w:rsidRPr="00D22AA7">
          <w:rPr>
            <w:rStyle w:val="Hyperlink"/>
            <w:rFonts w:ascii="Times" w:hAnsi="Times"/>
            <w:color w:val="000000" w:themeColor="text1"/>
            <w:u w:val="none"/>
          </w:rPr>
          <w:t>https://doi.org/10.3390/jimaging11020059</w:t>
        </w:r>
      </w:hyperlink>
    </w:p>
    <w:p w14:paraId="0F3E6DC8" w14:textId="17C88178" w:rsidR="00DB7A46" w:rsidRPr="00D22AA7" w:rsidRDefault="0097593F" w:rsidP="007F381F">
      <w:pPr>
        <w:pStyle w:val="NormalWeb"/>
        <w:numPr>
          <w:ilvl w:val="0"/>
          <w:numId w:val="18"/>
        </w:numPr>
        <w:jc w:val="both"/>
        <w:rPr>
          <w:rFonts w:ascii="Times" w:hAnsi="Times"/>
        </w:rPr>
      </w:pPr>
      <w:r w:rsidRPr="007F381F">
        <w:rPr>
          <w:rFonts w:ascii="Times" w:hAnsi="Times"/>
          <w:b/>
          <w:bCs/>
          <w:u w:val="single"/>
          <w:lang w:val="it-IT"/>
        </w:rPr>
        <w:t>Ali, M</w:t>
      </w:r>
      <w:r w:rsidR="00B13028" w:rsidRPr="007F381F">
        <w:rPr>
          <w:rFonts w:ascii="Times" w:hAnsi="Times"/>
          <w:lang w:val="it-IT"/>
        </w:rPr>
        <w:t xml:space="preserve"> Viviana Benfante, Giuseppe Cutaia, Leonardo Salvaggio, Sara Rubino, Marzia Portoghese, Marcella Ferraro, Rosario Corso, Giovanni Piraino, Tommaso Ingrassia, Gabriele </w:t>
      </w:r>
      <w:proofErr w:type="spellStart"/>
      <w:r w:rsidR="00B13028" w:rsidRPr="007F381F">
        <w:rPr>
          <w:rFonts w:ascii="Times" w:hAnsi="Times"/>
          <w:lang w:val="it-IT"/>
        </w:rPr>
        <w:t>Tulone</w:t>
      </w:r>
      <w:proofErr w:type="spellEnd"/>
      <w:r w:rsidR="00B13028" w:rsidRPr="007F381F">
        <w:rPr>
          <w:rFonts w:ascii="Times" w:hAnsi="Times"/>
          <w:lang w:val="it-IT"/>
        </w:rPr>
        <w:t xml:space="preserve">, Nicola Pavan, Domenico Di Raimondo, Antonino Tuttolomondo, </w:t>
      </w:r>
      <w:proofErr w:type="spellStart"/>
      <w:r w:rsidR="00B13028" w:rsidRPr="007F381F">
        <w:rPr>
          <w:rFonts w:ascii="Times" w:hAnsi="Times"/>
          <w:lang w:val="it-IT"/>
        </w:rPr>
        <w:t>Alchiede</w:t>
      </w:r>
      <w:proofErr w:type="spellEnd"/>
      <w:r w:rsidR="00B13028" w:rsidRPr="007F381F">
        <w:rPr>
          <w:rFonts w:ascii="Times" w:hAnsi="Times"/>
          <w:lang w:val="it-IT"/>
        </w:rPr>
        <w:t xml:space="preserve"> Simonato, Giuseppe Salvaggio </w:t>
      </w:r>
      <w:r w:rsidR="00DB7A46" w:rsidRPr="007F381F">
        <w:rPr>
          <w:rFonts w:ascii="Times" w:hAnsi="Times"/>
          <w:lang w:val="it-IT"/>
        </w:rPr>
        <w:t xml:space="preserve">(2024). </w:t>
      </w:r>
      <w:r w:rsidR="00DB7A46" w:rsidRPr="00D22AA7">
        <w:rPr>
          <w:rFonts w:ascii="Times" w:hAnsi="Times"/>
        </w:rPr>
        <w:t xml:space="preserve">Prostate Cancer Detection: Performance of Radiomics Analysis in Multiparametric MRI. In: Foresti, G.L., Fusiello, A., Hancock, E. (eds) Image Analysis and Processing - ICIAP 2023 Workshops. ICIAP 2023. Lecture Notes in Computer Science, vol 14366. Springer, Cham. </w:t>
      </w:r>
      <w:hyperlink r:id="rId13" w:history="1">
        <w:r w:rsidR="00DB7A46" w:rsidRPr="00D22AA7">
          <w:rPr>
            <w:rStyle w:val="Hyperlink"/>
            <w:rFonts w:ascii="Times" w:hAnsi="Times"/>
            <w:color w:val="000000" w:themeColor="text1"/>
            <w:u w:val="none"/>
          </w:rPr>
          <w:t>https://doi.org/10.1007/978-3-031-51026-7_8</w:t>
        </w:r>
      </w:hyperlink>
    </w:p>
    <w:p w14:paraId="00E852C5" w14:textId="58DF72A4" w:rsidR="00DB7A46" w:rsidRPr="00D22AA7" w:rsidRDefault="00B13028" w:rsidP="007F381F">
      <w:pPr>
        <w:pStyle w:val="NormalWeb"/>
        <w:numPr>
          <w:ilvl w:val="0"/>
          <w:numId w:val="18"/>
        </w:numPr>
        <w:jc w:val="both"/>
        <w:rPr>
          <w:rFonts w:ascii="Times" w:hAnsi="Times"/>
        </w:rPr>
      </w:pPr>
      <w:r w:rsidRPr="007F381F">
        <w:rPr>
          <w:rFonts w:ascii="Times" w:hAnsi="Times"/>
          <w:lang w:val="it-IT"/>
        </w:rPr>
        <w:t xml:space="preserve">Viviana Benfante, Giuseppe Salvaggio, </w:t>
      </w:r>
      <w:r w:rsidR="0097593F" w:rsidRPr="007F381F">
        <w:rPr>
          <w:rFonts w:ascii="Times" w:hAnsi="Times"/>
          <w:b/>
          <w:bCs/>
          <w:u w:val="single"/>
          <w:lang w:val="it-IT"/>
        </w:rPr>
        <w:t>Ali, M</w:t>
      </w:r>
      <w:r w:rsidRPr="007F381F">
        <w:rPr>
          <w:rFonts w:ascii="Times" w:hAnsi="Times"/>
          <w:lang w:val="it-IT"/>
        </w:rPr>
        <w:t xml:space="preserve"> Giuseppe Cutaia, Leonardo Salvaggio, Sergio Salerno, Gabriele </w:t>
      </w:r>
      <w:proofErr w:type="spellStart"/>
      <w:r w:rsidRPr="007F381F">
        <w:rPr>
          <w:rFonts w:ascii="Times" w:hAnsi="Times"/>
          <w:lang w:val="it-IT"/>
        </w:rPr>
        <w:t>Busè</w:t>
      </w:r>
      <w:proofErr w:type="spellEnd"/>
      <w:r w:rsidRPr="007F381F">
        <w:rPr>
          <w:rFonts w:ascii="Times" w:hAnsi="Times"/>
          <w:lang w:val="it-IT"/>
        </w:rPr>
        <w:t xml:space="preserve">, Gabriele </w:t>
      </w:r>
      <w:proofErr w:type="spellStart"/>
      <w:r w:rsidRPr="007F381F">
        <w:rPr>
          <w:rFonts w:ascii="Times" w:hAnsi="Times"/>
          <w:lang w:val="it-IT"/>
        </w:rPr>
        <w:t>Tulone</w:t>
      </w:r>
      <w:proofErr w:type="spellEnd"/>
      <w:r w:rsidRPr="007F381F">
        <w:rPr>
          <w:rFonts w:ascii="Times" w:hAnsi="Times"/>
          <w:lang w:val="it-IT"/>
        </w:rPr>
        <w:t xml:space="preserve">, Nicola Pavan, Domenico Di Raimondo, Antonino Tuttolomondo, </w:t>
      </w:r>
      <w:proofErr w:type="spellStart"/>
      <w:r w:rsidRPr="007F381F">
        <w:rPr>
          <w:rFonts w:ascii="Times" w:hAnsi="Times"/>
          <w:lang w:val="it-IT"/>
        </w:rPr>
        <w:t>Alchiede</w:t>
      </w:r>
      <w:proofErr w:type="spellEnd"/>
      <w:r w:rsidRPr="007F381F">
        <w:rPr>
          <w:rFonts w:ascii="Times" w:hAnsi="Times"/>
          <w:lang w:val="it-IT"/>
        </w:rPr>
        <w:t xml:space="preserve"> Simonato, Albert Comelli </w:t>
      </w:r>
      <w:r w:rsidR="00DB7A46" w:rsidRPr="007F381F">
        <w:rPr>
          <w:rFonts w:ascii="Times" w:hAnsi="Times"/>
          <w:lang w:val="it-IT"/>
        </w:rPr>
        <w:t xml:space="preserve">(2024). </w:t>
      </w:r>
      <w:r w:rsidR="00DB7A46" w:rsidRPr="00D22AA7">
        <w:rPr>
          <w:rFonts w:ascii="Times" w:hAnsi="Times"/>
        </w:rPr>
        <w:t xml:space="preserve">Grading and Staging of Bladder Tumors Using Radiomics Analysis in Magnetic Resonance Imaging. In: Foresti, G.L., Fusiello, A., Hancock, E. (eds) Image Analysis and Processing - ICIAP 2023 Workshops. ICIAP 2023. Lecture Notes in Computer Science, vol 14366. Springer, Cham. </w:t>
      </w:r>
      <w:hyperlink r:id="rId14" w:history="1">
        <w:r w:rsidRPr="00D22AA7">
          <w:rPr>
            <w:rStyle w:val="Hyperlink"/>
            <w:rFonts w:ascii="Times" w:hAnsi="Times"/>
            <w:color w:val="000000" w:themeColor="text1"/>
            <w:u w:val="none"/>
          </w:rPr>
          <w:t>https://doi.org/10.1007/978-3-031-51026-7_9</w:t>
        </w:r>
      </w:hyperlink>
    </w:p>
    <w:p w14:paraId="717ED365" w14:textId="2C11F8F4" w:rsidR="00B13028" w:rsidRPr="00D22AA7" w:rsidRDefault="00B13028" w:rsidP="007F381F">
      <w:pPr>
        <w:pStyle w:val="NormalWeb"/>
        <w:numPr>
          <w:ilvl w:val="0"/>
          <w:numId w:val="18"/>
        </w:numPr>
        <w:jc w:val="both"/>
        <w:rPr>
          <w:rFonts w:ascii="Times" w:hAnsi="Times"/>
        </w:rPr>
      </w:pPr>
      <w:r w:rsidRPr="007F381F">
        <w:rPr>
          <w:rFonts w:ascii="Times" w:hAnsi="Times"/>
          <w:lang w:val="it-IT"/>
        </w:rPr>
        <w:t xml:space="preserve">Benfante, V.; Stefano, A.; </w:t>
      </w:r>
      <w:r w:rsidRPr="007F381F">
        <w:rPr>
          <w:rFonts w:ascii="Times" w:hAnsi="Times"/>
          <w:b/>
          <w:bCs/>
          <w:u w:val="single"/>
          <w:lang w:val="it-IT"/>
        </w:rPr>
        <w:t>Ali, M.;</w:t>
      </w:r>
      <w:r w:rsidRPr="007F381F">
        <w:rPr>
          <w:rFonts w:ascii="Times" w:hAnsi="Times"/>
          <w:lang w:val="it-IT"/>
        </w:rPr>
        <w:t xml:space="preserve"> </w:t>
      </w:r>
      <w:proofErr w:type="spellStart"/>
      <w:r w:rsidRPr="007F381F">
        <w:rPr>
          <w:rFonts w:ascii="Times" w:hAnsi="Times"/>
          <w:lang w:val="it-IT"/>
        </w:rPr>
        <w:t>Laudicella</w:t>
      </w:r>
      <w:proofErr w:type="spellEnd"/>
      <w:r w:rsidRPr="007F381F">
        <w:rPr>
          <w:rFonts w:ascii="Times" w:hAnsi="Times"/>
          <w:lang w:val="it-IT"/>
        </w:rPr>
        <w:t xml:space="preserve">, R.; Arancio, W.; Cucchiara, A.; Caruso, F.; Cammarata, F.P.; </w:t>
      </w:r>
      <w:proofErr w:type="spellStart"/>
      <w:r w:rsidRPr="007F381F">
        <w:rPr>
          <w:rFonts w:ascii="Times" w:hAnsi="Times"/>
          <w:lang w:val="it-IT"/>
        </w:rPr>
        <w:t>Coronnello</w:t>
      </w:r>
      <w:proofErr w:type="spellEnd"/>
      <w:r w:rsidRPr="007F381F">
        <w:rPr>
          <w:rFonts w:ascii="Times" w:hAnsi="Times"/>
          <w:lang w:val="it-IT"/>
        </w:rPr>
        <w:t xml:space="preserve">, C.; Russo, G.; et al. </w:t>
      </w:r>
      <w:r w:rsidRPr="00D22AA7">
        <w:rPr>
          <w:rFonts w:ascii="Times" w:hAnsi="Times"/>
        </w:rPr>
        <w:t>An Overview of In Vitro Assays of </w:t>
      </w:r>
      <w:r w:rsidRPr="00D22AA7">
        <w:rPr>
          <w:rFonts w:ascii="Times" w:hAnsi="Times"/>
          <w:vertAlign w:val="superscript"/>
        </w:rPr>
        <w:t>64</w:t>
      </w:r>
      <w:r w:rsidRPr="00D22AA7">
        <w:rPr>
          <w:rFonts w:ascii="Times" w:hAnsi="Times"/>
        </w:rPr>
        <w:t>Cu-, </w:t>
      </w:r>
      <w:r w:rsidRPr="00D22AA7">
        <w:rPr>
          <w:rFonts w:ascii="Times" w:hAnsi="Times"/>
          <w:vertAlign w:val="superscript"/>
        </w:rPr>
        <w:t>68</w:t>
      </w:r>
      <w:r w:rsidRPr="00D22AA7">
        <w:rPr>
          <w:rFonts w:ascii="Times" w:hAnsi="Times"/>
        </w:rPr>
        <w:t>Ga-, </w:t>
      </w:r>
      <w:r w:rsidRPr="00D22AA7">
        <w:rPr>
          <w:rFonts w:ascii="Times" w:hAnsi="Times"/>
          <w:vertAlign w:val="superscript"/>
        </w:rPr>
        <w:t>125</w:t>
      </w:r>
      <w:r w:rsidRPr="00D22AA7">
        <w:rPr>
          <w:rFonts w:ascii="Times" w:hAnsi="Times"/>
        </w:rPr>
        <w:t>I-, and </w:t>
      </w:r>
      <w:r w:rsidRPr="00D22AA7">
        <w:rPr>
          <w:rFonts w:ascii="Times" w:hAnsi="Times"/>
          <w:vertAlign w:val="superscript"/>
        </w:rPr>
        <w:t>99m</w:t>
      </w:r>
      <w:r w:rsidRPr="00D22AA7">
        <w:rPr>
          <w:rFonts w:ascii="Times" w:hAnsi="Times"/>
        </w:rPr>
        <w:t>Tc-Labelled Radiopharmaceuticals Using Radiometric Counters in the Era of Radiotheranostics. </w:t>
      </w:r>
      <w:r w:rsidRPr="00D22AA7">
        <w:rPr>
          <w:rFonts w:ascii="Times" w:hAnsi="Times"/>
          <w:i/>
          <w:iCs/>
        </w:rPr>
        <w:t>Diagnostics</w:t>
      </w:r>
      <w:r w:rsidRPr="00D22AA7">
        <w:rPr>
          <w:rFonts w:ascii="Times" w:hAnsi="Times"/>
        </w:rPr>
        <w:t> 2023, </w:t>
      </w:r>
      <w:r w:rsidRPr="00D22AA7">
        <w:rPr>
          <w:rFonts w:ascii="Times" w:hAnsi="Times"/>
          <w:i/>
          <w:iCs/>
        </w:rPr>
        <w:t>13</w:t>
      </w:r>
      <w:r w:rsidRPr="00D22AA7">
        <w:rPr>
          <w:rFonts w:ascii="Times" w:hAnsi="Times"/>
        </w:rPr>
        <w:t xml:space="preserve">, 1210. </w:t>
      </w:r>
      <w:hyperlink r:id="rId15" w:history="1">
        <w:r w:rsidRPr="00D22AA7">
          <w:rPr>
            <w:rStyle w:val="Hyperlink"/>
            <w:rFonts w:ascii="Times" w:hAnsi="Times"/>
            <w:color w:val="000000" w:themeColor="text1"/>
            <w:u w:val="none"/>
          </w:rPr>
          <w:t>https://doi.org/10.3390/diagnostics13071210</w:t>
        </w:r>
      </w:hyperlink>
    </w:p>
    <w:p w14:paraId="64BF45F5" w14:textId="0E605389" w:rsidR="00B13028" w:rsidRPr="00D22AA7" w:rsidRDefault="00B13028" w:rsidP="007F381F">
      <w:pPr>
        <w:pStyle w:val="NormalWeb"/>
        <w:numPr>
          <w:ilvl w:val="0"/>
          <w:numId w:val="18"/>
        </w:numPr>
        <w:jc w:val="both"/>
        <w:rPr>
          <w:rFonts w:ascii="Times" w:hAnsi="Times"/>
          <w:color w:val="000000" w:themeColor="text1"/>
        </w:rPr>
      </w:pPr>
      <w:r w:rsidRPr="00D22AA7">
        <w:rPr>
          <w:rFonts w:ascii="Times" w:hAnsi="Times"/>
        </w:rPr>
        <w:t xml:space="preserve">Lo Casto, A.; Spartivento, G.; Benfante, V.; Di Raimondo, R.; </w:t>
      </w:r>
      <w:r w:rsidRPr="00D22AA7">
        <w:rPr>
          <w:rFonts w:ascii="Times" w:hAnsi="Times"/>
          <w:b/>
          <w:bCs/>
          <w:u w:val="single"/>
        </w:rPr>
        <w:t>Ali, M.;</w:t>
      </w:r>
      <w:r w:rsidRPr="00D22AA7">
        <w:rPr>
          <w:rFonts w:ascii="Times" w:hAnsi="Times"/>
        </w:rPr>
        <w:t xml:space="preserve"> Di Raimondo, D.; Tuttolomondo, A.; Stefano, A.; Yezzi, A.; Comelli, A. Artificial Intelligence for Classifying the Relationship between Impacted Third Molar and Mandibular Canal on Panoramic Radiographs. </w:t>
      </w:r>
      <w:r w:rsidRPr="00D22AA7">
        <w:rPr>
          <w:rFonts w:ascii="Times" w:hAnsi="Times"/>
          <w:i/>
          <w:iCs/>
        </w:rPr>
        <w:t>Life</w:t>
      </w:r>
      <w:r w:rsidRPr="00D22AA7">
        <w:rPr>
          <w:rFonts w:ascii="Times" w:hAnsi="Times"/>
        </w:rPr>
        <w:t> 2023, </w:t>
      </w:r>
      <w:r w:rsidRPr="00D22AA7">
        <w:rPr>
          <w:rFonts w:ascii="Times" w:hAnsi="Times"/>
          <w:i/>
          <w:iCs/>
        </w:rPr>
        <w:t>13</w:t>
      </w:r>
      <w:r w:rsidRPr="00D22AA7">
        <w:rPr>
          <w:rFonts w:ascii="Times" w:hAnsi="Times"/>
        </w:rPr>
        <w:t xml:space="preserve">, 1441. </w:t>
      </w:r>
      <w:hyperlink r:id="rId16" w:history="1">
        <w:r w:rsidRPr="00D22AA7">
          <w:rPr>
            <w:rStyle w:val="Hyperlink"/>
            <w:rFonts w:ascii="Times" w:hAnsi="Times"/>
            <w:color w:val="000000" w:themeColor="text1"/>
            <w:u w:val="none"/>
          </w:rPr>
          <w:t>https://doi.org/10.3390/life13071441</w:t>
        </w:r>
      </w:hyperlink>
    </w:p>
    <w:p w14:paraId="5D22A1BE" w14:textId="7FBBAE43" w:rsidR="00B13028" w:rsidRPr="00D22AA7" w:rsidRDefault="00B13028" w:rsidP="007F381F">
      <w:pPr>
        <w:pStyle w:val="NormalWeb"/>
        <w:numPr>
          <w:ilvl w:val="0"/>
          <w:numId w:val="18"/>
        </w:numPr>
        <w:jc w:val="both"/>
        <w:rPr>
          <w:rFonts w:ascii="Times" w:hAnsi="Times"/>
        </w:rPr>
      </w:pPr>
      <w:r w:rsidRPr="00D22AA7">
        <w:rPr>
          <w:rFonts w:ascii="Times" w:hAnsi="Times"/>
        </w:rPr>
        <w:t xml:space="preserve">Basirinia, G.; </w:t>
      </w:r>
      <w:r w:rsidRPr="00D22AA7">
        <w:rPr>
          <w:rFonts w:ascii="Times" w:hAnsi="Times"/>
          <w:b/>
          <w:bCs/>
          <w:u w:val="single"/>
        </w:rPr>
        <w:t>Ali, M.;</w:t>
      </w:r>
      <w:r w:rsidRPr="00D22AA7">
        <w:rPr>
          <w:rFonts w:ascii="Times" w:hAnsi="Times"/>
        </w:rPr>
        <w:t xml:space="preserve"> Comelli, A.; Sperandeo, A.; Piana, S.; Alongi, P.; Longo, C.; Di Raimondo, D.; Tuttolomondo, A.; Benfante, V. Theranostic Approaches for Gastric Cancer: An Overview of In Vitro and In Vivo Investigations. </w:t>
      </w:r>
      <w:r w:rsidRPr="00D22AA7">
        <w:rPr>
          <w:rFonts w:ascii="Times" w:hAnsi="Times"/>
          <w:i/>
          <w:iCs/>
        </w:rPr>
        <w:t>Cancers</w:t>
      </w:r>
      <w:r w:rsidRPr="00D22AA7">
        <w:rPr>
          <w:rFonts w:ascii="Times" w:hAnsi="Times"/>
        </w:rPr>
        <w:t> 2024, </w:t>
      </w:r>
      <w:r w:rsidRPr="00D22AA7">
        <w:rPr>
          <w:rFonts w:ascii="Times" w:hAnsi="Times"/>
          <w:i/>
          <w:iCs/>
        </w:rPr>
        <w:t>16</w:t>
      </w:r>
      <w:r w:rsidRPr="00D22AA7">
        <w:rPr>
          <w:rFonts w:ascii="Times" w:hAnsi="Times"/>
        </w:rPr>
        <w:t xml:space="preserve">, 3323. </w:t>
      </w:r>
      <w:hyperlink r:id="rId17" w:history="1">
        <w:r w:rsidRPr="00D22AA7">
          <w:rPr>
            <w:rStyle w:val="Hyperlink"/>
            <w:rFonts w:ascii="Times" w:hAnsi="Times"/>
            <w:color w:val="000000" w:themeColor="text1"/>
            <w:u w:val="none"/>
          </w:rPr>
          <w:t>https://doi.org/10.3390/cancers16193323</w:t>
        </w:r>
      </w:hyperlink>
    </w:p>
    <w:p w14:paraId="58FE3362" w14:textId="220E67AC" w:rsidR="00B13028" w:rsidRPr="00D22AA7" w:rsidRDefault="00B13028" w:rsidP="007F381F">
      <w:pPr>
        <w:pStyle w:val="NormalWeb"/>
        <w:numPr>
          <w:ilvl w:val="0"/>
          <w:numId w:val="18"/>
        </w:numPr>
        <w:jc w:val="both"/>
        <w:rPr>
          <w:rFonts w:ascii="Times" w:hAnsi="Times"/>
        </w:rPr>
      </w:pPr>
      <w:r w:rsidRPr="007F381F">
        <w:rPr>
          <w:rFonts w:ascii="Times" w:hAnsi="Times"/>
          <w:lang w:val="it-IT"/>
        </w:rPr>
        <w:t xml:space="preserve">Piras, A.; Corso, R.; Benfante, V.; </w:t>
      </w:r>
      <w:r w:rsidRPr="007F381F">
        <w:rPr>
          <w:rFonts w:ascii="Times" w:hAnsi="Times"/>
          <w:b/>
          <w:bCs/>
          <w:u w:val="single"/>
          <w:lang w:val="it-IT"/>
        </w:rPr>
        <w:t>Ali, M.;</w:t>
      </w:r>
      <w:r w:rsidRPr="007F381F">
        <w:rPr>
          <w:rFonts w:ascii="Times" w:hAnsi="Times"/>
          <w:lang w:val="it-IT"/>
        </w:rPr>
        <w:t xml:space="preserve"> </w:t>
      </w:r>
      <w:proofErr w:type="spellStart"/>
      <w:r w:rsidRPr="007F381F">
        <w:rPr>
          <w:rFonts w:ascii="Times" w:hAnsi="Times"/>
          <w:lang w:val="it-IT"/>
        </w:rPr>
        <w:t>Laudicella</w:t>
      </w:r>
      <w:proofErr w:type="spellEnd"/>
      <w:r w:rsidRPr="007F381F">
        <w:rPr>
          <w:rFonts w:ascii="Times" w:hAnsi="Times"/>
          <w:lang w:val="it-IT"/>
        </w:rPr>
        <w:t xml:space="preserve">, R.; Alongi, P.; D'Aviero, A.; Cusumano, D.; Boldrini, L.; Salvaggio, G.; et al. </w:t>
      </w:r>
      <w:r w:rsidRPr="00D22AA7">
        <w:rPr>
          <w:rFonts w:ascii="Times" w:hAnsi="Times"/>
        </w:rPr>
        <w:t xml:space="preserve">Artificial Intelligence and Statistical Models </w:t>
      </w:r>
      <w:r w:rsidRPr="00D22AA7">
        <w:rPr>
          <w:rFonts w:ascii="Times" w:hAnsi="Times"/>
        </w:rPr>
        <w:lastRenderedPageBreak/>
        <w:t>for the Prediction of Radiotherapy Toxicity in Prostate Cancer: A Systematic Review. </w:t>
      </w:r>
      <w:r w:rsidRPr="00D22AA7">
        <w:rPr>
          <w:rFonts w:ascii="Times" w:hAnsi="Times"/>
          <w:i/>
          <w:iCs/>
        </w:rPr>
        <w:t>Appl. Sci.</w:t>
      </w:r>
      <w:r w:rsidRPr="00D22AA7">
        <w:rPr>
          <w:rFonts w:ascii="Times" w:hAnsi="Times"/>
        </w:rPr>
        <w:t> 2024, </w:t>
      </w:r>
      <w:r w:rsidRPr="00D22AA7">
        <w:rPr>
          <w:rFonts w:ascii="Times" w:hAnsi="Times"/>
          <w:i/>
          <w:iCs/>
        </w:rPr>
        <w:t>14</w:t>
      </w:r>
      <w:r w:rsidRPr="00D22AA7">
        <w:rPr>
          <w:rFonts w:ascii="Times" w:hAnsi="Times"/>
        </w:rPr>
        <w:t>, 10947. https://doi.org/10.3390/app142310947</w:t>
      </w:r>
    </w:p>
    <w:p w14:paraId="4E53283E" w14:textId="77777777" w:rsidR="00386CA0" w:rsidRPr="00D22AA7" w:rsidRDefault="00386CA0">
      <w:pPr>
        <w:spacing w:beforeAutospacing="1" w:afterAutospacing="1"/>
        <w:rPr>
          <w:rFonts w:ascii="Times" w:hAnsi="Times"/>
          <w:b/>
          <w:bCs/>
          <w:u w:val="single"/>
        </w:rPr>
      </w:pPr>
    </w:p>
    <w:p w14:paraId="1C854DFA" w14:textId="77777777" w:rsidR="00780971" w:rsidRPr="00D22AA7" w:rsidRDefault="00780971">
      <w:pPr>
        <w:spacing w:beforeAutospacing="1" w:afterAutospacing="1"/>
        <w:rPr>
          <w:rFonts w:ascii="Times" w:hAnsi="Times"/>
          <w:b/>
          <w:bCs/>
          <w:u w:val="single"/>
        </w:rPr>
      </w:pPr>
    </w:p>
    <w:p w14:paraId="31BF18E2" w14:textId="77777777" w:rsidR="00780971" w:rsidRPr="00D22AA7" w:rsidRDefault="00780971">
      <w:pPr>
        <w:spacing w:beforeAutospacing="1" w:afterAutospacing="1"/>
        <w:rPr>
          <w:rFonts w:ascii="Times" w:hAnsi="Times"/>
          <w:b/>
          <w:bCs/>
          <w:u w:val="single"/>
        </w:rPr>
      </w:pPr>
    </w:p>
    <w:p w14:paraId="755D4A7F" w14:textId="77777777" w:rsidR="00780971" w:rsidRPr="00D22AA7" w:rsidRDefault="00780971">
      <w:pPr>
        <w:spacing w:beforeAutospacing="1" w:afterAutospacing="1"/>
        <w:rPr>
          <w:rFonts w:ascii="Times" w:hAnsi="Times"/>
          <w:b/>
          <w:bCs/>
          <w:u w:val="single"/>
        </w:rPr>
      </w:pPr>
    </w:p>
    <w:p w14:paraId="7204A667" w14:textId="77777777" w:rsidR="00780971" w:rsidRPr="00D22AA7" w:rsidRDefault="00780971">
      <w:pPr>
        <w:spacing w:beforeAutospacing="1" w:afterAutospacing="1"/>
        <w:rPr>
          <w:rFonts w:ascii="Times" w:hAnsi="Times"/>
          <w:b/>
          <w:bCs/>
          <w:u w:val="single"/>
        </w:rPr>
      </w:pPr>
    </w:p>
    <w:p w14:paraId="795E42FE" w14:textId="77777777" w:rsidR="00780971" w:rsidRPr="00D22AA7" w:rsidRDefault="00780971">
      <w:pPr>
        <w:spacing w:beforeAutospacing="1" w:afterAutospacing="1"/>
        <w:rPr>
          <w:rFonts w:ascii="Times" w:hAnsi="Times"/>
          <w:b/>
          <w:bCs/>
          <w:u w:val="single"/>
        </w:rPr>
      </w:pPr>
    </w:p>
    <w:p w14:paraId="312C5778" w14:textId="77777777" w:rsidR="00780971" w:rsidRPr="00D22AA7" w:rsidRDefault="00780971">
      <w:pPr>
        <w:spacing w:beforeAutospacing="1" w:afterAutospacing="1"/>
        <w:rPr>
          <w:rFonts w:ascii="Times" w:hAnsi="Times"/>
          <w:b/>
          <w:bCs/>
          <w:u w:val="single"/>
        </w:rPr>
      </w:pPr>
    </w:p>
    <w:p w14:paraId="458AB714" w14:textId="77777777" w:rsidR="00780971" w:rsidRPr="00D22AA7" w:rsidRDefault="00780971">
      <w:pPr>
        <w:spacing w:beforeAutospacing="1" w:afterAutospacing="1"/>
        <w:rPr>
          <w:rFonts w:ascii="Times" w:hAnsi="Times"/>
          <w:b/>
          <w:bCs/>
          <w:u w:val="single"/>
        </w:rPr>
      </w:pPr>
    </w:p>
    <w:p w14:paraId="587765AD" w14:textId="77777777" w:rsidR="00780971" w:rsidRPr="00D22AA7" w:rsidRDefault="00780971">
      <w:pPr>
        <w:spacing w:beforeAutospacing="1" w:afterAutospacing="1"/>
        <w:rPr>
          <w:rFonts w:ascii="Times" w:hAnsi="Times"/>
          <w:b/>
          <w:bCs/>
          <w:u w:val="single"/>
        </w:rPr>
      </w:pPr>
    </w:p>
    <w:p w14:paraId="2F553398" w14:textId="77777777" w:rsidR="00780971" w:rsidRPr="00D22AA7" w:rsidRDefault="00780971">
      <w:pPr>
        <w:spacing w:beforeAutospacing="1" w:afterAutospacing="1"/>
        <w:rPr>
          <w:rFonts w:ascii="Times" w:hAnsi="Times"/>
          <w:b/>
          <w:bCs/>
          <w:u w:val="single"/>
        </w:rPr>
      </w:pPr>
    </w:p>
    <w:p w14:paraId="5D3C2716" w14:textId="77777777" w:rsidR="00780971" w:rsidRPr="00D22AA7" w:rsidRDefault="00780971">
      <w:pPr>
        <w:spacing w:beforeAutospacing="1" w:afterAutospacing="1"/>
        <w:rPr>
          <w:rFonts w:ascii="Times" w:hAnsi="Times"/>
          <w:b/>
          <w:bCs/>
          <w:u w:val="single"/>
        </w:rPr>
      </w:pPr>
    </w:p>
    <w:p w14:paraId="0EF1E5FF" w14:textId="77777777" w:rsidR="00780971" w:rsidRPr="00D22AA7" w:rsidRDefault="00780971">
      <w:pPr>
        <w:spacing w:beforeAutospacing="1" w:afterAutospacing="1"/>
        <w:rPr>
          <w:rFonts w:ascii="Times" w:hAnsi="Times"/>
          <w:b/>
          <w:bCs/>
          <w:u w:val="single"/>
        </w:rPr>
      </w:pPr>
    </w:p>
    <w:p w14:paraId="3B6ED4FF" w14:textId="77777777" w:rsidR="00780971" w:rsidRPr="00D22AA7" w:rsidRDefault="00780971">
      <w:pPr>
        <w:spacing w:beforeAutospacing="1" w:afterAutospacing="1"/>
        <w:rPr>
          <w:rFonts w:ascii="Times" w:hAnsi="Times"/>
          <w:b/>
          <w:bCs/>
          <w:u w:val="single"/>
        </w:rPr>
      </w:pPr>
    </w:p>
    <w:p w14:paraId="391023F1" w14:textId="77777777" w:rsidR="00780971" w:rsidRPr="00D22AA7" w:rsidRDefault="00780971">
      <w:pPr>
        <w:spacing w:beforeAutospacing="1" w:afterAutospacing="1"/>
        <w:rPr>
          <w:rFonts w:ascii="Times" w:hAnsi="Times"/>
          <w:b/>
          <w:bCs/>
          <w:u w:val="single"/>
        </w:rPr>
      </w:pPr>
    </w:p>
    <w:p w14:paraId="14AA88A9" w14:textId="77777777" w:rsidR="00780971" w:rsidRPr="00D22AA7" w:rsidRDefault="00780971">
      <w:pPr>
        <w:spacing w:beforeAutospacing="1" w:afterAutospacing="1"/>
        <w:rPr>
          <w:rFonts w:ascii="Times" w:hAnsi="Times"/>
          <w:b/>
          <w:bCs/>
          <w:u w:val="single"/>
        </w:rPr>
      </w:pPr>
    </w:p>
    <w:p w14:paraId="345A7C41" w14:textId="77777777" w:rsidR="00780971" w:rsidRPr="00D22AA7" w:rsidRDefault="00780971">
      <w:pPr>
        <w:spacing w:beforeAutospacing="1" w:afterAutospacing="1"/>
        <w:rPr>
          <w:rFonts w:ascii="Times" w:hAnsi="Times"/>
          <w:b/>
          <w:bCs/>
          <w:u w:val="single"/>
        </w:rPr>
      </w:pPr>
    </w:p>
    <w:p w14:paraId="38F86EF4" w14:textId="77777777" w:rsidR="00780971" w:rsidRDefault="00780971">
      <w:pPr>
        <w:spacing w:beforeAutospacing="1" w:afterAutospacing="1"/>
        <w:rPr>
          <w:rFonts w:ascii="Times" w:hAnsi="Times"/>
          <w:b/>
          <w:bCs/>
          <w:u w:val="single"/>
        </w:rPr>
      </w:pPr>
    </w:p>
    <w:p w14:paraId="53642F1D" w14:textId="77777777" w:rsidR="00C83B7A" w:rsidRPr="00D22AA7" w:rsidRDefault="00C83B7A">
      <w:pPr>
        <w:spacing w:beforeAutospacing="1" w:afterAutospacing="1"/>
        <w:rPr>
          <w:rFonts w:ascii="Times" w:hAnsi="Times"/>
          <w:b/>
          <w:bCs/>
          <w:u w:val="single"/>
        </w:rPr>
      </w:pPr>
    </w:p>
    <w:p w14:paraId="04C60662" w14:textId="77777777" w:rsidR="00780971" w:rsidRPr="00D22AA7" w:rsidRDefault="00780971">
      <w:pPr>
        <w:spacing w:beforeAutospacing="1" w:afterAutospacing="1"/>
        <w:rPr>
          <w:rFonts w:ascii="Times" w:hAnsi="Times"/>
          <w:b/>
          <w:bCs/>
          <w:u w:val="single"/>
        </w:rPr>
      </w:pPr>
    </w:p>
    <w:p w14:paraId="6E251A63" w14:textId="77777777" w:rsidR="00780971" w:rsidRPr="00D22AA7" w:rsidRDefault="00780971">
      <w:pPr>
        <w:spacing w:beforeAutospacing="1" w:afterAutospacing="1"/>
        <w:rPr>
          <w:rFonts w:ascii="Times" w:hAnsi="Times"/>
          <w:b/>
          <w:bCs/>
          <w:u w:val="single"/>
        </w:rPr>
      </w:pPr>
    </w:p>
    <w:p w14:paraId="0EA9D54F" w14:textId="77777777" w:rsidR="00C2405C" w:rsidRPr="00906CC9" w:rsidRDefault="00C2405C" w:rsidP="00906CC9">
      <w:pPr>
        <w:spacing w:beforeAutospacing="1" w:afterAutospacing="1"/>
        <w:rPr>
          <w:rFonts w:ascii="Times" w:hAnsi="Times"/>
          <w:b/>
          <w:bCs/>
          <w:sz w:val="40"/>
          <w:szCs w:val="40"/>
        </w:rPr>
      </w:pPr>
    </w:p>
    <w:p w14:paraId="7F95405F" w14:textId="534D00FE" w:rsidR="00C83B7A" w:rsidRPr="00906CC9" w:rsidRDefault="00D45672" w:rsidP="00906CC9">
      <w:pPr>
        <w:spacing w:beforeAutospacing="1" w:afterAutospacing="1"/>
        <w:rPr>
          <w:rFonts w:ascii="Times" w:hAnsi="Times"/>
          <w:b/>
          <w:bCs/>
          <w:sz w:val="40"/>
          <w:szCs w:val="40"/>
        </w:rPr>
      </w:pPr>
      <w:r w:rsidRPr="00C83B7A">
        <w:rPr>
          <w:rFonts w:ascii="Times" w:hAnsi="Times"/>
          <w:b/>
          <w:bCs/>
          <w:sz w:val="40"/>
          <w:szCs w:val="40"/>
        </w:rPr>
        <w:lastRenderedPageBreak/>
        <w:t>Chapter 2</w:t>
      </w:r>
    </w:p>
    <w:p w14:paraId="753F5540" w14:textId="75847C54" w:rsidR="00386CA0" w:rsidRPr="00C83B7A" w:rsidRDefault="66779EFB" w:rsidP="00C83B7A">
      <w:pPr>
        <w:spacing w:beforeAutospacing="1" w:afterAutospacing="1"/>
        <w:rPr>
          <w:rFonts w:ascii="Times" w:hAnsi="Times"/>
          <w:b/>
          <w:bCs/>
          <w:sz w:val="40"/>
          <w:szCs w:val="40"/>
        </w:rPr>
      </w:pPr>
      <w:r w:rsidRPr="00C83B7A">
        <w:rPr>
          <w:rFonts w:ascii="Times" w:hAnsi="Times" w:cs="Arial"/>
          <w:b/>
          <w:bCs/>
          <w:color w:val="000000" w:themeColor="text1"/>
          <w:sz w:val="40"/>
          <w:szCs w:val="40"/>
        </w:rPr>
        <w:t>Pathogenesis of rheumatoid arthritis and antiarthritic effect of polyphenols</w:t>
      </w:r>
    </w:p>
    <w:p w14:paraId="63A2A554" w14:textId="3F098ED6" w:rsidR="3300C1C8" w:rsidRPr="00D22AA7" w:rsidRDefault="3300C1C8" w:rsidP="3300C1C8">
      <w:pPr>
        <w:pStyle w:val="ListParagraph"/>
        <w:spacing w:beforeAutospacing="1" w:afterAutospacing="1"/>
        <w:ind w:left="0"/>
        <w:rPr>
          <w:rFonts w:ascii="Times" w:hAnsi="Times"/>
        </w:rPr>
      </w:pPr>
    </w:p>
    <w:p w14:paraId="767C321C" w14:textId="2B8575F6" w:rsidR="3300C1C8" w:rsidRPr="00D22AA7" w:rsidRDefault="3300C1C8" w:rsidP="3300C1C8">
      <w:pPr>
        <w:pStyle w:val="ListParagraph"/>
        <w:spacing w:beforeAutospacing="1" w:afterAutospacing="1"/>
        <w:ind w:left="0"/>
        <w:rPr>
          <w:rFonts w:ascii="Times" w:hAnsi="Times"/>
        </w:rPr>
      </w:pPr>
    </w:p>
    <w:p w14:paraId="06CD9C30" w14:textId="7729330A" w:rsidR="00386CA0" w:rsidRPr="00D22AA7" w:rsidRDefault="00D45672">
      <w:pPr>
        <w:pStyle w:val="ListParagraph"/>
        <w:spacing w:beforeAutospacing="1" w:afterAutospacing="1"/>
        <w:ind w:left="0"/>
        <w:rPr>
          <w:rFonts w:ascii="Times" w:hAnsi="Times"/>
          <w:b/>
          <w:bCs/>
        </w:rPr>
      </w:pPr>
      <w:r w:rsidRPr="00D22AA7">
        <w:rPr>
          <w:rFonts w:ascii="Times" w:hAnsi="Times"/>
          <w:b/>
          <w:bCs/>
        </w:rPr>
        <w:t>2.1. Pathogenesis of Rheumatoid arthritis</w:t>
      </w:r>
    </w:p>
    <w:p w14:paraId="121EC72C" w14:textId="3340E96B" w:rsidR="005860EA" w:rsidRPr="00D22AA7" w:rsidRDefault="00450F0A" w:rsidP="00816038">
      <w:pPr>
        <w:jc w:val="both"/>
        <w:rPr>
          <w:rFonts w:ascii="Times" w:hAnsi="Times"/>
        </w:rPr>
      </w:pPr>
      <w:r w:rsidRPr="00450F0A">
        <w:rPr>
          <w:rFonts w:ascii="Times" w:hAnsi="Times"/>
        </w:rPr>
        <w:t>Rheumatoid arthritis (RA) is driven by chronic synovial inflammation, immune dysregulation, and joint destruction. In healthy joints, the synovium is a thin layer of synoviocytes that lubricates cartilage</w:t>
      </w:r>
      <w:r w:rsidR="005860EA" w:rsidRPr="00D22AA7">
        <w:rPr>
          <w:rFonts w:ascii="Times" w:hAnsi="Times"/>
        </w:rPr>
        <w:fldChar w:fldCharType="begin"/>
      </w:r>
      <w:r w:rsidR="00C1537C">
        <w:rPr>
          <w:rFonts w:ascii="Times" w:hAnsi="Times"/>
        </w:rPr>
        <w:instrText xml:space="preserve"> ADDIN ZOTERO_ITEM CSL_CITATION {"citationID":"R8WKrqev","properties":{"formattedCitation":"[10]","plainCitation":"[10]","noteIndex":0},"citationItems":[{"id":2759,"uris":["http://zotero.org/users/9439317/items/NUQ6QBV4"],"itemData":{"id":2759,"type":"article-journal","container-title":"Inflammation","ISSN":"0360-3997","journalAbbreviation":"Inflammation","note":"publisher: Springer","page":"1648-1660","title":"Anti-inflammatory effect of somatostatin analogue octreotide on rheumatoid arthritis synoviocytes","volume":"41","author":[{"family":"Casnici","given":"Claudia"},{"family":"Lattuada","given":"Donatella"},{"family":"Crotta","given":"Katia"},{"family":"Truzzi","given":"Marcello Claudio"},{"family":"Corradini","given":"Costantino"},{"family":"Ingegnoli","given":"Francesca"},{"family":"Tonna","given":"Noemi"},{"family":"Bianco","given":"Fabio"},{"family":"Marelli","given":"Ornella"}],"issued":{"date-parts":[["2018"]]}}}],"schema":"https://github.com/citation-style-language/schema/raw/master/csl-citation.json"} </w:instrText>
      </w:r>
      <w:r w:rsidR="005860EA" w:rsidRPr="00D22AA7">
        <w:rPr>
          <w:rFonts w:ascii="Times" w:hAnsi="Times"/>
        </w:rPr>
        <w:fldChar w:fldCharType="separate"/>
      </w:r>
      <w:r w:rsidR="00C1537C">
        <w:rPr>
          <w:rFonts w:ascii="Times" w:hAnsi="Times"/>
          <w:noProof/>
        </w:rPr>
        <w:t>[10]</w:t>
      </w:r>
      <w:r w:rsidR="005860EA" w:rsidRPr="00D22AA7">
        <w:rPr>
          <w:rFonts w:ascii="Times" w:hAnsi="Times"/>
        </w:rPr>
        <w:fldChar w:fldCharType="end"/>
      </w:r>
      <w:r w:rsidR="005860EA" w:rsidRPr="00D22AA7">
        <w:rPr>
          <w:rFonts w:ascii="Times" w:hAnsi="Times"/>
        </w:rPr>
        <w:t>.</w:t>
      </w:r>
      <w:r w:rsidRPr="00450F0A">
        <w:rPr>
          <w:rFonts w:ascii="Segoe UI" w:hAnsi="Segoe UI" w:cs="Segoe UI"/>
          <w:color w:val="404040"/>
        </w:rPr>
        <w:t xml:space="preserve"> </w:t>
      </w:r>
      <w:r w:rsidRPr="00450F0A">
        <w:rPr>
          <w:rFonts w:ascii="Times" w:hAnsi="Times"/>
        </w:rPr>
        <w:t>In healthy joints, the synovium is a thin layer of synoviocytes that lubricates cartilage. In RA, immune cell infiltration (T/B lymphocytes, macrophages, dendritic cells) triggers synovial hyperplasia, hypoxia, and villous projections</w:t>
      </w:r>
      <w:r>
        <w:rPr>
          <w:rFonts w:ascii="Times" w:hAnsi="Times"/>
        </w:rPr>
        <w:t xml:space="preserve"> </w:t>
      </w:r>
      <w:r w:rsidRPr="00D22AA7">
        <w:rPr>
          <w:rFonts w:ascii="Times" w:hAnsi="Times"/>
        </w:rPr>
        <w:fldChar w:fldCharType="begin"/>
      </w:r>
      <w:r w:rsidR="00C1537C">
        <w:rPr>
          <w:rFonts w:ascii="Times" w:hAnsi="Times"/>
        </w:rPr>
        <w:instrText xml:space="preserve"> ADDIN ZOTERO_ITEM CSL_CITATION {"citationID":"ZkaF1LAq","properties":{"formattedCitation":"[11]","plainCitation":"[11]","noteIndex":0},"citationItems":[{"id":5368,"uris":["http://zotero.org/users/9439317/items/I2NWSVCZ"],"itemData":{"id":5368,"type":"article-journal","abstract":"Background:  Sigesbeckia glabrescens Makino (SG) has been traditionally used for rheumatism and joint protection. However, the anti-arthritic effects and underling mechanisms of SG have not been demonstrated. In this study, we investigated the anti-arthritic effects and mechanisms of SG extract (SGE) on collagen-induced arthritic rats and inter</w:instrText>
      </w:r>
      <w:r w:rsidR="00C1537C">
        <w:rPr>
          <w:rFonts w:ascii="Cambria Math" w:hAnsi="Cambria Math" w:cs="Cambria Math"/>
        </w:rPr>
        <w:instrText>‑</w:instrText>
      </w:r>
      <w:r w:rsidR="00C1537C">
        <w:rPr>
          <w:rFonts w:ascii="Times" w:hAnsi="Times"/>
        </w:rPr>
        <w:instrText>leukin (IL)-1β-stimulated human synovial SW982 cells.\nMethods:  Rats were induced to arthritis by collagen for 15 days and then received SGE treatment for 35 days. The body weight and arthritis severity score of the rats were monitored weekly. At the end of the experiment, the radio</w:instrText>
      </w:r>
      <w:r w:rsidR="00C1537C">
        <w:rPr>
          <w:rFonts w:ascii="Cambria Math" w:hAnsi="Cambria Math" w:cs="Cambria Math"/>
        </w:rPr>
        <w:instrText>‑</w:instrText>
      </w:r>
      <w:r w:rsidR="00C1537C">
        <w:rPr>
          <w:rFonts w:ascii="Times" w:hAnsi="Times"/>
        </w:rPr>
        <w:instrText xml:space="preserve">graphic and histological changes of rats’ hind paw were obtained; the serum C-reactive protein was detected by enzyme-linked immunosorbent assay (ELISA); the expression levels of interleukin (IL)- 1β, IL6 and IL-10 in the joint muscles were determined by ELISA and immunohistochemical staining; and the level of regulatory T cells (Tregs) in the spleen was detected using flow cytometry. In addition, 3-(4,5-Dimethylthiazol-2-yl)-2,5-diphenyltetrazolium bromide (MTT) assay and scratch wound healing assay were used to evaluate the proliferation of SW982 synovial cells. ELISA, western blot and immunofluorescence staining were used to investigate the anti-inflammatory mechanisms of SGE on IL-1β-induced SW982 cells and joint muscles of CIA rats.\nResults:  SGE attenuated the collagen-induced hind paw swelling, cartilage damage and bone erosion. SGE inhibited the synovial hyperplasia to the articular cavity in the toe joint and ankle. Moreover, SGE decreased the production of C-reactive protein in serum and the expression of IL-6, IL-1β, cyclooxygenase-2 (COX-2) and phosphorylation of NF-κB p65 in the joint muscles. SGE also recovered the decreased Tregs. Results from the in vitro experiments showed that SGE not only inhibited the proliferation and migration of human synovial cell but also inhibited the IL-1β-induced expression of IL-6 and IL-8. Similarly, SGE inhibited the activation of NF-κB and the expression of COX-2.\nConclusions:  SGE attenuated the collagen-induced arthritis through inhibiting the synovial hyperplasia and inflammation.","container-title":"Chinese Medicine","DOI":"10.1186/s13020-020-00372-4","ISSN":"1749-8546","issue":"1","journalAbbreviation":"Chin Med","language":"en","page":"91","source":"DOI.org (Crossref)","title":"Sigesbeckia glabrescens Makino extract attenuated the collagen-induced arthritis through inhibiting the synovial hyperplasia and inflammation","URL":"https://cmjournal.biomedcentral.com/articles/10.1186/s13020-020-00372-4","volume":"15","author":[{"family":"Ma","given":"Qiu Shuo"},{"family":"Linghu","given":"Ke-Gang"},{"family":"Zhang","given":"Tian"},{"family":"Zhao","given":"Guan Ding"},{"family":"Xiong","given":"Wei"},{"family":"Xiong","given":"Shi Hang"},{"family":"Zhao","given":"Mingming"},{"family":"Xu","given":"Wei"},{"family":"Yu","given":"Juan"},{"family":"Yu","given":"Hua"}],"accessed":{"date-parts":[["2024",1,25]]},"issued":{"date-parts":[["2020",12]]}}}],"schema":"https://github.com/citation-style-language/schema/raw/master/csl-citation.json"} </w:instrText>
      </w:r>
      <w:r w:rsidRPr="00D22AA7">
        <w:rPr>
          <w:rFonts w:ascii="Times" w:hAnsi="Times"/>
        </w:rPr>
        <w:fldChar w:fldCharType="separate"/>
      </w:r>
      <w:r w:rsidR="00C1537C">
        <w:rPr>
          <w:rFonts w:ascii="Times" w:hAnsi="Times"/>
          <w:noProof/>
        </w:rPr>
        <w:t>[11]</w:t>
      </w:r>
      <w:r w:rsidRPr="00D22AA7">
        <w:rPr>
          <w:rFonts w:ascii="Times" w:hAnsi="Times"/>
        </w:rPr>
        <w:fldChar w:fldCharType="end"/>
      </w:r>
      <w:r w:rsidRPr="00450F0A">
        <w:rPr>
          <w:rFonts w:ascii="Times" w:hAnsi="Times"/>
        </w:rPr>
        <w:t>. Activated fibroblast-like synoviocytes (FLSs) secrete proinflammatory mediators (IL-6, prostaglandins, leukotrienes), while macrophage-like synoviocytes release IL-1, TNF-α, and reactive oxygen species (ROS), perpetuating inflammation and cartilage degradation</w:t>
      </w:r>
      <w:r w:rsidR="005860EA" w:rsidRPr="00D22AA7">
        <w:rPr>
          <w:rFonts w:ascii="Times" w:hAnsi="Times"/>
        </w:rPr>
        <w:t xml:space="preserve"> </w:t>
      </w:r>
      <w:r w:rsidRPr="00D22AA7">
        <w:rPr>
          <w:rFonts w:ascii="Times" w:hAnsi="Times"/>
        </w:rPr>
        <w:fldChar w:fldCharType="begin"/>
      </w:r>
      <w:r w:rsidR="00C1537C">
        <w:rPr>
          <w:rFonts w:ascii="Times" w:hAnsi="Times"/>
        </w:rPr>
        <w:instrText xml:space="preserve"> ADDIN ZOTERO_ITEM CSL_CITATION {"citationID":"dGjCDiSz","properties":{"formattedCitation":"[12]","plainCitation":"[12]","noteIndex":0},"citationItems":[{"id":4791,"uris":["http://zotero.org/users/9439317/items/9T5MZFJM"],"itemData":{"id":4791,"type":"article-journal","abstract":"Summary\nLymphatic metastasis is facilitated by lymphangiogenic growth factors VEGF-C and VEGF-D that are secreted by some primary tumors. We identified regulation of PGDH, the key enzyme in prostaglandin catabolism, in endothelial cells of collecting lymphatics, as a key molecular change during VEGF-D-driven tumor spread. The VEGF-D-dependent regulation of the prostaglandin pathway was supported by the finding that collecting lymphatic vessel dilation and subsequent metastasis were affected by nonsteroidal anti-inflammatory drugs (NSAIDs), known inhibitors of prostaglandin synthesis. Our data suggest a control point for cancer metastasis within the collecting lymphatic endothelium, which links VEGF-D/VEGFR-2/VEGFR-3 and the prostaglandin pathways. Collecting lymphatics therefore play an active and important role in metastasis and may provide a therapeutic target to restrict tumor spread.","container-title":"Cancer Cell","DOI":"10.1016/j.ccr.2011.12.026","ISSN":"1535-6108","issue":"2","journalAbbreviation":"Cancer Cell","page":"181-195","title":"VEGF-D Promotes Tumor Metastasis by Regulating Prostaglandins Produced by the Collecting Lymphatic Endothelium","URL":"https://www.sciencedirect.com/science/article/pii/S1535610812000050","volume":"21","author":[{"family":"Karnezis","given":"Tara"},{"family":"Shayan","given":"Ramin"},{"family":"Caesar","given":"Carol"},{"family":"Roufail","given":"Sally"},{"family":"Harris","given":"Nicole C."},{"family":"Ardipradja","given":"Kathryn"},{"family":"Zhang","given":"You Fang"},{"family":"Williams","given":"Steven P."},{"family":"Farnsworth","given":"Rae H."},{"family":"Chai","given":"Ming G."},{"family":"Rupasinghe","given":"Thusitha W.T."},{"family":"Tull","given":"Dedreia L."},{"family":"Baldwin","given":"Megan E."},{"family":"Sloan","given":"Erica K."},{"family":"Fox","given":"Stephen B."},{"family":"Achen","given":"Marc G."},{"family":"Stacker","given":"Steven A."}],"issued":{"date-parts":[["2012",2,14]]}}}],"schema":"https://github.com/citation-style-language/schema/raw/master/csl-citation.json"} </w:instrText>
      </w:r>
      <w:r w:rsidRPr="00D22AA7">
        <w:rPr>
          <w:rFonts w:ascii="Times" w:hAnsi="Times"/>
        </w:rPr>
        <w:fldChar w:fldCharType="separate"/>
      </w:r>
      <w:r w:rsidR="00C1537C">
        <w:rPr>
          <w:rFonts w:ascii="Times" w:hAnsi="Times"/>
          <w:noProof/>
        </w:rPr>
        <w:t>[12]</w:t>
      </w:r>
      <w:r w:rsidRPr="00D22AA7">
        <w:rPr>
          <w:rFonts w:ascii="Times" w:hAnsi="Times"/>
        </w:rPr>
        <w:fldChar w:fldCharType="end"/>
      </w:r>
      <w:r w:rsidR="005860EA" w:rsidRPr="00D22AA7">
        <w:rPr>
          <w:rFonts w:ascii="Times" w:hAnsi="Times"/>
        </w:rPr>
        <w:t>In RA, however, immune cell infiltration (T and B lymphocytes, macrophages, dendritic cells) triggers synovial thickening, hypoxic conditions, and the formation of villous projections. Activated fibroblast-like synoviocytes (FLSs) secrete proinflammatory mediators, including IL-6, prostaglandins, and leukotrienes, while macrophage-like synoviocytes release IL-1, TNF-α, and reactive oxygen species (ROS), perpetuating inflammation and cartilage degradation</w:t>
      </w:r>
      <w:r w:rsidR="00F537D5">
        <w:rPr>
          <w:rFonts w:ascii="Times" w:hAnsi="Times"/>
        </w:rPr>
        <w:t xml:space="preserve"> (figure 1)</w:t>
      </w:r>
      <w:r w:rsidR="00EE0E35">
        <w:rPr>
          <w:rFonts w:ascii="Times" w:hAnsi="Times"/>
        </w:rPr>
        <w:t>.</w:t>
      </w:r>
    </w:p>
    <w:p w14:paraId="5A57A5AF" w14:textId="4F174A63" w:rsidR="00A921D3" w:rsidRPr="00D22AA7" w:rsidRDefault="005860EA" w:rsidP="00816038">
      <w:pPr>
        <w:jc w:val="both"/>
        <w:rPr>
          <w:rFonts w:ascii="Times" w:hAnsi="Times"/>
        </w:rPr>
      </w:pPr>
      <w:r w:rsidRPr="00D22AA7">
        <w:rPr>
          <w:rFonts w:ascii="Times" w:hAnsi="Times"/>
        </w:rPr>
        <w:t xml:space="preserve">Hypoxia within the inflamed synovium drives angiogenesis via vascular endothelial growth factor (VEGF), sustaining the formation of pannus—a destructive fibrovascular </w:t>
      </w:r>
      <w:proofErr w:type="gramStart"/>
      <w:r w:rsidRPr="00D22AA7">
        <w:rPr>
          <w:rFonts w:ascii="Times" w:hAnsi="Times"/>
        </w:rPr>
        <w:t>tissue..</w:t>
      </w:r>
      <w:proofErr w:type="gramEnd"/>
      <w:r w:rsidRPr="00D22AA7">
        <w:rPr>
          <w:rFonts w:ascii="Times" w:hAnsi="Times"/>
        </w:rPr>
        <w:t xml:space="preserve"> Pannus erodes cartilage and bone through matrix metalloproteinases (MMPs) and osteoclast activation. Osteoclastogenesis is further fueled by RANKL (secreted by T cells and FLSs) and cytokines (IL-1, IL-6, TNF-α), which stimulate osteoclasts to release bone-degrading enzymes such as cathepsin K </w:t>
      </w:r>
      <w:r w:rsidRPr="00D22AA7">
        <w:rPr>
          <w:rFonts w:ascii="Times" w:hAnsi="Times"/>
        </w:rPr>
        <w:fldChar w:fldCharType="begin"/>
      </w:r>
      <w:r w:rsidR="00C1537C">
        <w:rPr>
          <w:rFonts w:ascii="Times" w:hAnsi="Times"/>
        </w:rPr>
        <w:instrText xml:space="preserve"> ADDIN ZOTERO_ITEM CSL_CITATION {"citationID":"rSO6WlGY","properties":{"formattedCitation":"[13]","plainCitation":"[13]","noteIndex":0},"citationItems":[{"id":2912,"uris":["http://zotero.org/users/9439317/items/NGRQ9HM4"],"itemData":{"id":2912,"type":"article-journal","container-title":"Cellular and Molecular Life Sciences","DOI":"10.1007/s00018-005-5426-3","ISSN":"1420-682X, 1420-9071","issue":"5","journalAbbreviation":"Cell. Mol. Life Sci.","language":"en","page":"601","source":"DOI.org (Crossref)","title":"The role of VEGF receptors in angiogenesis; complex partnerships","URL":"https://link.springer.com/10.1007/s00018-005-5426-3","volume":"63","author":[{"family":"Cébe-Suarez","given":"S."},{"family":"Zehnder-Fjällman","given":"A."},{"family":"Ballmer-Hofer","given":"K."}],"accessed":{"date-parts":[["2023",9,26]]},"issued":{"date-parts":[["2006",3]]}}}],"schema":"https://github.com/citation-style-language/schema/raw/master/csl-citation.json"} </w:instrText>
      </w:r>
      <w:r w:rsidRPr="00D22AA7">
        <w:rPr>
          <w:rFonts w:ascii="Times" w:hAnsi="Times"/>
        </w:rPr>
        <w:fldChar w:fldCharType="separate"/>
      </w:r>
      <w:r w:rsidR="00C1537C">
        <w:rPr>
          <w:rFonts w:ascii="Times" w:hAnsi="Times"/>
          <w:noProof/>
        </w:rPr>
        <w:t>[13]</w:t>
      </w:r>
      <w:r w:rsidRPr="00D22AA7">
        <w:rPr>
          <w:rFonts w:ascii="Times" w:hAnsi="Times"/>
        </w:rPr>
        <w:fldChar w:fldCharType="end"/>
      </w:r>
      <w:r w:rsidRPr="00D22AA7">
        <w:rPr>
          <w:rFonts w:ascii="Times" w:hAnsi="Times"/>
        </w:rPr>
        <w:t>.Post-translational modification of proteins via peptidyl-arginine deiminase (PAD)-mediated citrullination generates autoantigens that interact with anti-citrullinated protein antibodies (ACPAs), a serological hallmark of RA. This interaction amplifies autoimmune responses, contributing to disease progression [13–15].</w:t>
      </w:r>
      <w:r w:rsidR="00A921D3" w:rsidRPr="00D22AA7">
        <w:rPr>
          <w:rFonts w:ascii="Times" w:hAnsi="Times"/>
        </w:rPr>
        <w:t xml:space="preserve"> </w:t>
      </w:r>
    </w:p>
    <w:p w14:paraId="0F8BBA7A" w14:textId="47E84598" w:rsidR="00A921D3" w:rsidRPr="00D22AA7" w:rsidRDefault="79B594BB" w:rsidP="00816038">
      <w:pPr>
        <w:jc w:val="both"/>
        <w:rPr>
          <w:rFonts w:ascii="Times" w:hAnsi="Times"/>
        </w:rPr>
      </w:pPr>
      <w:r w:rsidRPr="00D22AA7">
        <w:rPr>
          <w:rFonts w:ascii="Times" w:hAnsi="Times"/>
        </w:rPr>
        <w:t xml:space="preserve">The maturation and activation of osteoclasts are primarily driven by the receptor activator of nuclear factor-kappa B (RANK) ligand, which is produced by T cells. This signaling pathway is further amplified by pro-inflammatory cytokines such as interleukin-1 (IL-1), interleukin-6 (IL-6), and tumor necrosis factor (TNF), which are secreted by fibroblast-like </w:t>
      </w:r>
      <w:proofErr w:type="spellStart"/>
      <w:r w:rsidRPr="00D22AA7">
        <w:rPr>
          <w:rFonts w:ascii="Times" w:hAnsi="Times"/>
        </w:rPr>
        <w:t>synoviocytes</w:t>
      </w:r>
      <w:proofErr w:type="spellEnd"/>
      <w:r w:rsidRPr="00D22AA7">
        <w:rPr>
          <w:rFonts w:ascii="Times" w:hAnsi="Times"/>
        </w:rPr>
        <w:t xml:space="preserve"> (FLSs) and macrophages within the inflamed joints. These cytokines contribute to the activation of osteoclasts, the cells responsible for the resorption of bone tissue. Once activated, osteoclasts release a variety of proteases, including cathepsin K, which plays a pivotal role in the degradation of both bone and cartilage, leading to joint destruction </w:t>
      </w:r>
      <w:r w:rsidRPr="00D22AA7">
        <w:rPr>
          <w:rFonts w:ascii="Times" w:hAnsi="Times"/>
        </w:rPr>
        <w:fldChar w:fldCharType="begin"/>
      </w:r>
      <w:r w:rsidR="00C1537C">
        <w:rPr>
          <w:rFonts w:ascii="Times" w:hAnsi="Times"/>
        </w:rPr>
        <w:instrText xml:space="preserve"> ADDIN ZOTERO_ITEM CSL_CITATION {"citationID":"C3qumquF","properties":{"formattedCitation":"[14]","plainCitation":"[14]","noteIndex":0},"citationItems":[{"id":5453,"uris":["http://zotero.org/users/9439317/items/F3CPX9BB"],"itemData":{"id":5453,"type":"article-journal","abstract":"Rheumatoid arthritis (RA) and periodontitis are chronic inflammatory diseases leading to increased bone resorption. Preventing this inflammatory bone resorption is a major health challenge. Both diseases share immunopathogenic similarities and a common inflammatory environment. The autoimmune response or periodontal infection stimulates certain immune actors, leading in both cases to chronic inflammation that perpetuates bone resorption. Moreover, RA and periodontitis have a strong epidemiological association that could be explained by periodontal microbial dysbiosis. This dysbiosis is believed to be involved in the initiation of RA via three mechanisms. (i) The dissemination of periodontal pathogens triggers systemic inflammation. (ii) Periodontal pathogens can induce the generation of citrullinated neoepitopes, leading to the generation of anti-citrullinated peptide autoantibodies. (iii) Intracellular danger-associated molecular patterns accelerate local and systemic inflammation. Therefore, periodontal dysbiosis could promote or sustain bone resorption in distant inflamed joints. Interestingly, in inflammatory conditions, the existence of osteoclasts distinct from “classical osteoclasts” has recently been reported. They have proinflammatory origins and functions. Several populations of osteoclast precursors have been described in RA, such as classical monocytes, a dendritic cell subtype, and arthritis-associated osteoclastogenic macrophages. The aim of this review is to synthesize knowledge on osteoclasts and their precursors in inflammatory conditions, especially in RA and periodontitis. Special attention will be given to recent data related to RA that could be of potential value in periodontitis due to the immunopathogenic similarities between the two diseases. Improving our understanding of these pathogenic mechanisms should lead to the identification of new therapeutic targets involved in the pathological inflammatory bone resorption associated with these diseases.","container-title":"Bone Research","DOI":"10.1038/s41413-023-00257-w","ISSN":"2095-6231","issue":"1","journalAbbreviation":"Bone Research","page":"26","title":"New insights into inflammatory osteoclast precursors as therapeutic targets for rheumatoid arthritis and periodontitis","URL":"https://doi.org/10.1038/s41413-023-00257-w","volume":"11","author":[{"family":"Hascoët","given":"Emilie"},{"family":"Blanchard","given":"Frédéric"},{"family":"Blin-Wakkach","given":"Claudine"},{"family":"Guicheux","given":"Jérôme"},{"family":"Lesclous","given":"Philippe"},{"family":"Cloitre","given":"Alexandra"}],"issued":{"date-parts":[["2023",5,22]]}}}],"schema":"https://github.com/citation-style-language/schema/raw/master/csl-citation.json"} </w:instrText>
      </w:r>
      <w:r w:rsidRPr="00D22AA7">
        <w:rPr>
          <w:rFonts w:ascii="Times" w:hAnsi="Times"/>
        </w:rPr>
        <w:fldChar w:fldCharType="separate"/>
      </w:r>
      <w:r w:rsidR="00C1537C">
        <w:rPr>
          <w:rFonts w:ascii="Times" w:hAnsi="Times"/>
          <w:noProof/>
        </w:rPr>
        <w:t>[14]</w:t>
      </w:r>
      <w:r w:rsidRPr="00D22AA7">
        <w:rPr>
          <w:rFonts w:ascii="Times" w:hAnsi="Times"/>
        </w:rPr>
        <w:fldChar w:fldCharType="end"/>
      </w:r>
      <w:r w:rsidRPr="00D22AA7">
        <w:rPr>
          <w:rFonts w:ascii="Times" w:hAnsi="Times"/>
        </w:rPr>
        <w:t>.</w:t>
      </w:r>
    </w:p>
    <w:p w14:paraId="678D26D0" w14:textId="41D72469" w:rsidR="3300C1C8" w:rsidRPr="00D22AA7" w:rsidRDefault="79B594BB" w:rsidP="00C83B7A">
      <w:pPr>
        <w:jc w:val="both"/>
        <w:rPr>
          <w:rFonts w:ascii="Times" w:hAnsi="Times"/>
        </w:rPr>
      </w:pPr>
      <w:r w:rsidRPr="00D22AA7">
        <w:rPr>
          <w:rFonts w:ascii="Times" w:hAnsi="Times"/>
        </w:rPr>
        <w:t>In addition to these direct mechanisms, osteoclasts also play a role in promoting their own activation through the release of citrullinated peptides, which are proteins that have undergone a chemical modification called citrullination. These citrullinated peptides are recognized by anti-citrullinated protein antibodies (ACPAs), a hallmark of rheumatoid arthritis (RA), creating a self-perpet</w:t>
      </w:r>
      <w:r w:rsidRPr="00D22AA7">
        <w:rPr>
          <w:rFonts w:ascii="Times" w:hAnsi="Times"/>
        </w:rPr>
        <w:lastRenderedPageBreak/>
        <w:t xml:space="preserve">uating cycle. The interaction between citrullinated peptides and ACPAs not only enhances osteoclast activation but also amplifies the inflammatory response in the joint. This feedback loop of osteoclast activation and inflammatory cytokine release drives the chronic bone erosion and cartilage damage seen in RA, contributing to the progressive nature of the disease. The continuous activation of osteoclasts and the degradation of the joint tissues result in the progressive loss of joint function and significant morbidity for those suffering from RA </w:t>
      </w:r>
      <w:r w:rsidRPr="00D22AA7">
        <w:rPr>
          <w:rFonts w:ascii="Times" w:hAnsi="Times"/>
        </w:rPr>
        <w:fldChar w:fldCharType="begin"/>
      </w:r>
      <w:r w:rsidR="00C1537C">
        <w:rPr>
          <w:rFonts w:ascii="Times" w:hAnsi="Times"/>
        </w:rPr>
        <w:instrText xml:space="preserve"> ADDIN ZOTERO_ITEM CSL_CITATION {"citationID":"JCRvqdSf","properties":{"formattedCitation":"[15]","plainCitation":"[15]","noteIndex":0},"citationItems":[{"id":4119,"uris":["http://zotero.org/users/9439317/items/ZGRRTUIM"],"itemData":{"id":4119,"type":"article-journal","abstract":"The most specific autoimmunity known for rheumatoid arthritis (RA) is reflected by generation of anti-citrullinated protein antibodies (ACPA). Presence of ACPA in established RA is associated with disease severity, while generation of ACPA at early developmental phases of RA can have a strong predictive value for progressing to the full-blown disease. Hence, development of ACPA may be of crucial importance to the pathogenesis of RA. Therefore, a lot of effort has been put recently to investigate the feature of ACPA at early developmental stages of RA (before disease onset) and functional activities of these autoantibodies. Results of these studies enlarged the knowledge about the nature of ACPA, which is essential for planning the therapeutic or preventive strategies interfering with their development and pathogenic functions. In this review we describe recent evidence for a role of ACPA in the etiopathogenesis of RA and indicate key unresolved issues regarding ACPA biology that need to be clarified in the future.","container-title":"Central European Journal of Immunology","DOI":"10.5114/ceji.2017.72807","ISSN":"1426-3912","issue":"4","journalAbbreviation":"cejoi","language":"en","page":"390-398","source":"DOI.org (Crossref)","title":"The role of anti-citrullinated protein antibodies (ACPA) in the pathogenesis of rheumatoid arthritis","URL":"https://www.termedia.pl/doi/10.5114/ceji.2017.72807","volume":"42","author":[{"family":"Kurowska","given":"Weronika"},{"family":"Kuca-Warnawin","given":"Ewa H."},{"family":"Radzikowska","given":"Anna"},{"family":"Maśliński","given":"Włodzimierz"}],"accessed":{"date-parts":[["2023",1,17]]},"issued":{"date-parts":[["2017"]]}}}],"schema":"https://github.com/citation-style-language/schema/raw/master/csl-citation.json"} </w:instrText>
      </w:r>
      <w:r w:rsidRPr="00D22AA7">
        <w:rPr>
          <w:rFonts w:ascii="Times" w:hAnsi="Times"/>
        </w:rPr>
        <w:fldChar w:fldCharType="separate"/>
      </w:r>
      <w:r w:rsidR="00C1537C">
        <w:rPr>
          <w:rFonts w:ascii="Times" w:hAnsi="Times"/>
          <w:noProof/>
        </w:rPr>
        <w:t>[15]</w:t>
      </w:r>
      <w:r w:rsidRPr="00D22AA7">
        <w:rPr>
          <w:rFonts w:ascii="Times" w:hAnsi="Times"/>
        </w:rPr>
        <w:fldChar w:fldCharType="end"/>
      </w:r>
      <w:r w:rsidRPr="00D22AA7">
        <w:rPr>
          <w:rFonts w:ascii="Times" w:hAnsi="Times"/>
        </w:rPr>
        <w:t>.</w:t>
      </w:r>
    </w:p>
    <w:p w14:paraId="70C36BBA" w14:textId="77E895E8" w:rsidR="3300C1C8" w:rsidRPr="00D22AA7" w:rsidRDefault="00C83B7A" w:rsidP="3300C1C8">
      <w:pPr>
        <w:spacing w:beforeAutospacing="1" w:afterAutospacing="1"/>
        <w:rPr>
          <w:rFonts w:ascii="Times" w:hAnsi="Times"/>
          <w:b/>
          <w:bCs/>
        </w:rPr>
      </w:pPr>
      <w:r>
        <w:rPr>
          <w:rFonts w:ascii="Times" w:hAnsi="Times"/>
          <w:b/>
          <w:bCs/>
        </w:rPr>
        <w:t xml:space="preserve">2.2. </w:t>
      </w:r>
      <w:r w:rsidR="00A921D3" w:rsidRPr="00D22AA7">
        <w:rPr>
          <w:rFonts w:ascii="Times" w:hAnsi="Times"/>
          <w:b/>
          <w:bCs/>
        </w:rPr>
        <w:t>Enviornmental, genetic and pathogic factors of causing RA</w:t>
      </w:r>
    </w:p>
    <w:p w14:paraId="30357AE8" w14:textId="55E2AC17" w:rsidR="00441309" w:rsidRPr="00D22AA7" w:rsidRDefault="747B43BB" w:rsidP="00C83B7A">
      <w:pPr>
        <w:spacing w:beforeAutospacing="1" w:afterAutospacing="1"/>
        <w:jc w:val="both"/>
        <w:rPr>
          <w:rFonts w:ascii="Times" w:hAnsi="Times"/>
        </w:rPr>
      </w:pPr>
      <w:r w:rsidRPr="00D22AA7">
        <w:rPr>
          <w:rFonts w:ascii="Times" w:hAnsi="Times"/>
        </w:rPr>
        <w:t xml:space="preserve">The exact triggers of RA remain unclear, but </w:t>
      </w:r>
      <w:r w:rsidR="421B75AA" w:rsidRPr="00D22AA7">
        <w:rPr>
          <w:rFonts w:ascii="Times" w:hAnsi="Times"/>
        </w:rPr>
        <w:t xml:space="preserve">some </w:t>
      </w:r>
      <w:r w:rsidRPr="00D22AA7">
        <w:rPr>
          <w:rFonts w:ascii="Times" w:hAnsi="Times"/>
        </w:rPr>
        <w:t>genetic factors</w:t>
      </w:r>
      <w:r w:rsidR="60AC8EF9" w:rsidRPr="00D22AA7">
        <w:rPr>
          <w:rFonts w:ascii="Times" w:hAnsi="Times"/>
        </w:rPr>
        <w:t xml:space="preserve"> play important contribution, such as </w:t>
      </w:r>
      <w:r w:rsidRPr="00D22AA7">
        <w:rPr>
          <w:rFonts w:ascii="Times" w:hAnsi="Times"/>
        </w:rPr>
        <w:t>class II major histocompatibility complex (MHC) antigens (HLA-DR) and non-HLA genes</w:t>
      </w:r>
      <w:r w:rsidR="13CE0047"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{"citationID":"a5L1U0yS","properties":{"formattedCitation":"[16]","plainCitation":"[16]","noteIndex":0},"citationItems":[{"id":1629,"uris":["http://zotero.org/users/9439317/items/6DNDJSGQ"],"itemData":{"id":1629,"type":"article-journal","abstract":"Abstract Objective To investigate whether smoking and HLA?DR shared epitope (SE) genes may interact in triggering immune reactions to citrulline-modified proteins. Methods In a case?control study involving patients with recent-onset rheumatoid arthritis (RA), we studied interactions between a major environmental risk factor (smoking), major susceptibility genes included in the SE of HLA?DR, and the presence of the most specific autoimmunity known for RA (i.e., antibodies to proteins modified by citrullination). Immunostaining for citrullinated proteins in cells from bronchoalveolar lavage fluid was used to investigate whether smoking is associated with citrullination in the lungs. Results Previous smoking was dose-dependently associated with occurrence of anticitrulline antibodies in RA patients. The presence of SE genes was a risk factor only for anticitrulline-positive RA, and not for anticitrulline-negative RA. A major gene?environment interaction between smoking and HLA?DR SE genes was evident for anticitrulline-positive RA, but not for anticitrulline-negative RA, and the combination of smoking history and the presence of double copies of HLA?DR SE genes increased the risk for RA 21-fold compared with the risk among nonsmokers carrying no SE genes. Positive immunostaining for citrullinated proteins was recorded in bronchoalveolar lavage cells from smokers but not in those from nonsmokers. Conclusion We identified an environmental factor, smoking, that in the context of HLA?DR SE genes may trigger RA-specific immune reactions to citrullinated proteins. These data thus suggest an etiology involving a specific genotype, an environmental provocation, and the induction of specific autoimmunity, all restricted to a distinct subset of RA.","container-title":"Arthritis &amp; Rheumatism","DOI":"10.1002/art.21575","ISSN":"0004-3591","issue":"1","journalAbbreviation":"Arthritis &amp; Rheumatism","note":"publisher: John Wiley &amp; Sons, Ltd","page":"38-46","title":"A new model for an etiology of rheumatoid arthritis: Smoking may trigger HLA–DR (shared epitope)–restricted immune reactions to autoantigens modified by citrullination","URL":"https://doi.org/10.1002/art.21575","volume":"54","author":[{"family":"Klareskog","given":"Lars"},{"family":"Stolt","given":"Patrik"},{"family":"Lundberg","given":"Karin"},{"family":"Källberg","given":"Henrik"},{"family":"Bengtsson","given":"Camilla"},{"family":"Grunewald","given":"Johan"},{"family":"Rönnelid","given":"Johan"},{"family":"Erlandsson Harris","given":"Helena"},{"family":"Ulfgren","given":"Ann-Kristin"},{"family":"Rantapää-Dahlqvist","given":"Solbritt"},{"family":"Eklund","given":"Anders"},{"family":"Padyukov","given":"Leonid"},{"family":"Alfredsson","given":"Lars"}],"accessed":{"date-parts":[["2023",1,16]]},"issued":{"date-parts":[["2006",1,1]]}}}],"schema":"https://github.com/citation-style-language/schema/raw/master/csl-citation.json"} </w:instrText>
      </w:r>
      <w:r w:rsidR="00441309" w:rsidRPr="00D22AA7">
        <w:rPr>
          <w:rFonts w:ascii="Times" w:hAnsi="Times"/>
        </w:rPr>
        <w:fldChar w:fldCharType="separate"/>
      </w:r>
      <w:r w:rsidR="00C1537C">
        <w:rPr>
          <w:rFonts w:ascii="Times" w:hAnsi="Times"/>
          <w:noProof/>
        </w:rPr>
        <w:t>[16]</w:t>
      </w:r>
      <w:r w:rsidR="00441309" w:rsidRPr="00D22AA7">
        <w:rPr>
          <w:rFonts w:ascii="Times" w:hAnsi="Times"/>
        </w:rPr>
        <w:fldChar w:fldCharType="end"/>
      </w:r>
      <w:r w:rsidRPr="00D22AA7">
        <w:rPr>
          <w:rFonts w:ascii="Times" w:hAnsi="Times"/>
        </w:rPr>
        <w:t>. Certain HLA and non-HLA genes are associated with the presence of citrullinated proteins, which are targeted by ACPAs. Citrullination, mediated by the enzyme peptidyl-arginine deiminase (PAD), converts arginine to citrulline during inflammation, leading to immune recognition of altered proteins as foreign antigens</w:t>
      </w:r>
      <w:r w:rsidR="3E7D2EF7"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{"citationID":"WQZq1I5M","properties":{"formattedCitation":"[17]","plainCitation":"[17]","noteIndex":0},"citationItems":[{"id":1635,"uris":["http://zotero.org/users/9439317/items/5786MYBH"],"itemData":{"id":1635,"type":"article-journal","abstract":"The diagnostic, predictive and prognostic role of anti-cyclic citrullinated peptide (CCP) antibodies in rheumatoid arthritis (RA) patients is widely accepted. Moreover, detection of these antibodies in subjects presenting with undifferentiated arthritis (UA) is associated with a significant risk to develop the disease. On the other hand, clinical and prognostic significance of evaluating anti-CCP levels in subjects with inflammatory arthritis at disease onset has not been fully clarified. The goal of this prospective study is to analyze the value and prognostic significance of anti-CCP titer quantification in UA subjects.","container-title":"Arthritis Research &amp; Therapy","DOI":"10.1186/ar4148","ISSN":"1478-6354","issue":"1","journalAbbreviation":"Arthritis Research &amp; Therapy","page":"R16","title":"Anti-cyclic citrullinated peptide antibody titer predicts time to rheumatoid arthritis onset in patients with undifferentiated arthritis: results from a 2-year prospective study","URL":"https://doi.org/10.1186/ar4148","volume":"15","author":[{"family":"Bizzaro","given":"Nicola"},{"family":"Bartoloni","given":"Elena"},{"family":"Morozzi","given":"Gabriella"},{"family":"Manganelli","given":"Stefania"},{"family":"Riccieri","given":"Valeria"},{"family":"Sabatini","given":"Paola"},{"family":"Filippini","given":"Matteo"},{"family":"Tampoia","given":"Marilina"},{"family":"Afeltra","given":"Antonella"},{"family":"Sebastiani","given":"Giandomenico"},{"family":"Alpini","given":"Claudia"},{"family":"Bini","given":"Vittorio"},{"family":"Bistoni","given":"Onelia"},{"family":"Alunno","given":"Alessia"},{"family":"Gerli","given":"Roberto"},{"literal":"the Forum Interdisciplinare per la Ricerca nelle Malattie Autoimmuni (FIRMA Group)"}],"issued":{"date-parts":[["2013",1,22]]}}}],"schema":"https://github.com/citation-style-language/schema/raw/master/csl-citation.json"} </w:instrText>
      </w:r>
      <w:r w:rsidR="00441309" w:rsidRPr="00D22AA7">
        <w:rPr>
          <w:rFonts w:ascii="Times" w:hAnsi="Times"/>
        </w:rPr>
        <w:fldChar w:fldCharType="separate"/>
      </w:r>
      <w:r w:rsidR="00C1537C">
        <w:rPr>
          <w:rFonts w:ascii="Times" w:hAnsi="Times"/>
          <w:noProof/>
        </w:rPr>
        <w:t>[17]</w:t>
      </w:r>
      <w:r w:rsidR="00441309" w:rsidRPr="00D22AA7">
        <w:rPr>
          <w:rFonts w:ascii="Times" w:hAnsi="Times"/>
        </w:rPr>
        <w:fldChar w:fldCharType="end"/>
      </w:r>
      <w:r w:rsidRPr="00D22AA7">
        <w:rPr>
          <w:rFonts w:ascii="Times" w:hAnsi="Times"/>
        </w:rPr>
        <w:t>. Environmental factors, such as exposure to air pollutants (</w:t>
      </w:r>
      <w:r w:rsidR="57ED9B99" w:rsidRPr="00D22AA7">
        <w:rPr>
          <w:rFonts w:ascii="Times" w:hAnsi="Times"/>
        </w:rPr>
        <w:t>smoke, dust,</w:t>
      </w:r>
      <w:r w:rsidRPr="00D22AA7">
        <w:rPr>
          <w:rFonts w:ascii="Times" w:hAnsi="Times"/>
        </w:rPr>
        <w:t xml:space="preserve"> </w:t>
      </w:r>
      <w:proofErr w:type="gramStart"/>
      <w:r w:rsidRPr="00D22AA7">
        <w:rPr>
          <w:rFonts w:ascii="Times" w:hAnsi="Times"/>
        </w:rPr>
        <w:t>silica )</w:t>
      </w:r>
      <w:proofErr w:type="gramEnd"/>
      <w:r w:rsidRPr="00D22AA7">
        <w:rPr>
          <w:rFonts w:ascii="Times" w:hAnsi="Times"/>
        </w:rPr>
        <w:t>, can activate</w:t>
      </w:r>
      <w:r w:rsidR="5C5A0C12" w:rsidRPr="00D22AA7">
        <w:rPr>
          <w:rFonts w:ascii="Times" w:hAnsi="Times"/>
        </w:rPr>
        <w:t xml:space="preserve"> </w:t>
      </w:r>
      <w:r w:rsidRPr="00D22AA7">
        <w:rPr>
          <w:rFonts w:ascii="Times" w:hAnsi="Times"/>
        </w:rPr>
        <w:t xml:space="preserve">TLRs, stimulating PADs and </w:t>
      </w:r>
      <w:r w:rsidR="73DAB1A2" w:rsidRPr="00D22AA7">
        <w:rPr>
          <w:rFonts w:ascii="Times" w:hAnsi="Times"/>
        </w:rPr>
        <w:t xml:space="preserve"> </w:t>
      </w:r>
      <w:r w:rsidRPr="00D22AA7">
        <w:rPr>
          <w:rFonts w:ascii="Times" w:hAnsi="Times"/>
        </w:rPr>
        <w:t xml:space="preserve">APCs to produce citrullinated proteins. </w:t>
      </w:r>
      <w:r w:rsidR="3FBDA15A" w:rsidRPr="00D22AA7">
        <w:rPr>
          <w:rFonts w:ascii="Times" w:hAnsi="Times"/>
        </w:rPr>
        <w:t>It is highly evident that s</w:t>
      </w:r>
      <w:r w:rsidRPr="00D22AA7">
        <w:rPr>
          <w:rFonts w:ascii="Times" w:hAnsi="Times"/>
        </w:rPr>
        <w:t>moking has been linked to citrullinated protein generation in individuals with the HLA-DR SE gene</w:t>
      </w:r>
      <w:r w:rsidR="3E7D2EF7"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{"citationID":"pcwrEYV9","properties":{"formattedCitation":"[16]","plainCitation":"[16]","noteIndex":0},"citationItems":[{"id":1629,"uris":["http://zotero.org/users/9439317/items/6DNDJSGQ"],"itemData":{"id":1629,"type":"article-journal","abstract":"Abstract Objective To investigate whether smoking and HLA?DR shared epitope (SE) genes may interact in triggering immune reactions to citrulline-modified proteins. Methods In a case?control study involving patients with recent-onset rheumatoid arthritis (RA), we studied interactions between a major environmental risk factor (smoking), major susceptibility genes included in the SE of HLA?DR, and the presence of the most specific autoimmunity known for RA (i.e., antibodies to proteins modified by citrullination). Immunostaining for citrullinated proteins in cells from bronchoalveolar lavage fluid was used to investigate whether smoking is associated with citrullination in the lungs. Results Previous smoking was dose-dependently associated with occurrence of anticitrulline antibodies in RA patients. The presence of SE genes was a risk factor only for anticitrulline-positive RA, and not for anticitrulline-negative RA. A major gene?environment interaction between smoking and HLA?DR SE genes was evident for anticitrulline-positive RA, but not for anticitrulline-negative RA, and the combination of smoking history and the presence of double copies of HLA?DR SE genes increased the risk for RA 21-fold compared with the risk among nonsmokers carrying no SE genes. Positive immunostaining for citrullinated proteins was recorded in bronchoalveolar lavage cells from smokers but not in those from nonsmokers. Conclusion We identified an environmental factor, smoking, that in the context of HLA?DR SE genes may trigger RA-specific immune reactions to citrullinated proteins. These data thus suggest an etiology involving a specific genotype, an environmental provocation, and the induction of specific autoimmunity, all restricted to a distinct subset of RA.","container-title":"Arthritis &amp; Rheumatism","DOI":"10.1002/art.21575","ISSN":"0004-3591","issue":"1","journalAbbreviation":"Arthritis &amp; Rheumatism","note":"publisher: John Wiley &amp; Sons, Ltd","page":"38-46","title":"A new model for an etiology of rheumatoid arthritis: Smoking may trigger HLA–DR (shared epitope)–restricted immune reactions to autoantigens modified by citrullination","URL":"https://doi.org/10.1002/art.21575","volume":"54","author":[{"family":"Klareskog","given":"Lars"},{"family":"Stolt","given":"Patrik"},{"family":"Lundberg","given":"Karin"},{"family":"Källberg","given":"Henrik"},{"family":"Bengtsson","given":"Camilla"},{"family":"Grunewald","given":"Johan"},{"family":"Rönnelid","given":"Johan"},{"family":"Erlandsson Harris","given":"Helena"},{"family":"Ulfgren","given":"Ann-Kristin"},{"family":"Rantapää-Dahlqvist","given":"Solbritt"},{"family":"Eklund","given":"Anders"},{"family":"Padyukov","given":"Leonid"},{"family":"Alfredsson","given":"Lars"}],"accessed":{"date-parts":[["2023",1,16]]},"issued":{"date-parts":[["2006",1,1]]}}}],"schema":"https://github.com/citation-style-language/schema/raw/master/csl-citation.json"} </w:instrText>
      </w:r>
      <w:r w:rsidR="00441309" w:rsidRPr="00D22AA7">
        <w:rPr>
          <w:rFonts w:ascii="Times" w:hAnsi="Times"/>
        </w:rPr>
        <w:fldChar w:fldCharType="separate"/>
      </w:r>
      <w:r w:rsidR="00C1537C">
        <w:rPr>
          <w:rFonts w:ascii="Times" w:hAnsi="Times"/>
          <w:noProof/>
        </w:rPr>
        <w:t>[16]</w:t>
      </w:r>
      <w:r w:rsidR="00441309" w:rsidRPr="00D22AA7">
        <w:rPr>
          <w:rFonts w:ascii="Times" w:hAnsi="Times"/>
        </w:rPr>
        <w:fldChar w:fldCharType="end"/>
      </w:r>
      <w:r w:rsidRPr="00D22AA7">
        <w:rPr>
          <w:rFonts w:ascii="Times" w:hAnsi="Times"/>
        </w:rPr>
        <w:t>.</w:t>
      </w:r>
    </w:p>
    <w:p w14:paraId="7165A11C" w14:textId="0399C5B4" w:rsidR="00386CA0" w:rsidRPr="00D22AA7" w:rsidRDefault="005755B0">
      <w:pPr>
        <w:spacing w:beforeAutospacing="1" w:afterAutospacing="1"/>
        <w:rPr>
          <w:rFonts w:ascii="Times" w:hAnsi="Times"/>
        </w:rPr>
      </w:pPr>
      <w:r>
        <w:rPr>
          <w:rFonts w:ascii="Times" w:hAnsi="Times"/>
        </w:rPr>
        <w:t xml:space="preserve">                       </w:t>
      </w:r>
      <w:r w:rsidR="00D45672" w:rsidRPr="00D22AA7">
        <w:rPr>
          <w:rFonts w:ascii="Times" w:hAnsi="Times"/>
          <w:noProof/>
        </w:rPr>
        <w:drawing>
          <wp:inline distT="0" distB="0" distL="0" distR="0" wp14:anchorId="2978BEF1" wp14:editId="1841F18E">
            <wp:extent cx="4187190" cy="30137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8"/>
                    <a:stretch>
                      <a:fillRect/>
                    </a:stretch>
                  </pic:blipFill>
                  <pic:spPr bwMode="auto">
                    <a:xfrm>
                      <a:off x="0" y="0"/>
                      <a:ext cx="4187190" cy="3013710"/>
                    </a:xfrm>
                    <a:prstGeom prst="rect">
                      <a:avLst/>
                    </a:prstGeom>
                  </pic:spPr>
                </pic:pic>
              </a:graphicData>
            </a:graphic>
          </wp:inline>
        </w:drawing>
      </w:r>
    </w:p>
    <w:p w14:paraId="62E2918D" w14:textId="2C3E26EE" w:rsidR="00386CA0" w:rsidRPr="009E1465" w:rsidRDefault="005755B0">
      <w:pPr>
        <w:spacing w:beforeAutospacing="1" w:afterAutospacing="1"/>
        <w:rPr>
          <w:rFonts w:ascii="Times" w:hAnsi="Times"/>
          <w:sz w:val="20"/>
          <w:szCs w:val="20"/>
        </w:rPr>
      </w:pPr>
      <w:r>
        <w:rPr>
          <w:rFonts w:ascii="Times" w:hAnsi="Times"/>
          <w:b/>
          <w:bCs/>
          <w:sz w:val="20"/>
          <w:szCs w:val="20"/>
        </w:rPr>
        <w:t xml:space="preserve">           </w:t>
      </w:r>
      <w:r w:rsidR="076E1112" w:rsidRPr="009E1465">
        <w:rPr>
          <w:rFonts w:ascii="Times" w:hAnsi="Times"/>
          <w:b/>
          <w:bCs/>
          <w:sz w:val="20"/>
          <w:szCs w:val="20"/>
        </w:rPr>
        <w:t>Figure 1.</w:t>
      </w:r>
      <w:r w:rsidR="076E1112" w:rsidRPr="009E1465">
        <w:rPr>
          <w:rFonts w:ascii="Times" w:hAnsi="Times"/>
          <w:sz w:val="20"/>
          <w:szCs w:val="20"/>
        </w:rPr>
        <w:t xml:space="preserve"> </w:t>
      </w:r>
      <w:r w:rsidR="1453D518" w:rsidRPr="009E1465">
        <w:rPr>
          <w:rFonts w:ascii="Times" w:eastAsia="Arial" w:hAnsi="Times" w:cs="Arial"/>
          <w:color w:val="222222"/>
          <w:sz w:val="20"/>
          <w:szCs w:val="20"/>
        </w:rPr>
        <w:t>Healthy vs. Rheumatoid Arthritis-Affected Joints</w:t>
      </w:r>
      <w:r w:rsidR="2EAD1D51" w:rsidRPr="009E1465">
        <w:rPr>
          <w:rFonts w:ascii="Times" w:eastAsia="Arial" w:hAnsi="Times" w:cs="Arial"/>
          <w:color w:val="222222"/>
          <w:sz w:val="20"/>
          <w:szCs w:val="20"/>
        </w:rPr>
        <w:t>.</w:t>
      </w:r>
      <w:r w:rsidR="00BE67AD" w:rsidRPr="009E1465">
        <w:rPr>
          <w:rFonts w:ascii="Times" w:eastAsia="Arial" w:hAnsi="Times" w:cs="Arial"/>
          <w:color w:val="222222"/>
          <w:sz w:val="20"/>
          <w:szCs w:val="20"/>
        </w:rPr>
        <w:t xml:space="preserve"> Reprinted from  </w:t>
      </w:r>
      <w:r w:rsidR="00BE67AD" w:rsidRPr="009E1465">
        <w:rPr>
          <w:rFonts w:ascii="Times" w:eastAsia="Arial" w:hAnsi="Times" w:cs="Arial"/>
          <w:color w:val="222222"/>
          <w:sz w:val="20"/>
          <w:szCs w:val="20"/>
        </w:rPr>
        <w:fldChar w:fldCharType="begin"/>
      </w:r>
      <w:r w:rsidR="00C1537C">
        <w:rPr>
          <w:rFonts w:ascii="Times" w:eastAsia="Arial" w:hAnsi="Times" w:cs="Arial"/>
          <w:color w:val="222222"/>
          <w:sz w:val="20"/>
          <w:szCs w:val="20"/>
        </w:rPr>
        <w:instrText xml:space="preserve"> ADDIN ZOTERO_ITEM CSL_CITATION {"citationID":"33tOFHdW","properties":{"formattedCitation":"[18]","plainCitation":"[18]","noteIndex":0},"citationItems":[{"id":5383,"uris":["http://zotero.org/users/9439317/items/W2P886C4"],"itemData":{"id":5383,"type":"article-journal","abstract":"Rheumatoid arthritis (RA) is an incurable systemic autoimmune disease. Disease progression leads to joint deformity and associated loss of function, which significantly impacts the quality of life for sufferers and adds to losses in the labor force. In the past few decades, RA has attracted increased attention from researchers, the abnormal signaling pathways in RA are a very important research field in the diagnosis and treatment of RA, which provides important evidence for understanding this complex disease and developing novel RA-linked intervention targets. The current review intends to provide a comprehensive overview of RA, including a general introduction to the disease, historical events, epidemiology, risk factors, and pathological process, highlight the primary research progress of the disease and various signaling pathways and molecular mechanisms, including genetic factors, epigenetic factors, summarize the most recent developments in identifying novel signaling pathways in RA and new inhibitors for treating RA. therapeutic interventions including approved drugs, clinical drugs, pre-clinical drugs, and cutting-edge therapeutic technologies. These developments will hopefully drive progress in new strategically targeted therapies and hope to provide novel ideas for RA treatment options in the future.","container-title":"Signal Transduction and Targeted Therapy","DOI":"10.1038/s41392-023-01331-9","ISSN":"2059-3635","issue":"1","journalAbbreviation":"Signal Transduction and Targeted Therapy","page":"68","title":"Signaling pathways in rheumatoid arthritis: implications for targeted therapy","URL":"https://doi.org/10.1038/s41392-023-01331-9","volume":"8","author":[{"family":"Ding","given":"Qian"},{"family":"Hu","given":"Wei"},{"family":"Wang","given":"Ran"},{"family":"Yang","given":"Qinyan"},{"family":"Zhu","given":"Menglin"},{"family":"Li","given":"Meng"},{"family":"Cai","given":"Jianghong"},{"family":"Rose","given":"Peter"},{"family":"Mao","given":"Jianchun"},{"family":"Zhu","given":"Yi Zhun"}],"issued":{"date-parts":[["2023",2,17]]}}}],"schema":"https://github.com/citation-style-language/schema/raw/master/csl-citation.json"} </w:instrText>
      </w:r>
      <w:r w:rsidR="00BE67AD" w:rsidRPr="009E1465">
        <w:rPr>
          <w:rFonts w:ascii="Times" w:eastAsia="Arial" w:hAnsi="Times" w:cs="Arial"/>
          <w:color w:val="222222"/>
          <w:sz w:val="20"/>
          <w:szCs w:val="20"/>
        </w:rPr>
        <w:fldChar w:fldCharType="separate"/>
      </w:r>
      <w:r w:rsidR="00C1537C">
        <w:rPr>
          <w:rFonts w:ascii="Times" w:eastAsia="Arial" w:hAnsi="Times" w:cs="Arial"/>
          <w:noProof/>
          <w:color w:val="222222"/>
          <w:sz w:val="20"/>
          <w:szCs w:val="20"/>
        </w:rPr>
        <w:t>[18]</w:t>
      </w:r>
      <w:r w:rsidR="00BE67AD" w:rsidRPr="009E1465">
        <w:rPr>
          <w:rFonts w:ascii="Times" w:eastAsia="Arial" w:hAnsi="Times" w:cs="Arial"/>
          <w:color w:val="222222"/>
          <w:sz w:val="20"/>
          <w:szCs w:val="20"/>
        </w:rPr>
        <w:fldChar w:fldCharType="end"/>
      </w:r>
      <w:r w:rsidR="00BE67AD" w:rsidRPr="009E1465">
        <w:rPr>
          <w:rFonts w:ascii="Times" w:eastAsia="Arial" w:hAnsi="Times" w:cs="Arial"/>
          <w:color w:val="222222"/>
          <w:sz w:val="20"/>
          <w:szCs w:val="20"/>
        </w:rPr>
        <w:t xml:space="preserve"> Under CC BY license</w:t>
      </w:r>
    </w:p>
    <w:p w14:paraId="4B0C64E6" w14:textId="794A5F75" w:rsidR="00441309" w:rsidRPr="00D22AA7" w:rsidRDefault="747B43BB" w:rsidP="00C83B7A">
      <w:pPr>
        <w:spacing w:beforeAutospacing="1" w:afterAutospacing="1"/>
        <w:jc w:val="both"/>
        <w:rPr>
          <w:rFonts w:ascii="Times" w:hAnsi="Times"/>
        </w:rPr>
      </w:pPr>
      <w:r w:rsidRPr="00D22AA7">
        <w:rPr>
          <w:rFonts w:ascii="Times" w:hAnsi="Times"/>
        </w:rPr>
        <w:t>Pathogens like </w:t>
      </w:r>
      <w:proofErr w:type="spellStart"/>
      <w:r w:rsidRPr="00D22AA7">
        <w:rPr>
          <w:rFonts w:ascii="Times" w:hAnsi="Times"/>
          <w:i/>
          <w:iCs/>
        </w:rPr>
        <w:t>Aggregatibacter</w:t>
      </w:r>
      <w:proofErr w:type="spellEnd"/>
      <w:r w:rsidRPr="00D22AA7">
        <w:rPr>
          <w:rFonts w:ascii="Times" w:hAnsi="Times"/>
          <w:i/>
          <w:iCs/>
        </w:rPr>
        <w:t xml:space="preserve"> </w:t>
      </w:r>
      <w:proofErr w:type="spellStart"/>
      <w:r w:rsidRPr="00D22AA7">
        <w:rPr>
          <w:rFonts w:ascii="Times" w:hAnsi="Times"/>
          <w:i/>
          <w:iCs/>
        </w:rPr>
        <w:t>actinomycetemcomitans</w:t>
      </w:r>
      <w:proofErr w:type="spellEnd"/>
      <w:r w:rsidRPr="00D22AA7">
        <w:rPr>
          <w:rFonts w:ascii="Times" w:hAnsi="Times"/>
        </w:rPr>
        <w:t> (Aa) and </w:t>
      </w:r>
      <w:proofErr w:type="spellStart"/>
      <w:r w:rsidRPr="00D22AA7">
        <w:rPr>
          <w:rFonts w:ascii="Times" w:hAnsi="Times"/>
          <w:i/>
          <w:iCs/>
        </w:rPr>
        <w:t>Porphyromonas</w:t>
      </w:r>
      <w:proofErr w:type="spellEnd"/>
      <w:r w:rsidRPr="00D22AA7">
        <w:rPr>
          <w:rFonts w:ascii="Times" w:hAnsi="Times"/>
          <w:i/>
          <w:iCs/>
        </w:rPr>
        <w:t xml:space="preserve"> </w:t>
      </w:r>
      <w:proofErr w:type="spellStart"/>
      <w:r w:rsidRPr="00D22AA7">
        <w:rPr>
          <w:rFonts w:ascii="Times" w:hAnsi="Times"/>
          <w:i/>
          <w:iCs/>
        </w:rPr>
        <w:t>gingivalis</w:t>
      </w:r>
      <w:proofErr w:type="spellEnd"/>
      <w:r w:rsidRPr="00D22AA7">
        <w:rPr>
          <w:rFonts w:ascii="Times" w:hAnsi="Times"/>
        </w:rPr>
        <w:t xml:space="preserve"> (P. </w:t>
      </w:r>
      <w:proofErr w:type="spellStart"/>
      <w:r w:rsidRPr="00D22AA7">
        <w:rPr>
          <w:rFonts w:ascii="Times" w:hAnsi="Times"/>
        </w:rPr>
        <w:t>gingivalis</w:t>
      </w:r>
      <w:proofErr w:type="spellEnd"/>
      <w:r w:rsidRPr="00D22AA7">
        <w:rPr>
          <w:rFonts w:ascii="Times" w:hAnsi="Times"/>
        </w:rPr>
        <w:t xml:space="preserve">) also contribute to RA development. P. </w:t>
      </w:r>
      <w:proofErr w:type="spellStart"/>
      <w:r w:rsidRPr="00D22AA7">
        <w:rPr>
          <w:rFonts w:ascii="Times" w:hAnsi="Times"/>
        </w:rPr>
        <w:t>gingivalis</w:t>
      </w:r>
      <w:proofErr w:type="spellEnd"/>
      <w:r w:rsidRPr="00D22AA7">
        <w:rPr>
          <w:rFonts w:ascii="Times" w:hAnsi="Times"/>
        </w:rPr>
        <w:t xml:space="preserve"> induces ACPAs through neutrophil extracellular trap (NET) formation and the action of arginine gingipain proteins and PAD, which generate citrullinated proteins. Aa releases leukotoxin A, causing excessive citrullination in</w:t>
      </w:r>
      <w:r w:rsidR="099DF7D8" w:rsidRPr="00D22AA7">
        <w:rPr>
          <w:rFonts w:ascii="Times" w:hAnsi="Times"/>
        </w:rPr>
        <w:t xml:space="preserve"> the</w:t>
      </w:r>
      <w:r w:rsidRPr="00D22AA7">
        <w:rPr>
          <w:rFonts w:ascii="Times" w:hAnsi="Times"/>
        </w:rPr>
        <w:t xml:space="preserve"> neutrophils and </w:t>
      </w:r>
      <w:r w:rsidR="6F5E8281" w:rsidRPr="00D22AA7">
        <w:rPr>
          <w:rFonts w:ascii="Times" w:hAnsi="Times"/>
        </w:rPr>
        <w:t xml:space="preserve">cause the secretion of </w:t>
      </w:r>
      <w:proofErr w:type="spellStart"/>
      <w:r w:rsidRPr="00D22AA7">
        <w:rPr>
          <w:rFonts w:ascii="Times" w:hAnsi="Times"/>
        </w:rPr>
        <w:t>of</w:t>
      </w:r>
      <w:proofErr w:type="spellEnd"/>
      <w:r w:rsidRPr="00D22AA7">
        <w:rPr>
          <w:rFonts w:ascii="Times" w:hAnsi="Times"/>
        </w:rPr>
        <w:t xml:space="preserve"> citrullinated autoantigens</w:t>
      </w:r>
      <w:r w:rsidR="3E7D2EF7"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{"citationID":"Jh5srBTo","properties":{"formattedCitation":"[19,20]","plainCitation":"[19,20]","noteIndex":0},"citationItems":[{"id":7420,"uris":["http://zotero.org/users/9439317/items/5BEGVE4C"],"itemData":{"id":7420,"type":"article-journal","abstract":"Aggregatibacter actinomycetemcomitans generates citrullinated autoantigens involved in rheumatoid arthritis through its pore-forming toxin leukotoxin A. Although rheumatoid arthritis is an autoimmune disease, scientists have long suspected that bacterial infections (and in particular, periodontal infections) may play a role in its pathogenesis. Konig et al. now demonstrate that a particular periodontal pathogen called Aggregatibacter actinomycetemcomitans (Aa) induces changes in neutrophil function, including hypercitrullination of host proteins, an abnormality that is also observed in the joints of patients with rheumatoid arthritis. Moreover, the effect of HLA-DRB1, an allele associated with increased risk of rheumatoid arthritis, was only observed in patients exposed to Aa, suggesting the possibility of eventually using these results to identify and possibly even treat high-risk patients. A bacterial etiology of rheumatoid arthritis (RA) has been suspected since the beginnings of modern germ theory. Recent studies implicate mucosal surfaces as sites of disease initiation. The common occurrence of periodontal dysbiosis in RA suggests that oral pathogens may trigger the production of disease-specific autoantibodies and arthritis in susceptible individuals. We used mass spectrometry to define the microbial composition and antigenic repertoire of gingival crevicular fluid in patients with periodontal disease and healthy controls. Periodontitis was characterized by the presence of citrullinated autoantigens that are primary immune targets in RA. The citrullinome in periodontitis mirrored patterns of hypercitrullination observed in the rheumatoid joint, implicating this mucosal site in RA pathogenesis. Proteomic signatures of several microbial species were detected in hypercitrullinated periodontitis samples. Among these, Aggregatibacter actinomycetemcomitans (Aa), but not other candidate pathogens, induced hypercitrullination in host neutrophils. We identified the pore-forming toxin leukotoxin A (LtxA) as the molecular mechanism by which Aa triggers dysregulated activation of citrullinating enzymes in neutrophils, mimicking membranolytic pathways that sustain autoantigen citrullination in the RA joint. Moreover, LtxA induced changes in neutrophil morphology mimicking extracellular trap formation, thereby releasing the hypercitrullinated cargo. Exposure to leukotoxic Aa strains was confirmed in patients with RA and was associated with both anticitrullinated protein antibodies and rheumatoid factor. The effect of human lymphocyte antigen?DRB1 shared epitope alleles on autoantibody positivity was limited to RA patients who were exposed to Aa. These studies identify the periodontal pathogen Aa as a candidate bacterial trigger of autoimmunity in RA.","container-title":"Science Translational Medicine","DOI":"10.1126/scitranslmed.aaj1921","issue":"369","journalAbbreviation":"Science Translational Medicine","page":"369ra176-369ra176","title":"Aggregatibacter actinomycetemcomitans–induced hypercitrullination links periodontal infection to autoimmunity in rheumatoid arthritis","URL":"https://doi.org/10.1126/scitranslmed.aaj1921","volume":"8","author":[{"family":"Konig","given":"Maximilian F."},{"family":"Abusleme","given":"Loreto"},{"family":"Reinholdt","given":"Jesper"},{"family":"Palmer","given":"Robert J."},{"family":"Teles","given":"Ricardo P."},{"family":"Sampson","given":"Kevon"},{"family":"Rosen","given":"Antony"},{"family":"Nigrovic","given":"Peter A."},{"family":"Sokolove","given":"Jeremy"},{"family":"Giles","given":"Jon T."},{"family":"Moutsopoulos","given":"Niki M."},{"family":"Andrade","given":"Felipe"}],"accessed":{"date-parts":[["2023",1,16]]},"issued":{"date-parts":[["2016",12,14]]}}},{"id":1631,"uris":["http://zotero.org/users/9439317/items/IQDS584Z"],"itemData":{"id":1631,"type":"article-journal","abstract":"Abstract Objective To investigate protein citrullination by the periodontal pathogen Porphyromonas gingivalis as a potential mechanism for breaking tolerance to citrullinated proteins in rheumatoid arthritis (RA). Methods The expression of endogenous citrullinated proteins was analyzed by immunoblotting of cell extracts from P gingivalis and 10 other oral bacteria. P gingivalis?knockout strains lacking the bacterial peptidylarginine deiminases (PADs) or gingipains were created to assess the role of these enzymes in citrullination. Citrullination of human fibrinogen and α-enolase by P gingivalis was studied by incubating live wild-type and knockout strains with the proteins and analyzing the products by immunoblotting and mass spectrometry. Results Endogenous protein citrullination was abundant in P gingivalis but lacking in the other oral bacteria. Deletion of the bacterial PAD gene resulted in complete abrogation of protein citrullination. Inactivation of arginine gingipains, but not lysine gingipains, led to decreased citrullination. Incubation of wild-type P gingivalis with fibrinogen or α-enolase caused degradation of the proteins and citrullination of the resulting peptides at carboxy-terminal arginine residues, which were identified by mass spectrometry. Conclusion Our findings demonstrate that among the oral bacterial pathogens tested, P gingivalis is unique in its ability to citrullinate proteins. We further show that P gingivalis rapidly generates citrullinated host peptides by proteolytic cleavage at Arg-X peptide bonds by arginine gingipains, followed by citrullination of carboxy-terminal arginines by bacterial PAD. Our results suggest a novel model where P gingivalis?mediated citrullination of bacterial and host proteins provides a molecular mechanism for generating antigens that drive the autoimmune response in RA.","container-title":"Arthritis &amp; Rheumatism","DOI":"10.1002/art.27552","ISSN":"0004-3591","issue":"9","journalAbbreviation":"Arthritis &amp; Rheumatism","note":"publisher: John Wiley &amp; Sons, Ltd","page":"2662-2672","title":"Peptidylarginine deiminase from Porphyromonas gingivalis citrullinates human fibrinogen and α-enolase: Implications for autoimmunity in rheumatoid arthritis","URL":"https://doi.org/10.1002/art.27552","volume":"62","author":[{"family":"Wegner","given":"Natalia"},{"family":"Wait","given":"Robin"},{"family":"Sroka","given":"Aneta"},{"family":"Eick","given":"Sigrun"},{"family":"Nguyen","given":"Ky-Anh"},{"family":"Lundberg","given":"Karin"},{"family":"Kinloch","given":"Andrew"},{"family":"Culshaw","given":"Shauna"},{"family":"Potempa","given":"Jan"},{"family":"Venables","given":"Patrick J."}],"accessed":{"date-parts":[["2023",1,16]]},"issued":{"date-parts":[["2010",9,1]]}}}],"schema":"https://github.com/citation-style-language/schema/raw/master/csl-citation.json"} </w:instrText>
      </w:r>
      <w:r w:rsidR="00441309" w:rsidRPr="00D22AA7">
        <w:rPr>
          <w:rFonts w:ascii="Times" w:hAnsi="Times"/>
        </w:rPr>
        <w:fldChar w:fldCharType="separate"/>
      </w:r>
      <w:r w:rsidR="00C1537C">
        <w:rPr>
          <w:rFonts w:ascii="Times" w:hAnsi="Times"/>
          <w:noProof/>
        </w:rPr>
        <w:t>[19,20]</w:t>
      </w:r>
      <w:r w:rsidR="00441309" w:rsidRPr="00D22AA7">
        <w:rPr>
          <w:rFonts w:ascii="Times" w:hAnsi="Times"/>
        </w:rPr>
        <w:fldChar w:fldCharType="end"/>
      </w:r>
      <w:r w:rsidRPr="00D22AA7">
        <w:rPr>
          <w:rFonts w:ascii="Times" w:hAnsi="Times"/>
        </w:rPr>
        <w:t>.</w:t>
      </w:r>
      <w:r w:rsidR="00A921D3" w:rsidRPr="00D22AA7">
        <w:rPr>
          <w:rFonts w:ascii="Times" w:hAnsi="Times"/>
        </w:rPr>
        <w:t xml:space="preserve"> </w:t>
      </w:r>
      <w:r w:rsidR="6535473E" w:rsidRPr="00D22AA7">
        <w:rPr>
          <w:rFonts w:ascii="Times" w:hAnsi="Times"/>
        </w:rPr>
        <w:t>The pathogenesis of RA is driven by the interplay between innate and adaptive immune responses.</w:t>
      </w:r>
      <w:r w:rsidRPr="00D22AA7">
        <w:rPr>
          <w:rFonts w:ascii="Times" w:hAnsi="Times"/>
        </w:rPr>
        <w:t xml:space="preserve"> </w:t>
      </w:r>
      <w:r w:rsidR="6F73758F" w:rsidRPr="00D22AA7">
        <w:rPr>
          <w:rFonts w:ascii="Times" w:hAnsi="Times"/>
        </w:rPr>
        <w:t xml:space="preserve">There are </w:t>
      </w:r>
      <w:r w:rsidR="003D5F45" w:rsidRPr="00D22AA7">
        <w:rPr>
          <w:rFonts w:ascii="Times" w:hAnsi="Times"/>
        </w:rPr>
        <w:t>various</w:t>
      </w:r>
      <w:r w:rsidR="0591C53E" w:rsidRPr="00D22AA7">
        <w:rPr>
          <w:rFonts w:ascii="Times" w:hAnsi="Times"/>
        </w:rPr>
        <w:t xml:space="preserve"> c</w:t>
      </w:r>
      <w:r w:rsidRPr="00D22AA7">
        <w:rPr>
          <w:rFonts w:ascii="Times" w:hAnsi="Times"/>
        </w:rPr>
        <w:t>ytokines</w:t>
      </w:r>
      <w:r w:rsidR="5DBE6040" w:rsidRPr="00D22AA7">
        <w:rPr>
          <w:rFonts w:ascii="Times" w:hAnsi="Times"/>
        </w:rPr>
        <w:t xml:space="preserve"> that</w:t>
      </w:r>
      <w:r w:rsidRPr="00D22AA7">
        <w:rPr>
          <w:rFonts w:ascii="Times" w:hAnsi="Times"/>
        </w:rPr>
        <w:t xml:space="preserve"> increase </w:t>
      </w:r>
      <w:r w:rsidR="705C3149" w:rsidRPr="00D22AA7">
        <w:rPr>
          <w:rFonts w:ascii="Times" w:hAnsi="Times"/>
        </w:rPr>
        <w:t xml:space="preserve">the </w:t>
      </w:r>
      <w:r w:rsidRPr="00D22AA7">
        <w:rPr>
          <w:rFonts w:ascii="Times" w:hAnsi="Times"/>
        </w:rPr>
        <w:t xml:space="preserve">adhesion molecule expression on the synovial membrane, facilitating </w:t>
      </w:r>
      <w:r w:rsidRPr="00D22AA7">
        <w:rPr>
          <w:rFonts w:ascii="Times" w:hAnsi="Times"/>
        </w:rPr>
        <w:lastRenderedPageBreak/>
        <w:t>the migration of inflammatory cells (e.g., lymphocytes, macrophages, plasma cells) into the synovium. These cells activate FLSs, which promote RANKL expression, leading to increased pro-inflammatory cytokine production and osteoclast activity. Osteoclasts degrade bone, while FLSs release matrix metalloproteinases (MMPs) that break down cartilage. Chronic inflammation causes synovial hyperplasia and pannus formation, an abnormal fibrovascular tissue that invades joints and cartilage. VEGF overexpression drives angiogenesis, sustaining pannus formation and exacerbating joint destruction</w:t>
      </w:r>
      <w:r w:rsidR="3E7D2EF7"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{"citationID":"zYiRtVWU","properties":{"formattedCitation":"[14,21,22]","plainCitation":"[14,21,22]","noteIndex":0},"citationItems":[{"id":5453,"uris":["http://zotero.org/users/9439317/items/F3CPX9BB"],"itemData":{"id":5453,"type":"article-journal","abstract":"Rheumatoid arthritis (RA) and periodontitis are chronic inflammatory diseases leading to increased bone resorption. Preventing this inflammatory bone resorption is a major health challenge. Both diseases share immunopathogenic similarities and a common inflammatory environment. The autoimmune response or periodontal infection stimulates certain immune actors, leading in both cases to chronic inflammation that perpetuates bone resorption. Moreover, RA and periodontitis have a strong epidemiological association that could be explained by periodontal microbial dysbiosis. This dysbiosis is believed to be involved in the initiation of RA via three mechanisms. (i) The dissemination of periodontal pathogens triggers systemic inflammation. (ii) Periodontal pathogens can induce the generation of citrullinated neoepitopes, leading to the generation of anti-citrullinated peptide autoantibodies. (iii) Intracellular danger-associated molecular patterns accelerate local and systemic inflammation. Therefore, periodontal dysbiosis could promote or sustain bone resorption in distant inflamed joints. Interestingly, in inflammatory conditions, the existence of osteoclasts distinct from “classical osteoclasts” has recently been reported. They have proinflammatory origins and functions. Several populations of osteoclast precursors have been described in RA, such as classical monocytes, a dendritic cell subtype, and arthritis-associated osteoclastogenic macrophages. The aim of this review is to synthesize knowledge on osteoclasts and their precursors in inflammatory conditions, especially in RA and periodontitis. Special attention will be given to recent data related to RA that could be of potential value in periodontitis due to the immunopathogenic similarities between the two diseases. Improving our understanding of these pathogenic mechanisms should lead to the identification of new therapeutic targets involved in the pathological inflammatory bone resorption associated with these diseases.","container-title":"Bone Research","DOI":"10.1038/s41413-023-00257-w","ISSN":"2095-6231","issue":"1","journalAbbreviation":"Bone Research","page":"26","title":"New insights into inflammatory osteoclast precursors as therapeutic targets for rheumatoid arthritis and periodontitis","URL":"https://doi.org/10.1038/s41413-023-00257-w","volume":"11","author":[{"family":"Hascoët","given":"Emilie"},{"family":"Blanchard","given":"Frédéric"},{"family":"Blin-Wakkach","given":"Claudine"},{"family":"Guicheux","given":"Jérôme"},{"family":"Lesclous","given":"Philippe"},{"family":"Cloitre","given":"Alexandra"}],"issued":{"date-parts":[["2023",5,22]]}}},{"id":5502,"uris":["http://zotero.org/users/9439317/items/CRP9WJ3F"],"itemData":{"id":5502,"type":"article-journal","container-title":"Frontiers in immunology","ISSN":"1664-3224","journalAbbreviation":"Frontiers in immunology","note":"publisher: Frontiers Media SA","page":"655477","title":"A tale of two immune cells in rheumatoid arthritis: the crosstalk between macrophages and T cells in the synovium","volume":"12","author":[{"family":"Tu","given":"Jiajie"},{"family":"Huang","given":"Wei"},{"family":"Zhang","given":"Weiwei"},{"family":"Mei","given":"Jiawei"},{"family":"Zhu","given":"Chen"}],"issued":{"date-parts":[["2021"]]}}},{"id":5631,"uris":["http://zotero.org/users/9439317/items/DEYR7LMY"],"itemData":{"id":5631,"type":"article-journal","container-title":"Brazilian Journal of Health and Biomedical Sciences","ISSN":"2674-8207","issue":"1","journalAbbreviation":"Brazilian Journal of Health and Biomedical Sciences","page":"36-44","title":"Gene regulation of MMPs and TIMPs by somatostatin in human fibroblasts","volume":"22","author":[{"family":"Carvalho","given":"Guilherme N"},{"family":"Santos","given":"Jean N"},{"family":"Araujo","given":"Nara S"},{"family":"Cury","given":"Patrícia R"}],"issued":{"date-parts":[["2023"]]}}}],"schema":"https://github.com/citation-style-language/schema/raw/master/csl-citation.json"} </w:instrText>
      </w:r>
      <w:r w:rsidR="00441309" w:rsidRPr="00D22AA7">
        <w:rPr>
          <w:rFonts w:ascii="Times" w:hAnsi="Times"/>
        </w:rPr>
        <w:fldChar w:fldCharType="separate"/>
      </w:r>
      <w:r w:rsidR="00C1537C">
        <w:rPr>
          <w:rFonts w:ascii="Times" w:hAnsi="Times"/>
          <w:noProof/>
        </w:rPr>
        <w:t>[14,21,22]</w:t>
      </w:r>
      <w:r w:rsidR="00441309" w:rsidRPr="00D22AA7">
        <w:rPr>
          <w:rFonts w:ascii="Times" w:hAnsi="Times"/>
        </w:rPr>
        <w:fldChar w:fldCharType="end"/>
      </w:r>
      <w:r w:rsidR="00A921D3" w:rsidRPr="00D22AA7">
        <w:rPr>
          <w:rFonts w:ascii="Times" w:hAnsi="Times"/>
        </w:rPr>
        <w:t xml:space="preserve">. </w:t>
      </w:r>
      <w:r w:rsidR="00441309" w:rsidRPr="00D22AA7">
        <w:rPr>
          <w:rFonts w:ascii="Times" w:hAnsi="Times"/>
        </w:rPr>
        <w:t>Reactive oxygen species (ROS) produced by activated macrophages also contribute to cartilage and joint degradation. The innate immune system, involving dendritic cells, neutrophils, macrophages, T lymphocytes, and natural killer cells, plays a critical role in RA progression. Macrophages release inflammatory cytokines (e.g., IL-1β, IL-6, TNF-α), matrix-degrading enzymes, and ROS, while also stimulating FLS proliferation</w:t>
      </w:r>
      <w:r w:rsidR="00DC5090" w:rsidRPr="00D22AA7">
        <w:rPr>
          <w:rFonts w:ascii="Times" w:hAnsi="Times"/>
        </w:rPr>
        <w:t xml:space="preserve"> </w:t>
      </w:r>
      <w:r w:rsidR="00DC5090" w:rsidRPr="00D22AA7">
        <w:rPr>
          <w:rFonts w:ascii="Times" w:hAnsi="Times"/>
        </w:rPr>
        <w:fldChar w:fldCharType="begin"/>
      </w:r>
      <w:r w:rsidR="00C1537C">
        <w:rPr>
          <w:rFonts w:ascii="Times" w:hAnsi="Times"/>
        </w:rPr>
        <w:instrText xml:space="preserve"> ADDIN ZOTERO_ITEM CSL_CITATION {"citationID":"xyHL1j7u","properties":{"formattedCitation":"[23\\uc0\\u8211{}25]","plainCitation":"[23–25]","noteIndex":0},"citationItems":[{"id":9862,"uris":["http://zotero.org/users/9439317/items/Q8TQF7W8"],"itemData":{"id":9862,"type":"article-journal","abstract":"Background Rheumatoid arthritis (RA) is an autoimmune inflammatory disorder. Reactive oxygen species (ROS) and pro-inflammatory cytokines have been believed to be involved in the etiopathogenesis of the disease. The aim of the study was to determine the correlation of inflammatory cytokines with 25-hydroxy vitamin D and ROS.   Methods 100 RA patients and 50 healthy age and sex matched individuals were included in the study. Patients were further divided on the basis of presence or absence of rheumatoid factor and disease severity. Serum 25-hydroxy vitamin D levels were monitored by chemiluminescent immunoassay. 10% hematocrit was used to detect the level of ROS by spectro fluorometer. The levels of inflammatory cytokines (TNF-α, IL-1β, IL-6, IL-10 and IL-17) were determined in plasma by ELISA.   Results The level of 25-hydroxy vitamin D was found to be decreased in RA patients in comparison to the control group. However the level of ROS and inflammatory cytokines were found to be elevated in RA patients in comparison with the healthy controls, with the increase being more pronounced in seropositive and RA patients having high disease severity. Inflammatory cytokines showed negative correlation with 25-hydroxy vitamin D and positive correlation with ROS.   Conclusion This study for the first time shows the association of inflammatory cytokines with 25-hydroxy vitamin D and ROS in RA patients. The results suggest that 25-hydroxy vitamin D being an immune modulator is decreased in the serum of RA patients. Further ROS and cytokines play an important role in the pathogenesis of RA and are responsible for increasing the severity of disease.","container-title":"PLOS ONE","DOI":"10.1371/journal.pone.0178879","issue":"6","journalAbbreviation":"PLOS ONE","page":"e0178879","title":"Level of inflammatory cytokines in rheumatoid arthritis patients: Correlation with 25-hydroxy vitamin D and reactive oxygen species","URL":"https://doi.org/10.1371/journal.pone.0178879","volume":"12","author":[{"family":"Mateen","given":"Somaiya"},{"family":"Moin","given":"Shagufta"},{"family":"Shahzad","given":"Sumayya"},{"family":"Khan","given":"Abdul Qayyum"}],"issued":{"date-parts":[["2017",6,8]]}}},{"id":5610,"uris":["http://zotero.org/users/9439317/items/KNZYQXZC"],"itemData":{"id":5610,"type":"article-journal","container-title":"Signal Transduction and Targeted Therapy","ISSN":"2059-3635","issue":"1","journalAbbreviation":"Signal Transduction and Targeted Therapy","note":"publisher: Nature Publishing Group UK London","page":"207","title":"Macrophages in immunoregulation and therapeutics","volume":"8","author":[{"family":"Chen","given":"Shanze"},{"family":"Saeed","given":"Abdullah FUH"},{"family":"Liu","given":"Quan"},{"family":"Jiang","given":"Qiong"},{"family":"Xu","given":"Haizhao"},{"family":"Xiao","given":"Gary Guishan"},{"family":"Rao","given":"Lang"},{"family":"Duo","given":"Yanhong"}],"issued":{"date-parts":[["2023"]]}}},{"id":4352,"uris":["http://zotero.org/users/9439317/items/93VIF6WT"],"itemData":{"id":4352,"type":"article-journal","abstract":"A mAb J43 has been produced against the product of the mouse PD-1 gene, a member of the Ig gene superfamily, which was previously isolated from an apoptosis-induced T cell hybridoma (2B4.11) by using subtractive hybridization. Analyses by flow cytometry and immunoprecipitation using the J43 mAb revealed that the PD-1 gene product is a 50–55 kDa membrane protein expressed on the cell surface of several PD-1 cDNA transfectants and 2B4.11 cells. Since the molecular weight calculated from the amino acid sequence is 29,310, the PD-1 protein appears to be heavily glycosylated. Normal murine lymphoid tissues such as thymus, spleen, lymph node and bone marrow contained very small numbers of PD-1+ cells. However, a significant PD-1+ population appeared in the thymocytes as well as T cells in spleen and lymph nodes by the in vivo anti-CD3 mAb treatment. Furthermore, the PD-1 antigen expression was strongly induced in distinct subsets of thymocytes and spleen T cells by in vitro stimulation with either anti-CD3 mAb or concanavalin A (Con A) which could lead T cells to both activation and cell death. Similarly, PD-1 expression was induced on spleen B cells by in vitro stimulation with anti-IgM antibody. By contrast, PD-1 was not significantly expressed on lymphocytes by treatment with growth factor deprivation, dexamethasone or lipopolysaccharide. These results suggest that the expression of the PD-1 antigen is tightly regulated and induced by signal transduction through the antigen receptor and do not exclude the possibility that the PD-1 antigen may play a role in clonal selection of lymphocytes although PD-1 expression is not required for the common pathway of apoptosis.","container-title":"International Immunology","DOI":"10.1093/intimm/8.5.765","ISSN":"0953-8178","issue":"5","journalAbbreviation":"International Immunology","page":"765-772","title":"Expression of the PD-1 antigen on the surface of stimulated mouse T and B lymphocytes","URL":"https://doi.org/10.1093/intimm/8.5.765","volume":"8","author":[{"family":"Agata","given":"Yasutoshi"},{"family":"Kawasaki","given":"Akemi"},{"family":"Nishimura","given":"Hiroyuki"},{"family":"Ishida","given":"Yasumasa"},{"family":"Tsubat","given":"Takeshi"},{"family":"Yagita","given":"Hideo"},{"family":"Honjo","given":"Tasuku"}],"accessed":{"date-parts":[["2023",2,20]]},"issued":{"date-parts":[["1996",5,1]]}}}],"schema":"https://github.com/citation-style-language/schema/raw/master/csl-citation.json"} </w:instrText>
      </w:r>
      <w:r w:rsidR="00DC5090" w:rsidRPr="00D22AA7">
        <w:rPr>
          <w:rFonts w:ascii="Times" w:hAnsi="Times"/>
        </w:rPr>
        <w:fldChar w:fldCharType="separate"/>
      </w:r>
      <w:r w:rsidR="00C1537C" w:rsidRPr="00C1537C">
        <w:rPr>
          <w:rFonts w:ascii="Times" w:hAnsi="Times"/>
          <w:lang w:val="en-GB"/>
        </w:rPr>
        <w:t>[23–25]</w:t>
      </w:r>
      <w:r w:rsidR="00DC5090" w:rsidRPr="00D22AA7">
        <w:rPr>
          <w:rFonts w:ascii="Times" w:hAnsi="Times"/>
        </w:rPr>
        <w:fldChar w:fldCharType="end"/>
      </w:r>
      <w:r w:rsidR="00441309" w:rsidRPr="00D22AA7">
        <w:rPr>
          <w:rFonts w:ascii="Times" w:hAnsi="Times"/>
        </w:rPr>
        <w:t>.</w:t>
      </w:r>
      <w:r w:rsidR="00A921D3" w:rsidRPr="00D22AA7">
        <w:rPr>
          <w:rFonts w:ascii="Times" w:hAnsi="Times"/>
        </w:rPr>
        <w:t xml:space="preserve"> </w:t>
      </w:r>
      <w:r w:rsidRPr="00D22AA7">
        <w:rPr>
          <w:rFonts w:ascii="Times" w:hAnsi="Times"/>
        </w:rPr>
        <w:t xml:space="preserve">TNF-α, produced by </w:t>
      </w:r>
      <w:r w:rsidR="59C391CD" w:rsidRPr="00D22AA7">
        <w:rPr>
          <w:rFonts w:ascii="Times" w:hAnsi="Times"/>
        </w:rPr>
        <w:t xml:space="preserve">various cells such as natural killer cells, </w:t>
      </w:r>
      <w:r w:rsidRPr="00D22AA7">
        <w:rPr>
          <w:rFonts w:ascii="Times" w:hAnsi="Times"/>
        </w:rPr>
        <w:t>macrophages,</w:t>
      </w:r>
      <w:r w:rsidR="52E89BEB" w:rsidRPr="00D22AA7">
        <w:rPr>
          <w:rFonts w:ascii="Times" w:hAnsi="Times"/>
        </w:rPr>
        <w:t xml:space="preserve"> activated lymphocytes,</w:t>
      </w:r>
      <w:r w:rsidRPr="00D22AA7">
        <w:rPr>
          <w:rFonts w:ascii="Times" w:hAnsi="Times"/>
        </w:rPr>
        <w:t xml:space="preserve"> endothelial </w:t>
      </w:r>
      <w:proofErr w:type="gramStart"/>
      <w:r w:rsidRPr="00D22AA7">
        <w:rPr>
          <w:rFonts w:ascii="Times" w:hAnsi="Times"/>
        </w:rPr>
        <w:t>cells,  and</w:t>
      </w:r>
      <w:proofErr w:type="gramEnd"/>
      <w:r w:rsidRPr="00D22AA7">
        <w:rPr>
          <w:rFonts w:ascii="Times" w:hAnsi="Times"/>
        </w:rPr>
        <w:t xml:space="preserve"> neutrophils, regulates immune cell activation, migration, and adhesion. It also promotes angiogenesis and osteoclastogenesis, contributing to joint and bone destruction. IL-6, produced by FLSs and macrophages, stimulates chemokine release, activates B cells, T cells, and osteoclasts, and promotes VEGF production, further driving pannus formation. IL-1β, produced by macrophages and monocytes, shares many functions with TNF-α</w:t>
      </w:r>
      <w:r w:rsidR="678AB9AF"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LTDZq6mM","properties":{"formattedCitation":"[12,26\\uc0\\u8211{}28]","plainCitation":"[12,26–28]","noteIndex":0},"citationItems":[{"id":4791,"uris":["http://zotero.org/users/9439317/items/9T5MZFJM"],"itemData":{"id":4791,"type":"article-journal","abstract":"Summary\nLymphatic metastasis is facilitated by lymphangiogenic growth factors VEGF-C and VEGF-D that are secreted by some primary tumors. We identified regulation of PGDH, the key enzyme in prostaglandin catabolism, in endothelial cells of collecting lymphatics, as a key molecular change during VEGF-D-driven tumor spread. The VEGF-D-dependent regulation of the prostaglandin pathway was supported by the finding that collecting lymphatic vessel dilation and subsequent metastasis were affected by nonsteroidal anti-inflammatory drugs (NSAIDs), known inhibitors of prostaglandin synthesis. Our data suggest a control point for cancer metastasis within the collecting lymphatic endothelium, which links VEGF-D/VEGFR-2/VEGFR-3 and the prostaglandin pathways. Collecting lymphatics therefore play an active and important role in metastasis and may provide a therapeutic target to restrict tumor spread.","container-title":"Cancer Cell","DOI":"10.1016/j.ccr.2011.12.026","ISSN":"1535-6108","issue":"2","journalAbbreviation":"Cancer Cell","page":"181-195","title":"VEGF-D Promotes Tumor Metastasis by Regulating Prostaglandins Produced by the Collecting Lymphatic Endothelium","URL":"https://www.sciencedirect.com/science/article/pii/S1535610812000050","volume":"21","author":[{"family":"Karnezis","given":"Tara"},{"family":"Shayan","given":"Ramin"},{"family":"Caesar","given":"Carol"},{"family":"Roufail","given":"Sally"},{"family":"Harris","given":"Nicole C."},{"family":"Ardipradja","given":"Kathryn"},{"family":"Zhang","given":"You Fang"},{"family":"Williams","given":"Steven P."},{"family":"Farnsworth","given":"Rae H."},{"family":"Chai","given":"Ming G."},{"family":"Rupasinghe","given":"Thusitha W.T."},{"family":"Tull","given":"Dedreia L."},{"family":"Baldwin","given":"Megan E."},{"family":"Sloan","given":"Erica K."},{"family":"Fox","given":"Stephen B."},{"family":"Achen","given":"Marc G."},{"family":"Stacker","given":"Steven A."}],"issued":{"date-parts":[["2012",2,14]]}}},{"id":5479,"uris":["http://zotero.org/users/9439317/items/5LH6M58F"],"itemData":{"id":5479,"type":"article-journal","abstract":"Rheumatoid arthritis (RA) is characterized by bone destruction in the afflicted joints, and during the process of bone destruction, osteoclasts play a crucial role. Tanshinone IIA (Tan IIA) has shown anti-inflammatory effects in RA. However, the exact molecular mechanisms by which it delays bone destruction remain largely unexplained. Here, we found that Tan IIA decreased the severity of and ameliorated bone loss in an AIA rat model. In vitro, Tan IIA inhibited RANKL-induced osteoclast differentiation. By activity-based protein analysis (ABPP) combined with LC</w:instrText>
      </w:r>
      <w:r w:rsidR="00C1537C">
        <w:instrText>‒</w:instrText>
      </w:r>
      <w:r w:rsidR="00C1537C">
        <w:rPr>
          <w:rFonts w:ascii="Times" w:hAnsi="Times"/>
        </w:rPr>
        <w:instrText>MS/MS, we discovered that Tan IIA covalently binds to the lactate dehydrogenase subunit LDHC and inhibits its enzymatic activity. Moreover, we found that Tan IIA inhibits the generation of osteoclast-specific markers by reducing the accumulation of reactive oxygen species (ROS), thus reducing osteoclast differentiation. Finally, our results reveal that Tan IIA suppresses osteoclast differentiation via LDHC-mediated ROS generation in osteoclasts. Tan IIA can thus be regarded as an effective drug for the treatment of bone damage in RA.","container-title":"Chinese Medicine","DOI":"10.1186/s13020-023-00765-1","ISSN":"1749-8546","issue":"1","journalAbbreviation":"Chinese Medicine","page":"54","title":"Tanshinone IIA inhibits osteoclastogenesis in rheumatoid arthritis via LDHC-regulated ROS generation","URL":"https://doi.org/10.1186/s13020-023-00765-1","volume":"18","author":[{"family":"Peng","given":"Qiuwei"},{"family":"Wang","given":"Jian"},{"family":"Han","given":"Man"},{"family":"Zhao","given":"Minghong"},{"family":"Li","given":"Kesong"},{"family":"Lu","given":"Tianming"},{"family":"Guo","given":"Qiuyan"},{"family":"Jiang","given":"Quan"}],"issued":{"date-parts":[["2023",5,15]]}}},{"id":109,"uris":["http://zotero.org/users/9439317/items/JIG5677B"],"itemData":{"id":109,"type":"article-journal","abstract":"Collagenase-1 (MMP-1) is a protease that is expressed by stromal cells and that is involved in remodeling of the extracellular matrix. IL-1 and TNF-α enhance collagenase secretion by stromal cells, and chronic exposure of cells to these cytokines can contribute to connective tissue disease. In this study, we show that the NF-κB pathway is required for activation of collagenase-1 transcription in rabbit primary synovial fibroblasts (RSF). Although both IL-1 and TNF activate NF-κB in these cells, only IL-1 induces collagenase-1 transcription. We have reported previously that NF-κB and AP-1 cooperate to mediate IL-1-induced MMP-1 transcription. Here, we show that IL-1 is superior to TNF at inducing c-Jun synthesis, phosphorylation and binding activity in RSF. Similarly, IL-1 is more effective at activating the mitogen-activated protein kinases (MAPK), including the extracellular signal-regulated kinases (ERK), which are required for IL-1-induced MMP-1 transcription. Thus stimulation of the ERK and AP-1 pathways is an essential component of MMP-1 transcriptional activation, which is deficient in TNF-treated cells. These studies demonstrate cooperation between the MAPK and NF-κB signaling pathways for IL-1-dependent collagenase-1 transcription, and they define a dichotomy of IL-1- and TNF-elicited signaling that is relevant to cytokine-mediated connective tissue disease.","container-title":"Cytokine","DOI":"https://doi.org/10.1006/cyto.2000.0743","ISSN":"1043-4666","issue":"10","page":"1469-1479","title":"Integration of the NF-κB and mitogen-activated protein kinase/AP-1 pathways at the Collagenase-1 promoter: Divergence of IL-1 and TNF-dependent signal transduction in rabbit primary synovial fibroblasts","URL":"https://www.sciencedirect.com/science/article/pii/S1043466600907439","volume":"12","author":[{"family":"Barchowsky","given":"Aaron"},{"family":"Frleta","given":"Davor"},{"family":"Vincenti","given":"Matthew P."}],"issued":{"date-parts":[["2000"]]}}},{"id":3089,"uris":["http://zotero.org/users/9439317/items/3IMVVQAH"],"itemData":{"id":3089,"type":"article-journal","abstract":"Neutrophil extracellular traps (NETs) are implicated in the pathogenesis of various non-infectious inflammatory and thrombotic diseases. We investigated the presence and possible associations of NETs with various histopathologic parameters in patients with non-alcoholic steatohepatitis (NASH). We retrospectively assessed 20 liver biopsy specimens from patients with non-alcoholic fatty liver disease (NAFLD), including 17 specimens with NASH, and 14 control specimens. NETs were identified with confocal microscopy as extracellular structures with co-localization of neutrophil elastase (NE) and citrullinated histone-3. Interleukin-1β (IL-1β) and IL-17A were assessed with the same methodology. Histologic features of NAFLD were semi-quantitatively evaluated, and correlated with presence of NETs, neutrophil density, and platelet density/aggregates (assessed by immunohistochemistry for NE and CD42b, respectively). NETs were identified in 94.1% (16/17) of the NASH biopsy specimens; they were absent from all other NAFLD and control specimens. The presence of NETs was strongly correlated with steatosis (p</w:instrText>
      </w:r>
      <w:r w:rsidR="00C1537C">
        <w:instrText> </w:instrText>
      </w:r>
      <w:r w:rsidR="00C1537C">
        <w:rPr>
          <w:rFonts w:ascii="Times" w:hAnsi="Times"/>
        </w:rPr>
        <w:instrText>=</w:instrText>
      </w:r>
      <w:r w:rsidR="00C1537C">
        <w:instrText> </w:instrText>
      </w:r>
      <w:r w:rsidR="00C1537C">
        <w:rPr>
          <w:rFonts w:ascii="Times" w:hAnsi="Times"/>
        </w:rPr>
        <w:instrText>0.003), ballooning degeneration (p</w:instrText>
      </w:r>
      <w:r w:rsidR="00C1537C">
        <w:instrText> </w:instrText>
      </w:r>
      <w:r w:rsidR="00C1537C">
        <w:rPr>
          <w:rFonts w:ascii="Times" w:hAnsi="Times"/>
        </w:rPr>
        <w:instrText>&lt;</w:instrText>
      </w:r>
      <w:r w:rsidR="00C1537C">
        <w:instrText> </w:instrText>
      </w:r>
      <w:r w:rsidR="00C1537C">
        <w:rPr>
          <w:rFonts w:ascii="Times" w:hAnsi="Times"/>
        </w:rPr>
        <w:instrText>0.001), lobular inflammation (p</w:instrText>
      </w:r>
      <w:r w:rsidR="00C1537C">
        <w:instrText> </w:instrText>
      </w:r>
      <w:r w:rsidR="00C1537C">
        <w:rPr>
          <w:rFonts w:ascii="Times" w:hAnsi="Times"/>
        </w:rPr>
        <w:instrText>&lt;</w:instrText>
      </w:r>
      <w:r w:rsidR="00C1537C">
        <w:instrText> </w:instrText>
      </w:r>
      <w:r w:rsidR="00C1537C">
        <w:rPr>
          <w:rFonts w:ascii="Times" w:hAnsi="Times"/>
        </w:rPr>
        <w:instrText>0.001), portal inflammation (p</w:instrText>
      </w:r>
      <w:r w:rsidR="00C1537C">
        <w:instrText> </w:instrText>
      </w:r>
      <w:r w:rsidR="00C1537C">
        <w:rPr>
          <w:rFonts w:ascii="Times" w:hAnsi="Times"/>
        </w:rPr>
        <w:instrText>&lt;</w:instrText>
      </w:r>
      <w:r w:rsidR="00C1537C">
        <w:instrText> </w:instrText>
      </w:r>
      <w:r w:rsidR="00C1537C">
        <w:rPr>
          <w:rFonts w:ascii="Times" w:hAnsi="Times"/>
        </w:rPr>
        <w:instrText>0.001), NAS score (p</w:instrText>
      </w:r>
      <w:r w:rsidR="00C1537C">
        <w:instrText> </w:instrText>
      </w:r>
      <w:r w:rsidR="00C1537C">
        <w:rPr>
          <w:rFonts w:ascii="Times" w:hAnsi="Times"/>
        </w:rPr>
        <w:instrText>=</w:instrText>
      </w:r>
      <w:r w:rsidR="00C1537C">
        <w:instrText> </w:instrText>
      </w:r>
      <w:r w:rsidR="00C1537C">
        <w:rPr>
          <w:rFonts w:ascii="Times" w:hAnsi="Times"/>
        </w:rPr>
        <w:instrText>0.001), stage (p</w:instrText>
      </w:r>
      <w:r w:rsidR="00C1537C">
        <w:instrText> </w:instrText>
      </w:r>
      <w:r w:rsidR="00C1537C">
        <w:rPr>
          <w:rFonts w:ascii="Times" w:hAnsi="Times"/>
        </w:rPr>
        <w:instrText>=</w:instrText>
      </w:r>
      <w:r w:rsidR="00C1537C">
        <w:instrText> </w:instrText>
      </w:r>
      <w:r w:rsidR="00C1537C">
        <w:rPr>
          <w:rFonts w:ascii="Times" w:hAnsi="Times"/>
        </w:rPr>
        <w:instrText>0.001), and diagnosis of NASH (p</w:instrText>
      </w:r>
      <w:r w:rsidR="00C1537C">
        <w:instrText> </w:instrText>
      </w:r>
      <w:r w:rsidR="00C1537C">
        <w:rPr>
          <w:rFonts w:ascii="Times" w:hAnsi="Times"/>
        </w:rPr>
        <w:instrText>&lt;</w:instrText>
      </w:r>
      <w:r w:rsidR="00C1537C">
        <w:instrText> </w:instrText>
      </w:r>
      <w:r w:rsidR="00C1537C">
        <w:rPr>
          <w:rFonts w:ascii="Times" w:hAnsi="Times"/>
        </w:rPr>
        <w:instrText xml:space="preserve">0.001). NETs were decorated with IL-1β and IL-17A. Platelet aggregates were much larger in NASH specimens, as compared to controls. In conclusion, NETs are implicated in the pathogenesis of NASH. Their associations with inflammation, ballooning degeneration (a hallmark of NASH), and stage emphasize their role in the disease process. In this setting, NETs provide a vehicle for IL-1β and IL-17A. In addition, platelet aggregation in hepatic sinusoids implies a role for thromboinflammation in NASH, and may explain the low peripheral blood platelet counts reported in patients with NASH.","container-title":"Virchows Archiv","DOI":"10.1007/s00428-022-03330-7","ISSN":"1432-2307","issue":"3","journalAbbreviation":"Virchows Archiv","page":"455-465","title":"Neutrophil extracellular traps enriched with IL-1β and IL-17A participate in the hepatic inflammatory process of patients with non-alcoholic steatohepatitis","URL":"https://doi.org/10.1007/s00428-022-03330-7","volume":"481","author":[{"family":"Arelaki","given":"Stella"},{"family":"Koletsa","given":"Triantafyllia"},{"family":"Sinakos","given":"Emmanuil"},{"family":"Papadopoulos","given":"Vasileios"},{"family":"Arvanitakis","given":"Konstantinos"},{"family":"Skendros","given":"Panagiotis"},{"family":"Akriviadis","given":"Evangelos"},{"family":"Ritis","given":"Konstantinos"},{"family":"Germanidis","given":"Georgios"},{"family":"Hytiroglou","given":"Prodromos"}],"issued":{"date-parts":[["2022",9,1]]}}}],"schema":"https://github.com/citation-style-language/schema/raw/master/csl-citation.json"} </w:instrText>
      </w:r>
      <w:r w:rsidR="00441309" w:rsidRPr="00D22AA7">
        <w:rPr>
          <w:rFonts w:ascii="Times" w:hAnsi="Times"/>
        </w:rPr>
        <w:fldChar w:fldCharType="separate"/>
      </w:r>
      <w:r w:rsidR="00C1537C" w:rsidRPr="00C1537C">
        <w:rPr>
          <w:rFonts w:ascii="Times" w:hAnsi="Times"/>
          <w:lang w:val="en-GB"/>
        </w:rPr>
        <w:t>[12,26–28]</w:t>
      </w:r>
      <w:r w:rsidR="00441309" w:rsidRPr="00D22AA7">
        <w:rPr>
          <w:rFonts w:ascii="Times" w:hAnsi="Times"/>
        </w:rPr>
        <w:fldChar w:fldCharType="end"/>
      </w:r>
      <w:r w:rsidRPr="00D22AA7">
        <w:rPr>
          <w:rFonts w:ascii="Times" w:hAnsi="Times"/>
        </w:rPr>
        <w:t>.</w:t>
      </w:r>
      <w:r w:rsidR="00A921D3" w:rsidRPr="00D22AA7">
        <w:rPr>
          <w:rFonts w:ascii="Times" w:hAnsi="Times"/>
        </w:rPr>
        <w:t xml:space="preserve"> </w:t>
      </w:r>
      <w:r w:rsidRPr="00D22AA7">
        <w:rPr>
          <w:rFonts w:ascii="Times" w:hAnsi="Times"/>
        </w:rPr>
        <w:t>These cytokines activate signaling pathways such as MAPKs, JNK, ERK, p38, PI3K/AKT, and NF-κB, leading to inflammation. Key inflammatory markers, including IL-6, IL-10, TNF-α, NLR, PLR, and</w:t>
      </w:r>
      <w:r w:rsidR="6653D46D" w:rsidRPr="00D22AA7">
        <w:rPr>
          <w:rFonts w:ascii="Times" w:hAnsi="Times"/>
        </w:rPr>
        <w:t xml:space="preserve"> </w:t>
      </w:r>
      <w:r w:rsidRPr="00D22AA7">
        <w:rPr>
          <w:rFonts w:ascii="Times" w:hAnsi="Times"/>
        </w:rPr>
        <w:t>CRP</w:t>
      </w:r>
      <w:r w:rsidR="429CCEBF" w:rsidRPr="00D22AA7">
        <w:rPr>
          <w:rFonts w:ascii="Times" w:hAnsi="Times"/>
        </w:rPr>
        <w:t xml:space="preserve"> </w:t>
      </w:r>
      <w:r w:rsidR="678AB9AF"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azoeoIzn","properties":{"formattedCitation":"[29\\uc0\\u8211{}32]","plainCitation":"[29–32]","noteIndex":0},"citationItems":[{"id":5596,"uris":["http://zotero.org/users/9439317/items/Y2WID5AM"],"itemData":{"id":5596,"type":"article-journal","container-title":"Journal of Biological Chemistry","ISSN":"0021-9258","issue":"11","journalAbbreviation":"Journal of Biological Chemistry","note":"publisher: ASBMB","title":"Autoreactive B cells against malondialdehyde-induced protein cross-links are present in the joint, lung, and bone marrow of rheumatoid arthritis patients","volume":"299","author":[{"family":"Sahlström","given":"Peter"},{"family":"Joshua","given":"Vijay"},{"family":"Valkovskaia","given":"Viktoriia"},{"family":"Biese","given":"Charlotte"},{"family":"Stålesen","given":"Ragnhild"},{"family":"Israelsson","given":"Lena"},{"family":"Végvári","given":"Ákos"},{"family":"Scheel-Toellner","given":"Dagmar"},{"family":"Klareskog","given":"Lars"},{"family":"Hansson","given":"Monika"}],"issued":{"date-parts":[["2023"]]}}},{"id":5552,"uris":["http://zotero.org/users/9439317/items/YJS5M5DI"],"itemData":{"id":5552,"type":"article-journal","language":"en","source":"Zotero","title":"Signal transduction pathways in rheumatoid arthritis with emphasis on the p38 mitogen-activated protein kinase (MAPK) pathway","author":[{"family":"Westra","given":"Johanna"},{"family":"Limburg","given":"Pieter C"}]}},{"id":10595,"uris":["http://zotero.org/users/9439317/items/4N5TVMEL"],"itemData":{"id":10595,"type":"article-journal","container-title":"Journal of Orthopaedic Surgery and Research","journalAbbreviation":"Journal of Orthopaedic Surgery and Research","page":"1-10","title":"The JNK pathway represents a novel target in the treatment of rheumatoid arthritis through the suppression of MMP-3","volume":"15","author":[{"family":"Kanai","given":"Tomotake"},{"family":"Kondo","given":"Naoki"},{"family":"Okada","given":"Masayasu"},{"family":"Sano","given":"Hiroshige"},{"family":"Okumura","given":"Go"},{"family":"Kijima","given":"Yasufumi"},{"family":"Ogose","given":"Akira"},{"family":"Kawashima","given":"Hiroyuki"},{"family":"Endo","given":"Naoto"}],"issued":{"date-parts":[["2020"]]}}},{"id":6519,"uris":["http://zotero.org/users/9439317/items/G3VN2E9F"],"itemData":{"id":6519,"type":"article-journal","abstract":"Excessive bone resorption by osteoclasts within inflamed joints is the most specific hallmark of rheumatoid arthritis. A. flaccida has long been used for the treatment of arthritis in folk medicine of China; however, the active ingredients responsible for the anti-arthritis effects of A. flaccida are still elusive. In this study, W3, a saponin isolated from the extract of A. flaccida was identified as the major active ingredient by using an osteoclast formation model induced by receptor activator of nuclear factor kappa-B ligand (RANKL). W3 dose-dependently suppressed the actin ring formation and lacunar resorption. Mechanistic investigation revealed that W3 inhibited the RANKL-induced TRAF6 expression, decreased phosphorylation of mitogen-activated protein kinases (MAPKs) and IκB-α, and suppressed NF-κB p65 DNA binding activity. Furthermore, W3 almost abrogated the expression of c-Fos and nuclear factor of activated T cells (NFATc1). Therefore, our results suggest that W3 is a potential agent for treating lytic bone diseases although further evaluation in vivo and in clinical trials is needed.","container-title":"International Journal of Biological Sciences","DOI":"10.7150/ijbs.12296","ISSN":"1449-2288","issue":"10","journalAbbreviation":"Int. J. Biol. Sci.","language":"en","page":"1204-1214","source":"DOI.org (Crossref)","title":"Triterpenoid Saponin W3 from Anemone flaccida Suppresses Osteoclast Differentiation through Inhibiting Activation of MAPKs and NF-κB Pathways","URL":"http://www.ijbs.com/v11p1204.htm","volume":"11","author":[{"family":"Kong","given":"Xiangying"},{"family":"Yang","given":"Yue"},{"family":"Wu","given":"Wenbin"},{"family":"Wan","given":"Hongye"},{"family":"Li","given":"Xiaomin"},{"family":"Zhong","given":"Michun"},{"family":"Su","given":"Xiaohui"},{"family":"Jia","given":"Shiwei"},{"family":"Lin","given":"Na"}],"accessed":{"date-parts":[["2022",6,6]]},"issued":{"date-parts":[["2015"]]}}}],"schema":"https://github.com/citation-style-language/schema/raw/master/csl-citation.json"} </w:instrText>
      </w:r>
      <w:r w:rsidR="00441309" w:rsidRPr="00D22AA7">
        <w:rPr>
          <w:rFonts w:ascii="Times" w:hAnsi="Times"/>
        </w:rPr>
        <w:fldChar w:fldCharType="separate"/>
      </w:r>
      <w:r w:rsidR="00C1537C" w:rsidRPr="00C1537C">
        <w:rPr>
          <w:rFonts w:ascii="Times" w:hAnsi="Times"/>
          <w:lang w:val="en-GB"/>
        </w:rPr>
        <w:t>[29–32]</w:t>
      </w:r>
      <w:r w:rsidR="00441309" w:rsidRPr="00D22AA7">
        <w:rPr>
          <w:rFonts w:ascii="Times" w:hAnsi="Times"/>
        </w:rPr>
        <w:fldChar w:fldCharType="end"/>
      </w:r>
      <w:r w:rsidRPr="00D22AA7">
        <w:rPr>
          <w:rFonts w:ascii="Times" w:hAnsi="Times"/>
        </w:rPr>
        <w:t xml:space="preserve">. T-cell involvement is marked by increased T-cell concentration and reduced naive CD4 T-cells at inflammation sites. </w:t>
      </w:r>
      <w:r w:rsidR="007689ED" w:rsidRPr="00D22AA7">
        <w:rPr>
          <w:rFonts w:ascii="Times" w:hAnsi="Times"/>
        </w:rPr>
        <w:t>APC</w:t>
      </w:r>
      <w:r w:rsidRPr="00D22AA7">
        <w:rPr>
          <w:rFonts w:ascii="Times" w:hAnsi="Times"/>
        </w:rPr>
        <w:t xml:space="preserve"> interact with naive CD4 cells, leading to T-cell differentiation into T helper cells and regulatory T cells, which release cytokines like IL-17, IL-1β, IL-10, and IL-6. IL-17 activates macrophages, FLSs, and cytokines, promoting Th17 T helper cell differentiation, regulated by the AhR. Regulatory T cells produce anti-inflammatory cytokines like TGF-β and IL-10</w:t>
      </w:r>
      <w:r w:rsidR="678AB9AF" w:rsidRPr="00D22AA7">
        <w:rPr>
          <w:rFonts w:ascii="Times" w:hAnsi="Times"/>
        </w:rPr>
        <w:t xml:space="preserve"> </w:t>
      </w:r>
      <w:r w:rsidR="00441309" w:rsidRPr="00D22AA7">
        <w:rPr>
          <w:rFonts w:ascii="Times" w:hAnsi="Times"/>
        </w:rPr>
        <w:fldChar w:fldCharType="begin"/>
      </w:r>
      <w:r w:rsidR="00C1537C">
        <w:rPr>
          <w:rFonts w:ascii="Times" w:hAnsi="Times"/>
        </w:rPr>
        <w:instrText xml:space="preserve"> ADDIN ZOTERO_ITEM CSL_CITATION {"citationID":"SWWdsRQ0","properties":{"formattedCitation":"[27,33\\uc0\\u8211{}35]","plainCitation":"[27,33–35]","noteIndex":0},"citationItems":[{"id":109,"uris":["http://zotero.org/users/9439317/items/JIG5677B"],"itemData":{"id":109,"type":"article-journal","abstract":"Collagenase-1 (MMP-1) is a protease that is expressed by stromal cells and that is involved in remodeling of the extracellular matrix. IL-1 and TNF-α enhance collagenase secretion by stromal cells, and chronic exposure of cells to these cytokines can contribute to connective tissue disease. In this study, we show that the NF-κB pathway is required for activation of collagenase-1 transcription in rabbit primary synovial fibroblasts (RSF). Although both IL-1 and TNF activate NF-κB in these cells, only IL-1 induces collagenase-1 transcription. We have reported previously that NF-κB and AP-1 cooperate to mediate IL-1-induced MMP-1 transcription. Here, we show that IL-1 is superior to TNF at inducing c-Jun synthesis, phosphorylation and binding activity in RSF. Similarly, IL-1 is more effective at activating the mitogen-activated protein kinases (MAPK), including the extracellular signal-regulated kinases (ERK), which are required for IL-1-induced MMP-1 transcription. Thus stimulation of the ERK and AP-1 pathways is an essential component of MMP-1 transcriptional activation, which is deficient in TNF-treated cells. These studies demonstrate cooperation between the MAPK and NF-κB signaling pathways for IL-1-dependent collagenase-1 transcription, and they define a dichotomy of IL-1- and TNF-elicited signaling that is relevant to cytokine-mediated connective tissue disease.","container-title":"Cytokine","DOI":"https://doi.org/10.1006/cyto.2000.0743","ISSN":"1043-4666","issue":"10","page":"1469-1479","title":"Integration of the NF-κB and mitogen-activated protein kinase/AP-1 pathways at the Collagenase-1 promoter: Divergence of IL-1 and TNF-dependent signal transduction in rabbit primary synovial fibroblasts","URL":"https://www.sciencedirect.com/science/article/pii/S1043466600907439","volume":"12","author":[{"family":"Barchowsky","given":"Aaron"},{"family":"Frleta","given":"Davor"},{"family":"Vincenti","given":"Matthew P."}],"issued":{"date-parts":[["2000"]]}}},{"id":4967,"uris":["http://zotero.org/users/9439317/items/RN34VEIY"],"itemData":{"id":4967,"type":"article-journal","container-title":"European journal of nuclear medicine","ISSN":"0340-6997","journalAbbreviation":"European journal of nuclear medicine","note":"publisher: Springer","page":"156-159","title":"Imaging rheumatoid arthritis specifically with technetium 99m CD4-specific (T-helper lymphocytes) antibodies","volume":"17","author":[{"family":"Becker","given":"W"},{"family":"Emmrich","given":"F"},{"family":"Horneff","given":"G"},{"family":"Burmester","given":"G"},{"family":"Seiler","given":"F"},{"family":"Schwarz","given":"A"},{"family":"Kalden","given":"J"},{"family":"Wolf","given":"F"}],"issued":{"date-parts":[["1990"]]}}},{"id":4988,"uris":["http://zotero.org/users/9439317/items/4WRL9ZQ4"],"itemData":{"id":4988,"type":"article-journal","abstract":"Resveratrol is a phytochemical with anti-angiogenic, anti-inflammatory, and antioxidant properties. The present study has evaluated the effect of resveratrol on the expression of vascular endothelial growth factor (VEGF), transforming growth factor-β (TGF-β) and matrix metalloproteinase-9 (MMP-9) as factors related to endometriosis progression. Thirteen eutopic (EuESCs) and 8 ectopic (EESCs) endometrial stromal cells from women with endometriosis and 11 control endometrial stromal cells (CESCs) were treated with resveratrol (100 µM) for 6, 24 and 48 h. The gene and protein expression levels of VEGF, TGF-β, and MMP-9 were measured using real-time PCR and ELISA methods, respectively. Results showed that the basal gene and protein expression of VEGF and MMP-9 were higher in EESCs compared to EuESCs and CESCs (P</w:instrText>
      </w:r>
      <w:r w:rsidR="00C1537C">
        <w:instrText> </w:instrText>
      </w:r>
      <w:r w:rsidR="00C1537C">
        <w:rPr>
          <w:rFonts w:ascii="Times" w:hAnsi="Times"/>
        </w:rPr>
        <w:instrText>&lt;</w:instrText>
      </w:r>
      <w:r w:rsidR="00C1537C">
        <w:instrText> </w:instrText>
      </w:r>
      <w:r w:rsidR="00C1537C">
        <w:rPr>
          <w:rFonts w:ascii="Times" w:hAnsi="Times"/>
        </w:rPr>
        <w:instrText xml:space="preserve">0.01 to </w:instrText>
      </w:r>
      <w:r w:rsidR="00C1537C">
        <w:instrText> </w:instrText>
      </w:r>
      <w:r w:rsidR="00C1537C">
        <w:rPr>
          <w:rFonts w:ascii="Times" w:hAnsi="Times"/>
        </w:rPr>
        <w:instrText>&lt;</w:instrText>
      </w:r>
      <w:r w:rsidR="00C1537C">
        <w:instrText> </w:instrText>
      </w:r>
      <w:r w:rsidR="00C1537C">
        <w:rPr>
          <w:rFonts w:ascii="Times" w:hAnsi="Times"/>
        </w:rPr>
        <w:instrText>0.001 and P</w:instrText>
      </w:r>
      <w:r w:rsidR="00C1537C">
        <w:instrText> </w:instrText>
      </w:r>
      <w:r w:rsidR="00C1537C">
        <w:rPr>
          <w:rFonts w:ascii="Times" w:hAnsi="Times"/>
        </w:rPr>
        <w:instrText>&lt;</w:instrText>
      </w:r>
      <w:r w:rsidR="00C1537C">
        <w:instrText> </w:instrText>
      </w:r>
      <w:r w:rsidR="00C1537C">
        <w:rPr>
          <w:rFonts w:ascii="Times" w:hAnsi="Times"/>
        </w:rPr>
        <w:instrText xml:space="preserve">0.05 to </w:instrText>
      </w:r>
      <w:r w:rsidR="00C1537C">
        <w:instrText> </w:instrText>
      </w:r>
      <w:r w:rsidR="00C1537C">
        <w:rPr>
          <w:rFonts w:ascii="Times" w:hAnsi="Times"/>
        </w:rPr>
        <w:instrText>&lt;</w:instrText>
      </w:r>
      <w:r w:rsidR="00C1537C">
        <w:instrText> </w:instrText>
      </w:r>
      <w:r w:rsidR="00C1537C">
        <w:rPr>
          <w:rFonts w:ascii="Times" w:hAnsi="Times"/>
        </w:rPr>
        <w:instrText>0.01 respectively). Also, resveratrol treatment decreased the gene and protein expression of VEGF and MMP-9 in EuESCs, EESCs and CESCs (P</w:instrText>
      </w:r>
      <w:r w:rsidR="00C1537C">
        <w:instrText> </w:instrText>
      </w:r>
      <w:r w:rsidR="00C1537C">
        <w:rPr>
          <w:rFonts w:ascii="Times" w:hAnsi="Times"/>
        </w:rPr>
        <w:instrText>&lt;</w:instrText>
      </w:r>
      <w:r w:rsidR="00C1537C">
        <w:instrText> </w:instrText>
      </w:r>
      <w:r w:rsidR="00C1537C">
        <w:rPr>
          <w:rFonts w:ascii="Times" w:hAnsi="Times"/>
        </w:rPr>
        <w:instrText xml:space="preserve">0.05 to </w:instrText>
      </w:r>
      <w:r w:rsidR="00C1537C">
        <w:instrText> </w:instrText>
      </w:r>
      <w:r w:rsidR="00C1537C">
        <w:rPr>
          <w:rFonts w:ascii="Times" w:hAnsi="Times"/>
        </w:rPr>
        <w:instrText>&lt;</w:instrText>
      </w:r>
      <w:r w:rsidR="00C1537C">
        <w:instrText> </w:instrText>
      </w:r>
      <w:r w:rsidR="00C1537C">
        <w:rPr>
          <w:rFonts w:ascii="Times" w:hAnsi="Times"/>
        </w:rPr>
        <w:instrText>0.01 and P</w:instrText>
      </w:r>
      <w:r w:rsidR="00C1537C">
        <w:instrText> </w:instrText>
      </w:r>
      <w:r w:rsidR="00C1537C">
        <w:rPr>
          <w:rFonts w:ascii="Times" w:hAnsi="Times"/>
        </w:rPr>
        <w:instrText>&lt;</w:instrText>
      </w:r>
      <w:r w:rsidR="00C1537C">
        <w:instrText> </w:instrText>
      </w:r>
      <w:r w:rsidR="00C1537C">
        <w:rPr>
          <w:rFonts w:ascii="Times" w:hAnsi="Times"/>
        </w:rPr>
        <w:instrText xml:space="preserve">0.05 to </w:instrText>
      </w:r>
      <w:r w:rsidR="00C1537C">
        <w:instrText> </w:instrText>
      </w:r>
      <w:r w:rsidR="00C1537C">
        <w:rPr>
          <w:rFonts w:ascii="Times" w:hAnsi="Times"/>
        </w:rPr>
        <w:instrText>&lt;</w:instrText>
      </w:r>
      <w:r w:rsidR="00C1537C">
        <w:instrText> </w:instrText>
      </w:r>
      <w:r w:rsidR="00C1537C">
        <w:rPr>
          <w:rFonts w:ascii="Times" w:hAnsi="Times"/>
        </w:rPr>
        <w:instrText>0.01 respectively) and gene and protein expression of TGF-β in EESCs and EuESCs (P</w:instrText>
      </w:r>
      <w:r w:rsidR="00C1537C">
        <w:instrText> </w:instrText>
      </w:r>
      <w:r w:rsidR="00C1537C">
        <w:rPr>
          <w:rFonts w:ascii="Times" w:hAnsi="Times"/>
        </w:rPr>
        <w:instrText>&lt;</w:instrText>
      </w:r>
      <w:r w:rsidR="00C1537C">
        <w:instrText> </w:instrText>
      </w:r>
      <w:r w:rsidR="00C1537C">
        <w:rPr>
          <w:rFonts w:ascii="Times" w:hAnsi="Times"/>
        </w:rPr>
        <w:instrText xml:space="preserve">0.05 to </w:instrText>
      </w:r>
      <w:r w:rsidR="00C1537C">
        <w:instrText> </w:instrText>
      </w:r>
      <w:r w:rsidR="00C1537C">
        <w:rPr>
          <w:rFonts w:ascii="Times" w:hAnsi="Times"/>
        </w:rPr>
        <w:instrText>&lt;</w:instrText>
      </w:r>
      <w:r w:rsidR="00C1537C">
        <w:instrText> </w:instrText>
      </w:r>
      <w:r w:rsidR="00C1537C">
        <w:rPr>
          <w:rFonts w:ascii="Times" w:hAnsi="Times"/>
        </w:rPr>
        <w:instrText>0.01). The effect of resveratrol in reduction of VEGF gene expression was statistically more noticeable in EESCs compared to EuESCs and CESCs (P</w:instrText>
      </w:r>
      <w:r w:rsidR="00C1537C">
        <w:instrText> </w:instrText>
      </w:r>
      <w:r w:rsidR="00C1537C">
        <w:rPr>
          <w:rFonts w:ascii="Times" w:hAnsi="Times"/>
        </w:rPr>
        <w:instrText>&lt;</w:instrText>
      </w:r>
      <w:r w:rsidR="00C1537C">
        <w:instrText> </w:instrText>
      </w:r>
      <w:r w:rsidR="00C1537C">
        <w:rPr>
          <w:rFonts w:ascii="Times" w:hAnsi="Times"/>
        </w:rPr>
        <w:instrText xml:space="preserve">0.05). According to the findings, resveratrol may ameliorate endometriosis progression through reducing the expression of VEGF, TGF-β, and MMP-9 in endometrial stromal cells (ESCs).","container-title":"Scientific Reports","DOI":"10.1038/s41598-021-85512-y","ISSN":"2045-2322","issue":"1","journalAbbreviation":"Scientific Reports","page":"6054","title":"The effects of resveratrol on the expression of VEGF, TGF-β, and MMP-9 in endometrial stromal cells of women with endometriosis","URL":"https://doi.org/10.1038/s41598-021-85512-y","volume":"11","author":[{"family":"Arablou","given":"Tahereh"},{"family":"Aryaeian","given":"Naheed"},{"family":"Khodaverdi","given":"Sepideh"},{"family":"Kolahdouz-Mohammadi","given":"Roya"},{"family":"Moradi","given":"Zahra"},{"family":"Rashidi","given":"Nesa"},{"family":"Delbandi","given":"Ali-Akbar"}],"issued":{"date-parts":[["2021",3,15]]}}},{"id":117,"uris":["http://zotero.org/users/9439317/items/9PGQA7VL"],"itemData":{"id":117,"type":"article-journal","abstract":"The contributions of aryl hydrocarbon receptor (Ahr) to the pathogenesis of rheumatoid arthritis have not been elucidated. Here, we show that Ahr deficiency ameliorated collagen-induced arthritis, a mouse model of RA. Collagen-immunized Ahr KO mice showed decreased serum levels of such proinflammatory cytokines as IL-1β and IL-6. The Th17 and Th1 cell populations in lymph nodes from these mice decreased and increased, respectively, whereas the percentage of regulatory T cells was unchanged. Interestingly, a lack of Ahr specifically in T cells significantly suppressed collagen-induced arthritis development, whereas Ahr deficiency in macrophages had no effect. These finding indicate that the development of experimental autoimmune arthritis depends on the presence of Ahr in T cells, and that Th1/Th17 balance may be particularly important for this process.","container-title":"Proceedings of the National Academy of Sciences","DOI":"10.1073/pnas.1111786108","issue":"34","note":"_eprint: https://www.pnas.org/doi/pdf/10.1073/pnas.1111786108","page":"14222-14227","title":"Aryl hydrocarbon receptor deficiency in T cells suppresses the development of collagen-induced arthritis","URL":"https://www.pnas.org/doi/abs/10.1073/pnas.1111786108","volume":"108","author":[{"family":"Nakahama","given":"Taisuke"},{"family":"Kimura","given":"Akihiro"},{"family":"Nguyen","given":"Nam Trung"},{"family":"Chinen","given":"Ichino"},{"family":"Hanieh","given":"Hamza"},{"family":"Nohara","given":"Keiko"},{"family":"Fujii-Kuriyama","given":"Yoshiaki"},{"family":"Kishimoto","given":"Tadamitsu"}],"issued":{"date-parts":[["2011"]]}}}],"schema":"https://github.com/citation-style-language/schema/raw/master/csl-citation.json"} </w:instrText>
      </w:r>
      <w:r w:rsidR="00441309" w:rsidRPr="00D22AA7">
        <w:rPr>
          <w:rFonts w:ascii="Times" w:hAnsi="Times"/>
        </w:rPr>
        <w:fldChar w:fldCharType="separate"/>
      </w:r>
      <w:r w:rsidR="00C1537C" w:rsidRPr="00C1537C">
        <w:rPr>
          <w:rFonts w:ascii="Times" w:hAnsi="Times"/>
          <w:lang w:val="en-GB"/>
        </w:rPr>
        <w:t>[27,33–35]</w:t>
      </w:r>
      <w:r w:rsidR="00441309" w:rsidRPr="00D22AA7">
        <w:rPr>
          <w:rFonts w:ascii="Times" w:hAnsi="Times"/>
        </w:rPr>
        <w:fldChar w:fldCharType="end"/>
      </w:r>
      <w:r w:rsidR="00F80EE8">
        <w:rPr>
          <w:rFonts w:ascii="Times" w:hAnsi="Times"/>
        </w:rPr>
        <w:t xml:space="preserve"> (figure 2)</w:t>
      </w:r>
      <w:r w:rsidRPr="00D22AA7">
        <w:rPr>
          <w:rFonts w:ascii="Times" w:hAnsi="Times"/>
        </w:rPr>
        <w:t>.</w:t>
      </w:r>
    </w:p>
    <w:p w14:paraId="35C2EA8F" w14:textId="411B8531" w:rsidR="009A0D42" w:rsidRPr="00D22AA7" w:rsidRDefault="005755B0">
      <w:pPr>
        <w:pStyle w:val="BodyText"/>
        <w:rPr>
          <w:rFonts w:ascii="Times" w:hAnsi="Times"/>
        </w:rPr>
      </w:pPr>
      <w:r>
        <w:rPr>
          <w:rFonts w:ascii="Times" w:hAnsi="Times"/>
        </w:rPr>
        <w:lastRenderedPageBreak/>
        <w:t xml:space="preserve">                                 </w:t>
      </w:r>
      <w:r w:rsidR="00714DE7" w:rsidRPr="00D22AA7">
        <w:rPr>
          <w:rFonts w:ascii="Times" w:hAnsi="Times"/>
        </w:rPr>
        <w:fldChar w:fldCharType="begin"/>
      </w:r>
      <w:r w:rsidR="00714DE7" w:rsidRPr="00D22AA7">
        <w:rPr>
          <w:rFonts w:ascii="Times" w:hAnsi="Times"/>
        </w:rPr>
        <w:instrText xml:space="preserve"> INCLUDEPICTURE "https://www.mdpi.com/life/life-14-00751/article_deploy/html/images/life-14-00751-g002.png" \* MERGEFORMATINET </w:instrText>
      </w:r>
      <w:r w:rsidR="00714DE7" w:rsidRPr="00D22AA7">
        <w:rPr>
          <w:rFonts w:ascii="Times" w:hAnsi="Times"/>
        </w:rPr>
        <w:fldChar w:fldCharType="separate"/>
      </w:r>
      <w:r w:rsidR="00714DE7" w:rsidRPr="00D22AA7">
        <w:rPr>
          <w:rFonts w:ascii="Times" w:hAnsi="Times"/>
          <w:noProof/>
        </w:rPr>
        <w:drawing>
          <wp:inline distT="0" distB="0" distL="0" distR="0" wp14:anchorId="590B9543" wp14:editId="195735D5">
            <wp:extent cx="4017819" cy="5115423"/>
            <wp:effectExtent l="0" t="0" r="0" b="3175"/>
            <wp:docPr id="736530005" name="Picture 1" descr="Life 14 00751 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fe 14 00751 g00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77299" cy="5445788"/>
                    </a:xfrm>
                    <a:prstGeom prst="rect">
                      <a:avLst/>
                    </a:prstGeom>
                    <a:noFill/>
                    <a:ln>
                      <a:noFill/>
                    </a:ln>
                  </pic:spPr>
                </pic:pic>
              </a:graphicData>
            </a:graphic>
          </wp:inline>
        </w:drawing>
      </w:r>
      <w:r w:rsidR="00714DE7" w:rsidRPr="00D22AA7">
        <w:rPr>
          <w:rFonts w:ascii="Times" w:hAnsi="Times"/>
        </w:rPr>
        <w:fldChar w:fldCharType="end"/>
      </w:r>
    </w:p>
    <w:p w14:paraId="4A1BCA86" w14:textId="73D062FE" w:rsidR="009E1465" w:rsidRPr="005755B0" w:rsidRDefault="005755B0" w:rsidP="009E1465">
      <w:pPr>
        <w:spacing w:beforeAutospacing="1" w:afterAutospacing="1"/>
        <w:rPr>
          <w:rFonts w:ascii="Times" w:eastAsia="Arial" w:hAnsi="Times" w:cs="Arial"/>
          <w:color w:val="222222"/>
          <w:sz w:val="20"/>
          <w:szCs w:val="20"/>
        </w:rPr>
      </w:pPr>
      <w:r>
        <w:rPr>
          <w:rFonts w:ascii="Times" w:hAnsi="Times"/>
          <w:b/>
          <w:bCs/>
          <w:sz w:val="20"/>
          <w:szCs w:val="20"/>
        </w:rPr>
        <w:t xml:space="preserve">                                       </w:t>
      </w:r>
      <w:r w:rsidR="5C61B354" w:rsidRPr="009E1465">
        <w:rPr>
          <w:rFonts w:ascii="Times" w:hAnsi="Times"/>
          <w:b/>
          <w:bCs/>
          <w:sz w:val="20"/>
          <w:szCs w:val="20"/>
        </w:rPr>
        <w:t>Figure 2.</w:t>
      </w:r>
      <w:r w:rsidR="5C61B354" w:rsidRPr="009E1465">
        <w:rPr>
          <w:rFonts w:ascii="Times" w:hAnsi="Times"/>
          <w:sz w:val="20"/>
          <w:szCs w:val="20"/>
        </w:rPr>
        <w:t xml:space="preserve"> </w:t>
      </w:r>
      <w:r w:rsidR="00502B2A" w:rsidRPr="009E1465">
        <w:rPr>
          <w:rFonts w:ascii="Times" w:eastAsia="Arial" w:hAnsi="Times" w:cs="Arial"/>
          <w:color w:val="222222"/>
          <w:sz w:val="20"/>
          <w:szCs w:val="20"/>
        </w:rPr>
        <w:t>Etiology of Rheumatoid Arthritis</w:t>
      </w:r>
      <w:r w:rsidR="00BE67AD" w:rsidRPr="009E1465">
        <w:rPr>
          <w:rFonts w:ascii="Times" w:eastAsia="Arial" w:hAnsi="Times" w:cs="Arial"/>
          <w:color w:val="222222"/>
          <w:sz w:val="20"/>
          <w:szCs w:val="20"/>
        </w:rPr>
        <w:t xml:space="preserve">. Reprinted from </w:t>
      </w:r>
      <w:r w:rsidR="00BE67AD" w:rsidRPr="009E1465">
        <w:rPr>
          <w:rFonts w:ascii="Times" w:eastAsia="Arial" w:hAnsi="Times" w:cs="Arial"/>
          <w:color w:val="222222"/>
          <w:sz w:val="20"/>
          <w:szCs w:val="20"/>
        </w:rPr>
        <w:fldChar w:fldCharType="begin"/>
      </w:r>
      <w:r w:rsidR="00C1537C">
        <w:rPr>
          <w:rFonts w:ascii="Times" w:eastAsia="Arial" w:hAnsi="Times" w:cs="Arial"/>
          <w:color w:val="222222"/>
          <w:sz w:val="20"/>
          <w:szCs w:val="20"/>
        </w:rPr>
        <w:instrText xml:space="preserve"> ADDIN ZOTERO_ITEM CSL_CITATION {"citationID":"uPdA7ADu","properties":{"formattedCitation":"[36]","plainCitation":"[36]","noteIndex":0},"citationItems":[{"id":5381,"uris":["http://zotero.org/users/9439317/items/AD3KSL9A"],"itemData":{"id":5381,"type":"article-journal","abstract":"Rheumatoid arthritis (RA) is considered a chronic systemic, multi-factorial, inflammatory, and progressive autoimmune disease affecting many people worldwide. While patients show very individual courses of disease, with RA focusing on the musculoskeletal system, joints are often severely affected, leading to local inflammation, cartilage destruction, and bone erosion. To prevent joint damage and physical disability as one of many symptoms of RA, early diagnosis is critical. Auto-antibodies play a pivotal clinical role in patients with systemic RA. As biomarkers, they could help to make a more efficient diagnosis, prognosis, and treatment decision. Besides auto-antibodies, several other factors are involved in the progression of RA, such as epigenetic alterations, post-translational modifications, glycosylation, autophagy, and T-cells. Understanding the interplay between these factors would contribute to a deeper insight into the causes, mechanisms, progression, and treatment of the disease. In this review, the latest RA research findings are discussed to better understand the pathogenesis, and finally, treatment strategies for RA therapy are presented, including both conventional approaches and new methods that have been developed in recent years or are currently under investigation.","container-title":"Cells","DOI":"10.3390/cells10113017","ISSN":"2073-4409","issue":"11","title":"Recent Advances in Understanding the Pathogenesis of Rheumatoid Arthritis: New Treatment Strategies","volume":"10","author":[{"family":"Mueller","given":"Anna-Lena"},{"family":"Payandeh","given":"Zahra"},{"family":"Mohammadkhani","given":"Niloufar"},{"family":"Mubarak","given":"Shaden M. H."},{"family":"Zakeri","given":"Alireza"},{"family":"Alagheband Bahrami","given":"Armina"},{"family":"Brockmueller","given":"Aranka"},{"family":"Shakibaei","given":"Mehdi"}],"issued":{"date-parts":[["2021"]]}}}],"schema":"https://github.com/citation-style-language/schema/raw/master/csl-citation.json"} </w:instrText>
      </w:r>
      <w:r w:rsidR="00BE67AD" w:rsidRPr="009E1465">
        <w:rPr>
          <w:rFonts w:ascii="Times" w:eastAsia="Arial" w:hAnsi="Times" w:cs="Arial"/>
          <w:color w:val="222222"/>
          <w:sz w:val="20"/>
          <w:szCs w:val="20"/>
        </w:rPr>
        <w:fldChar w:fldCharType="separate"/>
      </w:r>
      <w:r w:rsidR="00C1537C">
        <w:rPr>
          <w:rFonts w:ascii="Times" w:eastAsia="Arial" w:hAnsi="Times" w:cs="Arial"/>
          <w:noProof/>
          <w:color w:val="222222"/>
          <w:sz w:val="20"/>
          <w:szCs w:val="20"/>
        </w:rPr>
        <w:t>[36]</w:t>
      </w:r>
      <w:r w:rsidR="00BE67AD" w:rsidRPr="009E1465">
        <w:rPr>
          <w:rFonts w:ascii="Times" w:eastAsia="Arial" w:hAnsi="Times" w:cs="Arial"/>
          <w:color w:val="222222"/>
          <w:sz w:val="20"/>
          <w:szCs w:val="20"/>
        </w:rPr>
        <w:fldChar w:fldCharType="end"/>
      </w:r>
    </w:p>
    <w:p w14:paraId="5FE4EDA9" w14:textId="7DE1821F" w:rsidR="00386CA0" w:rsidRPr="00D22AA7" w:rsidRDefault="11AAE731" w:rsidP="00C83B7A">
      <w:pPr>
        <w:spacing w:before="240" w:after="240"/>
        <w:jc w:val="both"/>
        <w:rPr>
          <w:rFonts w:ascii="Times" w:hAnsi="Times"/>
        </w:rPr>
      </w:pPr>
      <w:r w:rsidRPr="00D22AA7">
        <w:rPr>
          <w:rFonts w:ascii="Times" w:hAnsi="Times"/>
        </w:rPr>
        <w:t>The innate immune system acts as the body's first line of defense against invading pathogens by utilizing a variety of protective mechanisms, including antibacterial peptides, mannose-binding lectins, the alternative complement activation pathway</w:t>
      </w:r>
      <w:r w:rsidR="30C3B90B" w:rsidRPr="00D22AA7">
        <w:rPr>
          <w:rFonts w:ascii="Times" w:hAnsi="Times"/>
        </w:rPr>
        <w:t xml:space="preserve"> </w:t>
      </w:r>
      <w:r w:rsidR="00D45672" w:rsidRPr="00D22AA7">
        <w:rPr>
          <w:rFonts w:ascii="Times" w:hAnsi="Times"/>
        </w:rPr>
        <w:fldChar w:fldCharType="begin"/>
      </w:r>
      <w:r w:rsidR="00C1537C">
        <w:rPr>
          <w:rFonts w:ascii="Times" w:hAnsi="Times"/>
        </w:rPr>
        <w:instrText xml:space="preserve"> ADDIN ZOTERO_ITEM CSL_CITATION {"citationID":"vWoeTSe3","properties":{"formattedCitation":"[37,38]","plainCitation":"[37,38]","noteIndex":0},"citationItems":[{"id":492,"uris":["http://zotero.org/users/9439317/items/6IVJVBIN"],"itemData":{"id":492,"type":"article-journal","abstract":"Innate lymphoid cells (ILCs) are kind of innate immune cells which can be divided into three main subsets according to their cytokine release profile, transcription factors, and surface markers. ILCs affect the initial stages of immunity in response to microbes and participate in immunity, inflammation, and tissue repair. ILCs modulate immunity through resistance to the pathogens and regulation of autoimmune inflammation and metabolic homeostasis. Therefore dysregulation of ILCs may lead to chronic pathologies such as allergies (i.e., asthma), inflammation (i.e., inflammatory bowel disease), and autoimmunity (i.e., psoriasis, atopic dermatitis, rheumatoid arthritis, multiple sclerosis, and ankylosing spondylitis). Regarding the critical role of ILCs in the regulation of immune system, the elucidation of their function in different conditions makes an interesting target for improvement of novel therapeutic approach to modulate an immune response in different disease context.","container-title":"Journal of Cellular Physiology","DOI":"10.1002/JCP.26250","issue":"6","note":"publisher: Wiley-Liss Inc.","page":"4512-4529","title":"The role of innate lymphoid cells in health and disease","volume":"233","author":[{"family":"Mohammadi","given":"Hamed"},{"family":"Sharafkandi","given":"Nadia"},{"family":"Hemmatzadeh","given":"Maryam"},{"family":"Azizi","given":"Gholamreza"},{"family":"Karimi","given":"Mohammad"},{"family":"Jadidi-Niaragh","given":"Farhad"},{"family":"Baradaran","given":"Behzad"},{"family":"Babaloo","given":"Zohreh"}],"accessed":{"date-parts":[["2021",10,18]]},"issued":{"date-parts":[["2018",6,1]]}}},{"id":12056,"uris":["http://zotero.org/users/9439317/items/LFJMTHZS"],"itemData":{"id":12056,"type":"article-journal","abstract":"This review aims to briefly discuss a short list of a broad variety of inflammatory cytokines. Numerous studies have implicated that inflammatory cytokines exert important effects with regard to various inflammatory diseases, yet the reports on their specific roles are not always consistent. They can be used as biomarkers to indicate or monitor disease or its progress, and also may serve as clinically applicable parameters for therapies. Yet, their precise role is not always clearly defined. Thus, in this review, we focus on the existing literature dealing with the biology of cytokines interleukin (IL)-6, IL-1, IL-33, tumor necrosis factor-alpha (TNF-α), IL-10, and IL-8. We will briefly focus on the correlations and role of these inflammatory mediators in the genesis of inflammatory impacts (e.g., shock, trauma, immune dysregulation, osteoporosis, and/or critical illness).","container-title":"International Journal of Molecular Sciences","DOI":"10.3390/ijms20236008","ISSN":"14220067","issue":"23","title":"Cytokines in inflammatory disease","volume":"20","author":[{"family":"Kany","given":"Shinwan"},{"family":"Vollrath","given":"Jan Tilmann"},{"family":"Relja","given":"Borna"}],"issued":{"date-parts":[["2019",12,1]]}}}],"schema":"https://github.com/citation-style-language/schema/raw/master/csl-citation.json"} </w:instrText>
      </w:r>
      <w:r w:rsidR="00D45672" w:rsidRPr="00D22AA7">
        <w:rPr>
          <w:rFonts w:ascii="Times" w:hAnsi="Times"/>
        </w:rPr>
        <w:fldChar w:fldCharType="separate"/>
      </w:r>
      <w:r w:rsidR="00C1537C">
        <w:rPr>
          <w:rFonts w:ascii="Times" w:hAnsi="Times"/>
          <w:noProof/>
        </w:rPr>
        <w:t>[37,38]</w:t>
      </w:r>
      <w:r w:rsidR="00D45672" w:rsidRPr="00D22AA7">
        <w:rPr>
          <w:rFonts w:ascii="Times" w:hAnsi="Times"/>
        </w:rPr>
        <w:fldChar w:fldCharType="end"/>
      </w:r>
      <w:r w:rsidR="30C3B90B" w:rsidRPr="00D22AA7">
        <w:rPr>
          <w:rFonts w:ascii="Times" w:hAnsi="Times"/>
        </w:rPr>
        <w:t xml:space="preserve">. </w:t>
      </w:r>
      <w:r w:rsidRPr="00D22AA7">
        <w:rPr>
          <w:rFonts w:ascii="Times" w:hAnsi="Times"/>
        </w:rPr>
        <w:t>This system comprises a diverse range of immune cells, such as dendritic cells, neutrophils, macrophages, T lymphocytes, and</w:t>
      </w:r>
      <w:r w:rsidR="238E9285" w:rsidRPr="00D22AA7">
        <w:rPr>
          <w:rFonts w:ascii="Times" w:hAnsi="Times"/>
        </w:rPr>
        <w:t xml:space="preserve"> </w:t>
      </w:r>
      <w:r w:rsidRPr="00D22AA7">
        <w:rPr>
          <w:rFonts w:ascii="Times" w:hAnsi="Times"/>
        </w:rPr>
        <w:t>NK cells, which work in coordination to detect and eliminate potential threats.</w:t>
      </w:r>
      <w:r w:rsidR="0028C2C8" w:rsidRPr="00D22AA7">
        <w:rPr>
          <w:rFonts w:ascii="Times" w:hAnsi="Times"/>
        </w:rPr>
        <w:t xml:space="preserve"> </w:t>
      </w:r>
      <w:r w:rsidRPr="00D22AA7">
        <w:rPr>
          <w:rFonts w:ascii="Times" w:hAnsi="Times"/>
        </w:rPr>
        <w:t xml:space="preserve">Among these immune cells, macrophages play a particularly significant role in the pathogenesis and progression of rheumatoid arthritis (RA). These cells contribute to the inflammatory environment by secreting a variety of pro-inflammatory cytokines, including interleukin-1 beta (IL-1β), interleukin-6 (IL-6), and tumor necrosis factor-alpha (TNF-α). These cytokines not only promote systemic inflammation but also contribute to joint destruction by activating other immune cells and enhancing the production of matrix-degrading enzymes and ROS </w:t>
      </w:r>
      <w:r w:rsidR="00D45672" w:rsidRPr="00D22AA7">
        <w:rPr>
          <w:rFonts w:ascii="Times" w:hAnsi="Times"/>
        </w:rPr>
        <w:fldChar w:fldCharType="begin"/>
      </w:r>
      <w:r w:rsidR="00C1537C">
        <w:rPr>
          <w:rFonts w:ascii="Times" w:hAnsi="Times"/>
        </w:rPr>
        <w:instrText xml:space="preserve"> ADDIN ZOTERO_ITEM CSL_CITATION {"citationID":"enCgtwyz","properties":{"formattedCitation":"[26,27]","plainCitation":"[26,27]","noteIndex":0},"citationItems":[{"id":5479,"uris":["http://zotero.org/users/9439317/items/5LH6M58F"],"itemData":{"id":5479,"type":"article-journal","abstract":"Rheumatoid arthritis (RA) is characterized by bone destruction in the afflicted joints, and during the process of bone destruction, osteoclasts play a crucial role. Tanshinone IIA (Tan IIA) has shown anti-inflammatory effects in RA. However, the exact molecular mechanisms by which it delays bone destruction remain largely unexplained. Here, we found that Tan IIA decreased the severity of and ameliorated bone loss in an AIA rat model. In vitro, Tan IIA inhibited RANKL-induced osteoclast differentiation. By activity-based protein analysis (ABPP) combined with LC</w:instrText>
      </w:r>
      <w:r w:rsidR="00C1537C">
        <w:instrText>‒</w:instrText>
      </w:r>
      <w:r w:rsidR="00C1537C">
        <w:rPr>
          <w:rFonts w:ascii="Times" w:hAnsi="Times"/>
        </w:rPr>
        <w:instrText xml:space="preserve">MS/MS, we discovered that Tan IIA covalently binds to the lactate dehydrogenase subunit LDHC and inhibits its enzymatic activity. Moreover, we found that Tan IIA inhibits the generation of osteoclast-specific markers by reducing the accumulation of reactive oxygen species (ROS), thus reducing osteoclast differentiation. Finally, our results reveal that Tan IIA suppresses osteoclast differentiation via LDHC-mediated ROS generation in osteoclasts. Tan IIA can thus be regarded as an effective drug for the treatment of bone damage in RA.","container-title":"Chinese Medicine","DOI":"10.1186/s13020-023-00765-1","ISSN":"1749-8546","issue":"1","journalAbbreviation":"Chinese Medicine","page":"54","title":"Tanshinone IIA inhibits osteoclastogenesis in rheumatoid arthritis via LDHC-regulated ROS generation","URL":"https://doi.org/10.1186/s13020-023-00765-1","volume":"18","author":[{"family":"Peng","given":"Qiuwei"},{"family":"Wang","given":"Jian"},{"family":"Han","given":"Man"},{"family":"Zhao","given":"Minghong"},{"family":"Li","given":"Kesong"},{"family":"Lu","given":"Tianming"},{"family":"Guo","given":"Qiuyan"},{"family":"Jiang","given":"Quan"}],"issued":{"date-parts":[["2023",5,15]]}}},{"id":109,"uris":["http://zotero.org/users/9439317/items/JIG5677B"],"itemData":{"id":109,"type":"article-journal","abstract":"Collagenase-1 (MMP-1) is a protease that is expressed by stromal cells and that is involved in remodeling of the extracellular matrix. IL-1 and TNF-α enhance collagenase secretion by stromal cells, and chronic exposure of cells to these cytokines can contribute to connective tissue disease. In this study, we show that the NF-κB pathway is required for activation of collagenase-1 transcription in rabbit primary synovial fibroblasts (RSF). Although both IL-1 and TNF activate NF-κB in these cells, only IL-1 induces collagenase-1 transcription. We have reported previously that NF-κB and AP-1 cooperate to mediate IL-1-induced MMP-1 transcription. Here, we show that IL-1 is superior to TNF at inducing c-Jun synthesis, phosphorylation and binding activity in RSF. Similarly, IL-1 is more effective at activating the mitogen-activated protein kinases (MAPK), including the extracellular signal-regulated kinases (ERK), which are required for IL-1-induced MMP-1 transcription. Thus stimulation of the ERK and AP-1 pathways is an essential component of MMP-1 transcriptional activation, which is deficient in TNF-treated cells. These studies demonstrate cooperation between the MAPK and NF-κB signaling pathways for IL-1-dependent collagenase-1 transcription, and they define a dichotomy of IL-1- and TNF-elicited signaling that is relevant to cytokine-mediated connective tissue disease.","container-title":"Cytokine","DOI":"https://doi.org/10.1006/cyto.2000.0743","ISSN":"1043-4666","issue":"10","page":"1469-1479","title":"Integration of the NF-κB and mitogen-activated protein kinase/AP-1 pathways at the Collagenase-1 promoter: Divergence of IL-1 and TNF-dependent signal transduction in rabbit primary synovial fibroblasts","URL":"https://www.sciencedirect.com/science/article/pii/S1043466600907439","volume":"12","author":[{"family":"Barchowsky","given":"Aaron"},{"family":"Frleta","given":"Davor"},{"family":"Vincenti","given":"Matthew P."}],"issued":{"date-parts":[["2000"]]}}}],"schema":"https://github.com/citation-style-language/schema/raw/master/csl-citation.json"} </w:instrText>
      </w:r>
      <w:r w:rsidR="00D45672" w:rsidRPr="00D22AA7">
        <w:rPr>
          <w:rFonts w:ascii="Times" w:hAnsi="Times"/>
        </w:rPr>
        <w:fldChar w:fldCharType="separate"/>
      </w:r>
      <w:r w:rsidR="00C1537C">
        <w:rPr>
          <w:rFonts w:ascii="Times" w:hAnsi="Times"/>
          <w:noProof/>
        </w:rPr>
        <w:t>[26,27]</w:t>
      </w:r>
      <w:r w:rsidR="00D45672" w:rsidRPr="00D22AA7">
        <w:rPr>
          <w:rFonts w:ascii="Times" w:hAnsi="Times"/>
        </w:rPr>
        <w:fldChar w:fldCharType="end"/>
      </w:r>
      <w:r w:rsidR="5218A96B" w:rsidRPr="00D22AA7">
        <w:rPr>
          <w:rFonts w:ascii="Times" w:hAnsi="Times"/>
        </w:rPr>
        <w:t>.</w:t>
      </w:r>
      <w:r w:rsidR="04E29406" w:rsidRPr="00D22AA7">
        <w:rPr>
          <w:rFonts w:ascii="Times" w:hAnsi="Times"/>
        </w:rPr>
        <w:t xml:space="preserve"> </w:t>
      </w:r>
      <w:r w:rsidR="7CAB8B67" w:rsidRPr="00D22AA7">
        <w:rPr>
          <w:rFonts w:ascii="Times" w:hAnsi="Times"/>
        </w:rPr>
        <w:t>M</w:t>
      </w:r>
      <w:r w:rsidRPr="00D22AA7">
        <w:rPr>
          <w:rFonts w:ascii="Times" w:hAnsi="Times"/>
        </w:rPr>
        <w:t xml:space="preserve">acrophages interact closely with fibroblast-like </w:t>
      </w:r>
      <w:proofErr w:type="spellStart"/>
      <w:r w:rsidRPr="00D22AA7">
        <w:rPr>
          <w:rFonts w:ascii="Times" w:hAnsi="Times"/>
        </w:rPr>
        <w:t>synoviocytes</w:t>
      </w:r>
      <w:proofErr w:type="spellEnd"/>
      <w:r w:rsidRPr="00D22AA7">
        <w:rPr>
          <w:rFonts w:ascii="Times" w:hAnsi="Times"/>
        </w:rPr>
        <w:t xml:space="preserve"> (FLS), a key component of the synovial lining. Through cytokine signaling and direct cell-to-cell interactions, macrophages stimulate the hyperproliferation of FLS, leading </w:t>
      </w:r>
      <w:r w:rsidRPr="00D22AA7">
        <w:rPr>
          <w:rFonts w:ascii="Times" w:hAnsi="Times"/>
        </w:rPr>
        <w:lastRenderedPageBreak/>
        <w:t xml:space="preserve">to an aggressive, tumor-like phenotype that invades and degrades cartilage and bone. This persistent activation of FLS further amplifies the inflammatory cascade, creating a vicious cycle that sustains chronic synovial inflammation and joint damage characteristic of </w:t>
      </w:r>
      <w:proofErr w:type="gramStart"/>
      <w:r w:rsidRPr="00D22AA7">
        <w:rPr>
          <w:rFonts w:ascii="Times" w:hAnsi="Times"/>
        </w:rPr>
        <w:t>RA</w:t>
      </w:r>
      <w:r w:rsidR="7EEE0EE9" w:rsidRPr="00D22AA7">
        <w:rPr>
          <w:rFonts w:ascii="Times" w:hAnsi="Times"/>
        </w:rPr>
        <w:t xml:space="preserve"> </w:t>
      </w:r>
      <w:r w:rsidR="6A0FDD02" w:rsidRPr="00D22AA7">
        <w:rPr>
          <w:rFonts w:ascii="Times" w:hAnsi="Times"/>
        </w:rPr>
        <w:t xml:space="preserve"> </w:t>
      </w:r>
      <w:r w:rsidRPr="00D22AA7">
        <w:rPr>
          <w:rFonts w:ascii="Times" w:hAnsi="Times"/>
        </w:rPr>
        <w:t>In</w:t>
      </w:r>
      <w:proofErr w:type="gramEnd"/>
      <w:r w:rsidRPr="00D22AA7">
        <w:rPr>
          <w:rFonts w:ascii="Times" w:hAnsi="Times"/>
        </w:rPr>
        <w:t xml:space="preserve"> addition to their direct contributions to inflammation, macrophages also influence the adaptive immune response by presenting antigens to T cells and shaping the overall immune landscape within the synovium. The sustained activation of both innate and adaptive immune pathways in RA underscores the complexity of the disease and highlights the critical role of macrophages in driving its progression</w:t>
      </w:r>
      <w:r w:rsidR="6A5080E4" w:rsidRPr="00D22AA7">
        <w:rPr>
          <w:rFonts w:ascii="Times" w:hAnsi="Times"/>
        </w:rPr>
        <w:t xml:space="preserve"> </w:t>
      </w:r>
      <w:r w:rsidR="00D45672" w:rsidRPr="00D22AA7">
        <w:rPr>
          <w:rFonts w:ascii="Times" w:hAnsi="Times"/>
        </w:rPr>
        <w:fldChar w:fldCharType="begin"/>
      </w:r>
      <w:r w:rsidR="00C1537C">
        <w:rPr>
          <w:rFonts w:ascii="Times" w:hAnsi="Times"/>
        </w:rPr>
        <w:instrText xml:space="preserve"> ADDIN ZOTERO_ITEM CSL_CITATION {"citationID":"tpEhAWp1","properties":{"formattedCitation":"[24]","plainCitation":"[24]","noteIndex":0},"citationItems":[{"id":5610,"uris":["http://zotero.org/users/9439317/items/KNZYQXZC"],"itemData":{"id":5610,"type":"article-journal","container-title":"Signal Transduction and Targeted Therapy","ISSN":"2059-3635","issue":"1","journalAbbreviation":"Signal Transduction and Targeted Therapy","note":"publisher: Nature Publishing Group UK London","page":"207","title":"Macrophages in immunoregulation and therapeutics","volume":"8","author":[{"family":"Chen","given":"Shanze"},{"family":"Saeed","given":"Abdullah FUH"},{"family":"Liu","given":"Quan"},{"family":"Jiang","given":"Qiong"},{"family":"Xu","given":"Haizhao"},{"family":"Xiao","given":"Gary Guishan"},{"family":"Rao","given":"Lang"},{"family":"Duo","given":"Yanhong"}],"issued":{"date-parts":[["2023"]]}}}],"schema":"https://github.com/citation-style-language/schema/raw/master/csl-citation.json"} </w:instrText>
      </w:r>
      <w:r w:rsidR="00D45672" w:rsidRPr="00D22AA7">
        <w:rPr>
          <w:rFonts w:ascii="Times" w:hAnsi="Times"/>
        </w:rPr>
        <w:fldChar w:fldCharType="separate"/>
      </w:r>
      <w:r w:rsidR="00C1537C">
        <w:rPr>
          <w:rFonts w:ascii="Times" w:hAnsi="Times"/>
          <w:noProof/>
        </w:rPr>
        <w:t>[24]</w:t>
      </w:r>
      <w:r w:rsidR="00D45672" w:rsidRPr="00D22AA7">
        <w:rPr>
          <w:rFonts w:ascii="Times" w:hAnsi="Times"/>
        </w:rPr>
        <w:fldChar w:fldCharType="end"/>
      </w:r>
      <w:r w:rsidRPr="00D22AA7">
        <w:rPr>
          <w:rFonts w:ascii="Times" w:hAnsi="Times"/>
        </w:rPr>
        <w:t>.</w:t>
      </w:r>
    </w:p>
    <w:p w14:paraId="1D34838A" w14:textId="37246543" w:rsidR="00386CA0" w:rsidRPr="00D22AA7" w:rsidRDefault="00386CA0">
      <w:pPr>
        <w:pStyle w:val="BodyText"/>
        <w:rPr>
          <w:rFonts w:ascii="Times" w:hAnsi="Times"/>
        </w:rPr>
      </w:pPr>
    </w:p>
    <w:p w14:paraId="58B3F722" w14:textId="3A86CC27" w:rsidR="00386CA0" w:rsidRPr="00D22AA7" w:rsidRDefault="7C455C19" w:rsidP="00C83B7A">
      <w:pPr>
        <w:pStyle w:val="BodyText"/>
        <w:jc w:val="both"/>
        <w:rPr>
          <w:rFonts w:ascii="Times" w:hAnsi="Times"/>
        </w:rPr>
      </w:pPr>
      <w:r w:rsidRPr="00D22AA7">
        <w:rPr>
          <w:rFonts w:ascii="Times" w:hAnsi="Times"/>
        </w:rPr>
        <w:t xml:space="preserve">TNF-α, a potent inflammatory cytokine secreted by various immune cells including macrophages, natural killer (NK) cells, endothelial cells, activated lymphocytes, and neutrophils, plays a central role in regulating immune cell activation, migration, and adhesion. Beyond its immune regulatory functions, TNF-α is instrumental in driving pathological processes that exacerbate rheumatoid arthritis (RA). It promotes angiogenesis, the formation of new blood vessels, which enhances the supply of nutrients and inflammatory cells to the affected joints, perpetuating the inflammatory cycle. Additionally, TNF-α stimulates </w:t>
      </w:r>
      <w:proofErr w:type="spellStart"/>
      <w:r w:rsidRPr="00D22AA7">
        <w:rPr>
          <w:rFonts w:ascii="Times" w:hAnsi="Times"/>
        </w:rPr>
        <w:t>osteoclastogenesis</w:t>
      </w:r>
      <w:proofErr w:type="spellEnd"/>
      <w:r w:rsidRPr="00D22AA7">
        <w:rPr>
          <w:rFonts w:ascii="Times" w:hAnsi="Times"/>
        </w:rPr>
        <w:t>, the differentiation of osteoclasts responsible for bone resorption, thereby contributing to the bone destruction seen in RA. Through these combined effects, TNF-α serves as a key mediator in the progression of joint inflammation and damage in RA, making it a critical target for therapeutic intervention.</w:t>
      </w:r>
      <w:r w:rsidR="678AB9AF" w:rsidRPr="00D22AA7">
        <w:rPr>
          <w:rFonts w:ascii="Times" w:hAnsi="Times"/>
        </w:rPr>
        <w:t xml:space="preserve"> </w:t>
      </w:r>
      <w:r w:rsidR="00D45672" w:rsidRPr="00D22AA7">
        <w:rPr>
          <w:rFonts w:ascii="Times" w:hAnsi="Times"/>
        </w:rPr>
        <w:fldChar w:fldCharType="begin"/>
      </w:r>
      <w:r w:rsidR="00C1537C">
        <w:rPr>
          <w:rFonts w:ascii="Times" w:hAnsi="Times"/>
        </w:rPr>
        <w:instrText xml:space="preserve"> ADDIN ZOTERO_ITEM CSL_CITATION {"citationID":"pdlW4HLY","properties":{"formattedCitation":"[27,39,40]","plainCitation":"[27,39,40]","noteIndex":0},"citationItems":[{"id":109,"uris":["http://zotero.org/users/9439317/items/JIG5677B"],"itemData":{"id":109,"type":"article-journal","abstract":"Collagenase-1 (MMP-1) is a protease that is expressed by stromal cells and that is involved in remodeling of the extracellular matrix. IL-1 and TNF-α enhance collagenase secretion by stromal cells, and chronic exposure of cells to these cytokines can contribute to connective tissue disease. In this study, we show that the NF-κB pathway is required for activation of collagenase-1 transcription in rabbit primary synovial fibroblasts (RSF). Although both IL-1 and TNF activate NF-κB in these cells, only IL-1 induces collagenase-1 transcription. We have reported previously that NF-κB and AP-1 cooperate to mediate IL-1-induced MMP-1 transcription. Here, we show that IL-1 is superior to TNF at inducing c-Jun synthesis, phosphorylation and binding activity in RSF. Similarly, IL-1 is more effective at activating the mitogen-activated protein kinases (MAPK), including the extracellular signal-regulated kinases (ERK), which are required for IL-1-induced MMP-1 transcription. Thus stimulation of the ERK and AP-1 pathways is an essential component of MMP-1 transcriptional activation, which is deficient in TNF-treated cells. These studies demonstrate cooperation between the MAPK and NF-κB signaling pathways for IL-1-dependent collagenase-1 transcription, and they define a dichotomy of IL-1- and TNF-elicited signaling that is relevant to cytokine-mediated connective tissue disease.","container-title":"Cytokine","DOI":"https://doi.org/10.1006/cyto.2000.0743","ISSN":"1043-4666","issue":"10","page":"1469-1479","title":"Integration of the NF-κB and mitogen-activated protein kinase/AP-1 pathways at the Collagenase-1 promoter: Divergence of IL-1 and TNF-dependent signal transduction in rabbit primary synovial fibroblasts","URL":"https://www.sciencedirect.com/science/article/pii/S1043466600907439","volume":"12","author":[{"family":"Barchowsky","given":"Aaron"},{"family":"Frleta","given":"Davor"},{"family":"Vincenti","given":"Matthew P."}],"issued":{"date-parts":[["2000"]]}}},{"id":15111,"uris":["http://zotero.org/users/9439317/items/GQAW7KAC"],"itemData":{"id":15111,"type":"article-journal","abstract":"Rheumatoid arthritis (RA) is characterized by bone destruction in the afflicted joints, and during the process of bone destruction, osteoclasts play a crucial role. Tanshinone IIA (Tan IIA) has shown anti-inflammatory effects in RA. However, the exact molecular mechanisms by which it delays bone destruction remain largely unexplained. Here, we found that Tan IIA decreased the severity of and ameliorated bone loss in an AIA rat model. In vitro, Tan IIA inhibited RANKL-induced osteoclast differentiation. By activity-based protein analysis (ABPP) combined with LC</w:instrText>
      </w:r>
      <w:r w:rsidR="00C1537C">
        <w:instrText>‒</w:instrText>
      </w:r>
      <w:r w:rsidR="00C1537C">
        <w:rPr>
          <w:rFonts w:ascii="Times" w:hAnsi="Times"/>
        </w:rPr>
        <w:instrText xml:space="preserve">MS/MS, we discovered that Tan IIA covalently binds to the lactate dehydrogenase subunit LDHC and inhibits its enzymatic activity. Moreover, we found that Tan IIA inhibits the generation of osteoclast-specific markers by reducing the accumulation of reactive oxygen species (ROS), thus reducing osteoclast differentiation. Finally, our results reveal that Tan IIA suppresses osteoclast differentiation via LDHC-mediated ROS generation in osteoclasts. Tan IIA can thus be regarded as an effective drug for the treatment of bone damage in RA.","container-title":"Chinese Medicine","DOI":"10.1186/s13020-023-00765-1","ISSN":"1749-8546","issue":"1","journalAbbreviation":"Chinese Medicine","page":"54","title":"Tanshinone IIA inhibits osteoclastogenesis in rheumatoid arthritis via LDHC-regulated ROS generation","URL":"https://doi.org/10.1186/s13020-023-00765-1","volume":"18","author":[{"family":"Peng","given":"Qiuwei"},{"family":"Wang","given":"Jian"},{"family":"Han","given":"Man"},{"family":"Zhao","given":"Minghong"},{"family":"Li","given":"Kesong"},{"family":"Lu","given":"Tianming"},{"family":"Guo","given":"Qiuyan"},{"family":"Jiang","given":"Quan"}],"issued":{"date-parts":[["2023",5,15]]}}},{"id":2910,"uris":["http://zotero.org/users/9439317/items/YA9UTNNU"],"itemData":{"id":2910,"type":"article-journal","abstract":"Angiogenesis, formation of new blood vessels from the existing vascular network, is a hallmark of cancer cells that leads to tumor vascular proliferation and metastasis. This process is mediated through the binding interaction of VEGF-A with VEGF receptors. However, the balance between pro-angiogenic and anti-angiogenic effect after ligand binding yet remains elusive and is therefore challenging to manipulate. To interrogate this interaction, herein we designed a few sulfono-γ-AA peptide based helical peptidomimetics that could effectively mimic a key binding interface on VEGF (helix-α1) for VEGFR recognition. Intriguingly, although both sulfono-γ-AA peptide sequences V2 and V3 bound to VEGF receptors tightly, in vitro angiogenesis assays demonstrated that V3 potently inhibited angiogenesis, whereas V2 activated angiogenesis effectively instead. Our findings suggested that this distinct modulation of angiogenesis might be due to the result of selective binding of V2 to VEGFR-1 and V3 to VEGFR-2, respectively. These molecules thus provide us a key to switch the angiogenic signaling, a biological process that balances the effects of pro-angiogenic and anti-angiogenic factors, where imbalances lead to several diseases including cancer. In addition, both V2 and V3 exhibited remarkable stability toward proteolytic hydrolysis, suggesting that V2 and V3 are promising therapeutic agents for the intervention of disease conditions arising due to angiogenic imbalances and could also be used as novel molecular switching probes to interrogate the mechanism of VEGFR signaling. The findings also further demonstrated the potential of sulfono-γ-AA peptides to mimic the α-helical domain for protein recognition and modulation of protein–protein interactions.","container-title":"Journal of the American Chemical Society","DOI":"10.1021/jacs.1c09571","ISSN":"0002-7863, 1520-5126","issue":"1","journalAbbreviation":"J. Am. Chem. Soc.","language":"en","page":"270-281","source":"DOI.org (Crossref)","title":"Modulating Angiogenesis by Proteomimetics of Vascular Endothelial Growth Factor","URL":"https://pubs.acs.org/doi/10.1021/jacs.1c09571","volume":"144","author":[{"family":"Abdulkadir","given":"Sami"},{"family":"Li","given":"Chunpu"},{"family":"Jiang","given":"Wei"},{"family":"Zhao","given":"Xue"},{"family":"Sang","given":"Peng"},{"family":"Wei","given":"Lulu"},{"family":"Hu","given":"Yong"},{"family":"Li","given":"Qi"},{"family":"Cai","given":"Jianfeng"}],"accessed":{"date-parts":[["2023",9,26]]},"issued":{"date-parts":[["2022",1,12]]}}}],"schema":"https://github.com/citation-style-language/schema/raw/master/csl-citation.json"} </w:instrText>
      </w:r>
      <w:r w:rsidR="00D45672" w:rsidRPr="00D22AA7">
        <w:rPr>
          <w:rFonts w:ascii="Times" w:hAnsi="Times"/>
        </w:rPr>
        <w:fldChar w:fldCharType="separate"/>
      </w:r>
      <w:r w:rsidR="00C1537C">
        <w:rPr>
          <w:rFonts w:ascii="Times" w:hAnsi="Times"/>
          <w:noProof/>
        </w:rPr>
        <w:t>[27,39,40]</w:t>
      </w:r>
      <w:r w:rsidR="00D45672" w:rsidRPr="00D22AA7">
        <w:rPr>
          <w:rFonts w:ascii="Times" w:hAnsi="Times"/>
        </w:rPr>
        <w:fldChar w:fldCharType="end"/>
      </w:r>
      <w:r w:rsidR="66779EFB" w:rsidRPr="00D22AA7">
        <w:rPr>
          <w:rFonts w:ascii="Times" w:hAnsi="Times"/>
        </w:rPr>
        <w:t>.</w:t>
      </w:r>
    </w:p>
    <w:p w14:paraId="0B1CC53F" w14:textId="285FCDE2" w:rsidR="00386CA0" w:rsidRPr="00D22AA7" w:rsidRDefault="66779EFB" w:rsidP="00C83B7A">
      <w:pPr>
        <w:pStyle w:val="BodyText"/>
        <w:spacing w:beforeAutospacing="1" w:afterAutospacing="1"/>
        <w:jc w:val="both"/>
        <w:rPr>
          <w:rFonts w:ascii="Times" w:hAnsi="Times"/>
        </w:rPr>
      </w:pPr>
      <w:r w:rsidRPr="00D22AA7">
        <w:rPr>
          <w:rFonts w:ascii="Times" w:hAnsi="Times"/>
        </w:rPr>
        <w:t>Interleukin-6</w:t>
      </w:r>
      <w:r w:rsidR="6B9B3AEA" w:rsidRPr="00D22AA7">
        <w:rPr>
          <w:rFonts w:ascii="Times" w:hAnsi="Times"/>
        </w:rPr>
        <w:t xml:space="preserve"> </w:t>
      </w:r>
      <w:r w:rsidRPr="00D22AA7">
        <w:rPr>
          <w:rFonts w:ascii="Times" w:hAnsi="Times"/>
        </w:rPr>
        <w:t xml:space="preserve">is </w:t>
      </w:r>
      <w:r w:rsidR="4BEEACCE" w:rsidRPr="00D22AA7">
        <w:rPr>
          <w:rFonts w:ascii="Times" w:hAnsi="Times"/>
        </w:rPr>
        <w:t>secreted</w:t>
      </w:r>
      <w:r w:rsidRPr="00D22AA7">
        <w:rPr>
          <w:rFonts w:ascii="Times" w:hAnsi="Times"/>
        </w:rPr>
        <w:t xml:space="preserve"> by fibroblast-like </w:t>
      </w:r>
      <w:proofErr w:type="spellStart"/>
      <w:r w:rsidRPr="00D22AA7">
        <w:rPr>
          <w:rFonts w:ascii="Times" w:hAnsi="Times"/>
        </w:rPr>
        <w:t>synoviocytes</w:t>
      </w:r>
      <w:proofErr w:type="spellEnd"/>
      <w:r w:rsidRPr="00D22AA7">
        <w:rPr>
          <w:rFonts w:ascii="Times" w:hAnsi="Times"/>
        </w:rPr>
        <w:t xml:space="preserve"> (FLS) and macrophages, playing a crucial role in rheumatoid arthritis (RA) by stimulating endothelial cells to release chemokines and activating B cells, T cells, and osteoclasts. It also promotes vascular endothelial growth factor (VEGF) production, which contributes to pannus formation. Similarly, interleukin-1 beta (IL-1β), produced by macrophages and monocytes in inflamed synovium, shares many functions with tumor necrosis factor-alpha (TNF-α)</w:t>
      </w:r>
      <w:r w:rsidR="678AB9AF" w:rsidRPr="00D22AA7">
        <w:rPr>
          <w:rFonts w:ascii="Times" w:hAnsi="Times"/>
        </w:rPr>
        <w:t xml:space="preserve"> </w:t>
      </w:r>
      <w:r w:rsidR="00D45672" w:rsidRPr="00D22AA7">
        <w:rPr>
          <w:rFonts w:ascii="Times" w:hAnsi="Times"/>
        </w:rPr>
        <w:fldChar w:fldCharType="begin"/>
      </w:r>
      <w:r w:rsidR="00C1537C">
        <w:rPr>
          <w:rFonts w:ascii="Times" w:hAnsi="Times"/>
        </w:rPr>
        <w:instrText xml:space="preserve"> ADDIN ZOTERO_ITEM CSL_CITATION {"citationID":"ak32gXdU","properties":{"formattedCitation":"[4,41]","plainCitation":"[4,41]","noteIndex":0},"citationItems":[{"id":123,"uris":["http://zotero.org/users/9439317/items/2CGILJST"],"itemData":{"id":123,"type":"article-journal","abstract":"Background\nIt has recently been reported that the polyphenol curcumin has pronounced anti-carcinogenic, anti-inflammatory and pro-apoptotic properties. This study investigated possible anti-inflammatory and apoptotic effects of curcumin on the human synovial fibroblast cell line MH7A, and on fibroblast-like synoviocytes (FLS) derived from patients with rheumatoid arthritis (RA).\nMethods\nMH7A cells and RA-FLS were stimulated either with interleukin (IL)-1β or phorbol 12-myristate 13 acetate (PMA), and treated simultaneously or sequentially with increasing concentrations of curcumin. Release of interleukin (IL)-6 and vascular endothelial growth factor (VEGF)-A was quantified by enzyme-linked immunosorbent assays (ELISAs). In MH7A cells, modulation of the transcription factor nuclear factor kappa-B (NF-κB) and mitogen-activated protein kinases (MAPKs) such as p38 and extracellular-signal regulated kinase (ERK1/2) were analysed by a reporter gene assay and Western blot, respectively. Pro-apoptotic events were monitored by Annexin-V/7-AAD based assay. Cleavage of pro-caspase-3 and −7 was checked with specific antibodies.\nResults\nCurcumin effectively blocked IL-1β and PMA-induced IL-6 expression both in MH7A cells and RA-FLS. VEGF-A expression could only be detected in RA-FLS and was induced by PMA, but not by IL-1β. Furthermore, curcumin inhibited activation of NF-κB and induced dephosphorylation of ERK1/2. Treatment of FLS with high concentrations of curcumin was associated with a decrease in cell viability and induction of apoptosis.\nConclusion\nThe natural compound curcumin represents strong anti-inflammatory properties and induces apoptosis in FLS. This study provides an insight into possible molecular mechanisms of this substance and suggests it as a natural remedy for the treatment of chronic inflammatory diseases like RA.","container-title":"International Immunopharmacology","DOI":"10.1016/j.intimp.2013.01.003","ISSN":"1567-5769","issue":"2","journalAbbreviation":"International Immunopharmacology","page":"400-405","title":"Anti-inflammatory and apoptotic effects of the polyphenol curcumin on human fibroblast-like synoviocytes","URL":"https://www.sciencedirect.com/science/article/pii/S156757691300009X","volume":"15","author":[{"family":"Kloesch","given":"Burkhard"},{"family":"Becker","given":"Tatjana"},{"family":"Dietersdorfer","given":"Elisabeth"},{"family":"Kiener","given":"Hans"},{"family":"Steiner","given":"Guenter"}],"issued":{"date-parts":[["2013",2,1]]}}},{"id":15242,"uris":["http://zotero.org/users/9439317/items/PPWYJJEL"],"itemData":{"id":15242,"type":"article-journal","container-title":"International immunopharmacology","ISSN":"1567-5769","journalAbbreviation":"International immunopharmacology","page":"348-359","title":"Monocytes in rheumatoid arthritis: Circulating precursors of macrophages and osteoclasts and, their heterogeneity and plasticity role in RA pathogenesis","volume":"65","author":[{"family":"Rana","given":"Amit Kumar"},{"family":"Li","given":"Yang"},{"family":"Dang","given":"Qiujie"},{"family":"Yang","given":"Fan"}],"issued":{"date-parts":[["2018"]]}}}],"schema":"https://github.com/citation-style-language/schema/raw/master/csl-citation.json"} </w:instrText>
      </w:r>
      <w:r w:rsidR="00D45672" w:rsidRPr="00D22AA7">
        <w:rPr>
          <w:rFonts w:ascii="Times" w:hAnsi="Times"/>
        </w:rPr>
        <w:fldChar w:fldCharType="separate"/>
      </w:r>
      <w:r w:rsidR="00C1537C">
        <w:rPr>
          <w:rFonts w:ascii="Times" w:hAnsi="Times"/>
          <w:noProof/>
        </w:rPr>
        <w:t>[4,41]</w:t>
      </w:r>
      <w:r w:rsidR="00D45672" w:rsidRPr="00D22AA7">
        <w:rPr>
          <w:rFonts w:ascii="Times" w:hAnsi="Times"/>
        </w:rPr>
        <w:fldChar w:fldCharType="end"/>
      </w:r>
      <w:r w:rsidRPr="00D22AA7">
        <w:rPr>
          <w:rFonts w:ascii="Times" w:hAnsi="Times"/>
        </w:rPr>
        <w:t>.</w:t>
      </w:r>
    </w:p>
    <w:p w14:paraId="2C161CBF" w14:textId="7ABEF37B" w:rsidR="3300C1C8" w:rsidRPr="00D22AA7" w:rsidRDefault="3300C1C8" w:rsidP="3300C1C8">
      <w:pPr>
        <w:pStyle w:val="BodyText"/>
        <w:rPr>
          <w:rFonts w:ascii="Times" w:hAnsi="Times"/>
        </w:rPr>
      </w:pPr>
    </w:p>
    <w:p w14:paraId="5AF95119" w14:textId="77777777" w:rsidR="00A921D3" w:rsidRPr="00D22AA7" w:rsidRDefault="4A3F0597" w:rsidP="00C83B7A">
      <w:pPr>
        <w:spacing w:before="240" w:after="240"/>
        <w:jc w:val="both"/>
        <w:rPr>
          <w:rFonts w:ascii="Times" w:hAnsi="Times"/>
        </w:rPr>
      </w:pPr>
      <w:r w:rsidRPr="00D22AA7">
        <w:rPr>
          <w:rFonts w:ascii="Times" w:hAnsi="Times"/>
        </w:rPr>
        <w:t>These inflammatory cytokines play a crucial role in driving inflammation by activating a range of signaling pathways, such as mitogen-activated protein kinases (MAPKs), including c-Jun N-terminal kinase (JNK), extracellular signal-regulated kinase (ERK), and p38, as well as the phosphatidylinositol 3-kinase (PI3K)/protein kinase B (AKT) pathway and nuclear factor kappa B (NF-</w:t>
      </w:r>
      <w:proofErr w:type="spellStart"/>
      <w:r w:rsidRPr="00D22AA7">
        <w:rPr>
          <w:rFonts w:ascii="Times" w:hAnsi="Times"/>
        </w:rPr>
        <w:t>κB</w:t>
      </w:r>
      <w:proofErr w:type="spellEnd"/>
      <w:r w:rsidRPr="00D22AA7">
        <w:rPr>
          <w:rFonts w:ascii="Times" w:hAnsi="Times"/>
        </w:rPr>
        <w:t>). These signaling responses are innate, non-antigen-specific, and lack the immunologic memory characteristic of adaptive immunity. As a result, they contribute to the persistent, nonspecific inflammation observed in rheumatoid arthritis (RA). Key inflammatory markers, including interleukin-6 (IL-6), interleukin-10 (IL-10), tumor necrosis factor-alpha (TNF-α), and biomarkers such as the neutrophil-to-lymphocyte ratio (NLR), platelet-to-lymphocyte ratio (PLR), and C-reactive protein (CRP), are often significantly elevated in the serum and synovial fluid of RA patients [36–38]. These markers reflect the ongoing inflammatory state and are often used as indicators of disease activity and severity.</w:t>
      </w:r>
    </w:p>
    <w:p w14:paraId="566F6B2B" w14:textId="59475EDE" w:rsidR="3300C1C8" w:rsidRPr="00D22AA7" w:rsidRDefault="3C0A0A90" w:rsidP="00C83B7A">
      <w:pPr>
        <w:spacing w:before="240" w:after="240"/>
        <w:jc w:val="both"/>
        <w:rPr>
          <w:rFonts w:ascii="Times" w:hAnsi="Times"/>
        </w:rPr>
      </w:pPr>
      <w:r w:rsidRPr="00D22AA7">
        <w:rPr>
          <w:rFonts w:ascii="Times" w:hAnsi="Times"/>
        </w:rPr>
        <w:t xml:space="preserve">In RA, T-cells are activated by self-antigens presented by antigen-presenting cells, triggering an autoimmune response. These activated T-cells, particularly CD4+ T-helper cells, release pro-inflammatory cytokines such as interleukin-17 (IL-17), tumor necrosis factor-alpha (TNF-α), and </w:t>
      </w:r>
      <w:r w:rsidRPr="00D22AA7">
        <w:rPr>
          <w:rFonts w:ascii="Times" w:hAnsi="Times"/>
        </w:rPr>
        <w:lastRenderedPageBreak/>
        <w:t>interferon-gamma (IFN-γ). These cytokines amplify the inflammatory cascade, recruiting other immune cells to the site of inflammation and promoting the production of matrix metalloproteinases, which break down cartilage and bone. Additionally, regulatory T-cells (Tregs), which are normally involved in controlling immune responses, are often dysfunctional in RA, further exacerbating the disease</w:t>
      </w:r>
      <w:r w:rsidR="00A921D3" w:rsidRPr="00D22AA7">
        <w:rPr>
          <w:rFonts w:ascii="Times" w:hAnsi="Times"/>
        </w:rPr>
        <w:t xml:space="preserve"> </w:t>
      </w:r>
      <w:r w:rsidR="00A921D3" w:rsidRPr="00D22AA7">
        <w:rPr>
          <w:rFonts w:ascii="Times" w:hAnsi="Times"/>
        </w:rPr>
        <w:fldChar w:fldCharType="begin"/>
      </w:r>
      <w:r w:rsidR="00C1537C">
        <w:rPr>
          <w:rFonts w:ascii="Times" w:hAnsi="Times"/>
        </w:rPr>
        <w:instrText xml:space="preserve"> ADDIN ZOTERO_ITEM CSL_CITATION {"citationID":"UdfaTMlF","properties":{"formattedCitation":"[42\\uc0\\u8211{}44]","plainCitation":"[42–44]","noteIndex":0},"citationItems":[{"id":5427,"uris":["http://zotero.org/users/9439317/items/9TYNV3TU"],"itemData":{"id":5427,"type":"article-journal","abstract":"The aims of this systematic literature review (SLR) were to identify the effects of approved biological and targeted synthetic disease modifying antirheumatic drugs (b/tsDMARDs) on synovial membrane of psoriatic arthritis (PsA) patients, and to determine the existence of histological/molecular biomarkers of response to therapy. A search was conducted on MEDLINE, Embase, Scopus, and Cochrane Library (PROSPERO:CRD42022304986) to retrieve data on longitudinal change of biomarkers in paired synovial biopsies and in vitro studies. A meta-analysis was conducted by adopting the standardized mean difference (SMD) as a measure of the effect. Twenty-two studies were included (19 longitudinal, 3 in vitro). In longitudinal studies, TNF inhibitors were the most used drugs, while, for in vitro studies, JAK inhibitors or adalimumab/secukinumab were assessed. The main technique used was immunohistochemistry (longitudinal studies). The meta-analysis showed a significant reduction in both CD3+ lymphocytes (SMD &amp;minus;0.85 [95% CI &amp;minus;1.23; &amp;minus;0.47]) and CD68+ macrophages (sublining, sl) (SMD &amp;minus;0.74 [&amp;minus;1.16; &amp;minus;0.32]) in synovial biopsies from patients treated for 4&amp;ndash;12 weeks with bDMARDs. Reduction in CD3+ mostly correlated with clinical response. Despite heterogeneity among the biomarkers evaluated, the reduction in CD3+/CD68+sl cells during the first 3 months of treatment with TNF inhibitors represents the most consistent variation reported in the literature.","container-title":"International Journal of Molecular Sciences","DOI":"10.3390/ijms24055006","ISSN":"1422-0067","issue":"5","title":"Evaluation of the Synovial Effects of Biological and Targeted Synthetic DMARDs in Patients with Psoriatic Arthritis: A Systematic Literature Review and Meta-Analysis","volume":"24","author":[{"family":"Ciliento","given":"Maria S."},{"family":"Venturelli","given":"Veronica"},{"family":"Schettini","given":"Natale"},{"family":"Bertola","given":"Riccardo"},{"family":"Garaffoni","given":"Carlo"},{"family":"Lanza","given":"Giovanni"},{"family":"Gafà","given":"Roberta"},{"family":"Borghi","given":"Alessandro"},{"family":"Corazza","given":"Monica"},{"family":"Zabotti","given":"Alen"},{"family":"Missiroli","given":"Sonia"},{"family":"Boncompagni","given":"Caterina"},{"family":"Patergnani","given":"Simone"},{"family":"Perrone","given":"Mariasole"},{"family":"Giorgi","given":"Carlotta"},{"family":"Pinton","given":"Paolo"},{"family":"Govoni","given":"Marcello"},{"family":"Scirè","given":"Carlo A."},{"family":"Bortoluzzi","given":"Alessandra"},{"family":"Silvagni","given":"Ettore"}],"issued":{"date-parts":[["2023"]]}}},{"id":5447,"uris":["http://zotero.org/users/9439317/items/6YV3KHUW"],"itemData":{"id":5447,"type":"article-journal","abstract":"The autoimmune disease known as rheumatoid arthritis (RA) has been linked to the deterioration of bone. Bone erosion is a hallmark of RA and is linked to the severity of the disease as well as a poor functional result. Erosion of periarticular cortical bone is a common feature seen on plain radiographs of patients with RA. This characteristic feature is the result of excessive bone resorption and inadequate formation of bone. It has been determined that there is a complex interaction between the inflammatory condition seen in RA and bone destruction. Increased knowledge of the pathways and other mechanisms involved in osteoclastogenesis has resulted from advances in both animal and clinical investigations. Also, Biological and targeted medicines have modified RA’s bone metabolism. Here, we provide a narrative overview of the literature on the pathomechanisms of bone structure involved in biological and targeted treatments for RA and also, the clinical implications of disease-modifying antirheumatic drugs (DMARDs) are discussed. In light of the fact that these newer treatments present patients with RA with new possibilities for disease improvement and symptom control, it is imperative that additional rigorous evidence be gathered to provide a clinical reference for both patients and their treating physicians.","container-title":"Inflammopharmacology","DOI":"10.1007/s10787-022-01088-7","ISSN":"1568-5608","issue":"2","journalAbbreviation":"Inflammopharmacology","page":"689-697","title":"The effect of disease-modifying antirheumatic drugs (DMARDs) on bone homeostasis in rheumatoid arthritis (RA) patients","URL":"https://doi.org/10.1007/s10787-022-01088-7","volume":"31","author":[{"family":"Khoshroo","given":"Ahmadreza"},{"family":"Ramezani","given":"Keyvan"},{"family":"Moghimi","given":"Niusha"},{"family":"Bonakdar","given":"Moein"},{"family":"Ramezani","given":"Nazanin"}],"issued":{"date-parts":[["2023",4,1]]}}},{"id":1626,"uris":["http://zotero.org/users/9439317/items/ZVSZ7XX7"],"itemData":{"id":1626,"type":"article-journal","abstract":"Objectives To assess the safety of synthetic (s) and biological (b) disease-modifying antirheumatic drugs (DMARDs) for the management of rheumatoid arthritis (RA) to inform the European League Against Rheumatism recommendations for the management of RA.Methods Systematic literature review (SLR) of observational studies comparing any DMARD with another intervention for the management of patients with RA. All safety outcomes were included. A comparator group was required for the study to be included. Risk of bias was assessed with the Hayden's tool.Results Twenty-six observational studies addressing diverse safety outcomes of therapy with bDMARDs met eligibility criteria (15 on serious infections, 4 on malignancies). Substantial heterogeneity precluded meta-analysis. Together with the evidence from the 2013 SLR, based on 15 studies, 7 at low risk of bias, patients on bDMARDs compared with patients on conventional sDMARDs had a higher risk of serious infections (adjusted HR (aHR) 1.1 to 1.8)—without differences across bDMARDs—a higher risk of tuberculosis (aHR 2.7 to 12.5), but no increased risk of infection by herpes zoster. Patients on bDMARDs did not have an increased risk of malignancies in general, lymphoma or non-melanoma skin cancer, but the risk of melanoma may be slightly increased (aHR 1.5).Conclusions These findings confirm the known safety pattern of bDMARDs, including both tumour necrosis factor-α inhibitor (TNFi) and non-TNFi, for the treatment of RA.","container-title":"Annals of the Rheumatic Diseases","DOI":"10.1136/annrheumdis-2016-210708","issue":"6","journalAbbreviation":"Ann Rheum Dis","page":"1101","title":"Safety of synthetic and biological DMARDs: a systematic literature review informing the 2016 update of the EULAR recommendations for management of rheumatoid arthritis","URL":"http://ard.bmj.com/content/76/6/1101.abstract","volume":"76","author":[{"family":"Ramiro","given":"Sofia"},{"family":"Sepriano","given":"Alexandre"},{"family":"Chatzidionysiou","given":"Katerina"},{"family":"Nam","given":"Jackie L"},{"family":"Smolen","given":"Josef S"},{"family":"Heijde","given":"Désirée","non-dropping-particle":"van der"},{"family":"Dougados","given":"Maxime"},{"family":"Vollenhoven","given":"Ronald","non-dropping-particle":"van"},{"family":"Bijlsma","given":"Johannes W"},{"family":"Burmester","given":"Gerd R"},{"family":"Scholte-Voshaar","given":"Marieke"},{"family":"Falzon","given":"Louise"},{"family":"Landewé","given":"Robert B M"}],"issued":{"date-parts":[["2017",6,1]]}}}],"schema":"https://github.com/citation-style-language/schema/raw/master/csl-citation.json"} </w:instrText>
      </w:r>
      <w:r w:rsidR="00A921D3" w:rsidRPr="00D22AA7">
        <w:rPr>
          <w:rFonts w:ascii="Times" w:hAnsi="Times"/>
        </w:rPr>
        <w:fldChar w:fldCharType="separate"/>
      </w:r>
      <w:r w:rsidR="00C1537C" w:rsidRPr="00C1537C">
        <w:rPr>
          <w:rFonts w:ascii="Times" w:hAnsi="Times"/>
          <w:lang w:val="en-GB"/>
        </w:rPr>
        <w:t>[42–44]</w:t>
      </w:r>
      <w:r w:rsidR="00A921D3" w:rsidRPr="00D22AA7">
        <w:rPr>
          <w:rFonts w:ascii="Times" w:hAnsi="Times"/>
        </w:rPr>
        <w:fldChar w:fldCharType="end"/>
      </w:r>
      <w:r w:rsidR="00A921D3" w:rsidRPr="00D22AA7">
        <w:rPr>
          <w:rFonts w:ascii="Times" w:hAnsi="Times"/>
        </w:rPr>
        <w:t>.</w:t>
      </w:r>
      <w:r w:rsidRPr="00D22AA7">
        <w:rPr>
          <w:rFonts w:ascii="Times" w:hAnsi="Times"/>
        </w:rPr>
        <w:t xml:space="preserve">. The persistent activation of T-cells in RA leads to chronic inflammation and tissue damage, making them a key target for therapeutic interventions aimed at modulating the immune response in RA patients </w:t>
      </w:r>
      <w:r w:rsidR="00A921D3" w:rsidRPr="00D22AA7">
        <w:rPr>
          <w:rFonts w:ascii="Times" w:hAnsi="Times"/>
        </w:rPr>
        <w:fldChar w:fldCharType="begin"/>
      </w:r>
      <w:r w:rsidR="00C1537C">
        <w:rPr>
          <w:rFonts w:ascii="Times" w:hAnsi="Times"/>
        </w:rPr>
        <w:instrText xml:space="preserve"> ADDIN ZOTERO_ITEM CSL_CITATION {"citationID":"eLqvKYWF","properties":{"formattedCitation":"[45\\uc0\\u8211{}47]","plainCitation":"[45–47]","noteIndex":0},"citationItems":[{"id":14523,"uris":["http://zotero.org/users/9439317/items/EUH7GPT7"],"itemData":{"id":14523,"type":"article-journal","container-title":"Pharmaceuticals","DOI":"10.3390/ph3030572","ISSN":"1424-8247","issue":"3","journalAbbreviation":"Pharmaceuticals","language":"en","page":"572-599","source":"DOI.org (Crossref)","title":"Platelet-Derived Growth Factor (PDGF)/PDGF Receptors (PDGFR) Axis as Target for Antitumor and Antiangiogenic Therapy","URL":"http://www.mdpi.com/1424-8247/3/3/572","volume":"3","author":[{"family":"Raica","given":"Marius"},{"family":"Cimpean","given":"Anca Maria"}],"accessed":{"date-parts":[["2023",6,8]]},"issued":{"date-parts":[["2010",3,11]]}}},{"id":15199,"uris":["http://zotero.org/users/9439317/items/GF6UBEGH"],"itemData":{"id":15199,"type":"article-journal","container-title":"Journal of Biological Chemistry","ISSN":"0021-9258","issue":"11","journalAbbreviation":"Journal of Biological Chemistry","title":"Autoreactive B cells against malondialdehyde-induced protein cross-links are present in the joint, lung, and bone marrow of rheumatoid arthritis patients","volume":"299","author":[{"family":"Sahlström","given":"Peter"},{"family":"Joshua","given":"Vijay"},{"family":"Valkovskaia","given":"Viktoriia"},{"family":"Biese","given":"Charlotte"},{"family":"Stålesen","given":"Ragnhild"},{"family":"Israelsson","given":"Lena"},{"family":"Végvári","given":"Ákos"},{"family":"Scheel-Toellner","given":"Dagmar"},{"family":"Klareskog","given":"Lars"},{"family":"Hansson","given":"Monika"}],"issued":{"date-parts":[["2023"]]}}},{"id":5614,"uris":["http://zotero.org/users/9439317/items/FYPRE3IM"],"itemData":{"id":5614,"type":"article-journal","container-title":"Polish Journal of Applied Sciences","ISSN":"2451-1544","issue":"3","journalAbbreviation":"Polish Journal of Applied Sciences","page":"27-31","title":"Characteristics of TNF-alpha, type I, III collagen, and matrix metalloproteinases. Their clinical applications","volume":"9","author":[{"family":"Olczyk","given":"Krzysztof"},{"family":"Partyka","given":"Robert"},{"family":"Zając","given":"Kacper"},{"family":"Szkudłapski","given":"Dawid"}],"issued":{"date-parts":[["2024"]]}}}],"schema":"https://github.com/citation-style-language/schema/raw/master/csl-citation.json"} </w:instrText>
      </w:r>
      <w:r w:rsidR="00A921D3" w:rsidRPr="00D22AA7">
        <w:rPr>
          <w:rFonts w:ascii="Times" w:hAnsi="Times"/>
        </w:rPr>
        <w:fldChar w:fldCharType="separate"/>
      </w:r>
      <w:r w:rsidR="00C1537C" w:rsidRPr="00C1537C">
        <w:rPr>
          <w:rFonts w:ascii="Times" w:hAnsi="Times"/>
          <w:lang w:val="en-GB"/>
        </w:rPr>
        <w:t>[45–47]</w:t>
      </w:r>
      <w:r w:rsidR="00A921D3" w:rsidRPr="00D22AA7">
        <w:rPr>
          <w:rFonts w:ascii="Times" w:hAnsi="Times"/>
        </w:rPr>
        <w:fldChar w:fldCharType="end"/>
      </w:r>
      <w:r w:rsidR="00A921D3" w:rsidRPr="00D22AA7">
        <w:rPr>
          <w:rFonts w:ascii="Times" w:hAnsi="Times"/>
        </w:rPr>
        <w:t>.</w:t>
      </w:r>
    </w:p>
    <w:p w14:paraId="68008553" w14:textId="77777777" w:rsidR="00242872" w:rsidRPr="00D22AA7" w:rsidRDefault="139D00D6" w:rsidP="00242872">
      <w:pPr>
        <w:spacing w:beforeAutospacing="1" w:afterAutospacing="1"/>
        <w:rPr>
          <w:rFonts w:ascii="Times" w:hAnsi="Times"/>
          <w:b/>
          <w:bCs/>
        </w:rPr>
      </w:pPr>
      <w:r w:rsidRPr="00D22AA7">
        <w:rPr>
          <w:rFonts w:ascii="Times" w:hAnsi="Times"/>
          <w:b/>
          <w:bCs/>
        </w:rPr>
        <w:t>2.4. Polyphenols in Disease Management</w:t>
      </w:r>
    </w:p>
    <w:p w14:paraId="1F662CC3" w14:textId="74BC9561" w:rsidR="00386CA0" w:rsidRPr="00D22AA7" w:rsidRDefault="08ED496D" w:rsidP="00C83B7A">
      <w:pPr>
        <w:spacing w:before="240" w:after="240"/>
        <w:jc w:val="both"/>
        <w:rPr>
          <w:rFonts w:ascii="Times" w:hAnsi="Times"/>
        </w:rPr>
      </w:pPr>
      <w:r w:rsidRPr="00D22AA7">
        <w:rPr>
          <w:rFonts w:ascii="Times" w:hAnsi="Times"/>
        </w:rPr>
        <w:t xml:space="preserve">For over 5,000 years, plants have played a central role in traditional medicine, providing remedies for a wide range of human ailments. Their healing properties are largely attributed to phytochemicals—naturally occurring secondary metabolites produced by plants. These compounds are known for their diverse pharmacological activities, which include antiviral, anti-inflammatory, antineoplastic (anti-cancer), and antioxidant effects </w:t>
      </w:r>
      <w:r w:rsidR="00D45672" w:rsidRPr="00D22AA7">
        <w:rPr>
          <w:rFonts w:ascii="Times" w:hAnsi="Times"/>
          <w:i/>
          <w:iCs/>
        </w:rPr>
        <w:fldChar w:fldCharType="begin"/>
      </w:r>
      <w:r w:rsidR="00C1537C">
        <w:rPr>
          <w:rFonts w:ascii="Times" w:hAnsi="Times"/>
          <w:i/>
          <w:iCs/>
        </w:rPr>
        <w:instrText xml:space="preserve"> ADDIN ZOTERO_ITEM CSL_CITATION {"citationID":"tvXf4iF6","properties":{"formattedCitation":"[48\\uc0\\u8211{}50]","plainCitation":"[48–50]","noteIndex":0},"citationItems":[{"id":5024,"uris":["http://zotero.org/users/9439317/items/3L3LK4T2"],"itemData":{"id":5024,"type":"article-journal","abstract":"Undoubtedly, the advent of antibiotics in the 19th century had a substantial impact, increasing human life expectancy. However, a multitude of scientific investigations now indicate that we are currently experiencing a phase known as the post-antibiotic era. There is a genuine concern that we might regress to a time before antibiotics and confront widespread outbreaks of severe epidemic diseases, particularly those caused by bacterial infections. These investigations have demonstrated that epidemics thrive under environmental stressors such as climate change, the depletion of natural resources, and detrimental human activities such as wars, conflicts, antibiotic overuse, and pollution. Moreover, bacteria possess a remarkable ability to adapt and mutate. Unfortunately, the current development of antibiotics is insufficient, and the future appears grim unless we abandon our current approach of generating synthetic antibiotics that rapidly lose their effectiveness against multidrug-resistant bacteria. Despite their vital role in modern medicine, medicinal plants have served as the primary source of curative drugs since ancient times. Numerous scientific reports published over the past three decades suggest that medicinal plants could serve as a promising alternative to ineffective antibiotics in combating infectious diseases. Over the past few years, phenolic compounds, alkaloids, saponins, and terpenoids have exhibited noteworthy antibacterial potential, primarily through membrane-disruption mechanisms, protein binding, interference with intermediary metabolism, anti-quorum sensing, and anti-biofilm activity. However, to optimize their utilization as effective antibacterial drugs, further advancements in omics technologies and network pharmacology will be required in order to identify optimal combinations among these compounds or in conjunction with antibiotics.","container-title":"Plants","DOI":"10.3390/plants12173077","ISSN":"2223-7747","issue":"17","title":"Back to Nature: Medicinal Plants as Promising Sources for Antibacterial Drugs in the Post-Antibiotic Era","volume":"12","author":[{"family":"Abdallah","given":"Emad M."},{"family":"Alhatlani","given":"Bader Y."},{"family":"Paula Menezes","given":"Ralciane","non-dropping-particle":"de"},{"family":"Martins","given":"Carlos H."}],"issued":{"date-parts":[["2023"]]}}},{"id":5022,"uris":["http://zotero.org/users/9439317/items/7XP22AYP"],"itemData":{"id":5022,"type":"chapter","abstract":"Summary Different plant metabolites exist with numerous bioactive constituents, which can be utilized as food and also for medicinal purposes for the enhancement of human wellbeing. These bioactive constituents, which can also be called phytochemicals, have great benefits to promote human health and also protect against some degenerative diseases such as cardiovascular diseases, neurodegenerative disorders, and cancer. This chapter gives a brief explanation of different medicinal plants with their various phytochemicals, different neurodegenerative disorders, and the neurorestorative potentials of selected medicinal plants. Also, different functions of the brain are discussed. Oxidative stress and neuroinflammation, which results from neuroglial activation at the level of neurons, are key factors in the pathogenesis of neurologic and neurodegenerative diseases; the anti-inflammatory and antioxidant activities of different molecules present in medicinal plants are emphasized.","container-title":"Phytochemical Drug Discovery for Central Nervous System Disorders","ISBN":"978-1-119-79412-7","note":"DOI: 10.1002/9781119794127.ch12","page":"291-310","title":"Neurorestorative Potential of Medicinal Plants and Their Phytochemicals","URL":"https://doi.org/10.1002/9781119794127.ch12","author":[{"family":"Adetuyi","given":"Babatunde O."},{"family":"Odelade","given":"Kehinde A."},{"family":"Odine","given":"Grace O."},{"family":"Adetuyi","given":"Oluwatosin A."},{"family":"Omowumi","given":"Semiloore O."},{"family":"Ogunlana","given":"Olubanke O."},{"family":"Egbuna","given":"Chukwuebuka"}],"accessed":{"date-parts":[["2023",12,10]]},"issued":{"date-parts":[["2023",8,14]]}}},{"id":1743,"uris":["http://zotero.org/users/9439317/items/XU72SLU9"],"itemData":{"id":1743,"type":"article-journal","abstract":"Resveratrol is a natural polyphenolic stilbene isolated from various plants, foods and beverages with a broad spectrum of biological and pharmacological properties through modulating diverse targets and signaling pathways. Particularly, it has attracted a great deal of attention as a promising and multitarget anticancer agent due to its potential use in chemoprevention and chemotherapy of various tumors. However, unfavorable pharmacokinetics/pharmacodynamics profile such as poor bioavailability restricted its applications. Therefore, medicinal chemists have synthesized a lot of novel derivatives and analogues of resveratrol using different modification strategies to overcome these limitations and improve anticancer efficacy. Herein, we reviewed the design, synthesis, structure-activity relationship and mechanism of the most potent and privileged resveratrol-based compounds that showed promising anticancer activities in the last five years. We classified these compounds into the ten different categories based on their chemical structure similarities.","container-title":"European Journal of Medicinal Chemistry","DOI":"10.1016/j.ejmech.2020.112356","ISSN":"0223-5234","journalAbbreviation":"European Journal of Medicinal Chemistry","page":"112356","title":"Resveratrol – A comprehensive review of recent advances in anticancer drug design and development","URL":"https://www.sciencedirect.com/science/article/pii/S0223523420303263","volume":"200","author":[{"family":"Ahmadi","given":"Reza"},{"family":"Ebrahimzadeh","given":"Mohammad Ali"}],"issued":{"date-parts":[["2020",8,15]]}}}],"schema":"https://github.com/citation-style-language/schema/raw/master/csl-citation.json"} </w:instrText>
      </w:r>
      <w:r w:rsidR="00D45672" w:rsidRPr="00D22AA7">
        <w:rPr>
          <w:rFonts w:ascii="Times" w:hAnsi="Times"/>
          <w:i/>
          <w:iCs/>
        </w:rPr>
        <w:fldChar w:fldCharType="separate"/>
      </w:r>
      <w:r w:rsidR="00C1537C" w:rsidRPr="00C1537C">
        <w:rPr>
          <w:rFonts w:ascii="Times" w:hAnsi="Times"/>
          <w:lang w:val="en-GB"/>
        </w:rPr>
        <w:t>[48–50]</w:t>
      </w:r>
      <w:r w:rsidR="00D45672" w:rsidRPr="00D22AA7">
        <w:rPr>
          <w:rFonts w:ascii="Times" w:hAnsi="Times"/>
          <w:i/>
          <w:iCs/>
        </w:rPr>
        <w:fldChar w:fldCharType="end"/>
      </w:r>
      <w:r w:rsidRPr="00D22AA7">
        <w:rPr>
          <w:rFonts w:ascii="Times" w:hAnsi="Times"/>
        </w:rPr>
        <w:t xml:space="preserve"> . The therapeutic potential of phytochemicals has made them a focus of scientific research, with numerous studies highlighting their ability to support health and combat various diseases.</w:t>
      </w:r>
    </w:p>
    <w:p w14:paraId="40940B86" w14:textId="287FB4BE" w:rsidR="00386CA0" w:rsidRPr="00D22AA7" w:rsidRDefault="08ED496D" w:rsidP="00C83B7A">
      <w:pPr>
        <w:spacing w:before="240" w:after="240"/>
        <w:jc w:val="both"/>
        <w:rPr>
          <w:rFonts w:ascii="Times" w:hAnsi="Times"/>
        </w:rPr>
      </w:pPr>
      <w:r w:rsidRPr="00D22AA7">
        <w:rPr>
          <w:rFonts w:ascii="Times" w:hAnsi="Times"/>
        </w:rPr>
        <w:t xml:space="preserve">Among the many classes of phytochemicals, polyphenols stand out as particularly significant bioactive compounds. These polyphenolic compounds are widely distributed in nature and are found in a variety of foods commonly consumed in everyday diets, such as grapes, berries, nuts, olives, and flaxseed. In addition to these well-known sources, polyphenols are also abundant in beverages like coffee and tea, as well as in a range of spices and herbs, including </w:t>
      </w:r>
      <w:r w:rsidRPr="00D22AA7">
        <w:rPr>
          <w:rFonts w:ascii="Times" w:hAnsi="Times"/>
          <w:i/>
          <w:iCs/>
        </w:rPr>
        <w:t>Rosmarinus officinalis</w:t>
      </w:r>
      <w:r w:rsidRPr="00D22AA7">
        <w:rPr>
          <w:rFonts w:ascii="Times" w:hAnsi="Times"/>
        </w:rPr>
        <w:t xml:space="preserve"> (rosemary), </w:t>
      </w:r>
      <w:r w:rsidRPr="00D22AA7">
        <w:rPr>
          <w:rFonts w:ascii="Times" w:hAnsi="Times"/>
          <w:i/>
          <w:iCs/>
        </w:rPr>
        <w:t>Origanum vulgare</w:t>
      </w:r>
      <w:r w:rsidRPr="00D22AA7">
        <w:rPr>
          <w:rFonts w:ascii="Times" w:hAnsi="Times"/>
        </w:rPr>
        <w:t xml:space="preserve"> (oregano), </w:t>
      </w:r>
      <w:r w:rsidRPr="00D22AA7">
        <w:rPr>
          <w:rFonts w:ascii="Times" w:hAnsi="Times"/>
          <w:i/>
          <w:iCs/>
        </w:rPr>
        <w:t>Salvia officinalis</w:t>
      </w:r>
      <w:r w:rsidRPr="00D22AA7">
        <w:rPr>
          <w:rFonts w:ascii="Times" w:hAnsi="Times"/>
        </w:rPr>
        <w:t xml:space="preserve"> (sage), and </w:t>
      </w:r>
      <w:r w:rsidRPr="00D22AA7">
        <w:rPr>
          <w:rFonts w:ascii="Times" w:hAnsi="Times"/>
          <w:i/>
          <w:iCs/>
        </w:rPr>
        <w:t xml:space="preserve">Majorana </w:t>
      </w:r>
      <w:proofErr w:type="spellStart"/>
      <w:r w:rsidRPr="00D22AA7">
        <w:rPr>
          <w:rFonts w:ascii="Times" w:hAnsi="Times"/>
          <w:i/>
          <w:iCs/>
        </w:rPr>
        <w:t>syriaca</w:t>
      </w:r>
      <w:proofErr w:type="spellEnd"/>
      <w:r w:rsidRPr="00D22AA7">
        <w:rPr>
          <w:rFonts w:ascii="Times" w:hAnsi="Times"/>
        </w:rPr>
        <w:t xml:space="preserve"> (marjoram) [47–51].</w:t>
      </w:r>
    </w:p>
    <w:p w14:paraId="68674CF8" w14:textId="22085DD1" w:rsidR="00386CA0" w:rsidRPr="00D22AA7" w:rsidRDefault="08ED496D" w:rsidP="00C83B7A">
      <w:pPr>
        <w:spacing w:before="240" w:after="240"/>
        <w:jc w:val="both"/>
        <w:rPr>
          <w:rFonts w:ascii="Times" w:hAnsi="Times"/>
        </w:rPr>
      </w:pPr>
      <w:r w:rsidRPr="00D22AA7">
        <w:rPr>
          <w:rFonts w:ascii="Times" w:hAnsi="Times"/>
        </w:rPr>
        <w:t>The widespread presence of polyphenols in these foods and herbs not only contributes to their distinct flavors and colors but also enhances their potential health benefits. Numerous studies have shown that polyphenols exhibit a broad spectrum of biological activities that make them highly effective in protecting the body from oxidative stress, inflammation, and chronic diseases such as cancer, cardiovascular conditions, and neurodegenerative disorders. The ability of polyphenols to interact with cellular signaling pathways and modulate the immune system further underscores their importance in maintaining overall health.</w:t>
      </w:r>
    </w:p>
    <w:p w14:paraId="7E3C6BA6" w14:textId="20D24396" w:rsidR="00386CA0" w:rsidRPr="00D22AA7" w:rsidRDefault="08ED496D" w:rsidP="00C83B7A">
      <w:pPr>
        <w:spacing w:before="240" w:after="240"/>
        <w:jc w:val="both"/>
        <w:rPr>
          <w:rFonts w:ascii="Times" w:hAnsi="Times"/>
        </w:rPr>
      </w:pPr>
      <w:r w:rsidRPr="00D22AA7">
        <w:rPr>
          <w:rFonts w:ascii="Times" w:hAnsi="Times"/>
        </w:rPr>
        <w:t xml:space="preserve">As researchers continue to investigate the mechanisms behind the therapeutic effects of polyphenols, the growing body of evidence suggests that these plant-derived compounds may hold the key to developing novel, natural-based therapies for a variety of ailments. By tapping into the power of plants and their bioactive constituents, we are able to harness centuries of traditional knowledge and combine it with modern scientific advancements to improve human health and prevent disease </w:t>
      </w:r>
      <w:r w:rsidR="00D45672" w:rsidRPr="00D22AA7">
        <w:rPr>
          <w:rFonts w:ascii="Times" w:hAnsi="Times"/>
          <w:i/>
          <w:iCs/>
        </w:rPr>
        <w:fldChar w:fldCharType="begin"/>
      </w:r>
      <w:r w:rsidR="00C1537C">
        <w:rPr>
          <w:rFonts w:ascii="Times" w:hAnsi="Times"/>
          <w:i/>
          <w:iCs/>
        </w:rPr>
        <w:instrText xml:space="preserve"> ADDIN ZOTERO_ITEM CSL_CITATION {"citationID":"kuXe9iOF","properties":{"formattedCitation":"[51\\uc0\\u8211{}55]","plainCitation":"[51–55]","noteIndex":0},"citationItems":[{"id":2348,"uris":["http://zotero.org/users/9439317/items/LMNMM2XR"],"itemData":{"id":2348,"type":"article-journal","container-title":"science","ISSN":"0036-8075","issue":"5297","journalAbbreviation":"science","note":"publisher: American Association for the Advancement of Science","page":"218-220","title":"Cancer chemopreventive activity of resveratrol, a natural product derived from grapes","volume":"275","author":[{"family":"Jang","given":"Meishiang"},{"family":"Cai","given":"Lining"},{"family":"Udeani","given":"George O"},{"family":"Slowing","given":"Karla V"},{"family":"Thomas","given":"Cathy F"},{"family":"Beecher","given":"Christopher WW"},{"family":"Fong","given":"Harry HS"},{"family":"Farnsworth","given":"Norman R"},{"family":"Kinghorn","given":"A Douglas"},{"family":"Mehta","given":"Rajendra G"}],"issued":{"date-parts":[["1997"]]}}},{"id":188,"uris":["http://zotero.org/users/9439317/items/LUPEJJ7E"],"itemData":{"id":188,"type":"article-journal","abstract":"Nowadays, it is clear that unhealthy diet is one of the prime factors that contribute to the rise of inflammatory diseases and autoimmunity in both developed and developing countries. The Mediterranean diet has been associated with a reduced incidence of certain pathologies related to chronic inflammation and immune system. Olive oil, the principal source of dietary lipids of the Mediterranean diet, possesses a high nutritional quality and a particular composition, which is especially relevant in the case of Extra Virgin Olive Oil (EVOO). EVOO is obtained from olives solely by mechanical or other physical preparation under conditions that do not alter natural composition. EVOO is described as a key bioactive food with multiple beneficial properties and it may be effective in the management of some immuneinflammatory diseases. In this review, we summarise the key works, which provided evidence of the beneficial effects of EVOO and its minor components focusing on their mechanisms on immune-inflammatory diseases like rheumatoid arthritis, systemic lupus erythematous, inflammatory bowel disease and sclerosis.","container-title":"Food &amp; Function","DOI":"10.1039/C6FO01094F","ISSN":"2042-6496, 2042-650X","issue":"11","journalAbbreviation":"Food Funct.","language":"en","page":"4492-4505","source":"DOI.org (Crossref)","title":"Extra virgin olive oil: a key functional food for prevention of immune-inflammatory diseases","title-short":"Extra virgin olive oil","URL":"http://xlink.rsc.org/?DOI=C6FO01094F","volume":"7","author":[{"family":"Aparicio-Soto","given":"Marina"},{"family":"Sánchez-Hidalgo","given":"Marina"},{"family":"Rosillo","given":"Ma Ángeles"},{"family":"Castejón","given":"Ma Luisa"},{"family":"Alarcón-de-la-Lastra","given":"Catalina"}],"accessed":{"date-parts":[["2022",6,3]]},"issued":{"date-parts":[["2016"]]}}},{"id":12211,"uris":["http://zotero.org/users/9439317/items/D3XBTJ42"],"itemData":{"id":12211,"type":"article-journal","abstract":"The phytoestrogen resveratrol has been reported to possess cancer chemo-preventive activity on the basis of its effects on tumor cell lines and xenograft or carcinogen-inducible in vivo models. Here we investigated the effects of resveratrol on spontaneous mammary carcinogenesis using Δ16HER2 mice as HER2+/ERα+ breast cancer model. Instead of inhibiting tumor growth, resveratrol treatment (0.0001% in drinking water; daily intake of 4μg/mouse) shortened tumor latency and enhanced tumor multiplicity in Δ16HER2 mice. This in vivo tumor-promoting effect of resveratrol was associated with up-regulation of Δ16HER2 and down-regulation of ERα protein levels and was recapitulated in vitro by murine (CAM6) and human (BT474) tumor cell lines. Our results demonstrate that resveratrol, acting as a proteasome inhibitor, leads to Δ16HER2 accumulation which favors the formation of Δ16HER2/HER3 heterodimers. The consequential activation of downstream mTORC1/p70S6K/4EBP1 pathway triggers cancer growth and proliferation. This study provides evidence that resveratrol mechanism of action (and hence its effects) depends on the intrinsic molecular properties of the cancer model under investigation, exerting a tumor-promoting effect in luminal B breast cancer subtype models.","container-title":"Aging","DOI":"10.18632/aging.101175","ISSN":"1945-4589","issue":"2","journalAbbreviation":"Aging","language":"en","page":"508-523","source":"DOI.org (Crossref)","title":"Resveratrol fuels HER2 and ERα-positive breast cancer behaving as proteasome inhibitor","URL":"https://www.aging-us.com/lookup/doi/10.18632/aging.101175","volume":"9","author":[{"family":"Andreani","given":"Cristina"},{"family":"Bartolacci","given":"Caterina"},{"family":"Wijnant","given":"Kathleen"},{"family":"Crinelli","given":"Rita"},{"family":"Bianchi","given":"Marzia"},{"family":"Magnani","given":"Mauro"},{"family":"Hysi","given":"Albana"},{"family":"Iezzi","given":"Manuela"},{"family":"Amici","given":"Augusto"},{"family":"Marchini","given":"Cristina"}],"accessed":{"date-parts":[["2023",2,11]]},"issued":{"date-parts":[["2017",2,26]]}}},{"id":108,"uris":["http://zotero.org/users/9439317/items/V8Y8A9VL"],"itemData":{"id":108,"type":"article-journal","abstract":"Herbs and spices have been used for both culinary and medicinal purposes for centuries. Over the last decade, research into their role as contributors of dietary polyphenols, known to possess a number of properties associated with reducing the risk of developing chronic non-communicable diseases, has increased. However, bearing in mind how these foods are consumed, normally in small quantities and in combination with other foods, it is unclear what their true benefit is from a health perspective. The aim of this review is to use the literature to discuss how preparative and digestive processes, bioavailability and interactions between foods may influence the bioactive properties of these foods, and whether or not polyphenols are responsible for these properties. Furthermore, this review aims to highlight the challenges that need to be addressed so as to determine the true benefits of these foods and the mechanisms of action that underpin their purported efficacy.","container-title":"International Journal of Molecular Sciences","DOI":"10.3390/ijms151019183","ISSN":"1422-0067","issue":"10","journalAbbreviation":"IJMS","language":"en","page":"19183-19202","source":"DOI.org (Crossref)","title":"Culinary Herbs and Spices: Their Bioactive Properties, the Contribution of Polyphenols and the Challenges in Deducing Their True Health Benefits","title-short":"Culinary Herbs and Spices","URL":"http://www.mdpi.com/1422-0067/15/10/19183","volume":"15","author":[{"family":"Opara","given":"Elizabeth"},{"family":"Chohan","given":"Magali"}],"accessed":{"date-parts":[["2022",6,27]]},"issued":{"date-parts":[["2014",10,22]]}}},{"id":107,"uris":["http://zotero.org/users/9439317/items/ID3WQQXZ"],"itemData":{"id":107,"type":"article-journal","abstract":"Antioxidants are substances that prevent oxidation of other compounds or neutralize free radicals. Spices and herbs are rich sources of antioxidants. They have been used in food and beverages to enhance ﬂavor, aroma and color. Due to their excellent antioxidant activity, spices and herbs have also been used to treat some diseases. In this review article, the chemical composition and antioxidant activity of spices and culinary herbs are presented. The content of ﬂavonoids and total polyphenols in different spices and herbs are summarized. The applications of spices and their impacts on human health are brieﬂy described. The extraction and analytical methods for determination of antioxidant capacity are concisely reviewed.","container-title":"Antioxidants","DOI":"10.3390/antiox6030070","ISSN":"2076-3921","issue":"3","journalAbbreviation":"Antioxidants","language":"en","page":"70","source":"DOI.org (Crossref)","title":"Antioxidant Activity of Spices and Their Impact on Human Health: A Review","title-short":"Antioxidant Activity of Spices and Their Impact on Human Health","URL":"http://www.mdpi.com/2076-3921/6/3/70","volume":"6","author":[{"family":"Yashin","given":"Alexander"},{"family":"Yashin","given":"Yakov"},{"family":"Xia","given":"Xiaoyan"},{"family":"Nemzer","given":"Boris"}],"accessed":{"date-parts":[["2022",6,27]]},"issued":{"date-parts":[["2017",9,15]]}}}],"schema":"https://github.com/citation-style-language/schema/raw/master/csl-citation.json"} </w:instrText>
      </w:r>
      <w:r w:rsidR="00D45672" w:rsidRPr="00D22AA7">
        <w:rPr>
          <w:rFonts w:ascii="Times" w:hAnsi="Times"/>
          <w:i/>
          <w:iCs/>
        </w:rPr>
        <w:fldChar w:fldCharType="separate"/>
      </w:r>
      <w:r w:rsidR="00C1537C" w:rsidRPr="00C1537C">
        <w:rPr>
          <w:rFonts w:ascii="Times" w:hAnsi="Times"/>
          <w:lang w:val="en-GB"/>
        </w:rPr>
        <w:t>[51–55]</w:t>
      </w:r>
      <w:r w:rsidR="00D45672" w:rsidRPr="00D22AA7">
        <w:rPr>
          <w:rFonts w:ascii="Times" w:hAnsi="Times"/>
          <w:i/>
          <w:iCs/>
        </w:rPr>
        <w:fldChar w:fldCharType="end"/>
      </w:r>
      <w:r w:rsidRPr="00D22AA7">
        <w:rPr>
          <w:rFonts w:ascii="Times" w:hAnsi="Times"/>
        </w:rPr>
        <w:t>.</w:t>
      </w:r>
    </w:p>
    <w:p w14:paraId="53616239" w14:textId="076336F2" w:rsidR="00386CA0" w:rsidRPr="00D22AA7" w:rsidRDefault="687B6DE6" w:rsidP="00C83B7A">
      <w:pPr>
        <w:pStyle w:val="BodyText"/>
        <w:jc w:val="both"/>
        <w:rPr>
          <w:rFonts w:ascii="Times" w:hAnsi="Times"/>
        </w:rPr>
      </w:pPr>
      <w:r w:rsidRPr="00D22AA7">
        <w:rPr>
          <w:rFonts w:ascii="Times" w:hAnsi="Times"/>
          <w:lang w:val="en-GB"/>
        </w:rPr>
        <w:t xml:space="preserve">Polyphenols are a diverse group of naturally occurring compounds, structurally distinguished by the presence of aromatic rings that are attached to one or more hydroxyl groups. These compounds exhibit a broad range of chemical structures and biological activities, and they are found in various plant-based sources. The family of polyphenols includes several important classes, such as flavonoids, which are known for their potent antioxidant and anti-inflammatory properties; xanthones, which possess antimicrobial and anticancer effects; catechins, commonly found in tea and known </w:t>
      </w:r>
      <w:r w:rsidRPr="00D22AA7">
        <w:rPr>
          <w:rFonts w:ascii="Times" w:hAnsi="Times"/>
          <w:lang w:val="en-GB"/>
        </w:rPr>
        <w:lastRenderedPageBreak/>
        <w:t xml:space="preserve">for their cardiovascular benefits; </w:t>
      </w:r>
      <w:proofErr w:type="spellStart"/>
      <w:r w:rsidRPr="00D22AA7">
        <w:rPr>
          <w:rFonts w:ascii="Times" w:hAnsi="Times"/>
          <w:lang w:val="en-GB"/>
        </w:rPr>
        <w:t>hesperetin</w:t>
      </w:r>
      <w:proofErr w:type="spellEnd"/>
      <w:r w:rsidRPr="00D22AA7">
        <w:rPr>
          <w:rFonts w:ascii="Times" w:hAnsi="Times"/>
          <w:lang w:val="en-GB"/>
        </w:rPr>
        <w:t xml:space="preserve"> and quercetin, which have been linked to enhanced immune function and reduced oxidative stress; ellagic acid, a compound with promising anticancer properties; lignans, which are recognized for their potential to support hormonal health; stilbenes, including resveratrol, which is famous for its potential role in promoting longevity; chalcones, polyphenolic amides, and resveratrol. These compounds are not only abundant in nature but also hold significant potential for various therapeutic applications, making polyphenols an area of keen scientific interest in the study of human health and disease prevention </w:t>
      </w:r>
      <w:r w:rsidR="00D45672" w:rsidRPr="00D22AA7">
        <w:rPr>
          <w:rFonts w:ascii="Times" w:hAnsi="Times"/>
        </w:rPr>
        <w:fldChar w:fldCharType="begin"/>
      </w:r>
      <w:r w:rsidR="00C1537C">
        <w:rPr>
          <w:rFonts w:ascii="Times" w:hAnsi="Times"/>
        </w:rPr>
        <w:instrText xml:space="preserve"> ADDIN ZOTERO_ITEM CSL_CITATION {"citationID":"DbTaNO7M","properties":{"formattedCitation":"[54,56\\uc0\\u8211{}60]","plainCitation":"[54,56–60]","noteIndex":0},"citationItems":[{"id":13050,"uris":["http://zotero.org/users/9439317/items/7R4WV54X"],"itemData":{"id":13050,"type":"article-journal","abstract":"Plant-derived functional foods are gaining considerable attention due to their safety and therapeutic potentials. Research on plant-based functional foods presents several challenges ranges from hypercholesterolemia to cancer prevention. In last decade, special attention has been paid to edible plants and especially their phytochemicals. Today, there is an increasing interest in their bioactivities provided by these phytochemicals. Polyphenols are the most numerous and widely distributed group of bioactive molecules. Polyphenols have two general classes, one is flavonoids and other is phenolic acids. Among these, flavonoids are further divided into flavones, flavononse, flavonols, flavanols, isoflavones, and phenolic acids are generally classified into hydroxybenzoic and hydroxycinnamic acids. Fruit peel is one of the dense sources for flavonoids and their content may vary from species to species and due to exposure of light. Polyphenols have wide range of molecules and different set of biological activities that are mainly attributed to their structure. Investigations have revealed that polyphenols play a key role to prevent various diseases, like hypercholesterolemia, hyperglycemia, hyperlipidemia, and cancer insurgence. The current review article summarizes the literature pertaining to polyphenols and its allied health benefits.","language":"en","page":"12","source":"Zotero","title":"Natural polyphenols: An overview","author":[{"family":"Abbas","given":"Munawar"},{"family":"Saeed","given":"Farhan"},{"family":"Anjum","given":"Faqir Muhammad"},{"family":"Tufail","given":"Tabussam"},{"family":"Bashir","given":"Muhammad Shakeel"},{"family":"Ishtiaq","given":"Adnan"},{"family":"Hussain","given":"Shahzad"},{"family":"Suleria","given":"Hafiz Ansar Rasul"}]}},{"id":108,"uris":["http://zotero.org/users/9439317/items/V8Y8A9VL"],"itemData":{"id":108,"type":"article-journal","abstract":"Herbs and spices have been used for both culinary and medicinal purposes for centuries. Over the last decade, research into their role as contributors of dietary polyphenols, known to possess a number of properties associated with reducing the risk of developing chronic non-communicable diseases, has increased. However, bearing in mind how these foods are consumed, normally in small quantities and in combination with other foods, it is unclear what their true benefit is from a health perspective. The aim of this review is to use the literature to discuss how preparative and digestive processes, bioavailability and interactions between foods may influence the bioactive properties of these foods, and whether or not polyphenols are responsible for these properties. Furthermore, this review aims to highlight the challenges that need to be addressed so as to determine the true benefits of these foods and the mechanisms of action that underpin their purported efficacy.","container-title":"International Journal of Molecular Sciences","DOI":"10.3390/ijms151019183","ISSN":"1422-0067","issue":"10","journalAbbreviation":"IJMS","language":"en","page":"19183-19202","source":"DOI.org (Crossref)","title":"Culinary Herbs and Spices: Their Bioactive Properties, the Contribution of Polyphenols and the Challenges in Deducing Their True Health Benefits","title-short":"Culinary Herbs and Spices","URL":"http://www.mdpi.com/1422-0067/15/10/19183","volume":"15","author":[{"family":"Opara","given":"Elizabeth"},{"family":"Chohan","given":"Magali"}],"accessed":{"date-parts":[["2022",6,27]]},"issued":{"date-parts":[["2014",10,22]]}}},{"id":5021,"uris":["http://zotero.org/users/9439317/items/85WIJTFG"],"itemData":{"id":5021,"type":"article-journal","abstract":"Phytochemicals represent a large and diverse group of naturally occurring compounds, bioactive nutrients, or phytonutrients produced by plants, widely found in fruits, vegetables, whole grains products, legumes, beans, herbs, seeds, nuts, tea, and dark chocolate. They are classified according to their chemical structures and functional properties. Flavonoids belong to the phenolic class of phytochemicals with potential solid pharmacological effects as modulators of multiple signal transduction pathways. Their beneficial effect on the human body is associated with their antioxidant, anti-inflammatory, antimutagenic, and anticarcinogenic properties. Flavonoids are also widely used in various nutritional, pharmaceutical, medical, and cosmetic applications. In our review, we discuss the positive effect of flavonoids on chronic skin diseases such as vitiligo, psoriasis, acne, and atopic dermatitis.","container-title":"International Journal of Molecular Sciences","DOI":"10.3390/ijms24076324","ISSN":"1422-0067","issue":"7","title":"Flavonoids as Promising Natural Compounds in the Prevention and Treatment of Selected Skin Diseases","volume":"24","author":[{"family":"Čižmárová","given":"Beáta"},{"family":"Hubková","given":"Beáta"},{"family":"Tomečková","given":"Vladimíra"},{"family":"Birková","given":"Anna"}],"issued":{"date-parts":[["2023"]]}}},{"id":2586,"uris":["http://zotero.org/users/9439317/items/RA6TS7NQ"],"itemData":{"id":2586,"type":"article-journal","abstract":"It is becoming progressively more understandable that different phytochemicals isolated from edible plants interfere with specific stages of carcinogenesis. Cancer cells have evolved hallmark mechanisms to escape from death. Concordant with this approach, there is a disruption of spatiotemproal behaviour of signaling cascades in cancer cells, which can escape from apoptosis because of downregulation of tumor suppressor genes and overexpression of oncogenes. Genomic instability, intra-tumor heterogeneity, cellular plasticity and metastasizing potential of cancer cells all are related to molecular alterations. Data obtained through in vitro studies has convincingly revealed that curcumin, EGCG, resveratrol and quercetin are promising anticancer agents. Their efficacy has been tested in tumor xenografted mice and considerable experimental findings have stimulated researchers to further improve the bioavailability of these nutraceuticals. We partition this review into different sections with emphasis on how bioavailability of curcumin, EGCG, resveratrol and quercetin has improved using different nanotechnology approaches.","container-title":"Asian Pacific Journal of Cancer Prevention","DOI":"10.7314/APJCP.2014.15.9.3865","ISSN":"1513-7368","issue":"9","journalAbbreviation":"Asian Pacific Journal of Cancer Prevention","language":"en","page":"3865-3871","source":"DOI.org (Crossref)","title":"Targeting Cancer with Nano-Bullets: Curcumin, EGCG, Resveratrol and Quercetin on Flying Carpets","title-short":"Targeting Cancer with Nano-Bullets","URL":"http://koreascience.or.kr/journal/view.jsp?kj=POCPA9&amp;py=2014&amp;vnc=v15n9&amp;sp=3865","volume":"15","author":[{"family":"Aras","given":"Aliye"},{"family":"Khokhar","given":"Abdur Rehman"},{"family":"Qureshi","given":"Muhammad Zahid"},{"family":"Silva","given":"Marcela Fernandes"},{"family":"Sobczak-Kupiec","given":"Agnieszka"},{"family":"Pineda","given":"Edgardo Alfonso Gomez"},{"family":"Hechenleitner","given":"Ana Adelina Winkler"},{"family":"Farooqi","given":"Ammad Ahmad"}],"accessed":{"date-parts":[["2023",5,31]]},"issued":{"date-parts":[["2014",5,15]]}}},{"id":2346,"uris":["http://zotero.org/users/9439317/items/BDKRKRUD"],"itemData":{"id":2346,"type":"article-journal","container-title":"Adv. Plant Physiol","journalAbbreviation":"Adv. Plant Physiol","page":"39-70","title":"Plant stilbenes: Recent advances in their chemistry and biology","volume":"3","author":[{"family":"Morales","given":"Miurel"},{"family":"Barcelo","given":"A."},{"family":"Pedreño","given":"Maria"}],"issued":{"date-parts":[["2000",1,1]]}}},{"id":18,"uris":["http://zotero.org/users/9439317/items/GWFNBCTB"],"itemData":{"id":18,"type":"article-journal","container-title":"Breast Cancer Research and Treatment","DOI":"10.1007/s10549-012-1977-9","ISSN":"0167-6806, 1573-7217","issue":"3","journalAbbreviation":"Breast Cancer Res Treat","language":"en","page":"943-955","source":"DOI.org (Crossref)","title":"Ellagic acid, a phenolic compound, exerts anti-angiogenesis effects via VEGFR-2 signaling pathway in breast cancer","URL":"http://link.springer.com/10.1007/s10549-012-1977-9","volume":"134","author":[{"family":"Wang","given":"Neng"},{"family":"Wang","given":"Zhi-Yu"},{"family":"Mo","given":"Sui-Lin"},{"family":"Loo","given":"Tjing Yung"},{"family":"Wang","given":"Dong-Mei"},{"family":"Luo","given":"Hai-Bin"},{"family":"Yang","given":"De-Po"},{"family":"Chen","given":"Yu-Ling"},{"family":"Shen","given":"Jian-Gang"},{"family":"Chen","given":"Jian-Ping"}],"accessed":{"date-parts":[["2022",5,19]]},"issued":{"date-parts":[["2012",8]]}}}],"schema":"https://github.com/citation-style-language/schema/raw/master/csl-citation.json"} </w:instrText>
      </w:r>
      <w:r w:rsidR="00D45672" w:rsidRPr="00D22AA7">
        <w:rPr>
          <w:rFonts w:ascii="Times" w:hAnsi="Times"/>
        </w:rPr>
        <w:fldChar w:fldCharType="separate"/>
      </w:r>
      <w:r w:rsidR="00C1537C" w:rsidRPr="00C1537C">
        <w:rPr>
          <w:rFonts w:ascii="Times" w:hAnsi="Times"/>
          <w:lang w:val="en-GB"/>
        </w:rPr>
        <w:t>[54,56–60]</w:t>
      </w:r>
      <w:r w:rsidR="00D45672" w:rsidRPr="00D22AA7">
        <w:rPr>
          <w:rFonts w:ascii="Times" w:hAnsi="Times"/>
        </w:rPr>
        <w:fldChar w:fldCharType="end"/>
      </w:r>
      <w:r w:rsidR="66779EFB" w:rsidRPr="00D22AA7">
        <w:rPr>
          <w:rFonts w:ascii="Times" w:hAnsi="Times"/>
        </w:rPr>
        <w:t>.</w:t>
      </w:r>
    </w:p>
    <w:p w14:paraId="20E58BA0" w14:textId="0FC7FA1B" w:rsidR="00386CA0" w:rsidRPr="00D22AA7" w:rsidRDefault="0067242C">
      <w:pPr>
        <w:pStyle w:val="BodyText"/>
        <w:spacing w:beforeAutospacing="1" w:afterAutospacing="1"/>
        <w:rPr>
          <w:rFonts w:ascii="Times" w:hAnsi="Times"/>
          <w:b/>
          <w:bCs/>
        </w:rPr>
      </w:pPr>
      <w:r w:rsidRPr="00D22AA7">
        <w:rPr>
          <w:rFonts w:ascii="Times" w:hAnsi="Times"/>
          <w:b/>
          <w:bCs/>
        </w:rPr>
        <w:t>2.4.1. Polyphenols modulates signaling pathways</w:t>
      </w:r>
    </w:p>
    <w:p w14:paraId="5404EC3E" w14:textId="19BFCF5B" w:rsidR="00386CA0" w:rsidRPr="00D22AA7" w:rsidRDefault="3A69359F" w:rsidP="007A25E7">
      <w:pPr>
        <w:spacing w:before="240" w:after="240"/>
        <w:jc w:val="both"/>
        <w:rPr>
          <w:rFonts w:ascii="Times" w:hAnsi="Times"/>
        </w:rPr>
      </w:pPr>
      <w:r w:rsidRPr="00D22AA7">
        <w:rPr>
          <w:rFonts w:ascii="Times" w:hAnsi="Times"/>
        </w:rPr>
        <w:t xml:space="preserve">Polyphenols have garnered significant attention for their potent anticancer and anti-inflammatory properties. These compounds exert their therapeutic effects by modulating crucial signaling pathways, inducing apoptosis in various cancer cell types, and reducing the activity of nucleoside diphosphate kinase B (NME2) in cells from lung, bladder, and colon cancers. NME2 is a critical regulator of several cellular processes, including energy metabolism, cell proliferation, and differentiation, and its inhibition has been shown to impact tumor progression and metastasis </w:t>
      </w:r>
      <w:r w:rsidR="00D45672" w:rsidRPr="00D22AA7">
        <w:rPr>
          <w:rFonts w:ascii="Times" w:hAnsi="Times"/>
        </w:rPr>
        <w:fldChar w:fldCharType="begin"/>
      </w:r>
      <w:r w:rsidR="00C1537C">
        <w:rPr>
          <w:rFonts w:ascii="Times" w:hAnsi="Times"/>
        </w:rPr>
        <w:instrText xml:space="preserve"> ADDIN ZOTERO_ITEM CSL_CITATION {"citationID":"cG6k6ba8","properties":{"formattedCitation":"[30,30,61\\uc0\\u8211{}63]","plainCitation":"[30,30,61–63]","noteIndex":0},"citationItems":[{"id":5552,"uris":["http://zotero.org/users/9439317/items/YJS5M5DI"],"itemData":{"id":5552,"type":"article-journal","language":"en","source":"Zotero","title":"Signal transduction pathways in rheumatoid arthritis with emphasis on the p38 mitogen-activated protein kinase (MAPK) pathway","author":[{"family":"Westra","given":"Johanna"},{"family":"Limburg","given":"Pieter C"}]}},{"id":5552,"uris":["http://zotero.org/users/9439317/items/YJS5M5DI"],"itemData":{"id":5552,"type":"article-journal","language":"en","source":"Zotero","title":"Signal transduction pathways in rheumatoid arthritis with emphasis on the p38 mitogen-activated protein kinase (MAPK) pathway","author":[{"family":"Westra","given":"Johanna"},{"family":"Limburg","given":"Pieter C"}]}},{"id":13741,"uris":["http://zotero.org/users/9439317/items/Z3M6338S"],"itemData":{"id":13741,"type":"article-journal","abstract":"Excess intake of fructose may contribute to the high prevalence of metabolic disorder. In this study, we investigated the effects of kefir supplementation on the intestine-liver-adipose tissue axis in metabolic disorder induced by high-fructose diet in rats to describe mechanistic action and potential therapeutic value of kefir. Fructose was given to the rats as a 20% solution in drinking water for 15 weeks. Kefir was administrated by gastric gavage once a day during the final six weeks. Kefir supplementation improved metabolic parameters, including plasma triglyceride and insulin levels; hepatic weight, triglyceride content and fatty degeneration; omental fat mass in fructose-fed rats. Kefir supplementation decreased the ratio of Firmicutes/Bacteroidetes in feces, as well as necrotic degeneration, expression levels of nuclear factor-kappa B (NF-κB), and inducible nitric oxide synthase (iNOS), but increased expression of tight-junction proteins occludin and claudin-1, in the ileum of the fructose-fed rats. Kefir treatment also reduced the mRNA levels of key lipogenic genes sterol regulatory element-binding protein (SREBP-1c) and fatty acid synthase (FASN) together with a decline in expression of tumor necrosis factor-alpha (TNF-α), NF-κB, and glycosylated glycoprotein (CD68) in the liver. Moreover, kefir treatment improved insulin signaling at the level of insulin receptor substrate 1 (IRS-1) and phospho-endothelial nitric oxide synthase (peNOS) as well as fructose transporters (GLUT2 and GLUT5) in the liver, but not in the adipose tissue, of high-fructose-fed rats. Consequently, kefir supplementation suppresses hepatic lipogenesis and inflammatory status, but promotes insulin signaling, in association with a change of the fecal microbiota and attenuation of the intestinal permeability factors in high-fructose-fed rats. Thus, we propose that kefir has favorable effects on the hepatic and intestinal irregularities induced by fructose overconsumption.","container-title":"Food Research International","title":"Potential mechanistic pathways underlying intestinal and hepatic effects of kefir in high-fructose-fed rats","volume":"143","author":[{"family":"Akar","given":"Fatma"},{"family":"Sumlu","given":"Esra"},{"family":"Alçığır","given":"Mehmet Eray"},{"family":"Bostancı","given":"Aykut"},{"family":"Sadi","given":"Gökhan"}],"accessed":{"date-parts":[["2021",10,10]]},"issued":{"date-parts":[["2021",5,1]]}}},{"id":8294,"uris":["http://zotero.org/users/9439317/items/7ABMPIB7"],"itemData":{"id":8294,"type":"article-journal","abstract":"The epithelial-to-mesenchymal transition (EMT) has received signiﬁcant interest as a novel target in cancer prevention, metastasis, and resistance. The conversion of cells from an epithelial, adhesive state to a mesenchymal, motile state is one of the key events in the development of cancer metastasis. Polyphenols have been reported to be efﬁcacious in the prevention of cancer and reversing cancer progression. Recently, the antimetastatic efﬁcacy of polyphenols has been reported, thereby expanding the potential use of these compounds beyond chemoprevention. Polyphenols may affect EMT pathways, which are involved in cancer metastasis; for example, polyphenols increase the levels of epithelial markers, but downregulate the mesenchymal markers. Polyphenols also alter the level of expression and functionality of important proteins in other signaling pathways that control cellular mesenchymal characteristics. However, the speciﬁc proteins that are directly affected by polyphenols in these signaling pathways remain to be elucidated. The aim of this review is to analyze current evidence regarding the role of polyphenols in attenuating EMT-mediated cancer progression and metastasis. We also discuss the role of the most important polyphenol subclasses and members of the polyphenols in reversing metastasis and targeting EMT. Finally, limitations and future directions to improve our understanding in this ﬁeld are discussed.","container-title":"Nutrients","DOI":"10.3390/nu9080911","ISSN":"2072-6643","issue":"8","journalAbbreviation":"Nutrients","language":"en","page":"911","source":"DOI.org (Crossref)","title":"Polyphenolic Nutrients in Cancer Chemoprevention and Metastasis: Role of the Epithelial-to-Mesenchymal (EMT) Pathway","title-short":"Polyphenolic Nutrients in Cancer Chemoprevention and Metastasis","URL":"http://www.mdpi.com/2072-6643/9/8/911","volume":"9","author":[{"family":"Amawi","given":"Haneen"},{"family":"Ashby","given":"Charles"},{"family":"Samuel","given":"Temesgen"},{"family":"Peraman","given":"Ramalingam"},{"family":"Tiwari","given":"Amit"}],"accessed":{"date-parts":[["2022",4,26]]},"issued":{"date-parts":[["2017",8,21]]}}},{"id":12078,"uris":["http://zotero.org/users/9439317/items/V9W264N3"],"itemData":{"id":12078,"type":"article-journal","abstract":"Breast cancer is the most commonly diagnosed cancer among women worldwide. Many women have become more aware of the benefits of increasing fruit consumption, as part of a healthy lifestyle, for the prevention of cancer. The mechanisms by which fruits, including berries, prevent breast cancer can be partially explained by exploring their interactions with pathways known to influence cell proliferation and evasion of cell-death. Two receptor pathways, estrogen receptor (ER) and tyrosine kinase receptors, especially the epidermal growth factor receptor (EGFR) family, are drivers of cell proliferation and play a significant role in the development of both primary and recurrent breast cancer. There is strong evidence to show that several phytochemicals present in berries such as cyanidin, delphinidin, quercetin, kaempferol, ellagic acid, resveratrol, and pterostilbene interact with and alter the effects of these pathways. Furthermore, they also induce cell death (apoptosis and autophagy) via their influence on kinase signaling. This review summarizes in vitro data regarding the interaction of berry polyphenols with the specific receptors and the mechanisms by which they induce cell death. This paper also presents in vivo data of primary breast cancer prevention by individual compounds and whole berries. Finally, a possible role for berries and berry compounds in the prevention of breast cancer and a perspective on the areas that require further research are presented.","container-title":"J. Agric. Food Chem.","language":"en","page":"16","source":"Zotero","title":"Influence of Berry Polyphenols on Receptor Signaling and Cell-Death Pathways: Implications for Breast Cancer Prevention","author":[{"family":"Aiyer","given":"Harini S"},{"family":"Warri","given":"Anni M"},{"family":"Woode","given":"Denzel R"},{"family":"Hilakivi-Clarke","given":"Leena"},{"family":"Clarke","given":"Robert"}],"issued":{"date-parts":[["2012"]]}}}],"schema":"https://github.com/citation-style-language/schema/raw/master/csl-citation.json"} </w:instrText>
      </w:r>
      <w:r w:rsidR="00D45672" w:rsidRPr="00D22AA7">
        <w:rPr>
          <w:rFonts w:ascii="Times" w:hAnsi="Times"/>
        </w:rPr>
        <w:fldChar w:fldCharType="separate"/>
      </w:r>
      <w:r w:rsidR="00C1537C" w:rsidRPr="00C1537C">
        <w:rPr>
          <w:rFonts w:ascii="Times" w:hAnsi="Times"/>
          <w:lang w:val="en-GB"/>
        </w:rPr>
        <w:t>[30,30,61–63]</w:t>
      </w:r>
      <w:r w:rsidR="00D45672" w:rsidRPr="00D22AA7">
        <w:rPr>
          <w:rFonts w:ascii="Times" w:hAnsi="Times"/>
        </w:rPr>
        <w:fldChar w:fldCharType="end"/>
      </w:r>
      <w:r w:rsidR="0067242C" w:rsidRPr="00D22AA7">
        <w:rPr>
          <w:rFonts w:ascii="Times" w:hAnsi="Times"/>
        </w:rPr>
        <w:t xml:space="preserve">. </w:t>
      </w:r>
      <w:r w:rsidRPr="00D22AA7">
        <w:rPr>
          <w:rFonts w:ascii="Times" w:hAnsi="Times"/>
        </w:rPr>
        <w:t>In recent decades, there has been a surge in research focusing on the potential of medicinal plants and their phytochemicals to regulate molecular signaling pathways involved in various diseases, including cancer</w:t>
      </w:r>
      <w:r w:rsidR="0067242C" w:rsidRPr="00D22AA7">
        <w:rPr>
          <w:rFonts w:ascii="Times" w:hAnsi="Times"/>
        </w:rPr>
        <w:t xml:space="preserve"> </w:t>
      </w:r>
      <w:r w:rsidRPr="00D22AA7">
        <w:rPr>
          <w:rFonts w:ascii="Times" w:hAnsi="Times"/>
        </w:rPr>
        <w:t>RA, and other chronic conditions. Polyphenols</w:t>
      </w:r>
      <w:proofErr w:type="gramStart"/>
      <w:r w:rsidRPr="00D22AA7">
        <w:rPr>
          <w:rFonts w:ascii="Times" w:hAnsi="Times"/>
        </w:rPr>
        <w:t>, in particular, have</w:t>
      </w:r>
      <w:proofErr w:type="gramEnd"/>
      <w:r w:rsidRPr="00D22AA7">
        <w:rPr>
          <w:rFonts w:ascii="Times" w:hAnsi="Times"/>
        </w:rPr>
        <w:t xml:space="preserve"> been found to influence multiple cellular processes, such as inhibiting fatty acid synthesis, suppressing topoisomerase I/II, promoting the accumulation of tumor suppressor protein p53, inducing cell cycle arrest, and regulating mechanisms that control cell survival and proliferation. These diverse effects underscore the potential of polyphenols as therapeutic agents in the management of complex diseases. Unlike conventional treatments, which often require prolonged and invasive procedures and can lead to numerous side effects, plant-based therapies generally offer a safer alternative with fewer adverse effects. This advantage has spurred increasing interest in developing polyphenol-based treatments as an effective strategy to improve patient outcomes while minimizing the risks and complications typically associated with traditional therapies </w:t>
      </w:r>
      <w:r w:rsidR="00D45672" w:rsidRPr="00D22AA7">
        <w:rPr>
          <w:rFonts w:ascii="Times" w:hAnsi="Times"/>
        </w:rPr>
        <w:fldChar w:fldCharType="begin"/>
      </w:r>
      <w:r w:rsidR="00C1537C">
        <w:rPr>
          <w:rFonts w:ascii="Times" w:hAnsi="Times"/>
        </w:rPr>
        <w:instrText xml:space="preserve"> ADDIN ZOTERO_ITEM CSL_CITATION {"citationID":"BpMpW8R9","properties":{"formattedCitation":"[64,65]","plainCitation":"[64,65]","noteIndex":0},"citationItems":[{"id":361,"uris":["http://zotero.org/users/9439317/items/M4L7V3RQ"],"itemData":{"id":361,"type":"article-journal","abstract":"Resveratrol (trans-3,4</w:instrText>
      </w:r>
      <w:r w:rsidR="00C1537C">
        <w:instrText>′</w:instrText>
      </w:r>
      <w:r w:rsidR="00C1537C">
        <w:rPr>
          <w:rFonts w:ascii="Times" w:hAnsi="Times"/>
        </w:rPr>
        <w:instrText xml:space="preserve">,5-trihydroxystilbene) is a natural polyphenol synthesized by various plants such as grape vine. Resveratrol (RSV) is a widely studied molecule, largely for its chemopreventive effect in different mouse cancer models. We propose a mechanism underlying the cytotoxic activity of RSV on colon cancer cells. Our data show that resveratrol induces apoptosis, as observed by the cleavage of PARP-1 and chromatin condensation. We show that the tumor suppressor p53 is activated in response to RSV and participates to the apoptotic process. Additionally, we show that HCT-116 p53 wt colon carcinoma cells are significantly more sensitive than HCT-116 p53−/− cells to RSV. RSV induces DNA damage including double strand breaks, as evidenced by the presence of multiple γ-H2AX foci in 50% of cells after a 24h treatment with 25μM RSV. The formation of DNA damage does not appear to rely on a pro-oxidant effect of the molecule, inhibition of topoisomerase I, or DNA intercalation. Rather, we show that DNA damage is the consequence of type II topoisomerase poisoning. Exposure of HCT-116 cells to RSV leads to activation of the Ataxia Telangiectasia Mutated (ATM) kinase, and ATM is required to activate p53.","container-title":"Toxicology in Vitro","DOI":"10.1016/j.tiv.2015.04.015","ISSN":"0887-2333","issue":"5","journalAbbreviation":"Toxicology in Vitro","page":"1156-1165","title":"Resveratrol induces DNA damage in colon cancer cells by poisoning topoisomerase II and activates the ATM kinase to trigger p53-dependent apoptosis","URL":"https://www.sciencedirect.com/science/article/pii/S0887233315000867","volume":"29","author":[{"family":"Demoulin","given":"Benjamin"},{"family":"Hermant","given":"Maryse"},{"family":"Castrogiovanni","given":"Cédric"},{"family":"Staudt","given":"Catherine"},{"family":"Dumont","given":"Patrick"}],"issued":{"date-parts":[["2015",8,1]]}}},{"id":9244,"uris":["http://zotero.org/users/9439317/items/QS5M8AJD"],"itemData":{"id":9244,"type":"article-journal","abstract":"Polyphenols constitute an important group of natural products that are traditionally associated with a wide range of bioactivities. These are usually found in low concentrations in natural products and are now available in nutraceuticals or dietary supplements. A group of polyphenols that include apigenin, quercetin, curcumin, resveratrol, EGCG, and kaempferol have been shown to regulate signaling pathways that are central for cancer development, progression, and metastasis. Here, we describe novel mechanistic insights on the effect of this group of polyphenols on key elements of the signaling pathways impacting cancer. We describe the protein modiﬁcations induced by these polyphenols and their effect on the central elements of several signaling pathways including PI3K, Akt, mTOR, RAS, and MAPK and particularly those affecting the tumor suppressor p53 protein. Modiﬁcations of p53 induced by these polyphenols regulate p53 gene expression and protein levels and posttranslational modiﬁcations such as phosphorylation, acetylation, and ubiquitination that inﬂuence stability, subcellular location, activation of new transcriptional targets, and the role of p53 in response to DNA damage, apoptosis control, cell- cycle regulation, senescence, and cell fate. Thus, deep understanding of the effects that polyphenols have on these key players in cancerdriving signaling pathways will certainly lead to better designed targeted therapies, with less toxicity for cancer treatment. The scope of this review centers on the regulation of key elements of cancer signaling pathways by the most studied polyphenols and highlights the importance of a profound understanding of these regulations in order to improve cancer treatment and control with natural products.","container-title":"Frontiers in Pharmacology","DOI":"10.3389/fphar.2021.710304","ISSN":"1663-9812","journalAbbreviation":"Front. Pharmacol.","language":"en","page":"710304","source":"DOI.org (Crossref)","title":"Polyphenols as Antitumor Agents Targeting Key Players in Cancer-Driving Signaling Pathways","URL":"https://www.frontiersin.org/articles/10.3389/fphar.2021.710304/full","volume":"12","author":[{"family":"Cháirez-Ramírez","given":"Manuel Humberto"},{"family":"Cruz-López","given":"Karen Griselda","non-dropping-particle":"de la"},{"family":"García-Carrancá","given":"Alejandro"}],"accessed":{"date-parts":[["2023",1,16]]},"issued":{"date-parts":[["2021",10,20]]}}}],"schema":"https://github.com/citation-style-language/schema/raw/master/csl-citation.json"} </w:instrText>
      </w:r>
      <w:r w:rsidR="00D45672" w:rsidRPr="00D22AA7">
        <w:rPr>
          <w:rFonts w:ascii="Times" w:hAnsi="Times"/>
        </w:rPr>
        <w:fldChar w:fldCharType="separate"/>
      </w:r>
      <w:r w:rsidR="00C1537C">
        <w:rPr>
          <w:rFonts w:ascii="Times" w:hAnsi="Times"/>
          <w:noProof/>
        </w:rPr>
        <w:t>[64,65]</w:t>
      </w:r>
      <w:r w:rsidR="00D45672" w:rsidRPr="00D22AA7">
        <w:rPr>
          <w:rFonts w:ascii="Times" w:hAnsi="Times"/>
        </w:rPr>
        <w:fldChar w:fldCharType="end"/>
      </w:r>
      <w:r w:rsidR="05EEF3B0" w:rsidRPr="00D22AA7">
        <w:rPr>
          <w:rFonts w:ascii="Times" w:hAnsi="Times"/>
        </w:rPr>
        <w:t>.</w:t>
      </w:r>
    </w:p>
    <w:p w14:paraId="51262258" w14:textId="61EE911A" w:rsidR="00386CA0" w:rsidRPr="00D22AA7" w:rsidRDefault="3A69359F" w:rsidP="007A25E7">
      <w:pPr>
        <w:spacing w:before="240" w:after="240"/>
        <w:jc w:val="both"/>
        <w:rPr>
          <w:rFonts w:ascii="Times" w:hAnsi="Times"/>
        </w:rPr>
      </w:pPr>
      <w:r w:rsidRPr="00D22AA7">
        <w:rPr>
          <w:rFonts w:ascii="Times" w:hAnsi="Times"/>
        </w:rPr>
        <w:t xml:space="preserve">The Mediterranean diet, which has long been recognized for its anti-inflammatory effects, emphasizes the consumption of plant-based foods, including fruits, vegetables, nuts, and legumes, with extra virgin olive oil (EVOO) playing a central role in reducing chronic inflammation. EVOO is rich in phenolic compounds, such as </w:t>
      </w:r>
      <w:proofErr w:type="spellStart"/>
      <w:r w:rsidRPr="00D22AA7">
        <w:rPr>
          <w:rFonts w:ascii="Times" w:hAnsi="Times"/>
        </w:rPr>
        <w:t>tyrosol</w:t>
      </w:r>
      <w:proofErr w:type="spellEnd"/>
      <w:r w:rsidRPr="00D22AA7">
        <w:rPr>
          <w:rFonts w:ascii="Times" w:hAnsi="Times"/>
        </w:rPr>
        <w:t xml:space="preserve">, </w:t>
      </w:r>
      <w:proofErr w:type="spellStart"/>
      <w:r w:rsidRPr="00D22AA7">
        <w:rPr>
          <w:rFonts w:ascii="Times" w:hAnsi="Times"/>
        </w:rPr>
        <w:t>hydroxytyrosol</w:t>
      </w:r>
      <w:proofErr w:type="spellEnd"/>
      <w:r w:rsidRPr="00D22AA7">
        <w:rPr>
          <w:rFonts w:ascii="Times" w:hAnsi="Times"/>
        </w:rPr>
        <w:t xml:space="preserve"> (</w:t>
      </w:r>
      <w:proofErr w:type="spellStart"/>
      <w:r w:rsidRPr="00D22AA7">
        <w:rPr>
          <w:rFonts w:ascii="Times" w:hAnsi="Times"/>
        </w:rPr>
        <w:t>HTyr</w:t>
      </w:r>
      <w:proofErr w:type="spellEnd"/>
      <w:r w:rsidRPr="00D22AA7">
        <w:rPr>
          <w:rFonts w:ascii="Times" w:hAnsi="Times"/>
        </w:rPr>
        <w:t>), and oleuropein, all of which possess potent antioxidant and anti-inflammatory properties. These phenolic compounds have been shown to modulate inflammatory pathways, protect against oxidative stress, and reduce the risk of chronic diseases, making them essential components of a healthy diet</w:t>
      </w:r>
      <w:r w:rsidR="53FE3893" w:rsidRPr="00D22AA7">
        <w:rPr>
          <w:rFonts w:ascii="Times" w:hAnsi="Times"/>
        </w:rPr>
        <w:t xml:space="preserve"> </w:t>
      </w:r>
      <w:r w:rsidR="00D45672" w:rsidRPr="00D22AA7">
        <w:rPr>
          <w:rFonts w:ascii="Times" w:hAnsi="Times"/>
        </w:rPr>
        <w:fldChar w:fldCharType="begin"/>
      </w:r>
      <w:r w:rsidR="00C1537C">
        <w:rPr>
          <w:rFonts w:ascii="Times" w:hAnsi="Times"/>
        </w:rPr>
        <w:instrText xml:space="preserve"> ADDIN ZOTERO_ITEM CSL_CITATION {"citationID":"FjPaRILd","properties":{"formattedCitation":"[52,66,67]","plainCitation":"[52,66,67]","noteIndex":0},"citationItems":[{"id":188,"uris":["http://zotero.org/users/9439317/items/LUPEJJ7E"],"itemData":{"id":188,"type":"article-journal","abstract":"Nowadays, it is clear that unhealthy diet is one of the prime factors that contribute to the rise of inflammatory diseases and autoimmunity in both developed and developing countries. The Mediterranean diet has been associated with a reduced incidence of certain pathologies related to chronic inflammation and immune system. Olive oil, the principal source of dietary lipids of the Mediterranean diet, possesses a high nutritional quality and a particular composition, which is especially relevant in the case of Extra Virgin Olive Oil (EVOO). EVOO is obtained from olives solely by mechanical or other physical preparation under conditions that do not alter natural composition. EVOO is described as a key bioactive food with multiple beneficial properties and it may be effective in the management of some immuneinflammatory diseases. In this review, we summarise the key works, which provided evidence of the beneficial effects of EVOO and its minor components focusing on their mechanisms on immune-inflammatory diseases like rheumatoid arthritis, systemic lupus erythematous, inflammatory bowel disease and sclerosis.","container-title":"Food &amp; Function","DOI":"10.1039/C6FO01094F","ISSN":"2042-6496, 2042-650X","issue":"11","journalAbbreviation":"Food Funct.","language":"en","page":"4492-4505","source":"DOI.org (Crossref)","title":"Extra virgin olive oil: a key functional food for prevention of immune-inflammatory diseases","title-short":"Extra virgin olive oil","URL":"http://xlink.rsc.org/?DOI=C6FO01094F","volume":"7","author":[{"family":"Aparicio-Soto","given":"Marina"},{"family":"Sánchez-Hidalgo","given":"Marina"},{"family":"Rosillo","given":"Ma Ángeles"},{"family":"Castejón","given":"Ma Luisa"},{"family":"Alarcón-de-la-Lastra","given":"Catalina"}],"accessed":{"date-parts":[["2022",6,3]]},"issued":{"date-parts":[["2016"]]}}},{"id":8255,"uris":["http://zotero.org/users/9439317/items/KH88M8ZG"],"itemData":{"id":8255,"type":"article-journal","abstract":"Non-communicable diseases (NCDs) have become the largest contributor to worldwide morbidity and mortality. Among them, cancer and cardiovascular diseases (CVDs) are responsible for a 47% of worldwide mortality. In general, preventive approaches modifying lifestyle are more cost-effective than treatments after disease onset. In this sense, a healthy diet could help a range of NCDs, such as cancer and CVDs. Traditional Mediterranean Diet (MD) is associated by the low-prevalence of certain types of cancers and CVDs, where olive oil plays an important role. In fact, different epidemiological studies suggest that olive oil consumption prevents some cancers, as well as coronary heart diseases and stroke incidence and mortality. Historically, the beneﬁcial health effects of virgin olive oil (VOO) intake were ﬁrst attributed to the high concentration of monounsaturated fatty acids. Nowadays, many studies indicate that phenolic compounds contained in olive oil have positive effects on different biomarkers related to health. Among them, phenolic compounds would be partially responsible for health beneﬁts. The present work aims to explore, in studies published during the last ﬁve years, the effects of the main phenolic compounds isolated from olive oil on different cancer or CVD aspects, in order to clarify which compounds have more potential to be used as nutraceuticals with preventive or even therapeutic properties.","container-title":"International Journal of Molecular Sciences","DOI":"10.3390/ijms19082305","ISSN":"1422-0067","issue":"8","journalAbbreviation":"IJMS","language":"en","page":"2305","source":"DOI.org (Crossref)","title":"Phenolic Compounds Isolated from Olive Oil as Nutraceutical Tools for the Prevention and Management of Cancer and Cardiovascular Diseases","URL":"http://www.mdpi.com/1422-0067/19/8/2305","volume":"19","author":[{"family":"Reboredo-Rodríguez","given":"Patricia"},{"family":"Varela-López","given":"Alfonso"},{"family":"Forbes-Hernández","given":"Tamara Y."},{"family":"Gasparrini","given":"Massimiliano"},{"family":"Afrin","given":"Sadia"},{"family":"Cianciosi","given":"Danila"},{"family":"Zhang","given":"Jiaojiao"},{"family":"Manna","given":"Piera Pia"},{"family":"Bompadre","given":"Stefano"},{"family":"Quiles","given":"José L."},{"family":"Battino","given":"Maurizio"},{"family":"Giampieri","given":"Francesca"}],"accessed":{"date-parts":[["2022",5,10]]},"issued":{"date-parts":[["2018",8,6]]}}},{"id":29,"uris":["http://zotero.org/users/9439317/items/VTGKLQVV"],"itemData":{"id":29,"type":"article-journal","abstract":"Extravirgin olive oil (EVOO) represents the typical lipid source of the Mediterranean diet, an eating habit pattern that has been associated with a significant reduction of cancer risk. Diet is the more studied environmental factor in epigenetics, and many evidences suggest dysregulation of epigenetic pathways in cancer. The aim of our study was to investigate the effects of EVOO and its phenolic compounds on endocannabinoid system (ECS) gene expression via epigenetic regulation in both human colon cancer cells (Caco-2) and rats exposed to short- and long-term dietary EVOO. We observed a selective and transient up-regulation of CNR1 gene — encoding for type 1 cannabinoid receptor (CB1) — that was evoked by exposure of Caco-2 cells to EVOO (100 ppm), its phenolic extracts (OPE, 50 μM) or authentic hydroxytyrosol (HT, 50 μM) for 24 h. None of the other major elements of the ECS (i.e., CB2; GPR55 and TRPV1 receptors; and NAPE-PLD, DAGL, FAAH and MAGL enzymes) was affected at any time point. The stimulatory effect of OPE and HT on CB1 expression was inversely correlated to DNA methylation at CNR1 promoter and was associated with reduced proliferation of Caco-2 cells. Interestingly, CNR1 gene was less expressed in Caco-2 cells when compared to normal colon mucosa cells, and again this effect was associated with higher level of DNA methylation at CNR1. Moreover, in agreement with the in vitro studies, we also observed a remarkable ( 4-fold) and selective increase in CB1 expression in the colon of rats receiving dietary EVOO supplementation for 10 days. Consistently, CpG methylation of rat Cnr1 promoter, miR23a and miR-301a, previously shown to be involved in the pathogenesis of colorectal cancer and predicted to target CB1 mRNA, was reduced after EVOO administration down to 50% of controls. Taken together, our findings demonstrating CB1 gene expression modulation by EVOO or its phenolic compounds via epigenetic mechanism, both in vitro and in vivo, may provide a new therapeutic avenue for treatment and/or prevention of colon cancer.","container-title":"The Journal of Nutritional Biochemistry","DOI":"https://doi.org/10.1016/j.jnutbio.2014.10.013","ISSN":"0955-2863","issue":"3","page":"250-258","title":"Extravirgin olive oil up-regulates CB1 tumor suppressor gene in human colon cancer cells and in rat colon via epigenetic mechanisms","URL":"https://www.sciencedirect.com/science/article/pii/S0955286314002411","volume":"26","author":[{"family":"Francesco","given":"Andrea Di"},{"family":"Falconi","given":"Anastasia"},{"family":"Germanio","given":"Clara Di"},{"family":"Bonaventura","given":"Maria Vittoria Micioni Di"},{"family":"Costa","given":"Antonio"},{"family":"Caramuta","given":"Stefano"},{"family":"Carlo","given":"Michele Del"},{"family":"Compagnone","given":"Dario"},{"family":"Dainese","given":"Enrico"},{"family":"Cifani","given":"Carlo"},{"family":"Maccarrone","given":"Mauro"},{"family":"D’Addario","given":"Claudio"}],"issued":{"date-parts":[["2015"]]}}}],"schema":"https://github.com/citation-style-language/schema/raw/master/csl-citation.json"} </w:instrText>
      </w:r>
      <w:r w:rsidR="00D45672" w:rsidRPr="00D22AA7">
        <w:rPr>
          <w:rFonts w:ascii="Times" w:hAnsi="Times"/>
        </w:rPr>
        <w:fldChar w:fldCharType="separate"/>
      </w:r>
      <w:r w:rsidR="00C1537C">
        <w:rPr>
          <w:rFonts w:ascii="Times" w:hAnsi="Times"/>
          <w:noProof/>
        </w:rPr>
        <w:t>[52,66,67]</w:t>
      </w:r>
      <w:r w:rsidR="00D45672" w:rsidRPr="00D22AA7">
        <w:rPr>
          <w:rFonts w:ascii="Times" w:hAnsi="Times"/>
        </w:rPr>
        <w:fldChar w:fldCharType="end"/>
      </w:r>
      <w:r w:rsidR="53FE3893" w:rsidRPr="00D22AA7">
        <w:rPr>
          <w:rFonts w:ascii="Times" w:hAnsi="Times"/>
        </w:rPr>
        <w:t>.</w:t>
      </w:r>
      <w:r w:rsidR="0067242C" w:rsidRPr="00D22AA7">
        <w:rPr>
          <w:rFonts w:ascii="Times" w:hAnsi="Times"/>
        </w:rPr>
        <w:t xml:space="preserve"> </w:t>
      </w:r>
      <w:r w:rsidRPr="00D22AA7">
        <w:rPr>
          <w:rFonts w:ascii="Times" w:hAnsi="Times"/>
        </w:rPr>
        <w:t xml:space="preserve">Numerous in vitro and in vivo studies have explored the anti-arthritic effects of </w:t>
      </w:r>
      <w:proofErr w:type="spellStart"/>
      <w:r w:rsidRPr="00D22AA7">
        <w:rPr>
          <w:rFonts w:ascii="Times" w:hAnsi="Times"/>
        </w:rPr>
        <w:t>HTyr</w:t>
      </w:r>
      <w:proofErr w:type="spellEnd"/>
      <w:r w:rsidRPr="00D22AA7">
        <w:rPr>
          <w:rFonts w:ascii="Times" w:hAnsi="Times"/>
        </w:rPr>
        <w:t xml:space="preserve">, particularly in the context of RA. These studies have proposed various mechanisms of action through which </w:t>
      </w:r>
      <w:proofErr w:type="spellStart"/>
      <w:r w:rsidRPr="00D22AA7">
        <w:rPr>
          <w:rFonts w:ascii="Times" w:hAnsi="Times"/>
        </w:rPr>
        <w:t>HTyr</w:t>
      </w:r>
      <w:proofErr w:type="spellEnd"/>
      <w:r w:rsidRPr="00D22AA7">
        <w:rPr>
          <w:rFonts w:ascii="Times" w:hAnsi="Times"/>
        </w:rPr>
        <w:t xml:space="preserve"> exerts its beneficial effects. For instance, </w:t>
      </w:r>
      <w:r w:rsidR="211F0AF3" w:rsidRPr="00D22AA7">
        <w:rPr>
          <w:rFonts w:ascii="Times" w:hAnsi="Times"/>
        </w:rPr>
        <w:t>in one study, it was</w:t>
      </w:r>
      <w:r w:rsidRPr="00D22AA7">
        <w:rPr>
          <w:rFonts w:ascii="Times" w:hAnsi="Times"/>
        </w:rPr>
        <w:t xml:space="preserve"> investigated the efficacy of </w:t>
      </w:r>
      <w:proofErr w:type="spellStart"/>
      <w:r w:rsidRPr="00D22AA7">
        <w:rPr>
          <w:rFonts w:ascii="Times" w:hAnsi="Times"/>
        </w:rPr>
        <w:t>HTyr</w:t>
      </w:r>
      <w:proofErr w:type="spellEnd"/>
      <w:r w:rsidRPr="00D22AA7">
        <w:rPr>
          <w:rFonts w:ascii="Times" w:hAnsi="Times"/>
        </w:rPr>
        <w:t xml:space="preserve"> in SW982</w:t>
      </w:r>
      <w:r w:rsidR="51010B31" w:rsidRPr="00D22AA7">
        <w:rPr>
          <w:rFonts w:ascii="Times" w:hAnsi="Times"/>
        </w:rPr>
        <w:t xml:space="preserve"> cell line</w:t>
      </w:r>
      <w:r w:rsidRPr="00D22AA7">
        <w:rPr>
          <w:rFonts w:ascii="Times" w:hAnsi="Times"/>
        </w:rPr>
        <w:t xml:space="preserve">. The results demonstrated that </w:t>
      </w:r>
      <w:proofErr w:type="spellStart"/>
      <w:r w:rsidRPr="00D22AA7">
        <w:rPr>
          <w:rFonts w:ascii="Times" w:hAnsi="Times"/>
        </w:rPr>
        <w:t>HTyr</w:t>
      </w:r>
      <w:proofErr w:type="spellEnd"/>
      <w:r w:rsidRPr="00D22AA7">
        <w:rPr>
          <w:rFonts w:ascii="Times" w:hAnsi="Times"/>
        </w:rPr>
        <w:t xml:space="preserve"> treatment significantly reduced the expression of pro-inflammatory cytokines, including tumor necrosis factors (TNF), matrix metalloproteinases (MMPs), and IL-6. Additionally, </w:t>
      </w:r>
      <w:proofErr w:type="spellStart"/>
      <w:r w:rsidRPr="00D22AA7">
        <w:rPr>
          <w:rFonts w:ascii="Times" w:hAnsi="Times"/>
        </w:rPr>
        <w:t>HTyr</w:t>
      </w:r>
      <w:proofErr w:type="spellEnd"/>
      <w:r w:rsidRPr="00D22AA7">
        <w:rPr>
          <w:rFonts w:ascii="Times" w:hAnsi="Times"/>
        </w:rPr>
        <w:t xml:space="preserve"> inhibited the phosphorylation of NF-</w:t>
      </w:r>
      <w:proofErr w:type="spellStart"/>
      <w:r w:rsidRPr="00D22AA7">
        <w:rPr>
          <w:rFonts w:ascii="Times" w:hAnsi="Times"/>
        </w:rPr>
        <w:t>κB</w:t>
      </w:r>
      <w:proofErr w:type="spellEnd"/>
      <w:r w:rsidRPr="00D22AA7">
        <w:rPr>
          <w:rFonts w:ascii="Times" w:hAnsi="Times"/>
        </w:rPr>
        <w:t xml:space="preserve"> and mitogen-activated protein kinases (MAPKs), which are key mediators of inflammation and are activated by IL-1β signaling. These findings suggest that </w:t>
      </w:r>
      <w:proofErr w:type="spellStart"/>
      <w:r w:rsidRPr="00D22AA7">
        <w:rPr>
          <w:rFonts w:ascii="Times" w:hAnsi="Times"/>
        </w:rPr>
        <w:t>HTyr</w:t>
      </w:r>
      <w:proofErr w:type="spellEnd"/>
      <w:r w:rsidRPr="00D22AA7">
        <w:rPr>
          <w:rFonts w:ascii="Times" w:hAnsi="Times"/>
        </w:rPr>
        <w:t xml:space="preserve"> may play a crucial role in mitigating the inflammatory processes involved in RA, positioning it as a promising candidate for the prevention and management of this debilitating disease</w:t>
      </w:r>
      <w:r w:rsidR="2698980F" w:rsidRPr="00D22AA7">
        <w:rPr>
          <w:rFonts w:ascii="Times" w:hAnsi="Times"/>
        </w:rPr>
        <w:t>.</w:t>
      </w:r>
    </w:p>
    <w:p w14:paraId="5B6C9BB8" w14:textId="4D383643" w:rsidR="00386CA0" w:rsidRPr="00D22AA7" w:rsidRDefault="3A69359F" w:rsidP="007A25E7">
      <w:pPr>
        <w:spacing w:before="240" w:after="240"/>
        <w:jc w:val="both"/>
        <w:rPr>
          <w:rFonts w:ascii="Times" w:hAnsi="Times"/>
        </w:rPr>
      </w:pPr>
      <w:r w:rsidRPr="00D22AA7">
        <w:rPr>
          <w:rFonts w:ascii="Times" w:hAnsi="Times"/>
        </w:rPr>
        <w:lastRenderedPageBreak/>
        <w:t>Overall, the growing body of evidence supports the therapeutic potential of polyphenols, particularly those found in Mediterranean foods like EVOO, in the treatment of chronic diseases such as RA. As research continues to unravel the precise mechanisms through which these compounds exert their effects, polyphenols may become a cornerstone in the development of natural, plant-based therapies aimed at reducing inflammation, preventing disease progression, and improving quality of life for patients with chronic inflammatory conditions</w:t>
      </w:r>
      <w:r w:rsidR="370518C9" w:rsidRPr="00D22AA7">
        <w:rPr>
          <w:rFonts w:ascii="Times" w:hAnsi="Times"/>
        </w:rPr>
        <w:t xml:space="preserve"> </w:t>
      </w:r>
      <w:r w:rsidR="00D45672" w:rsidRPr="00D22AA7">
        <w:rPr>
          <w:rFonts w:ascii="Times" w:hAnsi="Times"/>
        </w:rPr>
        <w:fldChar w:fldCharType="begin"/>
      </w:r>
      <w:r w:rsidR="00D45672" w:rsidRPr="00D22AA7">
        <w:rPr>
          <w:rFonts w:ascii="Times" w:hAnsi="Times"/>
        </w:rPr>
        <w:instrText xml:space="preserve"> ADDIN ZOTERO_TEMP </w:instrText>
      </w:r>
      <w:r w:rsidR="00D45672" w:rsidRPr="00D22AA7">
        <w:rPr>
          <w:rFonts w:ascii="Times" w:hAnsi="Times"/>
        </w:rPr>
        <w:fldChar w:fldCharType="separate"/>
      </w:r>
      <w:r w:rsidR="370518C9" w:rsidRPr="00D22AA7">
        <w:rPr>
          <w:rFonts w:ascii="Times" w:hAnsi="Times"/>
          <w:noProof/>
        </w:rPr>
        <w:t>[48]</w:t>
      </w:r>
      <w:r w:rsidR="00D45672" w:rsidRPr="00D22AA7">
        <w:rPr>
          <w:rFonts w:ascii="Times" w:hAnsi="Times"/>
          <w:noProof/>
        </w:rPr>
        <w:fldChar w:fldCharType="end"/>
      </w:r>
      <w:r w:rsidR="370518C9" w:rsidRPr="00D22AA7">
        <w:rPr>
          <w:rFonts w:ascii="Times" w:hAnsi="Times"/>
        </w:rPr>
        <w:t>.</w:t>
      </w:r>
    </w:p>
    <w:p w14:paraId="514E8433" w14:textId="58F893E7" w:rsidR="00386CA0" w:rsidRPr="00D22AA7" w:rsidRDefault="55AE4BAD" w:rsidP="007A25E7">
      <w:pPr>
        <w:pStyle w:val="BodyText"/>
        <w:spacing w:beforeAutospacing="1" w:afterAutospacing="1"/>
        <w:jc w:val="both"/>
        <w:rPr>
          <w:rFonts w:ascii="Times" w:hAnsi="Times"/>
        </w:rPr>
      </w:pPr>
      <w:r w:rsidRPr="00D22AA7">
        <w:rPr>
          <w:rFonts w:ascii="Times" w:hAnsi="Times"/>
        </w:rPr>
        <w:t xml:space="preserve">Mitogen-activated protein kinases (MAPKs) are a family of serine/threonine protein kinases that play a pivotal role in cellular signal transduction. They are activated by various extracellular signals, such as growth factors, stress, cytokines, and environmental changes, and are crucial in regulating diverse cellular processes, including cell proliferation, differentiation, survival, apoptosis, and inflammation. MAPKs are typically activated through a three-tiered signaling cascade involving MAPK kinase kinases (MAPKKKs), MAPK kinases (MAPKKs), and the MAPKs themselves. There are several distinct MAPK pathways, including the Extracellular Signal-Regulated Kinase (ERK) pathway, which regulates cell growth and differentiation; the C-Jun N-terminal Kinase (JNK) pathway, which is involved in stress responses, inflammation, and apoptosis; and the P38 MAPK pathway, which plays a key role in responding to stress signals, such as oxidative stress and cytokine signaling, as well as regulating immune responses and inflammation. Dysregulation of MAPK pathways is associated with various diseases, including cancer, cardiovascular diseases, and inflammatory conditions, making them important therapeutic targets for drug development aimed at modulating these pathways to treat these conditions </w:t>
      </w:r>
      <w:r w:rsidR="00D45672" w:rsidRPr="00D22AA7">
        <w:rPr>
          <w:rFonts w:ascii="Times" w:hAnsi="Times"/>
        </w:rPr>
        <w:fldChar w:fldCharType="begin"/>
      </w:r>
      <w:r w:rsidR="00C1537C">
        <w:rPr>
          <w:rFonts w:ascii="Times" w:hAnsi="Times"/>
        </w:rPr>
        <w:instrText xml:space="preserve"> ADDIN ZOTERO_ITEM CSL_CITATION {"citationID":"yd9Gvi4e","properties":{"formattedCitation":"[30,68\\uc0\\u8211{}71]","plainCitation":"[30,68–71]","noteIndex":0},"citationItems":[{"id":5552,"uris":["http://zotero.org/users/9439317/items/YJS5M5DI"],"itemData":{"id":5552,"type":"article-journal","language":"en","source":"Zotero","title":"Signal transduction pathways in rheumatoid arthritis with emphasis on the p38 mitogen-activated protein kinase (MAPK) pathway","author":[{"family":"Westra","given":"Johanna"},{"family":"Limburg","given":"Pieter C"}]}},{"id":10587,"uris":["http://zotero.org/users/9439317/items/K747QVR4"],"itemData":{"id":10587,"type":"article-journal","container-title":"Signal transduction and targeted therapy","ISSN":"2059-3635","issue":"1","journalAbbreviation":"Signal transduction and targeted therapy","page":"455","title":"Targeting the RAS/RAF/MAPK pathway for cancer therapy: from mechanism to clinical studies","volume":"8","author":[{"family":"Bahar","given":"Md Entaz"},{"family":"Kim","given":"Hyun Joon"},{"family":"Kim","given":"Deok Ryong"}],"issued":{"date-parts":[["2023"]]}}},{"id":5774,"uris":["http://zotero.org/users/9439317/items/CVMLM29Y"],"itemData":{"id":5774,"type":"article-journal","container-title":"Journal of Orthopaedic Surgery and Research","journalAbbreviation":"Journal of Orthopaedic Surgery and Research","note":"publisher: Springer","page":"1-10","title":"The JNK pathway represents a novel target in the treatment of rheumatoid arthritis through the suppression of MMP-3","volume":"15","author":[{"family":"Kanai","given":"Tomotake"},{"family":"Kondo","given":"Naoki"},{"family":"Okada","given":"Masayasu"},{"family":"Sano","given":"Hiroshige"},{"family":"Okumura","given":"Go"},{"family":"Kijima","given":"Yasufumi"},{"family":"Ogose","given":"Akira"},{"family":"Kawashima","given":"Hiroyuki"},{"family":"Endo","given":"Naoto"}],"issued":{"date-parts":[["2020"]]}}},{"id":3408,"uris":["http://zotero.org/users/9439317/items/NB592WUM"],"itemData":{"id":3408,"type":"article-journal","abstract":"Abstract Etoposide (VP-16), a topoisomerase II inhibitor, is an effective anti-cancer drug used for the treatment of non-small-cell lung cancer (NSCLC). Resveratrol is a naturally occurring polyphenolic compound that has been proved to have anti-cancer activity. XRCC1 is an important scaffold protein involved in base excision repair that is regulated by ERK1/2 and AKT signals and plays an important role in the development of lung cancer. However, the role of ERK1/2 and AKT-mediated XRCC1 expression in etoposide treatment alone or combined with resveratrol-induced cytotoxicity in NSCLC cells has not been identified. In this study, etoposide treatment increased XRCC1 mRNA and protein expression through AKT and ERK1/2 activation in two NSCLC cells, H1703 and H1975. Knockdown of XRCC1 in NSCLC cells by transfection of XRCC1 siRNA or inactivation of ERK1/2 and AKT resulted in enhancing cytotoxicity and cell growth inhibition induced by etoposide. Resveratrol inhibited the expression of XRCC1 and enhanced the etoposide-induced cell death and anti-proliferation effect in NSCLC cells. Furthermore, transfection with constitutive active MKK1 or AKT vectors could rescue the XRCC1 protein level and also the cell survival suppressed by co-treatment with etoposide and resveratrol. These findings suggested that down-regulation of XRCC1 expression by resveratrol can enhance the chemosensitivity of etoposide in NSCLC cells.","container-title":"Basic &amp; Clinical Pharmacology &amp; Toxicology","DOI":"10.1111/bcpt.12425","ISSN":"1742-7835","issue":"6","journalAbbreviation":"Basic &amp; Clinical Pharmacology &amp; Toxicology","page":"383-391","title":"Resveratrol Enhances Etoposide-Induced Cytotoxicity through Down-Regulating ERK1/2 and AKT-Mediated X-ray Repair Cross-Complement Group 1 (XRCC1) Protein Expression in Human Non-Small-Cell Lung Cancer Cells","URL":"https://doi.org/10.1111/bcpt.12425","volume":"117","author":[{"family":"Ko","given":"Jen-Chung"},{"family":"Syu","given":"Jhan-Jhang"},{"family":"Chen","given":"Jyh-Cheng"},{"family":"Wang","given":"Tai-Jing"},{"family":"Chang","given":"Po-Yuan"},{"family":"Chen","given":"Chien-Yu"},{"family":"Jian","given":"Yun-Ting"},{"family":"Jian","given":"Yi-Jun"},{"family":"Lin","given":"Yun-Wei"}],"accessed":{"date-parts":[["2022",7,13]]},"issued":{"date-parts":[["2015",12,1]]}}},{"id":186,"uris":["http://zotero.org/users/9439317/items/MQD6EQBB"],"itemData":{"id":186,"type":"article-journal","abstract":"The hallmark of rheumatoid arthritis (RA) pathology is characterized by both hyperproliferation of synovial ﬁbroblasts (SFs) and massive inﬁltration of inﬂammatory immune cells. This study was conducted to evaluate the efﬁcacy of hydroxytyrosol (HTy) and hydroxytyrosol-acetate (HTy-Ac) in regulating IL-1binduced production of metalloproteases (MMPs) and proinﬂammatory cytokines in human synovial cell line. Treatment with HTy or HTy-Ac signiﬁcantly inhibited IL-1b-induced MMPs, tumour necrosis factor (TNF)-a and IL-6 production. IL-1b-up regulation COX-2 and mPGE-1 was downregulated by HTy and HTy-Ac. IL-1b-induced MAPKs phosphorylation and NF-jB activation were inhibited by HTy and HTyAc. These results suggest that these EVOO phenols reduce the production of proinﬂammatory mediators in SW982 cells; these protective effects could be related to the inhibition of MAPKs and NF-jB signalling pathways. Thus, HTy and HTy-Ac might be promising targets for the prevention and management of diseases associated with overactivation of synovial ﬁbroblasts, like RA.","container-title":"Journal of Functional Foods","DOI":"10.1016/j.jff.2017.06.041","ISSN":"17564646","journalAbbreviation":"Journal of Functional Foods","language":"en","page":"27-33","source":"DOI.org (Crossref)","title":"Extra-virgin olive oil phenols hydroxytyrosol and hydroxytyrosol acetate, down-regulate the production of mediators involved in joint erosion in human synovial cells","URL":"https://linkinghub.elsevier.com/retrieve/pii/S1756464617303584","volume":"36","author":[{"family":"Rosillo","given":"María Ángeles"},{"family":"Sánchez-Hidalgo","given":"Marina"},{"family":"Castejón","given":"María Luisa"},{"family":"Montoya","given":"Tatiana"},{"family":"González-Benjumea","given":"Alejandro"},{"family":"Fernández-Bolaños","given":"José G."},{"family":"Alarcón-de-la-Lastra","given":"Catalina"}],"accessed":{"date-parts":[["2022",6,3]]},"issued":{"date-parts":[["2017",9]]}}}],"schema":"https://github.com/citation-style-language/schema/raw/master/csl-citation.json"} </w:instrText>
      </w:r>
      <w:r w:rsidR="00D45672" w:rsidRPr="00D22AA7">
        <w:rPr>
          <w:rFonts w:ascii="Times" w:hAnsi="Times"/>
        </w:rPr>
        <w:fldChar w:fldCharType="separate"/>
      </w:r>
      <w:r w:rsidR="00C1537C" w:rsidRPr="00C1537C">
        <w:rPr>
          <w:rFonts w:ascii="Times" w:hAnsi="Times"/>
          <w:lang w:val="en-GB"/>
        </w:rPr>
        <w:t>[30,68–71]</w:t>
      </w:r>
      <w:r w:rsidR="00D45672" w:rsidRPr="00D22AA7">
        <w:rPr>
          <w:rFonts w:ascii="Times" w:hAnsi="Times"/>
        </w:rPr>
        <w:fldChar w:fldCharType="end"/>
      </w:r>
      <w:r w:rsidR="008407A4">
        <w:rPr>
          <w:rFonts w:ascii="Times" w:hAnsi="Times"/>
        </w:rPr>
        <w:t xml:space="preserve"> (figure 3)</w:t>
      </w:r>
      <w:r w:rsidR="66779EFB" w:rsidRPr="00D22AA7">
        <w:rPr>
          <w:rFonts w:ascii="Times" w:hAnsi="Times"/>
        </w:rPr>
        <w:t>.</w:t>
      </w:r>
    </w:p>
    <w:p w14:paraId="2CA03AAE" w14:textId="7141ECF4" w:rsidR="51D04CA5" w:rsidRPr="00D22AA7" w:rsidRDefault="005755B0" w:rsidP="0DE242D6">
      <w:pPr>
        <w:pStyle w:val="BodyText"/>
        <w:spacing w:beforeAutospacing="1" w:afterAutospacing="1"/>
        <w:rPr>
          <w:rFonts w:ascii="Times" w:hAnsi="Times"/>
        </w:rPr>
      </w:pPr>
      <w:r>
        <w:rPr>
          <w:rFonts w:ascii="Times" w:hAnsi="Times"/>
        </w:rPr>
        <w:t xml:space="preserve">                      </w:t>
      </w:r>
      <w:r w:rsidR="00CB06E7">
        <w:rPr>
          <w:rFonts w:ascii="Times" w:hAnsi="Times"/>
        </w:rPr>
        <w:t xml:space="preserve">  </w:t>
      </w:r>
      <w:r>
        <w:rPr>
          <w:rFonts w:ascii="Times" w:hAnsi="Times"/>
        </w:rPr>
        <w:t xml:space="preserve">    </w:t>
      </w:r>
      <w:r w:rsidR="51D04CA5" w:rsidRPr="00D22AA7">
        <w:rPr>
          <w:rFonts w:ascii="Times" w:hAnsi="Times"/>
          <w:noProof/>
        </w:rPr>
        <w:drawing>
          <wp:inline distT="0" distB="0" distL="0" distR="0" wp14:anchorId="69AA0459" wp14:editId="2F227D17">
            <wp:extent cx="3996123" cy="3009900"/>
            <wp:effectExtent l="0" t="0" r="0" b="0"/>
            <wp:docPr id="625717671" name="Picture 625717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96123" cy="3009900"/>
                    </a:xfrm>
                    <a:prstGeom prst="rect">
                      <a:avLst/>
                    </a:prstGeom>
                  </pic:spPr>
                </pic:pic>
              </a:graphicData>
            </a:graphic>
          </wp:inline>
        </w:drawing>
      </w:r>
    </w:p>
    <w:p w14:paraId="49470A7C" w14:textId="42BAE0B0" w:rsidR="00502B2A" w:rsidRPr="009E1465" w:rsidRDefault="005755B0" w:rsidP="00502B2A">
      <w:pPr>
        <w:shd w:val="clear" w:color="auto" w:fill="FFFFFF" w:themeFill="background1"/>
        <w:jc w:val="both"/>
        <w:rPr>
          <w:rFonts w:ascii="Times" w:eastAsia="Arial" w:hAnsi="Times" w:cs="Arial"/>
          <w:color w:val="222222"/>
          <w:sz w:val="20"/>
          <w:szCs w:val="20"/>
        </w:rPr>
      </w:pPr>
      <w:r>
        <w:rPr>
          <w:rFonts w:ascii="Times" w:hAnsi="Times"/>
          <w:b/>
          <w:bCs/>
          <w:sz w:val="20"/>
          <w:szCs w:val="20"/>
        </w:rPr>
        <w:t xml:space="preserve">                   </w:t>
      </w:r>
      <w:r w:rsidR="51D04CA5" w:rsidRPr="009E1465">
        <w:rPr>
          <w:rFonts w:ascii="Times" w:hAnsi="Times"/>
          <w:b/>
          <w:bCs/>
          <w:sz w:val="20"/>
          <w:szCs w:val="20"/>
        </w:rPr>
        <w:t>Figure 3.</w:t>
      </w:r>
      <w:r w:rsidR="51D04CA5" w:rsidRPr="009E1465">
        <w:rPr>
          <w:rFonts w:ascii="Times" w:hAnsi="Times"/>
          <w:sz w:val="20"/>
          <w:szCs w:val="20"/>
        </w:rPr>
        <w:t xml:space="preserve"> </w:t>
      </w:r>
      <w:r w:rsidR="00502B2A" w:rsidRPr="009E1465">
        <w:rPr>
          <w:rFonts w:ascii="Times" w:eastAsia="Arial" w:hAnsi="Times" w:cs="Arial"/>
          <w:color w:val="222222"/>
          <w:sz w:val="20"/>
          <w:szCs w:val="20"/>
        </w:rPr>
        <w:t>Possible Inhibitory Targets of Polyphenols in MAPK Signaling Pathways: ERK, and p38</w:t>
      </w:r>
      <w:r>
        <w:rPr>
          <w:rFonts w:ascii="Times" w:eastAsia="Arial" w:hAnsi="Times" w:cs="Arial"/>
          <w:color w:val="222222"/>
          <w:sz w:val="20"/>
          <w:szCs w:val="20"/>
        </w:rPr>
        <w:t xml:space="preserve">. </w:t>
      </w:r>
      <w:r w:rsidR="0056095D">
        <w:rPr>
          <w:rFonts w:ascii="Times" w:eastAsia="Arial" w:hAnsi="Times" w:cs="Arial"/>
          <w:color w:val="222222"/>
          <w:sz w:val="20"/>
          <w:szCs w:val="20"/>
        </w:rPr>
        <w:fldChar w:fldCharType="begin"/>
      </w:r>
      <w:r w:rsidR="0056095D">
        <w:rPr>
          <w:rFonts w:ascii="Times" w:eastAsia="Arial" w:hAnsi="Times" w:cs="Arial"/>
          <w:color w:val="222222"/>
          <w:sz w:val="20"/>
          <w:szCs w:val="20"/>
        </w:rPr>
        <w:instrText xml:space="preserve"> ADDIN ZOTERO_ITEM CSL_CITATION {"citationID":"0lkt3NyP","properties":{"formattedCitation":"[72]","plainCitation":"[72]","noteIndex":0},"citationItems":[{"id":14928,"uris":["http://zotero.org/users/9439317/items/F87P8N2V"],"itemData":{"id":14928,"type":"article-journal","abstract":"Radiation-induced enteropathy is a major clinical challenge during radiotherapy. Resveratrol displays beneficial pharmacological activities; however, low oral bioavailability limits its effectiveness. This study aims at preparing methacrylic acid (MAAc) functionalized multi-walled carbon nanotubes (MWCNTs-MAAc) as carriers for pH triggered controlled release of resveratrol in an effort to improve the drug therapeutic potential. MWCNTs-MAAc were prepared using radiation technique and then characterized by transmission electron microscopy (TEM), dynamic light scattering (DLS), scanning electron microscope (SEM), X-ray diffraction (XRD) and Fourier transform-infrared (FT-IR) spectroscopy. In vitro drug release profile at different pH values was analyzed. Furthermore, the designed RES-MWCNTs-MAAc nanocomplex was evaluated against radiation-induced enteropathy in rats. Oral administration of RES-MWCNTs-MAAc restored colonic redox state and elevated antioxidant enzymes activities glutathione peroxidase (GPx), superoxide dismutase (SOD) and catalase (CAT) and reduced colonic inflammatory mediators tumor necrosis factor-α (TNF-α), interleukin-1β (IL-1β) and interferone-γ (IFN-γ) contents in addition to declining the intrinsic apoptotic pathway as evidenced by down-regulation of Bax and caspase-3 proteins expression accompanied by up-regulation of Bcl-2 protein expression. RES-MWCNTs-MAAc was more efficient than free resveratrol due to the delivery system that allowed prolonged resveratrol release at target site. Thus, this formulation could serve as a beneficial anti-inflammatory approach for patients during radiotherapy.","container-title":"European Journal of Pharmaceutical Sciences","DOI":"10.1016/j.ejps.2021.106002","ISSN":"0928-0987","journalAbbreviation":"European Journal of Pharmaceutical Sciences","page":"106002","title":"Synthesis, characterization and evaluation of resveratrol-loaded functionalized carbon nanotubes as a novel delivery system in radiation enteropathy","URL":"https://www.sciencedirect.com/science/article/pii/S0928098721003055","volume":"167","author":[{"family":"Ali","given":"Hussein E."},{"family":"Radwan","given":"Rasha R."}],"issued":{"date-parts":[["2021",12,1]]}}}],"schema":"https://github.com/citation-style-language/schema/raw/master/csl-citation.json"} </w:instrText>
      </w:r>
      <w:r w:rsidR="0056095D">
        <w:rPr>
          <w:rFonts w:ascii="Times" w:eastAsia="Arial" w:hAnsi="Times" w:cs="Arial"/>
          <w:color w:val="222222"/>
          <w:sz w:val="20"/>
          <w:szCs w:val="20"/>
        </w:rPr>
        <w:fldChar w:fldCharType="separate"/>
      </w:r>
      <w:r w:rsidR="0056095D">
        <w:rPr>
          <w:rFonts w:ascii="Times" w:eastAsia="Arial" w:hAnsi="Times" w:cs="Arial"/>
          <w:noProof/>
          <w:color w:val="222222"/>
          <w:sz w:val="20"/>
          <w:szCs w:val="20"/>
        </w:rPr>
        <w:t>[72]</w:t>
      </w:r>
      <w:r w:rsidR="0056095D">
        <w:rPr>
          <w:rFonts w:ascii="Times" w:eastAsia="Arial" w:hAnsi="Times" w:cs="Arial"/>
          <w:color w:val="222222"/>
          <w:sz w:val="20"/>
          <w:szCs w:val="20"/>
        </w:rPr>
        <w:fldChar w:fldCharType="end"/>
      </w:r>
    </w:p>
    <w:p w14:paraId="428AB867" w14:textId="77777777" w:rsidR="007A25E7" w:rsidRPr="00D22AA7" w:rsidRDefault="007A25E7" w:rsidP="00502B2A">
      <w:pPr>
        <w:shd w:val="clear" w:color="auto" w:fill="FFFFFF" w:themeFill="background1"/>
        <w:jc w:val="both"/>
        <w:rPr>
          <w:rFonts w:ascii="Times" w:eastAsia="Arial" w:hAnsi="Times" w:cs="Arial"/>
          <w:color w:val="222222"/>
          <w:sz w:val="22"/>
          <w:szCs w:val="22"/>
        </w:rPr>
      </w:pPr>
    </w:p>
    <w:p w14:paraId="4C32736A" w14:textId="29A202E2" w:rsidR="00386CA0" w:rsidRPr="00D22AA7" w:rsidRDefault="66779EFB" w:rsidP="00502B2A">
      <w:pPr>
        <w:shd w:val="clear" w:color="auto" w:fill="FFFFFF" w:themeFill="background1"/>
        <w:jc w:val="both"/>
        <w:rPr>
          <w:rFonts w:ascii="Times" w:hAnsi="Times"/>
        </w:rPr>
      </w:pPr>
      <w:r w:rsidRPr="00D22AA7">
        <w:rPr>
          <w:rFonts w:ascii="Times" w:hAnsi="Times"/>
        </w:rPr>
        <w:t xml:space="preserve">Another key signaling pathway </w:t>
      </w:r>
      <w:r w:rsidR="0466979E" w:rsidRPr="00D22AA7">
        <w:rPr>
          <w:rFonts w:ascii="Times" w:hAnsi="Times"/>
        </w:rPr>
        <w:t xml:space="preserve">which involve the </w:t>
      </w:r>
      <w:r w:rsidRPr="00D22AA7">
        <w:rPr>
          <w:rFonts w:ascii="Times" w:hAnsi="Times"/>
        </w:rPr>
        <w:t>cell survival is the</w:t>
      </w:r>
      <w:r w:rsidR="2C2568C3" w:rsidRPr="00D22AA7">
        <w:rPr>
          <w:rFonts w:ascii="Times" w:hAnsi="Times"/>
        </w:rPr>
        <w:t xml:space="preserve"> </w:t>
      </w:r>
      <w:r w:rsidRPr="00D22AA7">
        <w:rPr>
          <w:rFonts w:ascii="Times" w:hAnsi="Times"/>
        </w:rPr>
        <w:t>PI3K/Akt pathway, which interacts with the</w:t>
      </w:r>
      <w:r w:rsidR="0918DD23" w:rsidRPr="00D22AA7">
        <w:rPr>
          <w:rFonts w:ascii="Times" w:hAnsi="Times"/>
        </w:rPr>
        <w:t xml:space="preserve"> </w:t>
      </w:r>
      <w:r w:rsidRPr="00D22AA7">
        <w:rPr>
          <w:rFonts w:ascii="Times" w:hAnsi="Times"/>
        </w:rPr>
        <w:t>mTOR. These pathways regulate various cellular processes. Polyphenols have been found to modulate immune responses by inhibiting the</w:t>
      </w:r>
      <w:r w:rsidR="0985F6B1" w:rsidRPr="00D22AA7">
        <w:rPr>
          <w:rFonts w:ascii="Times" w:hAnsi="Times"/>
        </w:rPr>
        <w:t xml:space="preserve"> </w:t>
      </w:r>
      <w:proofErr w:type="spellStart"/>
      <w:r w:rsidR="0985F6B1" w:rsidRPr="00D22AA7">
        <w:rPr>
          <w:rFonts w:ascii="Times" w:hAnsi="Times"/>
        </w:rPr>
        <w:t>varous</w:t>
      </w:r>
      <w:proofErr w:type="spellEnd"/>
      <w:r w:rsidR="0985F6B1" w:rsidRPr="00D22AA7">
        <w:rPr>
          <w:rFonts w:ascii="Times" w:hAnsi="Times"/>
        </w:rPr>
        <w:t xml:space="preserve"> pathways such </w:t>
      </w:r>
      <w:proofErr w:type="gramStart"/>
      <w:r w:rsidR="0985F6B1" w:rsidRPr="00D22AA7">
        <w:rPr>
          <w:rFonts w:ascii="Times" w:hAnsi="Times"/>
        </w:rPr>
        <w:t xml:space="preserve">as </w:t>
      </w:r>
      <w:r w:rsidRPr="00D22AA7">
        <w:rPr>
          <w:rFonts w:ascii="Times" w:hAnsi="Times"/>
        </w:rPr>
        <w:t xml:space="preserve"> MAPK</w:t>
      </w:r>
      <w:proofErr w:type="gramEnd"/>
      <w:r w:rsidRPr="00D22AA7">
        <w:rPr>
          <w:rFonts w:ascii="Times" w:hAnsi="Times"/>
        </w:rPr>
        <w:t>, ERK, JNK,</w:t>
      </w:r>
      <w:r w:rsidR="55AFDF31" w:rsidRPr="00D22AA7">
        <w:rPr>
          <w:rFonts w:ascii="Times" w:hAnsi="Times"/>
        </w:rPr>
        <w:t xml:space="preserve"> </w:t>
      </w:r>
      <w:r w:rsidRPr="00D22AA7">
        <w:rPr>
          <w:rFonts w:ascii="Times" w:hAnsi="Times"/>
        </w:rPr>
        <w:t>PI3K/Akt, mTORC1, and JAK-STAT signaling cascades.</w:t>
      </w:r>
      <w:r w:rsidR="6A8C0F78" w:rsidRPr="00D22AA7">
        <w:rPr>
          <w:rFonts w:ascii="Times" w:hAnsi="Times"/>
        </w:rPr>
        <w:t xml:space="preserve"> </w:t>
      </w:r>
      <w:r w:rsidRPr="00D22AA7">
        <w:rPr>
          <w:rFonts w:ascii="Times" w:hAnsi="Times"/>
        </w:rPr>
        <w:t>polyphenols such as</w:t>
      </w:r>
      <w:r w:rsidR="6AAFFEBF" w:rsidRPr="00D22AA7">
        <w:rPr>
          <w:rFonts w:ascii="Times" w:hAnsi="Times"/>
        </w:rPr>
        <w:t xml:space="preserve"> </w:t>
      </w:r>
      <w:proofErr w:type="spellStart"/>
      <w:r w:rsidR="6AAFFEBF" w:rsidRPr="00D22AA7">
        <w:rPr>
          <w:rFonts w:ascii="Times" w:hAnsi="Times"/>
        </w:rPr>
        <w:t>tyrosol</w:t>
      </w:r>
      <w:proofErr w:type="spellEnd"/>
      <w:r w:rsidR="6AAFFEBF" w:rsidRPr="00D22AA7">
        <w:rPr>
          <w:rFonts w:ascii="Times" w:hAnsi="Times"/>
        </w:rPr>
        <w:t xml:space="preserve">, </w:t>
      </w:r>
      <w:proofErr w:type="spellStart"/>
      <w:r w:rsidR="6AAFFEBF" w:rsidRPr="00D22AA7">
        <w:rPr>
          <w:rFonts w:ascii="Times" w:hAnsi="Times"/>
        </w:rPr>
        <w:lastRenderedPageBreak/>
        <w:t>hydroxytyrosol</w:t>
      </w:r>
      <w:proofErr w:type="spellEnd"/>
      <w:r w:rsidR="6AAFFEBF" w:rsidRPr="00D22AA7">
        <w:rPr>
          <w:rFonts w:ascii="Times" w:hAnsi="Times"/>
        </w:rPr>
        <w:t>, oleuropein, oleocanthal, resveratrol</w:t>
      </w:r>
      <w:r w:rsidRPr="00D22AA7">
        <w:rPr>
          <w:rFonts w:ascii="Times" w:hAnsi="Times"/>
        </w:rPr>
        <w:t xml:space="preserve"> apigenin, luteolin, and quercetin have demonstrated the ability </w:t>
      </w:r>
      <w:r w:rsidR="20F4AC6D" w:rsidRPr="00D22AA7">
        <w:rPr>
          <w:rFonts w:ascii="Times" w:hAnsi="Times"/>
        </w:rPr>
        <w:t>of inducing</w:t>
      </w:r>
      <w:r w:rsidRPr="00D22AA7">
        <w:rPr>
          <w:rFonts w:ascii="Times" w:hAnsi="Times"/>
        </w:rPr>
        <w:t xml:space="preserve"> apoptosis in </w:t>
      </w:r>
      <w:r w:rsidR="47180ED3" w:rsidRPr="00D22AA7">
        <w:rPr>
          <w:rFonts w:ascii="Times" w:hAnsi="Times"/>
        </w:rPr>
        <w:t>different</w:t>
      </w:r>
      <w:r w:rsidRPr="00D22AA7">
        <w:rPr>
          <w:rFonts w:ascii="Times" w:hAnsi="Times"/>
        </w:rPr>
        <w:t xml:space="preserve"> cancer cell lines</w:t>
      </w:r>
      <w:r w:rsidR="1D7CA742" w:rsidRPr="00D22AA7">
        <w:rPr>
          <w:rFonts w:ascii="Times" w:hAnsi="Times"/>
        </w:rPr>
        <w:t xml:space="preserve"> </w:t>
      </w:r>
      <w:r w:rsidR="00D45672" w:rsidRPr="00D22AA7">
        <w:rPr>
          <w:rFonts w:ascii="Times" w:hAnsi="Times"/>
        </w:rPr>
        <w:fldChar w:fldCharType="begin"/>
      </w:r>
      <w:r w:rsidR="0056095D">
        <w:rPr>
          <w:rFonts w:ascii="Times" w:hAnsi="Times"/>
        </w:rPr>
        <w:instrText xml:space="preserve"> ADDIN ZOTERO_ITEM CSL_CITATION {"citationID":"GkR5qswx","properties":{"formattedCitation":"[5,56,73]","plainCitation":"[5,56,73]","noteIndex":0},"citationItems":[{"id":13050,"uris":["http://zotero.org/users/9439317/items/7R4WV54X"],"itemData":{"id":13050,"type":"article-journal","abstract":"Plant-derived functional foods are gaining considerable attention due to their safety and therapeutic potentials. Research on plant-based functional foods presents several challenges ranges from hypercholesterolemia to cancer prevention. In last decade, special attention has been paid to edible plants and especially their phytochemicals. Today, there is an increasing interest in their bioactivities provided by these phytochemicals. Polyphenols are the most numerous and widely distributed group of bioactive molecules. Polyphenols have two general classes, one is flavonoids and other is phenolic acids. Among these, flavonoids are further divided into flavones, flavononse, flavonols, flavanols, isoflavones, and phenolic acids are generally classified into hydroxybenzoic and hydroxycinnamic acids. Fruit peel is one of the dense sources for flavonoids and their content may vary from species to species and due to exposure of light. Polyphenols have wide range of molecules and different set of biological activities that are mainly attributed to their structure. Investigations have revealed that polyphenols play a key role to prevent various diseases, like hypercholesterolemia, hyperglycemia, hyperlipidemia, and cancer insurgence. The current review article summarizes the literature pertaining to polyphenols and its allied health benefits.","language":"en","page":"12","source":"Zotero","title":"Natural polyphenols: An overview","author":[{"family":"Abbas","given":"Munawar"},{"family":"Saeed","given":"Farhan"},{"family":"Anjum","given":"Faqir Muhammad"},{"family":"Tufail","given":"Tabussam"},{"family":"Bashir","given":"Muhammad Shakeel"},{"family":"Ishtiaq","given":"Adnan"},{"family":"Hussain","given":"Shahzad"},{"family":"Suleria","given":"Hafiz Ansar Rasul"}]}},{"id":106,"uris":["http://zotero.org/users/9439317/items/SQIAEITJ"],"itemData":{"id":106,"type":"article-journal","abstract":"Rheumatoid arthritis (RA) is a chronic, inflammatory and autoimmune disorder which is mainly characterized by inflammation in joints, bone erosions and cartilaginous destruction that leads to joint dysfunction, deformation, and/or permanent functional impairment. The prevalence of RA is increasing, incurring a considerable burden on healthcare systems globally. The exact etiology of RA is unknown, with various pathways implicated in its pathophysiology. Non-steroidal anti-inflammatory drugs (NSAIDs) including celecoxib, diclofenac and ibuprofen, disease-modifying antirheumatic drugs (DMARD) including azathioprine, methotrexate and cyclosporine, biological agents including anakinra, infliximab, and rituximab and immunosuppressants are used for symptomatic relief in patients with RA, but these medications have severe adverse effects such as gastric ulcers, hypertension, hepatotoxicity and renal abnormalities which restrict their use in the treatment of RA; new RA treatments with minimal side-effects are urgently required. There is accumulating evidence that dietary polyphenols may show therapeutic efficacy in RA through their antioxidant, anti-inflammatory, apoptotic, and immunosuppressant activities and modulation of the tumor necrosis factor-a (TNF-a), interleukin (IL)-6, mitogen-activated protein kinase (MAPK), IL1b, c-Jun N-terminal kinase (JNK), and nuclear factor j light-chain-enhancer of activated B cell (NFjB) pathways. While resveratrol, genistein, carnosol, epigallocatechin gallate, curcumin, kaempferol, and hydroxytyrosol have also been studied for the treatment of RA, the majority of data are derived from animal models. Here, we review the various pathways involved in the development of RA and the preclinical and clinical data supporting polyphenols as potential therapeutic agents in RA patients. Our review highlights that high-quality clinical studies are required to decisively establish the anti-rheumatic efficacy of polyphenolic compounds.","container-title":"Critical Reviews in Food Science and Nutrition","DOI":"10.1080/10408398.2021.1924613","ISSN":"1040-8398, 1549-7852","journalAbbreviation":"Critical Reviews in Food Science and Nutrition","language":"en","page":"1-22","source":"DOI.org (Crossref)","title":"Exploring the role of polyphenols in rheumatoid arthritis","URL":"https://www.tandfonline.com/doi/full/10.1080/10408398.2021.1924613","author":[{"family":"Behl","given":"Tapan"},{"family":"Mehta","given":"Keshav"},{"family":"Sehgal","given":"Aayush"},{"family":"Singh","given":"Sukhbir"},{"family":"Sharma","given":"Neelam"},{"family":"Ahmadi","given":"Amirhossein"},{"family":"Arora","given":"Sandeep"},{"family":"Bungau","given":"Simona"}],"accessed":{"date-parts":[["2022",7,2]]},"issued":{"date-parts":[["2021",5,17]]}}},{"id":13827,"uris":["http://zotero.org/users/9439317/items/9IC44EIS"],"itemData":{"id":13827,"type":"article-journal","abstract":"Rheumatoid arthritis is an autoimmune disease characterized by chronic inflammation in the joints, leukocyte infiltration in the synovium, and joint and bone degradation. It affects about 1% of the world's population, mostly women and elderly, but has no medical cure. Patients are recommended to manage their conditions through lifestyle changes and medications. Mounting evidence from clinical trials, animal models, and cell culture studies suggested that dietary polyphenols have a beneficial effect on the development and symptoms of rheumatoid arthritis. In RA patients, phenolic compounds have been found to reduce early morning stiffness, morning pain, and after activity pain, and decrease plasma levels of inflammatory mediators. In rodents with RA, polyphenols were shown to delay the onset, alleviate the symptoms, and reduce inflammation. The major mechanisms of RA prevention and symptom alleviation were the reduction of inflammatory mediators and inhibition of specific signaling pathways involved in the inflammatory response in rheumatoid arthritis. Future research is needed to assess the bioactivity of phase-2 and microbial metabolites of polyphenols and explore how interactions between polyphenols and gut microbiome affect RA development.","container-title":"Journal of Functional Foods","DOI":"10.1016/j.jff.2020.104003","ISSN":"17564646","title":"Efficacy and mechanisms of dietary polyphenols in mitigating rheumatoid arthritis","volume":"71","author":[{"family":"Christman","given":"Lindsey M."},{"family":"Gu","given":"Liwei"}],"issued":{"date-parts":[["2020",8,1]]}}}],"schema":"https://github.com/citation-style-language/schema/raw/master/csl-citation.json"} </w:instrText>
      </w:r>
      <w:r w:rsidR="00D45672" w:rsidRPr="00D22AA7">
        <w:rPr>
          <w:rFonts w:ascii="Times" w:hAnsi="Times"/>
        </w:rPr>
        <w:fldChar w:fldCharType="separate"/>
      </w:r>
      <w:r w:rsidR="0056095D">
        <w:rPr>
          <w:rFonts w:ascii="Times" w:hAnsi="Times"/>
          <w:noProof/>
        </w:rPr>
        <w:t>[5,56,73]</w:t>
      </w:r>
      <w:r w:rsidR="00D45672" w:rsidRPr="00D22AA7">
        <w:rPr>
          <w:rFonts w:ascii="Times" w:hAnsi="Times"/>
        </w:rPr>
        <w:fldChar w:fldCharType="end"/>
      </w:r>
      <w:r w:rsidR="00355104">
        <w:rPr>
          <w:rFonts w:ascii="Times" w:hAnsi="Times"/>
        </w:rPr>
        <w:t xml:space="preserve"> (figure 4)</w:t>
      </w:r>
      <w:r w:rsidRPr="00D22AA7">
        <w:rPr>
          <w:rFonts w:ascii="Times" w:hAnsi="Times"/>
        </w:rPr>
        <w:t>.</w:t>
      </w:r>
    </w:p>
    <w:p w14:paraId="4C81E49D" w14:textId="672F4E5F" w:rsidR="4A9C2CA7" w:rsidRPr="00D22AA7" w:rsidRDefault="005755B0" w:rsidP="0DE242D6">
      <w:pPr>
        <w:pStyle w:val="BodyText"/>
        <w:rPr>
          <w:rFonts w:ascii="Times" w:hAnsi="Times"/>
        </w:rPr>
      </w:pPr>
      <w:r>
        <w:rPr>
          <w:rFonts w:ascii="Times" w:hAnsi="Times"/>
        </w:rPr>
        <w:t xml:space="preserve">                         </w:t>
      </w:r>
      <w:r w:rsidR="4A9C2CA7" w:rsidRPr="00D22AA7">
        <w:rPr>
          <w:rFonts w:ascii="Times" w:hAnsi="Times"/>
          <w:noProof/>
        </w:rPr>
        <w:drawing>
          <wp:inline distT="0" distB="0" distL="0" distR="0" wp14:anchorId="0D68B1BF" wp14:editId="1F5C3323">
            <wp:extent cx="4391952" cy="3181350"/>
            <wp:effectExtent l="0" t="0" r="0" b="0"/>
            <wp:docPr id="645434438" name="Picture 645434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391952" cy="3181350"/>
                    </a:xfrm>
                    <a:prstGeom prst="rect">
                      <a:avLst/>
                    </a:prstGeom>
                  </pic:spPr>
                </pic:pic>
              </a:graphicData>
            </a:graphic>
          </wp:inline>
        </w:drawing>
      </w:r>
    </w:p>
    <w:p w14:paraId="556C2EE9" w14:textId="4BB5B1B1" w:rsidR="0067242C" w:rsidRPr="009E1465" w:rsidRDefault="005755B0">
      <w:pPr>
        <w:pStyle w:val="BodyText"/>
        <w:rPr>
          <w:rFonts w:ascii="Times" w:hAnsi="Times"/>
          <w:sz w:val="20"/>
          <w:szCs w:val="20"/>
        </w:rPr>
      </w:pPr>
      <w:r>
        <w:rPr>
          <w:rFonts w:ascii="Times" w:hAnsi="Times"/>
          <w:b/>
          <w:bCs/>
          <w:sz w:val="20"/>
          <w:szCs w:val="20"/>
        </w:rPr>
        <w:t xml:space="preserve">                             </w:t>
      </w:r>
      <w:r w:rsidR="4A9C2CA7" w:rsidRPr="009E1465">
        <w:rPr>
          <w:rFonts w:ascii="Times" w:hAnsi="Times"/>
          <w:b/>
          <w:bCs/>
          <w:sz w:val="20"/>
          <w:szCs w:val="20"/>
        </w:rPr>
        <w:t>Figure 4</w:t>
      </w:r>
      <w:r w:rsidR="0067242C" w:rsidRPr="009E1465">
        <w:rPr>
          <w:rFonts w:ascii="Times" w:hAnsi="Times"/>
          <w:b/>
          <w:bCs/>
          <w:sz w:val="20"/>
          <w:szCs w:val="20"/>
        </w:rPr>
        <w:t>.</w:t>
      </w:r>
      <w:r w:rsidR="0067242C" w:rsidRPr="009E1465">
        <w:rPr>
          <w:rFonts w:ascii="Times" w:hAnsi="Times"/>
          <w:sz w:val="20"/>
          <w:szCs w:val="20"/>
        </w:rPr>
        <w:t xml:space="preserve"> </w:t>
      </w:r>
      <w:r w:rsidR="00502B2A" w:rsidRPr="009E1465">
        <w:rPr>
          <w:rFonts w:ascii="Times" w:hAnsi="Times"/>
          <w:sz w:val="20"/>
          <w:szCs w:val="20"/>
        </w:rPr>
        <w:t>Possible Inhibitory Sites of Polyphenols in the PI3K/Akt and mTOR Pathways</w:t>
      </w:r>
      <w:r w:rsidR="0056095D">
        <w:rPr>
          <w:rFonts w:ascii="Times" w:hAnsi="Times"/>
          <w:sz w:val="20"/>
          <w:szCs w:val="20"/>
        </w:rPr>
        <w:t xml:space="preserve">. </w:t>
      </w:r>
    </w:p>
    <w:p w14:paraId="2ECC4B9F" w14:textId="67918A1B" w:rsidR="00464FE5" w:rsidRPr="00D22AA7" w:rsidRDefault="4ABBCAE2">
      <w:pPr>
        <w:pStyle w:val="BodyText"/>
        <w:rPr>
          <w:rFonts w:ascii="Times" w:hAnsi="Times"/>
          <w:b/>
          <w:bCs/>
        </w:rPr>
      </w:pPr>
      <w:r w:rsidRPr="00D22AA7">
        <w:rPr>
          <w:rFonts w:ascii="Times" w:hAnsi="Times"/>
          <w:b/>
          <w:bCs/>
        </w:rPr>
        <w:t xml:space="preserve">2.5. </w:t>
      </w:r>
      <w:r w:rsidR="00464FE5" w:rsidRPr="00D22AA7">
        <w:rPr>
          <w:rFonts w:ascii="Times" w:hAnsi="Times"/>
          <w:b/>
          <w:bCs/>
        </w:rPr>
        <w:t>Olive oil: a rich source of bioactive polyphenols</w:t>
      </w:r>
    </w:p>
    <w:p w14:paraId="46829002" w14:textId="47FC5943" w:rsidR="00386CA0" w:rsidRPr="00D22AA7" w:rsidRDefault="66779EFB" w:rsidP="007A25E7">
      <w:pPr>
        <w:pStyle w:val="BodyText"/>
        <w:jc w:val="both"/>
        <w:rPr>
          <w:rFonts w:ascii="Times" w:hAnsi="Times"/>
        </w:rPr>
      </w:pPr>
      <w:r w:rsidRPr="00D22AA7">
        <w:rPr>
          <w:rFonts w:ascii="Times" w:hAnsi="Times"/>
        </w:rPr>
        <w:t xml:space="preserve">Olive oil, derived from </w:t>
      </w:r>
      <w:r w:rsidRPr="00D22AA7">
        <w:rPr>
          <w:rStyle w:val="Emphasis"/>
          <w:rFonts w:ascii="Times" w:hAnsi="Times"/>
        </w:rPr>
        <w:t>Olea europaea L.</w:t>
      </w:r>
      <w:r w:rsidRPr="00D22AA7">
        <w:rPr>
          <w:rFonts w:ascii="Times" w:hAnsi="Times"/>
        </w:rPr>
        <w:t>, is an integral part of the Mediterranean diet (MD), which is globally recognized for its health benefits. This slow-growing evergreen tree, capable of living for up to a thousand years, plays a crucial economic role in the Mediterranean region, with commercial applications in food, cosmetics, and timber. One distinguishing feature of the MD is its high consumption of extra virgin olive oil (EVOO), estimated at 15.3 to 23 kg per person annually. Due to its rich composition of omega-3 fatty acids and bioactive compounds, EVOO has been shown to be effective in preventing and managing chronic conditions such as Type 2 diabetes, rheumatoid arthritis (RA), cardiovascular disease (CD), and neurodegenerative disorders</w:t>
      </w:r>
      <w:r w:rsidR="7BA5F761" w:rsidRPr="00D22AA7">
        <w:rPr>
          <w:rFonts w:ascii="Times" w:hAnsi="Times"/>
        </w:rPr>
        <w:t xml:space="preserve"> </w:t>
      </w:r>
      <w:r w:rsidR="00D45672" w:rsidRPr="00D22AA7">
        <w:rPr>
          <w:rFonts w:ascii="Times" w:hAnsi="Times"/>
        </w:rPr>
        <w:fldChar w:fldCharType="begin"/>
      </w:r>
      <w:r w:rsidR="0056095D">
        <w:rPr>
          <w:rFonts w:ascii="Times" w:hAnsi="Times"/>
        </w:rPr>
        <w:instrText xml:space="preserve"> ADDIN ZOTERO_ITEM CSL_CITATION {"citationID":"843FBo1K","properties":{"formattedCitation":"[74]","plainCitation":"[74]","noteIndex":0},"citationItems":[{"id":1645,"uris":["http://zotero.org/users/9439317/items/2UZWZ74H"],"itemData":{"id":1645,"type":"article-journal","abstract":"Abstract The Mediterranean diet (MedDiet), one of the most studied and well-known dietary patterns worldwide, has been associated with a wide range of benefits for health. In the present narrative review, we aimed to provide a comprehensive overview of the current knowledge on the relation of the MedDiet to important health outcomes, considering both observational and intervention studies with both risk factors and clinical diseases as outcomes. In addition, we considered the clinical and public health impacts of the MedDiet on both human and planetary health. Earlier research confirmed by recent studies has provided strong evidence for the benefits of the MedDiet on cardiovascular health, including reduction in the incidence of cardiovascular outcomes as well as risk factors including obesity, hypertension, metabolic syndrome, and dyslipidaemia. There is also evidence that MedDiet is associated with lower rates of incident diabetes, and better glycaemic control in diabetic patients compared to control diets. In prospective studies, adherence to the MedDiet reduced mortality, especially cardiovascular mortality, hence increased longevity. In addition, it has been associated with less age-related cognitive dysfunction and lower incidence of neurodegenerative disorders, particularly Alzheimer?s disease. Furthermore, the relatively low environmental impacts (water, nitrogen and carbon footprint) of the MedDiet is an additional positive aspect of the Mediterranean dietary model. It is likely that the combination of a healthy diet with social behaviours and the way of life of Mediterranean regions makes the MedDiet a sustainable lifestyle model that could likely be followed in other regions with country-specific and culturally appropriate variations.","container-title":"Journal of Internal Medicine","DOI":"10.1111/joim.13333","ISSN":"0954-6820","issue":"3","journalAbbreviation":"Journal of Internal Medicine","note":"publisher: John Wiley &amp; Sons, Ltd","page":"549-566","title":"The Mediterranean diet and health: a comprehensive overview","URL":"https://doi.org/10.1111/joim.13333","volume":"290","author":[{"family":"Guasch-Ferré","given":"M."},{"family":"Willett","given":"W. C."}],"accessed":{"date-parts":[["2023",1,15]]},"issued":{"date-parts":[["2021",9,1]]}}}],"schema":"https://github.com/citation-style-language/schema/raw/master/csl-citation.json"} </w:instrText>
      </w:r>
      <w:r w:rsidR="00D45672" w:rsidRPr="00D22AA7">
        <w:rPr>
          <w:rFonts w:ascii="Times" w:hAnsi="Times"/>
        </w:rPr>
        <w:fldChar w:fldCharType="separate"/>
      </w:r>
      <w:r w:rsidR="0056095D">
        <w:rPr>
          <w:rFonts w:ascii="Times" w:hAnsi="Times"/>
          <w:noProof/>
        </w:rPr>
        <w:t>[74]</w:t>
      </w:r>
      <w:r w:rsidR="00D45672" w:rsidRPr="00D22AA7">
        <w:rPr>
          <w:rFonts w:ascii="Times" w:hAnsi="Times"/>
        </w:rPr>
        <w:fldChar w:fldCharType="end"/>
      </w:r>
      <w:r w:rsidRPr="00D22AA7">
        <w:rPr>
          <w:rFonts w:ascii="Times" w:hAnsi="Times"/>
        </w:rPr>
        <w:t>.</w:t>
      </w:r>
    </w:p>
    <w:p w14:paraId="19DB8927" w14:textId="7400D177" w:rsidR="00386CA0" w:rsidRPr="00D22AA7" w:rsidRDefault="0F6B4E34" w:rsidP="007A25E7">
      <w:pPr>
        <w:spacing w:before="240" w:after="240"/>
        <w:jc w:val="both"/>
        <w:rPr>
          <w:rFonts w:ascii="Times" w:hAnsi="Times"/>
        </w:rPr>
      </w:pPr>
      <w:r w:rsidRPr="00D22AA7">
        <w:rPr>
          <w:rFonts w:ascii="Times" w:hAnsi="Times"/>
          <w:noProof/>
        </w:rPr>
        <w:t xml:space="preserve">Olive oil is a rich source of phenolic compounds, which are primarily responsible for its health benefits and distinctive flavor. These compounds have potent antioxidant, anti-inflammatory, and anticancer properties. The most notable phenolic compounds in olive oil include oleuropein, hydroxytyrosol, tyrosol, oleocanthal, and ligstroside. Oleuropein, found mainly in the olive fruit and leaves, is known for its strong antioxidant and anti-inflammatory effects, contributing to cardiovascular health and protection against chronic diseases. Hydroxytyrosol, one of the most powerful antioxidants in olive oil, has been widely studied for its ability to combat oxidative stress, reduce the risk of cardiovascular disease, and protect against neurodegenerative disorders. Tyrosol, a metabolite of hydroxytyrosol, also offers antioxidant benefits and plays a role in promoting heart health. Oleocanthal, with its anti-inflammatory and analgesic properties, is similar to ibuprofen in its effects and may help reduce the risk of conditions like Alzheimer's and cancer. Ligstroside, another phenolic compound, provides additional antioxidant and anti-inflammatory effects, further enhancing olive oil’s overall health benefits. Together, these phenolic compounds work synergistically to promote heart health, reduce inflammation, and protect against oxidative </w:t>
      </w:r>
      <w:r w:rsidRPr="00D22AA7">
        <w:rPr>
          <w:rFonts w:ascii="Times" w:hAnsi="Times"/>
          <w:noProof/>
        </w:rPr>
        <w:lastRenderedPageBreak/>
        <w:t xml:space="preserve">damage, making olive oil an essential part of the Mediterranean diet and a valuable source of bioactive compounds for overall well-being. </w:t>
      </w:r>
      <w:r w:rsidR="4CF51FDC" w:rsidRPr="00D22AA7">
        <w:rPr>
          <w:rFonts w:ascii="Times" w:hAnsi="Times"/>
          <w:noProof/>
        </w:rPr>
        <w:t xml:space="preserve">The most prevalent secoiridoids in olive oil are the decarboxymethyl-EA dialdehyde forms, which are linked to hydroxytyrosol (HT) or tyrosol (Tyr). Two key secoiridoid compounds of this class are 3,4-DHPEA-EDA (decacarbomethyl-oleuropein aglycone) and p-HPEA-EDA (a hydroxytyrosol derivative), both of which have been identified as the most abundant and bioactive forms in olive oil. These compounds are believed to play a crucial role in the anti-inflammatory and antioxidant activities associated with olive oil consumption. In addition to 3,4-DHPEA-EDA and p-HPEA-EDA, other notable secoiridoids include the oleuropein aglycone isomer, 3,4-DHPEA-EA, and ligstroside aglycone, also known as p-HPEA-EA. These secoiridoid compounds exhibit various pharmacological activities, including antioxidant, anti-inflammatory, and antimicrobial effects, and have been linked to the protective properties of olive oil against a range of chronic diseases, such as cardiovascular disease, cancer, and neurodegenerative conditions </w:t>
      </w:r>
      <w:r w:rsidR="00D45672" w:rsidRPr="00D22AA7">
        <w:rPr>
          <w:rFonts w:ascii="Times" w:hAnsi="Times"/>
        </w:rPr>
        <w:fldChar w:fldCharType="begin"/>
      </w:r>
      <w:r w:rsidR="0056095D">
        <w:rPr>
          <w:rFonts w:ascii="Times" w:hAnsi="Times"/>
        </w:rPr>
        <w:instrText xml:space="preserve"> ADDIN ZOTERO_ITEM CSL_CITATION {"citationID":"8BnSIn81","properties":{"formattedCitation":"[67,71,75]","plainCitation":"[67,71,75]","noteIndex":0},"citationItems":[{"id":29,"uris":["http://zotero.org/users/9439317/items/VTGKLQVV"],"itemData":{"id":29,"type":"article-journal","abstract":"Extravirgin olive oil (EVOO) represents the typical lipid source of the Mediterranean diet, an eating habit pattern that has been associated with a significant reduction of cancer risk. Diet is the more studied environmental factor in epigenetics, and many evidences suggest dysregulation of epigenetic pathways in cancer. The aim of our study was to investigate the effects of EVOO and its phenolic compounds on endocannabinoid system (ECS) gene expression via epigenetic regulation in both human colon cancer cells (Caco-2) and rats exposed to short- and long-term dietary EVOO. We observed a selective and transient up-regulation of CNR1 gene — encoding for type 1 cannabinoid receptor (CB1) — that was evoked by exposure of Caco-2 cells to EVOO (100 ppm), its phenolic extracts (OPE, 50 μM) or authentic hydroxytyrosol (HT, 50 μM) for 24 h. None of the other major elements of the ECS (i.e., CB2; GPR55 and TRPV1 receptors; and NAPE-PLD, DAGL, FAAH and MAGL enzymes) was affected at any time point. The stimulatory effect of OPE and HT on CB1 expression was inversely correlated to DNA methylation at CNR1 promoter and was associated with reduced proliferation of Caco-2 cells. Interestingly, CNR1 gene was less expressed in Caco-2 cells when compared to normal colon mucosa cells, and again this effect was associated with higher level of DNA methylation at CNR1. Moreover, in agreement with the in vitro studies, we also observed a remarkable ( 4-fold) and selective increase in CB1 expression in the colon of rats receiving dietary EVOO supplementation for 10 days. Consistently, CpG methylation of rat Cnr1 promoter, miR23a and miR-301a, previously shown to be involved in the pathogenesis of colorectal cancer and predicted to target CB1 mRNA, was reduced after EVOO administration down to 50% of controls. Taken together, our findings demonstrating CB1 gene expression modulation by EVOO or its phenolic compounds via epigenetic mechanism, both in vitro and in vivo, may provide a new therapeutic avenue for treatment and/or prevention of colon cancer.","container-title":"The Journal of Nutritional Biochemistry","DOI":"https://doi.org/10.1016/j.jnutbio.2014.10.013","ISSN":"0955-2863","issue":"3","page":"250-258","title":"Extravirgin olive oil up-regulates CB1 tumor suppressor gene in human colon cancer cells and in rat colon via epigenetic mechanisms","URL":"https://www.sciencedirect.com/science/article/pii/S0955286314002411","volume":"26","author":[{"family":"Francesco","given":"Andrea Di"},{"family":"Falconi","given":"Anastasia"},{"family":"Germanio","given":"Clara Di"},{"family":"Bonaventura","given":"Maria Vittoria Micioni Di"},{"family":"Costa","given":"Antonio"},{"family":"Caramuta","given":"Stefano"},{"family":"Carlo","given":"Michele Del"},{"family":"Compagnone","given":"Dario"},{"family":"Dainese","given":"Enrico"},{"family":"Cifani","given":"Carlo"},{"family":"Maccarrone","given":"Mauro"},{"family":"D’Addario","given":"Claudio"}],"issued":{"date-parts":[["2015"]]}}},{"id":186,"uris":["http://zotero.org/users/9439317/items/MQD6EQBB"],"itemData":{"id":186,"type":"article-journal","abstract":"The hallmark of rheumatoid arthritis (RA) pathology is characterized by both hyperproliferation of synovial ﬁbroblasts (SFs) and massive inﬁltration of inﬂammatory immune cells. This study was conducted to evaluate the efﬁcacy of hydroxytyrosol (HTy) and hydroxytyrosol-acetate (HTy-Ac) in regulating IL-1binduced production of metalloproteases (MMPs) and proinﬂammatory cytokines in human synovial cell line. Treatment with HTy or HTy-Ac signiﬁcantly inhibited IL-1b-induced MMPs, tumour necrosis factor (TNF)-a and IL-6 production. IL-1b-up regulation COX-2 and mPGE-1 was downregulated by HTy and HTy-Ac. IL-1b-induced MAPKs phosphorylation and NF-jB activation were inhibited by HTy and HTyAc. These results suggest that these EVOO phenols reduce the production of proinﬂammatory mediators in SW982 cells; these protective effects could be related to the inhibition of MAPKs and NF-jB signalling pathways. Thus, HTy and HTy-Ac might be promising targets for the prevention and management of diseases associated with overactivation of synovial ﬁbroblasts, like RA.","container-title":"Journal of Functional Foods","DOI":"10.1016/j.jff.2017.06.041","ISSN":"17564646","journalAbbreviation":"Journal of Functional Foods","language":"en","page":"27-33","source":"DOI.org (Crossref)","title":"Extra-virgin olive oil phenols hydroxytyrosol and hydroxytyrosol acetate, down-regulate the production of mediators involved in joint erosion in human synovial cells","URL":"https://linkinghub.elsevier.com/retrieve/pii/S1756464617303584","volume":"36","author":[{"family":"Rosillo","given":"María Ángeles"},{"family":"Sánchez-Hidalgo","given":"Marina"},{"family":"Castejón","given":"María Luisa"},{"family":"Montoya","given":"Tatiana"},{"family":"González-Benjumea","given":"Alejandro"},{"family":"Fernández-Bolaños","given":"José G."},{"family":"Alarcón-de-la-Lastra","given":"Catalina"}],"accessed":{"date-parts":[["2022",6,3]]},"issued":{"date-parts":[["2017",9]]}}},{"id":383,"uris":["http://zotero.org/users/9439317/items/S5EKKMDS"],"itemData":{"id":383,"type":"article-journal","abstract":"Nowadays, it is clear that unhealthy diet is one of the prime factors that contribute to the rise of inflammatory diseases and autoimmunity in both developed and developing countries. The Mediterranean diet has been associated with a reduced incidence of certain pathologies related to chronic inflammation and immune system. Olive oil, the principal source of dietary lipids of the Mediterranean diet, possesses a high nutritional quality and a particular composition, which is especially relevant in the case of Extra Virgin Olive Oil (EVOO). EVOO is obtained from olives solely by mechanical or other physical preparation under conditions that do not alter natural composition. EVOO is described as a key bioactive food with multiple beneficial properties and it may be effective in the management of some immuneinflammatory diseases. In this review, we summarise the key works, which provided evidence of the beneficial effects of EVOO and its minor components focusing on their mechanisms on immune-inflammatory diseases like rheumatoid arthritis, systemic lupus erythematous, inflammatory bowel disease and sclerosis.","container-title":"Food &amp; Function","DOI":"10.1039/C6FO01094F","ISSN":"2042-6496, 2042-650X","issue":"11","journalAbbreviation":"Food Funct.","language":"en","page":"4492-4505","source":"DOI.org (Crossref)","title":"Extra virgin olive oil: a key functional food for prevention of immune-inflammatory diseases","title-short":"Extra virgin olive oil","URL":"http://xlink.rsc.org/?DOI=C6FO01094F","volume":"7","author":[{"family":"Aparicio-Soto","given":"Marina"},{"family":"Sánchez-Hidalgo","given":"Marina"},{"family":"Rosillo","given":"Ma Ángeles"},{"family":"Castejón","given":"Ma Luisa"},{"family":"Alarcón-de-la-Lastra","given":"Catalina"}],"accessed":{"date-parts":[["2022",7,7]]},"issued":{"date-parts":[["2016"]]}}}],"schema":"https://github.com/citation-style-language/schema/raw/master/csl-citation.json"} </w:instrText>
      </w:r>
      <w:r w:rsidR="00D45672" w:rsidRPr="00D22AA7">
        <w:rPr>
          <w:rFonts w:ascii="Times" w:hAnsi="Times"/>
        </w:rPr>
        <w:fldChar w:fldCharType="separate"/>
      </w:r>
      <w:r w:rsidR="0056095D">
        <w:rPr>
          <w:rFonts w:ascii="Times" w:hAnsi="Times"/>
          <w:noProof/>
        </w:rPr>
        <w:t>[67,71,75]</w:t>
      </w:r>
      <w:r w:rsidR="00D45672" w:rsidRPr="00D22AA7">
        <w:rPr>
          <w:rFonts w:ascii="Times" w:hAnsi="Times"/>
        </w:rPr>
        <w:fldChar w:fldCharType="end"/>
      </w:r>
      <w:r w:rsidR="66779EFB" w:rsidRPr="00D22AA7">
        <w:rPr>
          <w:rFonts w:ascii="Times" w:hAnsi="Times"/>
        </w:rPr>
        <w:t>.</w:t>
      </w:r>
    </w:p>
    <w:p w14:paraId="16294A47" w14:textId="18F4F3FA" w:rsidR="00386CA0" w:rsidRPr="00D22AA7" w:rsidRDefault="2882AE6F" w:rsidP="003D4574">
      <w:pPr>
        <w:pStyle w:val="BodyText"/>
        <w:jc w:val="both"/>
        <w:rPr>
          <w:rFonts w:ascii="Times" w:hAnsi="Times"/>
        </w:rPr>
      </w:pPr>
      <w:r w:rsidRPr="00D22AA7">
        <w:rPr>
          <w:rFonts w:ascii="Times" w:hAnsi="Times"/>
          <w:noProof/>
        </w:rPr>
        <w:t>Phenolic acids are an important group of bioactive compounds found in olive oil, contributing to its well-known health benefits. These compounds possess powerful antioxidant and anti-inflammatory properties, which help reduce the risk of chronic diseases. The main phenolic acids in olive oil include caffeic acid, ferulic acid, and p-coumaric acid. Caffeic acid is recognized for its strong antioxidant effects, protecting cells from oxidative damage and reducing inflammation, which supports cardiovascular health and disease prevention. Ferulic acid, also present in olive oil, has significant antioxidant and anti-inflammatory properties, promoting heart health and potentially offering anticancer benefits through its ability to neutralize free radicals. P-coumaric acid, while present in smaller quantities, also contributes to the antioxidant properties of olive oil, helping to alleviate oxidative stress and inflammation. Together with other phenolic compounds such as oleuropein</w:t>
      </w:r>
      <w:r w:rsidR="003D5F45">
        <w:rPr>
          <w:rFonts w:ascii="Times" w:hAnsi="Times"/>
          <w:noProof/>
        </w:rPr>
        <w:t>, oleocanthal, tyrosol</w:t>
      </w:r>
      <w:r w:rsidRPr="00D22AA7">
        <w:rPr>
          <w:rFonts w:ascii="Times" w:hAnsi="Times"/>
          <w:noProof/>
        </w:rPr>
        <w:t xml:space="preserve"> and hydroxytyrosol</w:t>
      </w:r>
      <w:r w:rsidR="00DE52DB">
        <w:rPr>
          <w:rFonts w:ascii="Times" w:hAnsi="Times"/>
          <w:noProof/>
        </w:rPr>
        <w:t>.</w:t>
      </w:r>
      <w:r w:rsidRPr="00D22AA7">
        <w:rPr>
          <w:rFonts w:ascii="Times" w:hAnsi="Times"/>
          <w:noProof/>
        </w:rPr>
        <w:t xml:space="preserve"> </w:t>
      </w:r>
      <w:r w:rsidR="00DE52DB">
        <w:rPr>
          <w:rFonts w:ascii="Times" w:hAnsi="Times"/>
          <w:noProof/>
        </w:rPr>
        <w:t>T</w:t>
      </w:r>
      <w:r w:rsidRPr="00D22AA7">
        <w:rPr>
          <w:rFonts w:ascii="Times" w:hAnsi="Times"/>
          <w:noProof/>
        </w:rPr>
        <w:t xml:space="preserve">hese phenolic acids enhance the overall health benefits of olive oil, particularly in promoting cardiovascular health, reducing inflammation, and protecting against oxidative damage, making olive oil a valuable source of bioactive compounds for overall well-being </w:t>
      </w:r>
      <w:r w:rsidR="00D45672" w:rsidRPr="00D22AA7">
        <w:rPr>
          <w:rFonts w:ascii="Times" w:hAnsi="Times"/>
        </w:rPr>
        <w:fldChar w:fldCharType="begin"/>
      </w:r>
      <w:r w:rsidR="00C1537C">
        <w:rPr>
          <w:rFonts w:ascii="Times" w:hAnsi="Times"/>
        </w:rPr>
        <w:instrText xml:space="preserve"> ADDIN ZOTERO_ITEM CSL_CITATION {"citationID":"OyBTBRmQ","properties":{"formattedCitation":"[56]","plainCitation":"[56]","noteIndex":0},"citationItems":[{"id":13050,"uris":["http://zotero.org/users/9439317/items/7R4WV54X"],"itemData":{"id":13050,"type":"article-journal","abstract":"Plant-derived functional foods are gaining considerable attention due to their safety and therapeutic potentials. Research on plant-based functional foods presents several challenges ranges from hypercholesterolemia to cancer prevention. In last decade, special attention has been paid to edible plants and especially their phytochemicals. Today, there is an increasing interest in their bioactivities provided by these phytochemicals. Polyphenols are the most numerous and widely distributed group of bioactive molecules. Polyphenols have two general classes, one is flavonoids and other is phenolic acids. Among these, flavonoids are further divided into flavones, flavononse, flavonols, flavanols, isoflavones, and phenolic acids are generally classified into hydroxybenzoic and hydroxycinnamic acids. Fruit peel is one of the dense sources for flavonoids and their content may vary from species to species and due to exposure of light. Polyphenols have wide range of molecules and different set of biological activities that are mainly attributed to their structure. Investigations have revealed that polyphenols play a key role to prevent various diseases, like hypercholesterolemia, hyperglycemia, hyperlipidemia, and cancer insurgence. The current review article summarizes the literature pertaining to polyphenols and its allied health benefits.","language":"en","page":"12","source":"Zotero","title":"Natural polyphenols: An overview","author":[{"family":"Abbas","given":"Munawar"},{"family":"Saeed","given":"Farhan"},{"family":"Anjum","given":"Faqir Muhammad"},{"family":"Tufail","given":"Tabussam"},{"family":"Bashir","given":"Muhammad Shakeel"},{"family":"Ishtiaq","given":"Adnan"},{"family":"Hussain","given":"Shahzad"},{"family":"Suleria","given":"Hafiz Ansar Rasul"}]}}],"schema":"https://github.com/citation-style-language/schema/raw/master/csl-citation.json"} </w:instrText>
      </w:r>
      <w:r w:rsidR="00D45672" w:rsidRPr="00D22AA7">
        <w:rPr>
          <w:rFonts w:ascii="Times" w:hAnsi="Times"/>
        </w:rPr>
        <w:fldChar w:fldCharType="separate"/>
      </w:r>
      <w:r w:rsidR="00C1537C">
        <w:rPr>
          <w:rFonts w:ascii="Times" w:hAnsi="Times"/>
          <w:noProof/>
        </w:rPr>
        <w:t>[56]</w:t>
      </w:r>
      <w:r w:rsidR="00D45672" w:rsidRPr="00D22AA7">
        <w:rPr>
          <w:rFonts w:ascii="Times" w:hAnsi="Times"/>
        </w:rPr>
        <w:fldChar w:fldCharType="end"/>
      </w:r>
      <w:r w:rsidR="66779EFB" w:rsidRPr="00D22AA7">
        <w:rPr>
          <w:rFonts w:ascii="Times" w:hAnsi="Times"/>
        </w:rPr>
        <w:t>.</w:t>
      </w:r>
    </w:p>
    <w:p w14:paraId="640692B6" w14:textId="4559B0A1" w:rsidR="00386CA0" w:rsidRPr="003D4574" w:rsidRDefault="6D8D59ED" w:rsidP="003D4574">
      <w:pPr>
        <w:spacing w:before="240" w:after="240"/>
        <w:jc w:val="both"/>
        <w:rPr>
          <w:rFonts w:ascii="Times" w:hAnsi="Times"/>
        </w:rPr>
      </w:pPr>
      <w:r w:rsidRPr="00D22AA7">
        <w:rPr>
          <w:rFonts w:ascii="Times" w:hAnsi="Times"/>
          <w:noProof/>
        </w:rPr>
        <w:t xml:space="preserve">Lignans are a type of polyphenolic compound found in olive oil, albeit in smaller amounts compared to other phenolic compounds like flavonoids and phenolic acids. These compounds are known for their antioxidant, anti-inflammatory, and potential anticancer properties. In olive oil, lignans are mainly present as secoiridoids, which are derived from the phenolic precursors in the olives The most common lignans found in olive oil are </w:t>
      </w:r>
      <w:r w:rsidRPr="00C83B7A">
        <w:rPr>
          <w:rFonts w:ascii="Times" w:hAnsi="Times"/>
          <w:noProof/>
        </w:rPr>
        <w:t>pinoresinol and ligstroside.</w:t>
      </w:r>
      <w:r w:rsidRPr="00D22AA7">
        <w:rPr>
          <w:rFonts w:ascii="Times" w:hAnsi="Times"/>
          <w:noProof/>
        </w:rPr>
        <w:t xml:space="preserve"> Pinoresinol has demonstrated strong antioxidant properties, which help in neutralizing free radicals and reducing oxidative stress. Additionally, it has been shown to possess potential anticancer effects by inhibiting the growth of cancer cells. Ligstroside, another important lignan, is also known for its antioxidant effects and its ability to reduce inflammation, contributing to the overall health benefits of olive oil Although the concentration of lignans in olive oil is lower compared to other polyphenolic compounds, their presence still adds to olive oil’s broad spectrum of health benefits, particularly in promoting cardiovascular health, reducing oxidative stress, and potentially lowering the risk of cancer. This makes olive oil a valuable source of bioactive compounds that contribute to its role in the Mediterranean diet and its associated health benefits </w:t>
      </w:r>
      <w:r w:rsidR="00D45672" w:rsidRPr="00D22AA7">
        <w:rPr>
          <w:rFonts w:ascii="Times" w:hAnsi="Times"/>
        </w:rPr>
        <w:fldChar w:fldCharType="begin"/>
      </w:r>
      <w:r w:rsidR="0056095D">
        <w:rPr>
          <w:rFonts w:ascii="Times" w:hAnsi="Times"/>
        </w:rPr>
        <w:instrText xml:space="preserve"> ADDIN ZOTERO_ITEM CSL_CITATION {"citationID":"8xROLL7Q","properties":{"formattedCitation":"[76]","plainCitation":"[76]","noteIndex":0},"citationItems":[{"id":15986,"uris":["http://zotero.org/users/9439317/items/RGN4YST7"],"itemData":{"id":15986,"type":"article-journal","abstract":"The 13 research articles/communications, six reviews, and one perspective that comprise this Special Issue on Lignans, highlight the most recent research and investigations into this diverse and important class of bioactive natural products [...]","container-title":"Molecules","DOI":"10.3390/molecules24071424","ISSN":"1420-3049","issue":"7","title":"Lignans","volume":"24","author":[{"family":"Barker","given":"David"}],"issued":{"date-parts":[["2019"]]}}}],"schema":"https://github.com/citation-style-language/schema/raw/master/csl-citation.json"} </w:instrText>
      </w:r>
      <w:r w:rsidR="00D45672" w:rsidRPr="00D22AA7">
        <w:rPr>
          <w:rFonts w:ascii="Times" w:hAnsi="Times"/>
        </w:rPr>
        <w:fldChar w:fldCharType="separate"/>
      </w:r>
      <w:r w:rsidR="0056095D">
        <w:rPr>
          <w:rFonts w:ascii="Times" w:hAnsi="Times"/>
          <w:noProof/>
        </w:rPr>
        <w:t>[76]</w:t>
      </w:r>
      <w:r w:rsidR="00D45672" w:rsidRPr="00D22AA7">
        <w:rPr>
          <w:rFonts w:ascii="Times" w:hAnsi="Times"/>
        </w:rPr>
        <w:fldChar w:fldCharType="end"/>
      </w:r>
      <w:r w:rsidR="66779EFB" w:rsidRPr="00D22AA7">
        <w:rPr>
          <w:rFonts w:ascii="Times" w:hAnsi="Times"/>
        </w:rPr>
        <w:t>.</w:t>
      </w:r>
      <w:r w:rsidR="003D4574">
        <w:rPr>
          <w:rFonts w:ascii="Times" w:hAnsi="Times"/>
        </w:rPr>
        <w:t xml:space="preserve"> </w:t>
      </w:r>
      <w:r w:rsidR="66779EFB" w:rsidRPr="00D22AA7">
        <w:rPr>
          <w:rFonts w:ascii="Times" w:hAnsi="Times"/>
        </w:rPr>
        <w:t>Overall, the diverse bioactive compounds in EVOO, particularly polyphenols, contribute to its powerful antioxidant, anti-inflammatory, and anticancer effects, reinforcing its role in the Mediterranean diet as a natural agent for disease prevention and management</w:t>
      </w:r>
      <w:r w:rsidR="48E8DFD8" w:rsidRPr="00D22AA7">
        <w:rPr>
          <w:rFonts w:ascii="Times" w:hAnsi="Times"/>
        </w:rPr>
        <w:t xml:space="preserve"> </w:t>
      </w:r>
      <w:r w:rsidR="00D45672" w:rsidRPr="00D22AA7">
        <w:rPr>
          <w:rFonts w:ascii="Times" w:hAnsi="Times"/>
        </w:rPr>
        <w:fldChar w:fldCharType="begin"/>
      </w:r>
      <w:r w:rsidR="0056095D">
        <w:rPr>
          <w:rFonts w:ascii="Times" w:hAnsi="Times"/>
        </w:rPr>
        <w:instrText xml:space="preserve"> ADDIN ZOTERO_ITEM CSL_CITATION {"citationID":"pmMORqJ9","properties":{"formattedCitation":"[75]","plainCitation":"[75]","noteIndex":0},"citationItems":[{"id":383,"uris":["http://zotero.org/users/9439317/items/S5EKKMDS"],"itemData":{"id":383,"type":"article-journal","abstract":"Nowadays, it is clear that unhealthy diet is one of the prime factors that contribute to the rise of inflammatory diseases and autoimmunity in both developed and developing countries. The Mediterranean diet has been associated with a reduced incidence of certain pathologies related to chronic inflammation and immune system. Olive oil, the principal source of dietary lipids of the Mediterranean diet, possesses a high nutritional quality and a particular composition, which is especially relevant in the case of Extra Virgin Olive Oil (EVOO). EVOO is obtained from olives solely by mechanical or other physical preparation under conditions that do not alter natural composition. EVOO is described as a key bioactive food with multiple beneficial properties and it may be effective in the management of some immuneinflammatory diseases. In this review, we summarise the key works, which provided evidence of the beneficial effects of EVOO and its minor components focusing on their mechanisms on immune-inflammatory diseases like rheumatoid arthritis, systemic lupus erythematous, inflammatory bowel disease and sclerosis.","container-title":"Food &amp; Function","DOI":"10.1039/C6FO01094F","ISSN":"2042-6496, 2042-650X","issue":"11","journalAbbreviation":"Food Funct.","language":"en","page":"4492-4505","source":"DOI.org (Crossref)","title":"Extra virgin olive oil: a key functional food for prevention of immune-inflammatory diseases","title-short":"Extra virgin olive oil","URL":"http://xlink.rsc.org/?DOI=C6FO01094F","volume":"7","author":[{"family":"Aparicio-Soto","given":"Marina"},{"family":"Sánchez-Hidalgo","given":"Marina"},{"family":"Rosillo","given":"Ma Ángeles"},{"family":"Castejón","given":"Ma Luisa"},{"family":"Alarcón-de-la-Lastra","given":"Catalina"}],"accessed":{"date-parts":[["2022",7,7]]},"issued":{"date-parts":[["2016"]]}}}],"schema":"https://github.com/citation-style-language/schema/raw/master/csl-citation.json"} </w:instrText>
      </w:r>
      <w:r w:rsidR="00D45672" w:rsidRPr="00D22AA7">
        <w:rPr>
          <w:rFonts w:ascii="Times" w:hAnsi="Times"/>
        </w:rPr>
        <w:fldChar w:fldCharType="separate"/>
      </w:r>
      <w:r w:rsidR="0056095D">
        <w:rPr>
          <w:rFonts w:ascii="Times" w:hAnsi="Times"/>
          <w:noProof/>
        </w:rPr>
        <w:t>[75]</w:t>
      </w:r>
      <w:r w:rsidR="00D45672" w:rsidRPr="00D22AA7">
        <w:rPr>
          <w:rFonts w:ascii="Times" w:hAnsi="Times"/>
        </w:rPr>
        <w:fldChar w:fldCharType="end"/>
      </w:r>
      <w:r w:rsidR="66779EFB" w:rsidRPr="00D22AA7">
        <w:rPr>
          <w:rFonts w:ascii="Times" w:hAnsi="Times"/>
        </w:rPr>
        <w:t>.</w:t>
      </w:r>
    </w:p>
    <w:p w14:paraId="07D2440B" w14:textId="62AAFAA1" w:rsidR="3300C1C8" w:rsidRPr="00D22AA7" w:rsidRDefault="3300C1C8" w:rsidP="3300C1C8">
      <w:pPr>
        <w:pStyle w:val="BodyText"/>
        <w:rPr>
          <w:rFonts w:ascii="Times" w:hAnsi="Times"/>
        </w:rPr>
      </w:pPr>
    </w:p>
    <w:p w14:paraId="766AB85E" w14:textId="4BC6D3B9" w:rsidR="49CA02B8" w:rsidRPr="00663594" w:rsidRDefault="0E4E024B" w:rsidP="00663594">
      <w:pPr>
        <w:pStyle w:val="BodyText"/>
        <w:jc w:val="both"/>
        <w:rPr>
          <w:rFonts w:ascii="Times" w:hAnsi="Times"/>
        </w:rPr>
      </w:pPr>
      <w:r w:rsidRPr="00D22AA7">
        <w:rPr>
          <w:rFonts w:ascii="Times" w:hAnsi="Times"/>
        </w:rPr>
        <w:t xml:space="preserve">Flavonoids, although present in olive oil in smaller amounts compared to other polyphenols, still contribute significantly to its health benefits due to their antioxidant, anti-inflammatory, and cardiovascular-protective properties. Key flavonoids found in olive oil include quercetin, kaempferol, and luteolin. Quercetin is a well-known flavonoid with powerful antioxidant and anti-inflammatory effects, helping to protect cells from oxidative damage and supporting heart health. It has also been studied for its potential to reduce the risk of chronic diseases such as cancer and neurodegenerative disorders </w:t>
      </w:r>
      <w:r w:rsidRPr="00D22AA7">
        <w:rPr>
          <w:rFonts w:ascii="Times" w:hAnsi="Times"/>
        </w:rPr>
        <w:fldChar w:fldCharType="begin"/>
      </w:r>
      <w:r w:rsidR="00C1537C">
        <w:rPr>
          <w:rFonts w:ascii="Times" w:hAnsi="Times"/>
        </w:rPr>
        <w:instrText xml:space="preserve"> ADDIN ZOTERO_ITEM CSL_CITATION {"citationID":"zpzOpQMx","properties":{"formattedCitation":"[57]","plainCitation":"[57]","noteIndex":0},"citationItems":[{"id":5021,"uris":["http://zotero.org/users/9439317/items/85WIJTFG"],"itemData":{"id":5021,"type":"article-journal","abstract":"Phytochemicals represent a large and diverse group of naturally occurring compounds, bioactive nutrients, or phytonutrients produced by plants, widely found in fruits, vegetables, whole grains products, legumes, beans, herbs, seeds, nuts, tea, and dark chocolate. They are classified according to their chemical structures and functional properties. Flavonoids belong to the phenolic class of phytochemicals with potential solid pharmacological effects as modulators of multiple signal transduction pathways. Their beneficial effect on the human body is associated with their antioxidant, anti-inflammatory, antimutagenic, and anticarcinogenic properties. Flavonoids are also widely used in various nutritional, pharmaceutical, medical, and cosmetic applications. In our review, we discuss the positive effect of flavonoids on chronic skin diseases such as vitiligo, psoriasis, acne, and atopic dermatitis.","container-title":"International Journal of Molecular Sciences","DOI":"10.3390/ijms24076324","ISSN":"1422-0067","issue":"7","title":"Flavonoids as Promising Natural Compounds in the Prevention and Treatment of Selected Skin Diseases","volume":"24","author":[{"family":"Čižmárová","given":"Beáta"},{"family":"Hubková","given":"Beáta"},{"family":"Tomečková","given":"Vladimíra"},{"family":"Birková","given":"Anna"}],"issued":{"date-parts":[["2023"]]}}}],"schema":"https://github.com/citation-style-language/schema/raw/master/csl-citation.json"} </w:instrText>
      </w:r>
      <w:r w:rsidRPr="00D22AA7">
        <w:rPr>
          <w:rFonts w:ascii="Times" w:hAnsi="Times"/>
        </w:rPr>
        <w:fldChar w:fldCharType="separate"/>
      </w:r>
      <w:r w:rsidR="00C1537C">
        <w:rPr>
          <w:rFonts w:ascii="Times" w:hAnsi="Times"/>
          <w:noProof/>
        </w:rPr>
        <w:t>[57]</w:t>
      </w:r>
      <w:r w:rsidRPr="00D22AA7">
        <w:rPr>
          <w:rFonts w:ascii="Times" w:hAnsi="Times"/>
        </w:rPr>
        <w:fldChar w:fldCharType="end"/>
      </w:r>
      <w:r w:rsidRPr="00D22AA7">
        <w:rPr>
          <w:rFonts w:ascii="Times" w:hAnsi="Times"/>
        </w:rPr>
        <w:t xml:space="preserve">. Kaempferol, found in smaller quantities, plays a role in reducing inflammation and oxidative stress, further contributing to the cardiovascular and anticancer benefits of olive oil. Luteolin, another flavonoid in olive oil, offers antioxidant and anti-inflammatory benefits, with research indicating its potential to reduce the risk of inflammatory diseases and improve heart health. While flavonoids are less abundant than other phenolic compounds in olive oil, their presence enhances its therapeutic effects, helping to protect against oxidative stress, reduce inflammation, and promote overall cardiovascular health, making olive oil an essential part of the Mediterranean diet </w:t>
      </w:r>
      <w:r w:rsidRPr="00D22AA7">
        <w:rPr>
          <w:rFonts w:ascii="Times" w:hAnsi="Times"/>
        </w:rPr>
        <w:fldChar w:fldCharType="begin"/>
      </w:r>
      <w:r w:rsidR="0056095D">
        <w:rPr>
          <w:rFonts w:ascii="Times" w:hAnsi="Times"/>
        </w:rPr>
        <w:instrText xml:space="preserve"> ADDIN ZOTERO_ITEM CSL_CITATION {"citationID":"5xckpFeo","properties":{"formattedCitation":"[77]","plainCitation":"[77]","noteIndex":0},"citationItems":[{"id":16,"uris":["http://zotero.org/users/9439317/items/I4U59QBP"],"itemData":{"id":16,"type":"article-journal","container-title":"Oncology Reports","DOI":"10.3892/or.2015.4431","ISSN":"1021-335X, 1791-2431","issue":"2","language":"en","page":"825-832","source":"DOI.org (Crossref)","title":"Luteolin suppresses development of medroxyprogesterone acetate-accelerated 7,12-dimethylbenz(a)anthracene-induced mammary tumors in Sprague-Dawley rats","URL":"https://www.spandidos-publications.com/10.3892/or.2015.4431","volume":"35","author":[{"family":"Cook","given":"Matthew T."},{"family":"Mafuvadze","given":"Benford"},{"family":"Besch-Williford","given":"Cynthia"},{"family":"Ellersieck","given":"Mark R."},{"family":"Goyette","given":"Sandy"},{"family":"Hyder","given":"Salman M."}],"accessed":{"date-parts":[["2022",5,19]]},"issued":{"date-parts":[["2016",2]]}}}],"schema":"https://github.com/citation-style-language/schema/raw/master/csl-citation.json"} </w:instrText>
      </w:r>
      <w:r w:rsidRPr="00D22AA7">
        <w:rPr>
          <w:rFonts w:ascii="Times" w:hAnsi="Times"/>
        </w:rPr>
        <w:fldChar w:fldCharType="separate"/>
      </w:r>
      <w:r w:rsidR="0056095D">
        <w:rPr>
          <w:rFonts w:ascii="Times" w:hAnsi="Times"/>
          <w:noProof/>
        </w:rPr>
        <w:t>[77]</w:t>
      </w:r>
      <w:r w:rsidRPr="00D22AA7">
        <w:rPr>
          <w:rFonts w:ascii="Times" w:hAnsi="Times"/>
        </w:rPr>
        <w:fldChar w:fldCharType="end"/>
      </w:r>
      <w:r w:rsidRPr="00D22AA7">
        <w:rPr>
          <w:rFonts w:ascii="Times" w:hAnsi="Times"/>
        </w:rPr>
        <w:t>.</w:t>
      </w:r>
    </w:p>
    <w:p w14:paraId="70919E3D" w14:textId="13E21393" w:rsidR="00386CA0" w:rsidRPr="00D22AA7" w:rsidRDefault="00D45672" w:rsidP="0DE242D6">
      <w:pPr>
        <w:pStyle w:val="ListParagraph"/>
        <w:spacing w:beforeAutospacing="1" w:afterAutospacing="1"/>
        <w:ind w:left="0"/>
        <w:rPr>
          <w:rFonts w:ascii="Times" w:hAnsi="Times"/>
          <w:b/>
          <w:bCs/>
        </w:rPr>
      </w:pPr>
      <w:r w:rsidRPr="00D22AA7">
        <w:rPr>
          <w:rFonts w:ascii="Times" w:hAnsi="Times"/>
          <w:b/>
          <w:bCs/>
        </w:rPr>
        <w:t>2</w:t>
      </w:r>
      <w:r w:rsidR="0D2BE870" w:rsidRPr="00D22AA7">
        <w:rPr>
          <w:rFonts w:ascii="Times" w:hAnsi="Times"/>
          <w:b/>
          <w:bCs/>
        </w:rPr>
        <w:t xml:space="preserve">.7. </w:t>
      </w:r>
      <w:r w:rsidRPr="00D22AA7">
        <w:rPr>
          <w:rFonts w:ascii="Times" w:hAnsi="Times"/>
          <w:b/>
          <w:bCs/>
        </w:rPr>
        <w:t xml:space="preserve"> Anti arthritic activity of Vitamin E </w:t>
      </w:r>
    </w:p>
    <w:p w14:paraId="7C7E16F9" w14:textId="7901FA3D" w:rsidR="0046596C" w:rsidRPr="00D22AA7" w:rsidRDefault="0046596C" w:rsidP="003D4574">
      <w:pPr>
        <w:spacing w:beforeAutospacing="1" w:afterAutospacing="1"/>
        <w:jc w:val="both"/>
        <w:rPr>
          <w:rFonts w:ascii="Times" w:hAnsi="Times"/>
        </w:rPr>
      </w:pPr>
      <w:r w:rsidRPr="00D22AA7">
        <w:rPr>
          <w:rFonts w:ascii="Times" w:hAnsi="Times"/>
        </w:rPr>
        <w:t xml:space="preserve">Vitamin E is a potent antioxidant naturally occurring in plants, characterized by a chromanol ring and an isoprenoid side chain. It encompasses a group of compounds, such az tocopherols and tocotrienols, which are sub divided into three isomers such as alpha-, beta-, gamma-, and delta-isomers. Among these, alpha-tocopherol is the most abundant form of vitamin E in nature and within the human body </w:t>
      </w:r>
      <w:r w:rsidRPr="00D22AA7">
        <w:rPr>
          <w:rFonts w:ascii="Times" w:hAnsi="Times"/>
        </w:rPr>
        <w:fldChar w:fldCharType="begin"/>
      </w:r>
      <w:r w:rsidR="0056095D">
        <w:rPr>
          <w:rFonts w:ascii="Times" w:hAnsi="Times"/>
        </w:rPr>
        <w:instrText xml:space="preserve"> ADDIN ZOTERO_ITEM CSL_CITATION {"citationID":"FyCaQPPo","properties":{"formattedCitation":"[78,79]","plainCitation":"[78,79]","noteIndex":0},"citationItems":[{"id":15989,"uris":["http://zotero.org/users/9439317/items/I3NZY5SW"],"itemData":{"id":15989,"type":"article-journal","abstract":"Vitamin E belongs to the family of lipid-soluble vitamins and can be divided into two groups, tocopherols and tocotrienols, with four isomers (alpha, beta, gamma and delta). Although vitamin E is widely known as a potent antioxidant, studies have also revealed that vitamin E possesses anti-inflammatory properties. These crucial properties of vitamin E are beneficial in various aspects of health, especially in neuroprotection and cardiovascular, skin and bone health. However, the poor bioavailability of vitamin E, especially tocotrienols, remains a great limitation for clinical applications. Recently, nanoformulations that include nanovesicles, solid-lipid nanoparticles, nanostructured lipid carriers, nanoemulsions, and polymeric nanoparticles have shown promising outcomes in improving the efficacy and bioavailability of vitamin E. This review focuses on the pharmacological properties and pharmacokinetics of vitamin E and current advances in vitamin E nanoformulations for future clinical applications. The limitations and future recommendations are also discussed in this review.","container-title":"International Journal of Nanomedicine","DOI":"10.2147/IJN.S276355","ISSN":"1178-2013","journalAbbreviation":"IJN","language":"en","license":"http://creativecommons.org/licenses/by-nc/3.0/","page":"9961-9974","source":"DOI.org (Crossref)","title":"Pharmacology and Pharmacokinetics of Vitamin E: Nanoformulations to Enhance Bioavailability","title-short":"Pharmacology and Pharmacokinetics of Vitamin E","URL":"https://www.dovepress.com/pharmacology-and-pharmacokinetics-of-vitamin-e-nanoformulations-to-enh-peer-reviewed-article-IJN","volume":"Volume 15","author":[{"family":"Mohd Zaffarin","given":"Anis Syauqina"},{"family":"Ng","given":"Shiow-Fern"},{"family":"Ng","given":"Min Hwei"},{"family":"Hassan","given":"Haniza"},{"family":"Alias","given":"Ekram"}],"accessed":{"date-parts":[["2025",2,13]]},"issued":{"date-parts":[["2020",12]]}}},{"id":7307,"uris":["http://zotero.org/users/9439317/items/Q7C57XHQ"],"itemData":{"id":7307,"type":"article-journal","abstract":"There is growing evidence that inflammation may be one of the causal factors of osteoporosis. Several cytokines such as IL-1, IL-6, RANKL, OPG, and M-CSF were implicated in the pathogenesis of osteoporosis. These cytokines are important determinants of osteoclast differentiation and its bone resorptive activity. Anticytokine therapy using cytokine antagonists such as IL-receptor antagonist and TNF-binding protein was able to suppress the activity of the respective cytokines and prevent bone loss. Several animal studies have shown that vitamin E in the forms of palm-derived tocotrienol and -tocopherol may prevent osteoporosis in rat models by suppressing IL-1 and IL-6. Free radicals are known to activate transcription factor NFB which leads to the production of bone resorbing cytokines. Vitamin E, a potent antioxidant, may be able to neutralise free radicals before they could activate NFB, therefore suppressing cytokine production and osteoporosis. Vitamin E has also been shown to inhibit COX-2, the enzyme involved in inflammatory reactions. Of the two types of vitamin E studied, tocotrienol seemed to be better than tocopherol in terms of its ability to suppress bone-resorbing cytokines. © 2012 A. S. Nazrun et al.","container-title":"Advances in Pharmacological Sciences","DOI":"10.1155/2012/142702","ISSN":"16876334","title":"The anti-inflammatory role of vitamin e in prevention of osteoporosis","volume":"2012","author":[{"family":"Nazrun","given":"A. S."},{"family":"Norazlina","given":"M."},{"family":"Norliza","given":"M."},{"family":"Nirwana","given":"S. Ima"}],"issued":{"date-parts":[["2012"]]}}}],"schema":"https://github.com/citation-style-language/schema/raw/master/csl-citation.json"} </w:instrText>
      </w:r>
      <w:r w:rsidRPr="00D22AA7">
        <w:rPr>
          <w:rFonts w:ascii="Times" w:hAnsi="Times"/>
        </w:rPr>
        <w:fldChar w:fldCharType="separate"/>
      </w:r>
      <w:r w:rsidR="0056095D">
        <w:rPr>
          <w:rFonts w:ascii="Times" w:hAnsi="Times"/>
          <w:noProof/>
        </w:rPr>
        <w:t>[78,79]</w:t>
      </w:r>
      <w:r w:rsidRPr="00D22AA7">
        <w:rPr>
          <w:rFonts w:ascii="Times" w:hAnsi="Times"/>
        </w:rPr>
        <w:fldChar w:fldCharType="end"/>
      </w:r>
      <w:r w:rsidRPr="00D22AA7">
        <w:rPr>
          <w:rFonts w:ascii="Times" w:hAnsi="Times"/>
        </w:rPr>
        <w:t xml:space="preserve">.Interestingly, it is also found in synovial fluid, despite its aqueous nature. The antioxidant properties of vitamin E stem from the OH group on the chromanol ring, that’s give H atoms to neutralize, of the free radicals. Research has shown that tocotrienols exhibit stronger antioxidant activity than tocopherols due to three key factors: (1) tocotrienols distribute more evenly within lipid membranes; (2) the double bonds in their isoprenoid side chains enhance interactions with free radicals; and (3) tocotrienols demonstrate greater redox cycling efficiency compared to tocopherols </w:t>
      </w:r>
      <w:r w:rsidRPr="00D22AA7">
        <w:rPr>
          <w:rFonts w:ascii="Times" w:hAnsi="Times"/>
        </w:rPr>
        <w:fldChar w:fldCharType="begin"/>
      </w:r>
      <w:r w:rsidR="0056095D">
        <w:rPr>
          <w:rFonts w:ascii="Times" w:hAnsi="Times"/>
        </w:rPr>
        <w:instrText xml:space="preserve"> ADDIN ZOTERO_ITEM CSL_CITATION {"citationID":"joBu43mv","properties":{"formattedCitation":"[80]","plainCitation":"[80]","noteIndex":0},"citationItems":[{"id":15990,"uris":["http://zotero.org/users/9439317/items/X47T62VV"],"itemData":{"id":15990,"type":"article-journal","abstract":"Here we present comparative data on the inhibition of lipid peroxidation by a variety of tocochromanols in liposomes. We also show for the first time the potential neuroprotective role of all the vitamin E homologues investigated on the neuronally differentiated human neuroblastoma SH-SY5Y cell line. α-Tocopherol had nearly no effect in the inhibition of lipid peroxidation, while β-, γ-, and δ-tocopherols inhibited the reaction completely when it was initiated in a lipid phase. Similar effects were observed for tocotrienol homologues. Moreover, in this respect plastochromanol-8 was as effective as β-, γ-, and δ-tocochromanols. When the prenyllipids were investigated in a 1,1-diphenyl-2-picrylhydrazyl (DPPH) test and incorporated into different lipid carriers, the radical oxidation was most pronounced in liposomes, followed by mixed micelles and the micellar system. When the reaction of tocochromanols was examined in niosomes, the oxidation was most pronounced for α-tocopherol and plastochromanol-8, followed by α-tocotrienol. Next, using retinoic acid-differentiated SH-SY5Y cells, we tested the protective effects of the compounds investigated on hydrogen peroxide (H2O2)-induced cell damage. We showed that tocotrienols were more active than tocopherols in the oxidative stress model. Plastochromanol-8 had a strong inhibitory effect on H2O2-induced lactate dehydrogenase (LDH) release and H2O2-induced decrease in cell viability. The water-soluble α-tocopherol phosphate had neuroprotective effects at all the concentrations analyzed. The results clearly indicate that structural differences between vitamin E homologues reflect their different biological activity and indicate their potential application in pharmacological treatments for neurodegenerative diseases. In this respect, the application of optimal tocochromanol-carrying structures might be critical.","container-title":"Metabolites","DOI":"10.3390/metabo12070608","ISSN":"2218-1989","issue":"7","title":"Antioxidant and Neuroprotective Activity of Vitamin E Homologues: In Vitro Study","volume":"12","author":[{"family":"Trela-Makowej","given":"Agnieszka"},{"family":"Leśkiewicz","given":"Monika"},{"family":"Kruk","given":"Jerzy"},{"family":"Żądło","given":"Andrzej"},{"family":"Basta-Kaim","given":"Agnieszka"},{"family":"Szymańska","given":"Renata"}],"issued":{"date-parts":[["2022"]]}}}],"schema":"https://github.com/citation-style-language/schema/raw/master/csl-citation.json"} </w:instrText>
      </w:r>
      <w:r w:rsidRPr="00D22AA7">
        <w:rPr>
          <w:rFonts w:ascii="Times" w:hAnsi="Times"/>
        </w:rPr>
        <w:fldChar w:fldCharType="separate"/>
      </w:r>
      <w:r w:rsidR="0056095D">
        <w:rPr>
          <w:rFonts w:ascii="Times" w:hAnsi="Times"/>
          <w:noProof/>
        </w:rPr>
        <w:t>[80]</w:t>
      </w:r>
      <w:r w:rsidRPr="00D22AA7">
        <w:rPr>
          <w:rFonts w:ascii="Times" w:hAnsi="Times"/>
        </w:rPr>
        <w:fldChar w:fldCharType="end"/>
      </w:r>
      <w:r w:rsidRPr="00D22AA7">
        <w:rPr>
          <w:rFonts w:ascii="Times" w:hAnsi="Times"/>
        </w:rPr>
        <w:t>.</w:t>
      </w:r>
    </w:p>
    <w:p w14:paraId="0C444901" w14:textId="57D302CA" w:rsidR="0046596C" w:rsidRPr="00D22AA7" w:rsidRDefault="0046596C" w:rsidP="003D4574">
      <w:pPr>
        <w:spacing w:beforeAutospacing="1" w:afterAutospacing="1"/>
        <w:jc w:val="both"/>
        <w:rPr>
          <w:rFonts w:ascii="Times" w:hAnsi="Times"/>
        </w:rPr>
      </w:pPr>
      <w:r w:rsidRPr="00D22AA7">
        <w:rPr>
          <w:rFonts w:ascii="Times" w:hAnsi="Times"/>
        </w:rPr>
        <w:t xml:space="preserve">Beyond its role as a free radical scavenger, vitamin E can influence NRF2. Studies have indicated that vitamin E supplementation enhances antioxidant activity in the musculoskeletal system. Additionally, it can suppress the NFκB pathway and reduce inflammation, both of which play a critical role in the progression of joint degradation in osteoarthritis. vitamin E has the potential to mitigate oxidative stress and inflammation, that play vital role in the development of osteoarthritis </w:t>
      </w:r>
      <w:r w:rsidRPr="00D22AA7">
        <w:rPr>
          <w:rFonts w:ascii="Times" w:hAnsi="Times"/>
        </w:rPr>
        <w:fldChar w:fldCharType="begin"/>
      </w:r>
      <w:r w:rsidR="0056095D">
        <w:rPr>
          <w:rFonts w:ascii="Times" w:hAnsi="Times"/>
        </w:rPr>
        <w:instrText xml:space="preserve"> ADDIN ZOTERO_ITEM CSL_CITATION {"citationID":"OCvnNYls","properties":{"formattedCitation":"[81,82]","plainCitation":"[81,82]","noteIndex":0},"citationItems":[{"id":15991,"uris":["http://zotero.org/users/9439317/items/QVLYQC7C"],"itemData":{"id":15991,"type":"article-journal","abstract":"Atherosclerosis and associated cardiovascular complications such as stroke and myocardial infarction are major causes of morbidity and mortality. We have previously reported a significant increase in mRNA levels of the scavenger receptor CD36 in aortae of cholesterol-fed rabbits and shown that vitamin E treatment attenuated increased CD36 mRNA expression. In the present study, we further investigated the redox signaling pathways associated with protection against atherogenesis induced by high dietary cholesterol and correlated these with CD36 expression and the effects of vitamin E supplementation in a rabbit model. Male albino rabbits were assigned to either a control group fed with a low vitamin E diet alone or a test group fed with a low vitamin E diet containing 2% cholesterol in the absence or presence of daily intramuscular injections of vitamin E (50mg/kg). To elucidate the mechanisms by which vitamin E supplementation alters the effects of hypercholesterolemia in rabbit aortae, we measured peroxisome proliferator-activated receptor γ (PPARγ), ATP-binding cassette transporter A1 (ABCA1), and matrix metalloproteinase-1 (MMP-1) mRNA levels by quantitative RT-PCR and the expression of MMP-1, nuclear factor-erythroid 2-related factor 2 (Nrf2), and glutathione S-transferase α (GSTα) protein by immunoblotting. The increased MMP-1 and decreased GSTα expression observed suggests that a cholesterol-rich diet contributes to the development of atherosclerosis, whereas vitamin E supplementation affords protection by decreasing MMP-1 and increasing PPARγ, GSTα, and ABCA1 levels in aortae of rabbits fed a cholesterol-rich diet. Notably, protein expression of Nrf2, the antioxidant transcription factor, was increased in both the cholesterol-fed and the vitamin E-supplemented groups. Although Nrf2 activation can promote CD36-mediated cholesterol uptake by macrophages, the increased induction of Nrf2-mediated antioxidant genes is likely to contribute to decreased lesion progression. Thus, our study demonstrates that Nrf2 can mediate both pro- and antiatherosclerotic effects.","container-title":"Free Radical Biology and Medicine","DOI":"10.1016/j.freeradbiomed.2014.02.017","ISSN":"0891-5849","journalAbbreviation":"Free Radical Biology and Medicine","page":"174-181","title":"Effects of vitamin E on peroxisome proliferator-activated receptor γ and nuclear factor-erythroid 2-related factor 2 in hypercholesterolemia-induced atherosclerosis","URL":"https://www.sciencedirect.com/science/article/pii/S089158491400094X","volume":"70","author":[{"family":"Bozaykut","given":"Perinur"},{"family":"Karademir","given":"Betul"},{"family":"Yazgan","given":"Burak"},{"family":"Sozen","given":"Erdi"},{"family":"Siow","given":"Richard C.M."},{"family":"Mann","given":"Giovanni E."},{"family":"Ozer","given":"Nesrin Kartal"}],"issued":{"date-parts":[["2014",5,1]]}}},{"id":15992,"uris":["http://zotero.org/users/9439317/items/H64P75AB"],"itemData":{"id":15992,"type":"article-journal","abstract":"We conducted a systematic review of human trials examining the effects of dietary phytochemicals on Nrf2 activation. In accordance with the PRISMA guidelines, Medline, Embase and CAB abstracts were searched for articles from inception until March 2020. Studies in adult humans that measured Nrf2 activation (gene or protein expression changes) following ingestion of a phytochemical, either alone or in combination were included. The study was pre-registered on the Prospero database (Registration Number: CRD42020176121). Twenty-nine full-texts were retrieved and reviewed for analysis; of these, eighteen were included in the systematic review. Most of the included participants were healthy, obese or type 2 diabetics. Study quality was assessed using the Cochrane Collaboration Risk of Bias Assessment tool. Twelve different compounds were examined in the included studies: curcumin, resveratrol and sulforaphane were the most common (n</w:instrText>
      </w:r>
      <w:r w:rsidR="0056095D">
        <w:instrText> </w:instrText>
      </w:r>
      <w:r w:rsidR="0056095D">
        <w:rPr>
          <w:rFonts w:ascii="Times" w:hAnsi="Times"/>
        </w:rPr>
        <w:instrText>=</w:instrText>
      </w:r>
      <w:r w:rsidR="0056095D">
        <w:instrText> </w:instrText>
      </w:r>
      <w:r w:rsidR="0056095D">
        <w:rPr>
          <w:rFonts w:ascii="Times" w:hAnsi="Times"/>
        </w:rPr>
        <w:instrText>3 each). Approximately half of the studies reported increases in Nrf2 activation (n</w:instrText>
      </w:r>
      <w:r w:rsidR="0056095D">
        <w:instrText> </w:instrText>
      </w:r>
      <w:r w:rsidR="0056095D">
        <w:rPr>
          <w:rFonts w:ascii="Times" w:hAnsi="Times"/>
        </w:rPr>
        <w:instrText>=</w:instrText>
      </w:r>
      <w:r w:rsidR="0056095D">
        <w:instrText> </w:instrText>
      </w:r>
      <w:r w:rsidR="0056095D">
        <w:rPr>
          <w:rFonts w:ascii="Times" w:hAnsi="Times"/>
        </w:rPr>
        <w:instrText xml:space="preserve">10); however, many were of poor quality and had an unclear or high risk of bias. There is currently limited evidence that phytochemicals activate Nrf2 in humans. Well controlled human intervention trials are needed to corroborate the findings from in vitro and animal studies.","container-title":"Molecular Biology Reports","DOI":"10.1007/s11033-020-06041-x","ISSN":"1573-4978","issue":"2","journalAbbreviation":"Molecular Biology Reports","page":"1745-1761","title":"The effect of dietary phytochemicals on nuclear factor erythroid 2-related factor 2 (Nrf2) activation: a systematic review of human intervention trials","URL":"https://doi.org/10.1007/s11033-020-06041-x","volume":"48","author":[{"family":"Clifford","given":"Tom"},{"family":"Acton","given":"Jarred P."},{"family":"Cocksedge","given":"Stuart P."},{"family":"Davies","given":"Kelly A. Bowden"},{"family":"Bailey","given":"Stephen J."}],"issued":{"date-parts":[["2021",2,1]]}}}],"schema":"https://github.com/citation-style-language/schema/raw/master/csl-citation.json"} </w:instrText>
      </w:r>
      <w:r w:rsidRPr="00D22AA7">
        <w:rPr>
          <w:rFonts w:ascii="Times" w:hAnsi="Times"/>
        </w:rPr>
        <w:fldChar w:fldCharType="separate"/>
      </w:r>
      <w:r w:rsidR="0056095D">
        <w:rPr>
          <w:rFonts w:ascii="Times" w:hAnsi="Times"/>
          <w:noProof/>
        </w:rPr>
        <w:t>[81,82]</w:t>
      </w:r>
      <w:r w:rsidRPr="00D22AA7">
        <w:rPr>
          <w:rFonts w:ascii="Times" w:hAnsi="Times"/>
        </w:rPr>
        <w:fldChar w:fldCharType="end"/>
      </w:r>
      <w:r w:rsidRPr="00D22AA7">
        <w:rPr>
          <w:rFonts w:ascii="Times" w:hAnsi="Times"/>
        </w:rPr>
        <w:t>.</w:t>
      </w:r>
    </w:p>
    <w:p w14:paraId="1CF9399D" w14:textId="77777777" w:rsidR="0046596C" w:rsidRPr="00D22AA7" w:rsidRDefault="0046596C">
      <w:pPr>
        <w:spacing w:beforeAutospacing="1" w:afterAutospacing="1"/>
        <w:rPr>
          <w:rFonts w:ascii="Times" w:hAnsi="Times"/>
          <w:b/>
          <w:bCs/>
        </w:rPr>
      </w:pPr>
    </w:p>
    <w:p w14:paraId="6EA34423" w14:textId="5470F82A" w:rsidR="0DE242D6" w:rsidRDefault="0DE242D6" w:rsidP="0DE242D6">
      <w:pPr>
        <w:spacing w:beforeAutospacing="1" w:afterAutospacing="1"/>
        <w:rPr>
          <w:rFonts w:ascii="Times" w:hAnsi="Times"/>
        </w:rPr>
      </w:pPr>
    </w:p>
    <w:p w14:paraId="2DE793C2" w14:textId="77777777" w:rsidR="003D4574" w:rsidRPr="00D22AA7" w:rsidRDefault="003D4574" w:rsidP="0DE242D6">
      <w:pPr>
        <w:spacing w:beforeAutospacing="1" w:afterAutospacing="1"/>
        <w:rPr>
          <w:rFonts w:ascii="Times" w:hAnsi="Times"/>
        </w:rPr>
      </w:pPr>
    </w:p>
    <w:p w14:paraId="003535D1" w14:textId="123BFB25" w:rsidR="00386CA0" w:rsidRDefault="00386CA0" w:rsidP="3F226BC9">
      <w:pPr>
        <w:spacing w:beforeAutospacing="1" w:afterAutospacing="1"/>
        <w:rPr>
          <w:rFonts w:ascii="Times" w:hAnsi="Times"/>
        </w:rPr>
      </w:pPr>
    </w:p>
    <w:p w14:paraId="74BAB347" w14:textId="77777777" w:rsidR="00875478" w:rsidRPr="00D22AA7" w:rsidRDefault="00875478" w:rsidP="3F226BC9">
      <w:pPr>
        <w:spacing w:beforeAutospacing="1" w:afterAutospacing="1"/>
        <w:rPr>
          <w:rFonts w:ascii="Times" w:hAnsi="Times"/>
        </w:rPr>
      </w:pPr>
    </w:p>
    <w:p w14:paraId="41A08ED4" w14:textId="77777777" w:rsidR="00CB06E7" w:rsidRDefault="00D45672">
      <w:pPr>
        <w:pStyle w:val="ListParagraph"/>
        <w:spacing w:beforeAutospacing="1" w:afterAutospacing="1"/>
        <w:ind w:left="0"/>
        <w:rPr>
          <w:rFonts w:ascii="Times" w:hAnsi="Times"/>
          <w:b/>
          <w:bCs/>
          <w:sz w:val="40"/>
          <w:szCs w:val="40"/>
        </w:rPr>
      </w:pPr>
      <w:r w:rsidRPr="00D22AA7">
        <w:rPr>
          <w:rFonts w:ascii="Times" w:hAnsi="Times"/>
          <w:b/>
          <w:bCs/>
          <w:sz w:val="40"/>
          <w:szCs w:val="40"/>
        </w:rPr>
        <w:lastRenderedPageBreak/>
        <w:t>Chapter 3</w:t>
      </w:r>
    </w:p>
    <w:p w14:paraId="1D8D152E" w14:textId="03B7EA34" w:rsidR="00DD783C" w:rsidRPr="00D22AA7" w:rsidRDefault="00D45672">
      <w:pPr>
        <w:pStyle w:val="ListParagraph"/>
        <w:spacing w:beforeAutospacing="1" w:afterAutospacing="1"/>
        <w:ind w:left="0"/>
        <w:rPr>
          <w:rFonts w:ascii="Times" w:hAnsi="Times"/>
          <w:b/>
          <w:bCs/>
          <w:sz w:val="40"/>
          <w:szCs w:val="40"/>
        </w:rPr>
      </w:pPr>
      <w:r w:rsidRPr="00D22AA7">
        <w:rPr>
          <w:rFonts w:ascii="Times" w:hAnsi="Times"/>
          <w:b/>
          <w:bCs/>
          <w:sz w:val="40"/>
          <w:szCs w:val="40"/>
        </w:rPr>
        <w:t xml:space="preserve"> </w:t>
      </w:r>
    </w:p>
    <w:p w14:paraId="7D8F284E" w14:textId="5DCC9F2A" w:rsidR="00386CA0" w:rsidRPr="00CB06E7" w:rsidRDefault="00D45672" w:rsidP="00CB06E7">
      <w:pPr>
        <w:pStyle w:val="ListParagraph"/>
        <w:spacing w:beforeAutospacing="1" w:afterAutospacing="1"/>
        <w:ind w:left="0"/>
        <w:rPr>
          <w:rFonts w:ascii="Times" w:hAnsi="Times"/>
          <w:b/>
          <w:bCs/>
          <w:sz w:val="40"/>
          <w:szCs w:val="40"/>
        </w:rPr>
      </w:pPr>
      <w:r w:rsidRPr="00D22AA7">
        <w:rPr>
          <w:rFonts w:ascii="Times" w:hAnsi="Times"/>
          <w:b/>
          <w:bCs/>
          <w:sz w:val="40"/>
          <w:szCs w:val="40"/>
        </w:rPr>
        <w:t xml:space="preserve">The use of nanoparticles for the delivery of </w:t>
      </w:r>
      <w:r w:rsidR="00D76C80">
        <w:rPr>
          <w:rFonts w:ascii="Times" w:hAnsi="Times"/>
          <w:b/>
          <w:bCs/>
          <w:sz w:val="40"/>
          <w:szCs w:val="40"/>
        </w:rPr>
        <w:t>Resveratrol</w:t>
      </w:r>
    </w:p>
    <w:p w14:paraId="734B7F6A" w14:textId="0FAE687E" w:rsidR="0063038D" w:rsidRPr="00D22AA7" w:rsidRDefault="0063038D" w:rsidP="3B4CA44B">
      <w:pPr>
        <w:shd w:val="clear" w:color="auto" w:fill="FFFFFF" w:themeFill="background1"/>
        <w:ind w:firstLine="480"/>
        <w:jc w:val="both"/>
        <w:rPr>
          <w:rFonts w:ascii="Times" w:hAnsi="Times" w:cs="Arial"/>
          <w:color w:val="222222"/>
        </w:rPr>
      </w:pPr>
      <w:r w:rsidRPr="00D22AA7">
        <w:rPr>
          <w:rFonts w:ascii="Times" w:hAnsi="Times" w:cs="Arial"/>
          <w:color w:val="222222"/>
        </w:rPr>
        <w:t>In nanotechnology, particles are classified based on their physical dimensions, with ultrafine particles typically measuring between 1 and 100 nm in at least one dimension</w:t>
      </w:r>
      <w:r w:rsidR="00FB570B"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{"citationID":"3SEXoHPh","properties":{"formattedCitation":"[83]","plainCitation":"[83]","noteIndex":0},"citationItems":[{"id":4505,"uris":["http://zotero.org/users/9439317/items/G7MLHWUH"],"itemData":{"id":4505,"type":"article-journal","container-title":"Polymer Engineering &amp; Science","ISSN":"0032-3888","issue":"1","journalAbbreviation":"Polymer Engineering &amp; Science","page":"146-152","title":"Production of double</w:instrText>
      </w:r>
      <w:r w:rsidR="0056095D">
        <w:rPr>
          <w:rFonts w:ascii="Cambria Math" w:hAnsi="Cambria Math" w:cs="Cambria Math"/>
          <w:color w:val="222222"/>
        </w:rPr>
        <w:instrText>‐</w:instrText>
      </w:r>
      <w:r w:rsidR="0056095D">
        <w:rPr>
          <w:rFonts w:ascii="Times" w:hAnsi="Times" w:cs="Arial"/>
          <w:color w:val="222222"/>
        </w:rPr>
        <w:instrText xml:space="preserve">walled nanoparticles containing meloxicam","volume":"53","author":[{"family":"Albuquerque","given":"Bruna"},{"family":"Costa","given":"Mariana Sousa"},{"family":"Peça","given":"Inês N"},{"family":"Cardoso","given":"M Margarida"}],"issued":{"date-parts":[["2013"]]}}}],"schema":"https://github.com/citation-style-language/schema/raw/master/csl-citation.json"}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[83]</w:t>
      </w:r>
      <w:r w:rsidRPr="00D22AA7">
        <w:rPr>
          <w:rFonts w:ascii="Times" w:hAnsi="Times" w:cs="Arial"/>
          <w:color w:val="222222"/>
        </w:rPr>
        <w:fldChar w:fldCharType="end"/>
      </w:r>
      <w:r w:rsidRPr="00D22AA7">
        <w:rPr>
          <w:rFonts w:ascii="Times" w:hAnsi="Times" w:cs="Arial"/>
          <w:color w:val="222222"/>
        </w:rPr>
        <w:t>. Nanoparticles offer a versatile platform for drug delivery, allow therapeutic agents to</w:t>
      </w:r>
      <w:r w:rsidR="19395D17" w:rsidRPr="00D22AA7">
        <w:rPr>
          <w:rFonts w:ascii="Times" w:hAnsi="Times" w:cs="Arial"/>
          <w:color w:val="222222"/>
        </w:rPr>
        <w:t xml:space="preserve"> </w:t>
      </w:r>
      <w:r w:rsidRPr="00D22AA7">
        <w:rPr>
          <w:rFonts w:ascii="Times" w:hAnsi="Times" w:cs="Arial"/>
          <w:color w:val="222222"/>
        </w:rPr>
        <w:t xml:space="preserve">conjugate to their surfaces </w:t>
      </w:r>
      <w:r w:rsidR="26287B45" w:rsidRPr="00D22AA7">
        <w:rPr>
          <w:rFonts w:ascii="Times" w:hAnsi="Times" w:cs="Arial"/>
          <w:color w:val="222222"/>
        </w:rPr>
        <w:t>by</w:t>
      </w:r>
      <w:r w:rsidRPr="00D22AA7">
        <w:rPr>
          <w:rFonts w:ascii="Times" w:hAnsi="Times" w:cs="Arial"/>
          <w:color w:val="222222"/>
        </w:rPr>
        <w:t xml:space="preserve"> </w:t>
      </w:r>
      <w:r w:rsidR="035487E4" w:rsidRPr="00D22AA7">
        <w:rPr>
          <w:rFonts w:ascii="Times" w:hAnsi="Times" w:cs="Arial"/>
          <w:color w:val="222222"/>
        </w:rPr>
        <w:t>ionic or covalent bond</w:t>
      </w:r>
      <w:r w:rsidR="00FB570B"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{"citationID":"szmFSGPq","properties":{"formattedCitation":"[84]","plainCitation":"[84]","noteIndex":0},"citationItems":[{"id":2981,"uris":["http://zotero.org/users/9439317/items/ZTAI6EH5"],"itemData":{"id":2981,"type":"article-journal","abstract":"Cancer is regarded as one of the most deadly and mirthless diseases and it develops due to the uncontrolled proliferation of cells. To date, varieties of traditional medications and chemotherapies have been utilized to fight tumors. However, their immense drawbacks, such as reduced bioavailability, insufficient supply, and significant adverse effects, make their use limited. Nanotechnology has evolved rapidly in recent years and offers a wide spectrum of applications in the healthcare sectors. Nanoscale materials offer strong potential for curing cancer as they pose low risk and fewer complications. Several metal oxide NPs are being developed to diagnose or treat malignancies, but zinc oxide nanoparticles (ZnO NPs) have remarkably demonstrated their potential in the diagnosis and treatment of various types of cancers due to their biocompatibility, biodegradability, and unique physico-chemical attributes. ZnO NPs showed cancer cell specific toxicity via generation of reactive oxygen species and destruction of mitochondrial membrane potential, which leads to the activation of caspase cascades followed by apoptosis of cancerous cells. ZnO NPs have also been used as an effective carrier for targeted and sustained delivery of various plant bioactive and chemotherapeutic anticancerous drugs into tumor cells. In this review, at first we have discussed the role of ZnO NPs in diagnosis and bio-imaging of cancer cells. Secondly, we have extensively reviewed the capability of ZnO NPs as carriers of anticancerous drugs for targeted drug delivery into tumor cells, with a special focus on surface functionalization, drug-loading mechanism, and stimuli-responsive controlled release of drugs. Finally, we have critically discussed the anticancerous activity of ZnO NPs on different types of cancers along with their mode of actions. Furthermore, this review also highlights the limitations and future prospects of ZnO NPs in cancer theranostic.","container-title":"Cancers","DOI":"10.3390/cancers13184570","ISSN":"2072-6694","issue":"18","journalAbbreviation":"Cancers","language":"en","page":"4570","source":"DOI.org (Crossref)","title":"Recent Advances in Zinc Oxide Nanoparticles (ZnO NPs) for Cancer Diagnosis, Target Drug Delivery, and Treatment","URL":"https://www.mdpi.com/2072-6694/13/18/4570","volume":"13","author":[{"family":"Anjum","given":"Sumaira"},{"family":"Hashim","given":"Mariam"},{"family":"Malik","given":"Sara Asad"},{"family":"Khan","given":"Maha"},{"family":"Lorenzo","given":"José M."},{"family":"Abbasi","given":"Bilal Haider"},{"family":"Hano","given":"Christophe"}],"accessed":{"date-parts":[["2023",10,12]]},"issued":{"date-parts":[["2021",9,12]]}}}],"schema":"https://github.com/citation-style-language/schema/raw/master/csl-citation.json"}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[84]</w:t>
      </w:r>
      <w:r w:rsidRPr="00D22AA7">
        <w:rPr>
          <w:rFonts w:ascii="Times" w:hAnsi="Times" w:cs="Arial"/>
          <w:color w:val="222222"/>
        </w:rPr>
        <w:fldChar w:fldCharType="end"/>
      </w:r>
      <w:r w:rsidRPr="00D22AA7">
        <w:rPr>
          <w:rFonts w:ascii="Times" w:hAnsi="Times" w:cs="Arial"/>
          <w:color w:val="222222"/>
        </w:rPr>
        <w:t xml:space="preserve">. </w:t>
      </w:r>
      <w:r w:rsidR="56B8AABA" w:rsidRPr="00D22AA7">
        <w:rPr>
          <w:rFonts w:ascii="Times" w:hAnsi="Times" w:cs="Arial"/>
          <w:color w:val="222222"/>
        </w:rPr>
        <w:t>Th</w:t>
      </w:r>
      <w:r w:rsidRPr="00D22AA7">
        <w:rPr>
          <w:rFonts w:ascii="Times" w:hAnsi="Times" w:cs="Arial"/>
          <w:color w:val="222222"/>
        </w:rPr>
        <w:t xml:space="preserve">e </w:t>
      </w:r>
      <w:r w:rsidR="56B8AABA" w:rsidRPr="00D22AA7">
        <w:rPr>
          <w:rFonts w:ascii="Times" w:hAnsi="Times" w:cs="Arial"/>
          <w:color w:val="222222"/>
        </w:rPr>
        <w:t xml:space="preserve"> </w:t>
      </w:r>
      <w:r w:rsidRPr="00D22AA7">
        <w:rPr>
          <w:rFonts w:ascii="Times" w:hAnsi="Times" w:cs="Arial"/>
          <w:color w:val="222222"/>
        </w:rPr>
        <w:t>advanced formulations significantly enhance drug absorption, bioavailability, and chemical stability while leveraging the enhanced permeability and retention (EPR) effect to improve membrane penetration and ensure precise drug delivery to cancer cells</w:t>
      </w:r>
      <w:r w:rsidR="00FB570B"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{"citationID":"sUwsTaeh","properties":{"formattedCitation":"[85]","plainCitation":"[85]","noteIndex":0},"citationItems":[{"id":7796,"uris":["http://zotero.org/users/9439317/items/5RKSM7TE"],"itemData":{"id":7796,"type":"article-journal","container-title":"Polymer Engineering &amp; Science","ISSN":"0032-3888","issue":"1","journalAbbreviation":"Polymer Engineering &amp; Science","page":"146-152","title":"Production of double</w:instrText>
      </w:r>
      <w:r w:rsidR="0056095D">
        <w:rPr>
          <w:rFonts w:ascii="Cambria Math" w:hAnsi="Cambria Math" w:cs="Cambria Math"/>
          <w:color w:val="222222"/>
        </w:rPr>
        <w:instrText>‐</w:instrText>
      </w:r>
      <w:r w:rsidR="0056095D">
        <w:rPr>
          <w:rFonts w:ascii="Times" w:hAnsi="Times" w:cs="Arial"/>
          <w:color w:val="222222"/>
        </w:rPr>
        <w:instrText xml:space="preserve">walled nanoparticles containing meloxicam","volume":"53","author":[{"family":"Albuquerque","given":"Bruna"},{"family":"Costa","given":"Mariana Sousa"},{"family":"Peça","given":"Inês N"},{"family":"Cardoso","given":"M Margarida"}],"issued":{"date-parts":[["2013"]]}}}],"schema":"https://github.com/citation-style-language/schema/raw/master/csl-citation.json"}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[85]</w:t>
      </w:r>
      <w:r w:rsidRPr="00D22AA7">
        <w:rPr>
          <w:rFonts w:ascii="Times" w:hAnsi="Times" w:cs="Arial"/>
          <w:color w:val="222222"/>
        </w:rPr>
        <w:fldChar w:fldCharType="end"/>
      </w:r>
      <w:r w:rsidRPr="00D22AA7">
        <w:rPr>
          <w:rFonts w:ascii="Times" w:hAnsi="Times" w:cs="Arial"/>
          <w:color w:val="222222"/>
        </w:rPr>
        <w:t>.</w:t>
      </w:r>
    </w:p>
    <w:p w14:paraId="3263E8CA" w14:textId="597877C3" w:rsidR="0063038D" w:rsidRPr="00D22AA7" w:rsidRDefault="53C36CF0" w:rsidP="10F2265A">
      <w:pPr>
        <w:shd w:val="clear" w:color="auto" w:fill="FFFFFF" w:themeFill="background1"/>
        <w:ind w:firstLine="480"/>
        <w:jc w:val="both"/>
        <w:rPr>
          <w:rFonts w:ascii="Times" w:hAnsi="Times" w:cs="Arial"/>
          <w:color w:val="222222"/>
        </w:rPr>
      </w:pPr>
      <w:r w:rsidRPr="00D22AA7">
        <w:rPr>
          <w:rFonts w:ascii="Times" w:hAnsi="Times" w:cs="Arial"/>
          <w:color w:val="222222"/>
        </w:rPr>
        <w:t>The various</w:t>
      </w:r>
      <w:r w:rsidR="01E0DE09" w:rsidRPr="00D22AA7">
        <w:rPr>
          <w:rFonts w:ascii="Times" w:hAnsi="Times" w:cs="Arial"/>
          <w:color w:val="222222"/>
        </w:rPr>
        <w:t xml:space="preserve"> s</w:t>
      </w:r>
      <w:r w:rsidR="0063038D" w:rsidRPr="00D22AA7">
        <w:rPr>
          <w:rFonts w:ascii="Times" w:hAnsi="Times" w:cs="Arial"/>
          <w:color w:val="222222"/>
        </w:rPr>
        <w:t xml:space="preserve">tudies have shown that </w:t>
      </w:r>
      <w:r w:rsidR="00CF6A25">
        <w:rPr>
          <w:rFonts w:ascii="Times" w:hAnsi="Times" w:cs="Arial"/>
          <w:color w:val="222222"/>
        </w:rPr>
        <w:t>Resveratrol (RSV)</w:t>
      </w:r>
      <w:r w:rsidR="0063038D" w:rsidRPr="00D22AA7">
        <w:rPr>
          <w:rFonts w:ascii="Times" w:hAnsi="Times" w:cs="Arial"/>
          <w:color w:val="222222"/>
        </w:rPr>
        <w:t xml:space="preserve">-loaded nanoparticles exhibit prolonged circulation times compared to free RSV, as nanoparticles shield RSV from rapid metabolism and clearance, thereby maintaining sustained blood levels. Pharmacokinetic studies further reveal that nanoencapsulation extends RSV's half-life and significantly enhances its bioavailability. By improving </w:t>
      </w:r>
      <w:r w:rsidR="11688AF7" w:rsidRPr="00D22AA7">
        <w:rPr>
          <w:rFonts w:ascii="Times" w:hAnsi="Times" w:cs="Arial"/>
          <w:color w:val="222222"/>
        </w:rPr>
        <w:t xml:space="preserve">the absorption of </w:t>
      </w:r>
      <w:r w:rsidR="0063038D" w:rsidRPr="00D22AA7">
        <w:rPr>
          <w:rFonts w:ascii="Times" w:hAnsi="Times" w:cs="Arial"/>
          <w:color w:val="222222"/>
        </w:rPr>
        <w:t xml:space="preserve">RSV </w:t>
      </w:r>
      <w:r w:rsidR="685BD5E4" w:rsidRPr="00D22AA7">
        <w:rPr>
          <w:rFonts w:ascii="Times" w:hAnsi="Times" w:cs="Arial"/>
          <w:color w:val="222222"/>
        </w:rPr>
        <w:t xml:space="preserve">in GI </w:t>
      </w:r>
      <w:r w:rsidR="0063038D" w:rsidRPr="00D22AA7">
        <w:rPr>
          <w:rFonts w:ascii="Times" w:hAnsi="Times" w:cs="Arial"/>
          <w:color w:val="222222"/>
        </w:rPr>
        <w:t>tract and</w:t>
      </w:r>
      <w:r w:rsidR="7970099E" w:rsidRPr="00D22AA7">
        <w:rPr>
          <w:rFonts w:ascii="Times" w:hAnsi="Times" w:cs="Arial"/>
          <w:color w:val="222222"/>
        </w:rPr>
        <w:t xml:space="preserve"> </w:t>
      </w:r>
      <w:r w:rsidR="5E0219E1" w:rsidRPr="00D22AA7">
        <w:rPr>
          <w:rFonts w:ascii="Times" w:hAnsi="Times" w:cs="Arial"/>
          <w:color w:val="222222"/>
        </w:rPr>
        <w:t>bypass</w:t>
      </w:r>
      <w:r w:rsidR="0063038D" w:rsidRPr="00D22AA7">
        <w:rPr>
          <w:rFonts w:ascii="Times" w:hAnsi="Times" w:cs="Arial"/>
          <w:color w:val="222222"/>
        </w:rPr>
        <w:t xml:space="preserve"> </w:t>
      </w:r>
      <w:r w:rsidR="1EEE4C08" w:rsidRPr="00D22AA7">
        <w:rPr>
          <w:rFonts w:ascii="Times" w:hAnsi="Times" w:cs="Arial"/>
          <w:color w:val="222222"/>
        </w:rPr>
        <w:t>phase I</w:t>
      </w:r>
      <w:r w:rsidR="0063038D" w:rsidRPr="00D22AA7">
        <w:rPr>
          <w:rFonts w:ascii="Times" w:hAnsi="Times" w:cs="Arial"/>
          <w:color w:val="222222"/>
        </w:rPr>
        <w:t xml:space="preserve"> metabolism in the liver</w:t>
      </w:r>
      <w:r w:rsidR="00CB3412" w:rsidRPr="00D22AA7">
        <w:rPr>
          <w:rFonts w:ascii="Times" w:hAnsi="Times" w:cs="Arial"/>
          <w:color w:val="222222"/>
        </w:rPr>
        <w:t xml:space="preserve"> </w:t>
      </w:r>
      <w:r w:rsidR="0063038D" w:rsidRPr="00D22AA7">
        <w:rPr>
          <w:rFonts w:ascii="Times" w:hAnsi="Times" w:cs="Arial"/>
          <w:color w:val="222222"/>
        </w:rPr>
        <w:fldChar w:fldCharType="begin"/>
      </w:r>
      <w:r w:rsidR="0056095D">
        <w:rPr>
          <w:rFonts w:ascii="Times" w:hAnsi="Times" w:cs="Arial"/>
          <w:color w:val="222222"/>
        </w:rPr>
        <w:instrText xml:space="preserve"> ADDIN ZOTERO_ITEM CSL_CITATION {"citationID":"QyafgsYw","properties":{"formattedCitation":"[86]","plainCitation":"[86]","noteIndex":0},"citationItems":[{"id":900,"uris":["http://zotero.org/users/9439317/items/DS9PKSFV"],"itemData":{"id":900,"type":"report","abstract":"Resveratrol, a natural polyphenolic phytoalexine present in grapes and wines, has been reported to exert a variety of important pharmacological effects. We investigated the effects of resveratrol on the growth and polyamine metabolism of CaCo-2 human colon cancer cells. Treatment of the CaCo-2 cells with 25 mM resveratrol caused a 70% growth inhibition. The cells accumulated at the S/G2 phase transition of the cell cycle. No signs of cytotoxicity or apoptosis were detected. Resveratrol caused a signi®cant decrease of ornithine decarboxylase (ODC) activity, a key enzyme of polyamine biosynthesis, which is enhanced in cancer growth. ODC inhibition resulted in the reduction of the intracellular putrescine content, indicating that polyamines might represent one of several targets involved in the anti-proliferative effects of resveratrol. q","title":"Anti-proliferative effect of resveratrol, a natural component of grapes and wine, on human colonic cancer cells","URL":"www.elsevier.com/locate/canlet","author":[{"family":"Schneider","given":"Yann"},{"family":"Vincent","given":"Florence"},{"family":"Duranton","given":"Benoõ Ãt"},{"family":"Badolo","given":"Lassina"},{"family":"Gosse","given":"Francine"},{"family":"Bergmann","given":"Christian"},{"family":"Seiler","given":"Nikolaus"},{"family":"Raul","given":"Francis"}]}}],"schema":"https://github.com/citation-style-language/schema/raw/master/csl-citation.json"} </w:instrText>
      </w:r>
      <w:r w:rsidR="0063038D" w:rsidRPr="00D22AA7">
        <w:rPr>
          <w:rFonts w:ascii="Times" w:hAnsi="Times" w:cs="Arial"/>
          <w:color w:val="222222"/>
        </w:rPr>
        <w:fldChar w:fldCharType="separate"/>
      </w:r>
      <w:r w:rsidR="0056095D">
        <w:rPr>
          <w:rFonts w:ascii="Times" w:hAnsi="Times" w:cs="Arial"/>
          <w:noProof/>
          <w:color w:val="222222"/>
        </w:rPr>
        <w:t>[86]</w:t>
      </w:r>
      <w:r w:rsidR="0063038D" w:rsidRPr="00D22AA7">
        <w:rPr>
          <w:rFonts w:ascii="Times" w:hAnsi="Times" w:cs="Arial"/>
          <w:color w:val="222222"/>
        </w:rPr>
        <w:fldChar w:fldCharType="end"/>
      </w:r>
      <w:r w:rsidR="0063038D" w:rsidRPr="00D22AA7">
        <w:rPr>
          <w:rFonts w:ascii="Times" w:hAnsi="Times" w:cs="Arial"/>
          <w:color w:val="222222"/>
        </w:rPr>
        <w:t>.</w:t>
      </w:r>
    </w:p>
    <w:p w14:paraId="3DE65AC9" w14:textId="6C8B0E28" w:rsidR="0063038D" w:rsidRPr="00D22AA7" w:rsidRDefault="0063038D" w:rsidP="10F2265A">
      <w:pPr>
        <w:shd w:val="clear" w:color="auto" w:fill="FFFFFF" w:themeFill="background1"/>
        <w:ind w:firstLine="480"/>
        <w:jc w:val="both"/>
        <w:rPr>
          <w:rFonts w:ascii="Times" w:hAnsi="Times" w:cs="Arial"/>
          <w:color w:val="222222"/>
        </w:rPr>
      </w:pPr>
      <w:r w:rsidRPr="00D22AA7">
        <w:rPr>
          <w:rFonts w:ascii="Times" w:hAnsi="Times" w:cs="Arial"/>
          <w:color w:val="222222"/>
        </w:rPr>
        <w:t xml:space="preserve">Additionally, biodistribution analyses confirm that nanoparticles promote greater </w:t>
      </w:r>
      <w:r w:rsidR="30366AE6" w:rsidRPr="00D22AA7">
        <w:rPr>
          <w:rFonts w:ascii="Times" w:hAnsi="Times" w:cs="Arial"/>
          <w:color w:val="222222"/>
        </w:rPr>
        <w:t xml:space="preserve">accumulation of the </w:t>
      </w:r>
      <w:r w:rsidRPr="00D22AA7">
        <w:rPr>
          <w:rFonts w:ascii="Times" w:hAnsi="Times" w:cs="Arial"/>
          <w:color w:val="222222"/>
        </w:rPr>
        <w:t>RS</w:t>
      </w:r>
      <w:r w:rsidR="2B81A596" w:rsidRPr="00D22AA7">
        <w:rPr>
          <w:rFonts w:ascii="Times" w:hAnsi="Times" w:cs="Arial"/>
          <w:color w:val="222222"/>
        </w:rPr>
        <w:t xml:space="preserve">V </w:t>
      </w:r>
      <w:r w:rsidRPr="00D22AA7">
        <w:rPr>
          <w:rFonts w:ascii="Times" w:hAnsi="Times" w:cs="Arial"/>
          <w:color w:val="222222"/>
        </w:rPr>
        <w:t xml:space="preserve">in tumor tissues due to the EPR effect, facilitating targeted delivery. Beyond enhancing bioavailability and retention, </w:t>
      </w:r>
      <w:proofErr w:type="spellStart"/>
      <w:r w:rsidRPr="00D22AA7">
        <w:rPr>
          <w:rFonts w:ascii="Times" w:hAnsi="Times" w:cs="Arial"/>
          <w:color w:val="222222"/>
        </w:rPr>
        <w:t>nanoformulations</w:t>
      </w:r>
      <w:proofErr w:type="spellEnd"/>
      <w:r w:rsidRPr="00D22AA7">
        <w:rPr>
          <w:rFonts w:ascii="Times" w:hAnsi="Times" w:cs="Arial"/>
          <w:color w:val="222222"/>
        </w:rPr>
        <w:t xml:space="preserve"> enable controlled and sustained RSV release, ensuring prolonged therapeutic action while reducing the frequency of dosing. This strategic approach not only maximizes treatment efficacy but also enhances patient compliance, making nanoparticles a promising avenue for optimizing RSV-based therapies</w:t>
      </w:r>
      <w:r w:rsidR="00CB3412" w:rsidRPr="00D22AA7">
        <w:rPr>
          <w:rFonts w:ascii="Times" w:hAnsi="Times" w:cs="Arial"/>
          <w:color w:val="222222"/>
        </w:rPr>
        <w:t xml:space="preserve"> </w:t>
      </w:r>
      <w:r w:rsidRPr="00D22AA7">
        <w:rPr>
          <w:rFonts w:ascii="Times" w:hAnsi="Times" w:cs="Arial"/>
          <w:color w:val="222222"/>
        </w:rPr>
        <w:fldChar w:fldCharType="begin"/>
      </w:r>
      <w:r w:rsidR="00C1537C">
        <w:rPr>
          <w:rFonts w:ascii="Times" w:hAnsi="Times" w:cs="Arial"/>
          <w:color w:val="222222"/>
        </w:rPr>
        <w:instrText xml:space="preserve"> ADDIN ZOTERO_ITEM CSL_CITATION {"citationID":"5phA5CfE","properties":{"formattedCitation":"[70]","plainCitation":"[70]","noteIndex":0},"citationItems":[{"id":3408,"uris":["http://zotero.org/users/9439317/items/NB592WUM"],"itemData":{"id":3408,"type":"article-journal","abstract":"Abstract Etoposide (VP-16), a topoisomerase II inhibitor, is an effective anti-cancer drug used for the treatment of non-small-cell lung cancer (NSCLC). Resveratrol is a naturally occurring polyphenolic compound that has been proved to have anti-cancer activity. XRCC1 is an important scaffold protein involved in base excision repair that is regulated by ERK1/2 and AKT signals and plays an important role in the development of lung cancer. However, the role of ERK1/2 and AKT-mediated XRCC1 expression in etoposide treatment alone or combined with resveratrol-induced cytotoxicity in NSCLC cells has not been identified. In this study, etoposide treatment increased XRCC1 mRNA and protein expression through AKT and ERK1/2 activation in two NSCLC cells, H1703 and H1975. Knockdown of XRCC1 in NSCLC cells by transfection of XRCC1 siRNA or inactivation of ERK1/2 and AKT resulted in enhancing cytotoxicity and cell growth inhibition induced by etoposide. Resveratrol inhibited the expression of XRCC1 and enhanced the etoposide-induced cell death and anti-proliferation effect in NSCLC cells. Furthermore, transfection with constitutive active MKK1 or AKT vectors could rescue the XRCC1 protein level and also the cell survival suppressed by co-treatment with etoposide and resveratrol. These findings suggested that down-regulation of XRCC1 expression by resveratrol can enhance the chemosensitivity of etoposide in NSCLC cells.","container-title":"Basic &amp; Clinical Pharmacology &amp; Toxicology","DOI":"10.1111/bcpt.12425","ISSN":"1742-7835","issue":"6","journalAbbreviation":"Basic &amp; Clinical Pharmacology &amp; Toxicology","page":"383-391","title":"Resveratrol Enhances Etoposide-Induced Cytotoxicity through Down-Regulating ERK1/2 and AKT-Mediated X-ray Repair Cross-Complement Group 1 (XRCC1) Protein Expression in Human Non-Small-Cell Lung Cancer Cells","URL":"https://doi.org/10.1111/bcpt.12425","volume":"117","author":[{"family":"Ko","given":"Jen-Chung"},{"family":"Syu","given":"Jhan-Jhang"},{"family":"Chen","given":"Jyh-Cheng"},{"family":"Wang","given":"Tai-Jing"},{"family":"Chang","given":"Po-Yuan"},{"family":"Chen","given":"Chien-Yu"},{"family":"Jian","given":"Yun-Ting"},{"family":"Jian","given":"Yi-Jun"},{"family":"Lin","given":"Yun-Wei"}],"accessed":{"date-parts":[["2022",7,13]]},"issued":{"date-parts":[["2015",12,1]]}}}],"schema":"https://github.com/citation-style-language/schema/raw/master/csl-citation.json"} </w:instrText>
      </w:r>
      <w:r w:rsidRPr="00D22AA7">
        <w:rPr>
          <w:rFonts w:ascii="Times" w:hAnsi="Times" w:cs="Arial"/>
          <w:color w:val="222222"/>
        </w:rPr>
        <w:fldChar w:fldCharType="separate"/>
      </w:r>
      <w:r w:rsidR="00C1537C">
        <w:rPr>
          <w:rFonts w:ascii="Times" w:hAnsi="Times" w:cs="Arial"/>
          <w:noProof/>
          <w:color w:val="222222"/>
        </w:rPr>
        <w:t>[70]</w:t>
      </w:r>
      <w:r w:rsidRPr="00D22AA7">
        <w:rPr>
          <w:rFonts w:ascii="Times" w:hAnsi="Times" w:cs="Arial"/>
          <w:color w:val="222222"/>
        </w:rPr>
        <w:fldChar w:fldCharType="end"/>
      </w:r>
      <w:r w:rsidRPr="00D22AA7">
        <w:rPr>
          <w:rFonts w:ascii="Times" w:hAnsi="Times" w:cs="Arial"/>
          <w:color w:val="222222"/>
        </w:rPr>
        <w:t>.</w:t>
      </w:r>
    </w:p>
    <w:p w14:paraId="60BE065B" w14:textId="6377B296" w:rsidR="00864CD3" w:rsidRPr="00D22AA7" w:rsidRDefault="00864CD3" w:rsidP="10F2265A">
      <w:pPr>
        <w:shd w:val="clear" w:color="auto" w:fill="FFFFFF" w:themeFill="background1"/>
        <w:ind w:firstLine="480"/>
        <w:jc w:val="both"/>
        <w:rPr>
          <w:rFonts w:ascii="Times" w:hAnsi="Times" w:cs="Arial"/>
          <w:color w:val="222222"/>
        </w:rPr>
      </w:pPr>
      <w:r w:rsidRPr="00D22AA7">
        <w:rPr>
          <w:rFonts w:ascii="Times" w:hAnsi="Times" w:cs="Arial"/>
          <w:color w:val="222222"/>
        </w:rPr>
        <w:t xml:space="preserve">In pH-sensitive nanoparticles, </w:t>
      </w:r>
      <w:r w:rsidR="11B56214" w:rsidRPr="00D22AA7">
        <w:rPr>
          <w:rFonts w:ascii="Times" w:hAnsi="Times" w:cs="Arial"/>
          <w:color w:val="222222"/>
        </w:rPr>
        <w:t xml:space="preserve">the release of </w:t>
      </w:r>
      <w:r w:rsidRPr="00D22AA7">
        <w:rPr>
          <w:rFonts w:ascii="Times" w:hAnsi="Times" w:cs="Arial"/>
          <w:color w:val="222222"/>
        </w:rPr>
        <w:t>RSV</w:t>
      </w:r>
      <w:r w:rsidR="28BA839C" w:rsidRPr="00D22AA7">
        <w:rPr>
          <w:rFonts w:ascii="Times" w:hAnsi="Times" w:cs="Arial"/>
          <w:color w:val="222222"/>
        </w:rPr>
        <w:t xml:space="preserve"> </w:t>
      </w:r>
      <w:r w:rsidRPr="00D22AA7">
        <w:rPr>
          <w:rFonts w:ascii="Times" w:hAnsi="Times" w:cs="Arial"/>
          <w:color w:val="222222"/>
        </w:rPr>
        <w:t xml:space="preserve">is triggered by the acidic conditions of tumor microenvironments, promoting targeted drug delivery while minimizing unintended release in healthy tissues. Thermosensitive nanoparticles, on the other hand, respond to local temperature changes, with hyperthermia treatments further enhancing </w:t>
      </w:r>
      <w:r w:rsidR="0890F102" w:rsidRPr="00D22AA7">
        <w:rPr>
          <w:rFonts w:ascii="Times" w:hAnsi="Times" w:cs="Arial"/>
          <w:color w:val="222222"/>
        </w:rPr>
        <w:t xml:space="preserve">the release of the </w:t>
      </w:r>
      <w:r w:rsidRPr="00D22AA7">
        <w:rPr>
          <w:rFonts w:ascii="Times" w:hAnsi="Times" w:cs="Arial"/>
          <w:color w:val="222222"/>
        </w:rPr>
        <w:t xml:space="preserve">drug. </w:t>
      </w:r>
      <w:r w:rsidR="5492E69A" w:rsidRPr="00D22AA7">
        <w:rPr>
          <w:rFonts w:ascii="Times" w:hAnsi="Times" w:cs="Arial"/>
          <w:color w:val="222222"/>
        </w:rPr>
        <w:t>The e</w:t>
      </w:r>
      <w:r w:rsidRPr="00D22AA7">
        <w:rPr>
          <w:rFonts w:ascii="Times" w:hAnsi="Times" w:cs="Arial"/>
          <w:color w:val="222222"/>
        </w:rPr>
        <w:t>nzyme-triggered RSV</w:t>
      </w:r>
      <w:r w:rsidR="30CD05B1" w:rsidRPr="00D22AA7">
        <w:rPr>
          <w:rFonts w:ascii="Times" w:hAnsi="Times" w:cs="Arial"/>
          <w:color w:val="222222"/>
        </w:rPr>
        <w:t xml:space="preserve"> </w:t>
      </w:r>
      <w:r w:rsidRPr="00D22AA7">
        <w:rPr>
          <w:rFonts w:ascii="Times" w:hAnsi="Times" w:cs="Arial"/>
          <w:color w:val="222222"/>
        </w:rPr>
        <w:t xml:space="preserve">is achieved by incorporating </w:t>
      </w:r>
      <w:r w:rsidR="316C892C" w:rsidRPr="00D22AA7">
        <w:rPr>
          <w:rFonts w:ascii="Times" w:hAnsi="Times" w:cs="Arial"/>
          <w:color w:val="222222"/>
        </w:rPr>
        <w:t xml:space="preserve">cleavable </w:t>
      </w:r>
      <w:proofErr w:type="spellStart"/>
      <w:r w:rsidR="316C892C" w:rsidRPr="00D22AA7">
        <w:rPr>
          <w:rFonts w:ascii="Times" w:hAnsi="Times" w:cs="Arial"/>
          <w:color w:val="222222"/>
        </w:rPr>
        <w:t>ezymes</w:t>
      </w:r>
      <w:proofErr w:type="spellEnd"/>
      <w:r w:rsidR="316C892C" w:rsidRPr="00D22AA7">
        <w:rPr>
          <w:rFonts w:ascii="Times" w:hAnsi="Times" w:cs="Arial"/>
          <w:color w:val="222222"/>
        </w:rPr>
        <w:t xml:space="preserve"> </w:t>
      </w:r>
      <w:r w:rsidRPr="00D22AA7">
        <w:rPr>
          <w:rFonts w:ascii="Times" w:hAnsi="Times" w:cs="Arial"/>
          <w:color w:val="222222"/>
        </w:rPr>
        <w:t>with</w:t>
      </w:r>
      <w:r w:rsidR="43995363" w:rsidRPr="00D22AA7">
        <w:rPr>
          <w:rFonts w:ascii="Times" w:hAnsi="Times" w:cs="Arial"/>
          <w:color w:val="222222"/>
        </w:rPr>
        <w:t>in the structure of nanoparticles</w:t>
      </w:r>
      <w:r w:rsidRPr="00D22AA7">
        <w:rPr>
          <w:rFonts w:ascii="Times" w:hAnsi="Times" w:cs="Arial"/>
          <w:color w:val="222222"/>
        </w:rPr>
        <w:t xml:space="preserve">. Tumor-specific enzymes, such as </w:t>
      </w:r>
      <w:r w:rsidR="07EFF523" w:rsidRPr="00D22AA7">
        <w:rPr>
          <w:rFonts w:ascii="Times" w:hAnsi="Times" w:cs="Arial"/>
          <w:color w:val="222222"/>
        </w:rPr>
        <w:t>MMPs</w:t>
      </w:r>
      <w:r w:rsidRPr="00D22AA7">
        <w:rPr>
          <w:rFonts w:ascii="Times" w:hAnsi="Times" w:cs="Arial"/>
          <w:color w:val="222222"/>
        </w:rPr>
        <w:t>, facilitate the breakdown of these compounds, leading to localized drug release</w:t>
      </w:r>
      <w:r w:rsidR="00CB3412"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{"citationID":"egkYwfGZ","properties":{"formattedCitation":"[87]","plainCitation":"[87]","noteIndex":0},"citationItems":[{"id":5148,"uris":["http://zotero.org/users/9439317/items/7JW3EDIV"],"itemData":{"id":5148,"type":"article-journal","abstract":"Nanotechnology has great capability in formulation, reduction of side e</w:instrText>
      </w:r>
      <w:r w:rsidR="0056095D">
        <w:rPr>
          <w:color w:val="222222"/>
        </w:rPr>
        <w:instrText>ﬀ</w:instrText>
      </w:r>
      <w:r w:rsidR="0056095D">
        <w:rPr>
          <w:rFonts w:ascii="Times" w:hAnsi="Times" w:cs="Arial"/>
          <w:color w:val="222222"/>
        </w:rPr>
        <w:instrText>ects, and enhancing pharmacokinetics of chemotherapeutics by designing stable or long circulating nano-carriers. However, e</w:instrText>
      </w:r>
      <w:r w:rsidR="0056095D">
        <w:rPr>
          <w:color w:val="222222"/>
        </w:rPr>
        <w:instrText>ﬀ</w:instrText>
      </w:r>
      <w:r w:rsidR="0056095D">
        <w:rPr>
          <w:rFonts w:ascii="Times" w:hAnsi="Times" w:cs="Arial"/>
          <w:color w:val="222222"/>
        </w:rPr>
        <w:instrText>ective drug delivery at the cellular level by means of such carriers is still unsatisfactory. One promising approach is using spatiotemporal drug release by means of nanoparticles with the capacity for content release triggered by internal or external stimuli. Among di</w:instrText>
      </w:r>
      <w:r w:rsidR="0056095D">
        <w:rPr>
          <w:color w:val="222222"/>
        </w:rPr>
        <w:instrText>ﬀ</w:instrText>
      </w:r>
      <w:r w:rsidR="0056095D">
        <w:rPr>
          <w:rFonts w:ascii="Times" w:hAnsi="Times" w:cs="Arial"/>
          <w:color w:val="222222"/>
        </w:rPr>
        <w:instrText>erent stimuli, interests for application of external heat, hyperthermia, is growing. Advanced technology, ease of application and most importantly high level of control over applied heat, and as a result triggered release, and the adjuvant e</w:instrText>
      </w:r>
      <w:r w:rsidR="0056095D">
        <w:rPr>
          <w:color w:val="222222"/>
        </w:rPr>
        <w:instrText>ﬀ</w:instrText>
      </w:r>
      <w:r w:rsidR="0056095D">
        <w:rPr>
          <w:rFonts w:ascii="Times" w:hAnsi="Times" w:cs="Arial"/>
          <w:color w:val="222222"/>
        </w:rPr>
        <w:instrText>ect of hyperthermia in enhancing therapeutic response of chemotherapeutics, i.e., thermochemotherapy, make hyperthermia a great stimulus for triggered drug release. Therefore, a variety of temperature sensitive nano-carriers, lipid or/and polymeric based, have been fabricated and studied. Importantly, in order to achieve an e</w:instrText>
      </w:r>
      <w:r w:rsidR="0056095D">
        <w:rPr>
          <w:color w:val="222222"/>
        </w:rPr>
        <w:instrText>ﬃ</w:instrText>
      </w:r>
      <w:r w:rsidR="0056095D">
        <w:rPr>
          <w:rFonts w:ascii="Times" w:hAnsi="Times" w:cs="Arial"/>
          <w:color w:val="222222"/>
        </w:rPr>
        <w:instrText xml:space="preserve">cient therapeutic outcome, and taking the advantages of thermochemotherapy into consideration, release characteristics from nano-carriers should ﬁt with applicable clinical thermal setting. Here we introduce and discuss the application of the three most studied temperature sensitive nanoparticles with emphasis on release behavior and its importance regarding applicability and therapeutic potentials.","container-title":"Pharmaceutics","DOI":"10.3390/pharmaceutics12111007","ISSN":"1999-4923","issue":"11","journalAbbreviation":"Pharmaceutics","language":"en","page":"1007","source":"DOI.org (Crossref)","title":"Hyperthermia and Temperature-Sensitive Nanomaterials for Spatiotemporal Drug Delivery to Solid Tumors","URL":"https://www.mdpi.com/1999-4923/12/11/1007","volume":"12","author":[{"family":"Amin","given":"Mohamadreza"},{"family":"Huang","given":"Wenqiu"},{"family":"Seynhaeve","given":"Ann L. B."},{"family":"Ten Hagen","given":"Timo L. M."}],"accessed":{"date-parts":[["2023",12,24]]},"issued":{"date-parts":[["2020",10,22]]}}}],"schema":"https://github.com/citation-style-language/schema/raw/master/csl-citation.json"}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[87]</w:t>
      </w:r>
      <w:r w:rsidRPr="00D22AA7">
        <w:rPr>
          <w:rFonts w:ascii="Times" w:hAnsi="Times" w:cs="Arial"/>
          <w:color w:val="222222"/>
        </w:rPr>
        <w:fldChar w:fldCharType="end"/>
      </w:r>
      <w:r w:rsidRPr="00D22AA7">
        <w:rPr>
          <w:rFonts w:ascii="Times" w:hAnsi="Times" w:cs="Arial"/>
          <w:color w:val="222222"/>
        </w:rPr>
        <w:t>.</w:t>
      </w:r>
    </w:p>
    <w:p w14:paraId="7506C21F" w14:textId="3A4C7EC3" w:rsidR="00864CD3" w:rsidRPr="00D22AA7" w:rsidRDefault="00864CD3" w:rsidP="10F2265A">
      <w:pPr>
        <w:shd w:val="clear" w:color="auto" w:fill="FFFFFF" w:themeFill="background1"/>
        <w:ind w:firstLine="480"/>
        <w:jc w:val="both"/>
        <w:rPr>
          <w:rFonts w:ascii="Times" w:hAnsi="Times" w:cs="Arial"/>
          <w:color w:val="222222"/>
        </w:rPr>
      </w:pPr>
      <w:r w:rsidRPr="00D22AA7">
        <w:rPr>
          <w:rFonts w:ascii="Times" w:hAnsi="Times" w:cs="Arial"/>
          <w:color w:val="222222"/>
        </w:rPr>
        <w:t>Redox-responsive nanoparticles leverage the elevated reactive oxygen species (ROS) levels found in tumor sites to initiate RSV release. Similarly, photo-responsive nanoparticles integrate light-sensitive materials, allowing precise light-induced drug activation. Magnetic-responsive nanoparticles</w:t>
      </w:r>
      <w:r w:rsidR="777212ED" w:rsidRPr="00D22AA7">
        <w:rPr>
          <w:rFonts w:ascii="Times" w:hAnsi="Times" w:cs="Arial"/>
          <w:color w:val="222222"/>
        </w:rPr>
        <w:t xml:space="preserve"> which are </w:t>
      </w:r>
      <w:r w:rsidRPr="00D22AA7">
        <w:rPr>
          <w:rFonts w:ascii="Times" w:hAnsi="Times" w:cs="Arial"/>
          <w:color w:val="222222"/>
        </w:rPr>
        <w:t>loaded with RSV can be</w:t>
      </w:r>
      <w:r w:rsidR="10CD7E3F" w:rsidRPr="00D22AA7">
        <w:rPr>
          <w:rFonts w:ascii="Times" w:hAnsi="Times" w:cs="Arial"/>
          <w:color w:val="222222"/>
        </w:rPr>
        <w:t xml:space="preserve"> used to</w:t>
      </w:r>
      <w:r w:rsidRPr="00D22AA7">
        <w:rPr>
          <w:rFonts w:ascii="Times" w:hAnsi="Times" w:cs="Arial"/>
          <w:color w:val="222222"/>
        </w:rPr>
        <w:t xml:space="preserve"> </w:t>
      </w:r>
      <w:r w:rsidR="1EEAF15B" w:rsidRPr="00D22AA7">
        <w:rPr>
          <w:rFonts w:ascii="Times" w:hAnsi="Times" w:cs="Arial"/>
          <w:color w:val="222222"/>
        </w:rPr>
        <w:t xml:space="preserve">direct </w:t>
      </w:r>
      <w:r w:rsidRPr="00D22AA7">
        <w:rPr>
          <w:rFonts w:ascii="Times" w:hAnsi="Times" w:cs="Arial"/>
          <w:color w:val="222222"/>
        </w:rPr>
        <w:t>to</w:t>
      </w:r>
      <w:r w:rsidR="41CCCB13" w:rsidRPr="00D22AA7">
        <w:rPr>
          <w:rFonts w:ascii="Times" w:hAnsi="Times" w:cs="Arial"/>
          <w:color w:val="222222"/>
        </w:rPr>
        <w:t xml:space="preserve"> target the specific </w:t>
      </w:r>
      <w:proofErr w:type="spellStart"/>
      <w:r w:rsidR="41CCCB13" w:rsidRPr="00D22AA7">
        <w:rPr>
          <w:rFonts w:ascii="Times" w:hAnsi="Times" w:cs="Arial"/>
          <w:color w:val="222222"/>
        </w:rPr>
        <w:t>cites</w:t>
      </w:r>
      <w:proofErr w:type="spellEnd"/>
      <w:r w:rsidRPr="00D22AA7">
        <w:rPr>
          <w:rFonts w:ascii="Times" w:hAnsi="Times" w:cs="Arial"/>
          <w:color w:val="222222"/>
        </w:rPr>
        <w:t xml:space="preserve"> </w:t>
      </w:r>
      <w:r w:rsidR="652586D1" w:rsidRPr="00D22AA7">
        <w:rPr>
          <w:rFonts w:ascii="Times" w:hAnsi="Times" w:cs="Arial"/>
          <w:color w:val="222222"/>
        </w:rPr>
        <w:t xml:space="preserve">by </w:t>
      </w:r>
      <w:r w:rsidRPr="00D22AA7">
        <w:rPr>
          <w:rFonts w:ascii="Times" w:hAnsi="Times" w:cs="Arial"/>
          <w:color w:val="222222"/>
        </w:rPr>
        <w:t xml:space="preserve">using </w:t>
      </w:r>
      <w:r w:rsidR="28853B31" w:rsidRPr="00D22AA7">
        <w:rPr>
          <w:rFonts w:ascii="Times" w:hAnsi="Times" w:cs="Arial"/>
          <w:color w:val="222222"/>
        </w:rPr>
        <w:t xml:space="preserve">the </w:t>
      </w:r>
      <w:r w:rsidRPr="00D22AA7">
        <w:rPr>
          <w:rFonts w:ascii="Times" w:hAnsi="Times" w:cs="Arial"/>
          <w:color w:val="222222"/>
        </w:rPr>
        <w:t>external magnetic fields, which not only direct the nanoparticles but also trigger</w:t>
      </w:r>
      <w:r w:rsidR="17293E94" w:rsidRPr="00D22AA7">
        <w:rPr>
          <w:rFonts w:ascii="Times" w:hAnsi="Times" w:cs="Arial"/>
          <w:color w:val="222222"/>
        </w:rPr>
        <w:t xml:space="preserve"> the release of the</w:t>
      </w:r>
      <w:r w:rsidRPr="00D22AA7">
        <w:rPr>
          <w:rFonts w:ascii="Times" w:hAnsi="Times" w:cs="Arial"/>
          <w:color w:val="222222"/>
        </w:rPr>
        <w:t xml:space="preserve"> drug</w:t>
      </w:r>
      <w:r w:rsidR="0330225D" w:rsidRPr="00D22AA7">
        <w:rPr>
          <w:rFonts w:ascii="Times" w:hAnsi="Times" w:cs="Arial"/>
          <w:color w:val="222222"/>
        </w:rPr>
        <w:t xml:space="preserve"> </w:t>
      </w:r>
      <w:r w:rsidRPr="00D22AA7">
        <w:rPr>
          <w:rFonts w:ascii="Times" w:hAnsi="Times" w:cs="Arial"/>
          <w:color w:val="222222"/>
        </w:rPr>
        <w:t xml:space="preserve">at the </w:t>
      </w:r>
      <w:r w:rsidR="3D94D0CD" w:rsidRPr="00D22AA7">
        <w:rPr>
          <w:rFonts w:ascii="Times" w:hAnsi="Times" w:cs="Arial"/>
          <w:color w:val="222222"/>
        </w:rPr>
        <w:t xml:space="preserve">specific site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{"citationID":"jCOqlNla","properties":{"formattedCitation":"[88]","plainCitation":"[88]","noteIndex":0},"citationItems":[{"id":4861,"uris":["http://zotero.org/users/9439317/items/QHHK7IR6"],"itemData":{"id":4861,"type":"article-journal","abstract":"Resveratrol (RES) is a naturally existing polyphenol which exhibits anti-oxidant, anti-inﬂammatory, and anti-cancer properties. In recent years, RES has attracted attention for its synergistic effect with other anti-cancer drugs for the treatment of drug resistant cancers. However, RES faces the issues of poor pharmacokinetics, stability and low solubility which limits its clinical application. In present study, RES has been loaded onto uniformly sized (</w:instrText>
      </w:r>
      <w:r w:rsidR="0056095D">
        <w:rPr>
          <w:rFonts w:ascii="Cambria Math" w:hAnsi="Cambria Math" w:cs="Cambria Math"/>
          <w:color w:val="222222"/>
        </w:rPr>
        <w:instrText>∼</w:instrText>
      </w:r>
      <w:r w:rsidR="0056095D">
        <w:rPr>
          <w:rFonts w:ascii="Times" w:hAnsi="Times" w:cs="Arial"/>
          <w:color w:val="222222"/>
        </w:rPr>
        <w:instrText xml:space="preserve">60 nm) mesoporous silica nanoparticles (MSNs) to improve its in vitro anti-proliferative activity and sensitization of Docatexal in hypoxia induced drug resistance in prostate cancer. RES was efﬁciently encapsulated within phosphonate (negatively charged) and amine (positively charged) modiﬁed MSNs. The effect of surface functionalization was studied on the loading, in vitro release, antiproliferative and cytotoxic potential of RES using prostate cancer cell line. At pH 7.4 both free and NH2-MSNs loaded RES showed burst release which was plateaued with almost 90% of drug released in ﬁrst 12 h. On the other hand, PO3-MSNs showed signiﬁcantly slower release kinetics with only 50% drug release in ﬁrst 12 h at pH 7.4. At pH 5.5, however, both the PO3-MSNs and NH2-MSNs showed signiﬁcant control over release (around 40% less release compared with free RES in 24 h). Phosphonate modiﬁed MSNs signiﬁcantly enhanced the anti-proliferative potential of RES with an IC50 of 7.15 µM as compared to 14.86 µM of free RES whereas amine modiﬁed MSNs didn’t affect proliferation with an IC50 value higher than free RES (20.45 µM). Furthermore, RES loaded onto PO3-MSNs showed robust and dose dependent sensitization of Docatexal in hypoxic cell environment which was comparable to pure RES solution. This study provides an example of applicability of MSNs loaded with polyphenols such as RES as next generation anticancer formulations for treating drug resistant cancers such as prostate cancer.","container-title":"Frontiers in Bioengineering and Biotechnology","DOI":"10.3389/fbioe.2019.00225","ISSN":"2296-4185","journalAbbreviation":"Front. Bioeng. Biotechnol.","language":"en","page":"225","source":"DOI.org (Crossref)","title":"Encapsulation and Controlled Release of Resveratrol Within Functionalized Mesoporous Silica Nanoparticles for Prostate Cancer Therapy","URL":"https://www.frontiersin.org/article/10.3389/fbioe.2019.00225/full","volume":"7","author":[{"family":"Chaudhary","given":"Zanib"},{"family":"Subramaniam","given":"Sugarniya"},{"family":"Khan","given":"Gul Majid"},{"family":"Abeer","given":"Muhammad Mustafa"},{"family":"Qu","given":"Zhi"},{"family":"Janjua","given":"Taskeen"},{"family":"Kumeria","given":"Tushar"},{"family":"Batra","given":"Jyotsna"},{"family":"Popat","given":"Amirali"}],"accessed":{"date-parts":[["2023",10,12]]},"issued":{"date-parts":[["2019",9,18]]}}}],"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[88]</w:t>
      </w:r>
      <w:r w:rsidRPr="00D22AA7">
        <w:rPr>
          <w:rFonts w:ascii="Times" w:hAnsi="Times" w:cs="Arial"/>
          <w:color w:val="222222"/>
        </w:rPr>
        <w:fldChar w:fldCharType="end"/>
      </w:r>
      <w:r w:rsidRPr="00D22AA7">
        <w:rPr>
          <w:rFonts w:ascii="Times" w:hAnsi="Times" w:cs="Arial"/>
          <w:color w:val="222222"/>
        </w:rPr>
        <w:t>.</w:t>
      </w:r>
    </w:p>
    <w:p w14:paraId="75CD2D01" w14:textId="3305CD53" w:rsidR="00864CD3" w:rsidRPr="00D22AA7" w:rsidRDefault="00CF6A25" w:rsidP="3B4CA44B">
      <w:pPr>
        <w:shd w:val="clear" w:color="auto" w:fill="FFFFFF" w:themeFill="background1"/>
        <w:ind w:firstLine="480"/>
        <w:jc w:val="both"/>
        <w:rPr>
          <w:rFonts w:ascii="Times" w:hAnsi="Times" w:cs="Arial"/>
          <w:color w:val="222222"/>
        </w:rPr>
      </w:pPr>
      <w:r>
        <w:rPr>
          <w:rFonts w:ascii="Times" w:hAnsi="Times" w:cs="Arial"/>
          <w:color w:val="222222"/>
        </w:rPr>
        <w:t>RSV</w:t>
      </w:r>
      <w:r w:rsidR="00864CD3" w:rsidRPr="00D22AA7">
        <w:rPr>
          <w:rFonts w:ascii="Times" w:hAnsi="Times" w:cs="Arial"/>
          <w:color w:val="222222"/>
        </w:rPr>
        <w:t>-loaded nanoparticles represent a promising approach for targeted drug delivery, leveraging external stimuli such as magnetic fields and ultrasound to achieve precise control over drug release. Magnetic field-guided targeting involves the use of magnetic nanoparticles loaded with resveratrol, which can be directed to a specific site in the body using an external magnetic field. Once the nanoparticles accumulate at the target site, the magnetic field can also be utilized to trigger the release of the drug, ensuring high local concentrations and minimizing systemic expo</w:t>
      </w:r>
      <w:r w:rsidR="00864CD3" w:rsidRPr="00D22AA7">
        <w:rPr>
          <w:rFonts w:ascii="Times" w:hAnsi="Times" w:cs="Arial"/>
          <w:color w:val="222222"/>
        </w:rPr>
        <w:lastRenderedPageBreak/>
        <w:t xml:space="preserve">sure. Similarly, ultrasound-responsive nanoparticles loaded with </w:t>
      </w:r>
      <w:r w:rsidR="11C9D8E9" w:rsidRPr="00D22AA7">
        <w:rPr>
          <w:rFonts w:ascii="Times" w:hAnsi="Times" w:cs="Arial"/>
          <w:color w:val="222222"/>
        </w:rPr>
        <w:t xml:space="preserve">RSV </w:t>
      </w:r>
      <w:r w:rsidR="00864CD3" w:rsidRPr="00D22AA7">
        <w:rPr>
          <w:rFonts w:ascii="Times" w:hAnsi="Times" w:cs="Arial"/>
          <w:color w:val="222222"/>
        </w:rPr>
        <w:t>can be acti</w:t>
      </w:r>
      <w:r w:rsidR="05067DB3" w:rsidRPr="00D22AA7">
        <w:rPr>
          <w:rFonts w:ascii="Times" w:hAnsi="Times" w:cs="Arial"/>
          <w:color w:val="222222"/>
        </w:rPr>
        <w:t>vated</w:t>
      </w:r>
      <w:r w:rsidR="00864CD3" w:rsidRPr="00D22AA7">
        <w:rPr>
          <w:rFonts w:ascii="Times" w:hAnsi="Times" w:cs="Arial"/>
          <w:color w:val="222222"/>
        </w:rPr>
        <w:t xml:space="preserve"> by</w:t>
      </w:r>
      <w:r w:rsidR="62FC119E" w:rsidRPr="00D22AA7">
        <w:rPr>
          <w:rFonts w:ascii="Times" w:hAnsi="Times" w:cs="Arial"/>
          <w:color w:val="222222"/>
        </w:rPr>
        <w:t xml:space="preserve"> the</w:t>
      </w:r>
      <w:r w:rsidR="00864CD3" w:rsidRPr="00D22AA7">
        <w:rPr>
          <w:rFonts w:ascii="Times" w:hAnsi="Times" w:cs="Arial"/>
          <w:color w:val="222222"/>
        </w:rPr>
        <w:t xml:space="preserve"> ultrasound waves</w:t>
      </w:r>
      <w:r w:rsidR="6D4C9C14" w:rsidRPr="00D22AA7">
        <w:rPr>
          <w:rFonts w:ascii="Times" w:hAnsi="Times" w:cs="Arial"/>
          <w:color w:val="222222"/>
        </w:rPr>
        <w:t>, helped</w:t>
      </w:r>
      <w:r w:rsidR="00864CD3" w:rsidRPr="00D22AA7">
        <w:rPr>
          <w:rFonts w:ascii="Times" w:hAnsi="Times" w:cs="Arial"/>
          <w:color w:val="222222"/>
        </w:rPr>
        <w:t xml:space="preserve"> to release the drug at the desired location. These stimulation-activated approaches enable</w:t>
      </w:r>
      <w:r w:rsidR="00BD16C0" w:rsidRPr="00D22AA7">
        <w:rPr>
          <w:rFonts w:ascii="Times" w:hAnsi="Times" w:cs="Arial"/>
          <w:color w:val="222222"/>
        </w:rPr>
        <w:t xml:space="preserve"> </w:t>
      </w:r>
      <w:r w:rsidR="00864CD3" w:rsidRPr="00D22AA7">
        <w:rPr>
          <w:rFonts w:ascii="Times" w:hAnsi="Times" w:cs="Arial"/>
          <w:color w:val="222222"/>
        </w:rPr>
        <w:t xml:space="preserve">control </w:t>
      </w:r>
      <w:r w:rsidR="098CD760" w:rsidRPr="00D22AA7">
        <w:rPr>
          <w:rFonts w:ascii="Times" w:hAnsi="Times" w:cs="Arial"/>
          <w:color w:val="222222"/>
        </w:rPr>
        <w:t>of</w:t>
      </w:r>
      <w:r w:rsidR="00864CD3" w:rsidRPr="00D22AA7">
        <w:rPr>
          <w:rFonts w:ascii="Times" w:hAnsi="Times" w:cs="Arial"/>
          <w:color w:val="222222"/>
        </w:rPr>
        <w:t xml:space="preserve"> drug release kinetics, </w:t>
      </w:r>
      <w:r w:rsidR="5A40A8DC" w:rsidRPr="00D22AA7">
        <w:rPr>
          <w:rFonts w:ascii="Times" w:hAnsi="Times" w:cs="Arial"/>
          <w:color w:val="222222"/>
        </w:rPr>
        <w:t>increase</w:t>
      </w:r>
      <w:r w:rsidR="00864CD3" w:rsidRPr="00D22AA7">
        <w:rPr>
          <w:rFonts w:ascii="Times" w:hAnsi="Times" w:cs="Arial"/>
          <w:color w:val="222222"/>
        </w:rPr>
        <w:t xml:space="preserve"> the therapeutic inde</w:t>
      </w:r>
      <w:r w:rsidR="13A13194" w:rsidRPr="00D22AA7">
        <w:rPr>
          <w:rFonts w:ascii="Times" w:hAnsi="Times" w:cs="Arial"/>
          <w:color w:val="222222"/>
        </w:rPr>
        <w:t>x</w:t>
      </w:r>
      <w:r w:rsidR="00864CD3" w:rsidRPr="00D22AA7">
        <w:rPr>
          <w:rFonts w:ascii="Times" w:hAnsi="Times" w:cs="Arial"/>
          <w:color w:val="222222"/>
        </w:rPr>
        <w:t xml:space="preserve"> while reducing side effects associated with systemic administration</w:t>
      </w:r>
      <w:r w:rsidR="001F482B" w:rsidRPr="00D22AA7">
        <w:rPr>
          <w:rFonts w:ascii="Times" w:hAnsi="Times" w:cs="Arial"/>
          <w:color w:val="222222"/>
        </w:rPr>
        <w:t xml:space="preserve"> </w:t>
      </w:r>
      <w:r w:rsidR="00864CD3" w:rsidRPr="00D22AA7">
        <w:rPr>
          <w:rFonts w:ascii="Times" w:hAnsi="Times" w:cs="Arial"/>
          <w:color w:val="222222"/>
        </w:rPr>
        <w:fldChar w:fldCharType="begin"/>
      </w:r>
      <w:r w:rsidR="0056095D">
        <w:rPr>
          <w:rFonts w:ascii="Times" w:hAnsi="Times" w:cs="Arial"/>
          <w:color w:val="222222"/>
        </w:rPr>
        <w:instrText xml:space="preserve"> ADDIN ZOTERO_ITEM CSL_CITATION {"citationID":"G3R5t2SR","properties":{"formattedCitation":"[89]","plainCitation":"[89]","noteIndex":0},"citationItems":[{"id":1772,"uris":["http://zotero.org/users/9439317/items/MUFBFMGV"],"itemData":{"id":1772,"type":"article-journal","abstract":"Background: Resveratrol (3, 5, 40-trihydroxystilbene), a natural polyphenol and phytoalexin, has drawn considerable attention in the past decade due to its wide variety of therapeutic activities such as anticancer, anti-inflammatory, and antioxidant properties. However, its poor water solubility, low chemical stability, and short biological half-life limit its clinical utility.","container-title":"Cancer Reports","DOI":"10.1002/cnr2.1353","ISSN":"2573-8348, 2573-8348","issue":"3","journalAbbreviation":"Cancer Reports","language":"en","source":"DOI.org (Crossref)","title":"Resveratrol</w:instrText>
      </w:r>
      <w:r w:rsidR="0056095D">
        <w:rPr>
          <w:rFonts w:ascii="Cambria Math" w:hAnsi="Cambria Math" w:cs="Cambria Math"/>
          <w:color w:val="222222"/>
        </w:rPr>
        <w:instrText>‐</w:instrText>
      </w:r>
      <w:r w:rsidR="0056095D">
        <w:rPr>
          <w:rFonts w:ascii="Times" w:hAnsi="Times" w:cs="Arial"/>
          <w:color w:val="222222"/>
        </w:rPr>
        <w:instrText xml:space="preserve">loaded nanomedicines for cancer applications","URL":"https://onlinelibrary.wiley.com/doi/10.1002/cnr2.1353","volume":"4","author":[{"family":"Annaji","given":"Manjusha"},{"family":"Poudel","given":"Ishwor"},{"family":"Boddu","given":"Sai H. S."},{"family":"Arnold","given":"Robert D."},{"family":"Tiwari","given":"Amit K."},{"family":"Babu","given":"R. Jayachandra"}],"accessed":{"date-parts":[["2023",2,9]]},"issued":{"date-parts":[["2021",6]]}}}],"schema":"https://github.com/citation-style-language/schema/raw/master/csl-citation.json"} </w:instrText>
      </w:r>
      <w:r w:rsidR="00864CD3" w:rsidRPr="00D22AA7">
        <w:rPr>
          <w:rFonts w:ascii="Times" w:hAnsi="Times" w:cs="Arial"/>
          <w:color w:val="222222"/>
        </w:rPr>
        <w:fldChar w:fldCharType="separate"/>
      </w:r>
      <w:r w:rsidR="0056095D">
        <w:rPr>
          <w:rFonts w:ascii="Times" w:hAnsi="Times" w:cs="Arial"/>
          <w:noProof/>
          <w:color w:val="222222"/>
        </w:rPr>
        <w:t>[89]</w:t>
      </w:r>
      <w:r w:rsidR="00864CD3" w:rsidRPr="00D22AA7">
        <w:rPr>
          <w:rFonts w:ascii="Times" w:hAnsi="Times" w:cs="Arial"/>
          <w:color w:val="222222"/>
        </w:rPr>
        <w:fldChar w:fldCharType="end"/>
      </w:r>
      <w:r w:rsidR="00864CD3" w:rsidRPr="00D22AA7">
        <w:rPr>
          <w:rFonts w:ascii="Times" w:hAnsi="Times" w:cs="Arial"/>
          <w:color w:val="222222"/>
        </w:rPr>
        <w:t>.</w:t>
      </w:r>
    </w:p>
    <w:p w14:paraId="5B447081" w14:textId="52B452DB" w:rsidR="00864CD3" w:rsidRDefault="00864CD3" w:rsidP="10F2265A">
      <w:pPr>
        <w:shd w:val="clear" w:color="auto" w:fill="FFFFFF" w:themeFill="background1"/>
        <w:ind w:firstLine="480"/>
        <w:jc w:val="both"/>
        <w:rPr>
          <w:rFonts w:ascii="Times" w:hAnsi="Times" w:cs="Arial"/>
          <w:color w:val="222222"/>
        </w:rPr>
      </w:pPr>
      <w:r w:rsidRPr="00D22AA7">
        <w:rPr>
          <w:rFonts w:ascii="Times" w:hAnsi="Times" w:cs="Arial"/>
          <w:color w:val="222222"/>
        </w:rPr>
        <w:t xml:space="preserve">Nanoparticles used in drug delivery can be broadly categorized into organic and inorganic types. Organic nanoparticles, such as liposomes, </w:t>
      </w:r>
      <w:proofErr w:type="spellStart"/>
      <w:r w:rsidRPr="00D22AA7">
        <w:rPr>
          <w:rFonts w:ascii="Times" w:hAnsi="Times" w:cs="Arial"/>
          <w:color w:val="222222"/>
        </w:rPr>
        <w:t>polymersomes</w:t>
      </w:r>
      <w:proofErr w:type="spellEnd"/>
      <w:r w:rsidRPr="00D22AA7">
        <w:rPr>
          <w:rFonts w:ascii="Times" w:hAnsi="Times" w:cs="Arial"/>
          <w:color w:val="222222"/>
        </w:rPr>
        <w:t>, polymeric constructs, and micelles, have been extensively studied for their applications in imaging, drug delivery, and gene therapy. These systems offer biocompatibility and versatility in encapsulating therapeutic agents. On the other hand, inorganic nanoparticles, despite their highly material- and size-dependent physicochemical properties, have also gained significant attention due to their unique characteristics, such as optical, magnetic, and electronic properties</w:t>
      </w:r>
      <w:r w:rsidR="00CF6A25">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{"citationID":"fMbBvJOv","properties":{"formattedCitation":"[90]","plainCitation":"[90]","noteIndex":0},"citationItems":[{"id":680,"uris":["http://zotero.org/users/9439317/items/WC5G9TVE"],"itemData":{"id":680,"type":"chapter","container-title":"Nanostructures for Antimicrobial Therapy","ISBN":"978-0-323-46152-8","note":"DOI: https://doi.org/10.1016/B978-0-323-46152-8.00014-7","page":"325-340","publisher":"Elsevier","title":"Chapter 14 - Preparation and Antimicrobial Activity of Inorganic Nanoparticles: Promising Solutions to Fight Antibiotic Resistance","URL":"https://www.sciencedirect.com/science/article/pii/B9780323461528000147","author":[{"family":"Boboc","given":"Marius"},{"family":"Curti","given":"Filis"},{"family":"Fleacă","given":"Amalia M"},{"family":"Jianu","given":"Mădălina L"},{"family":"Roşu","given":"Ana-Maria"},{"family":"Curutiu","given":"Carmen"},{"family":"Lazar","given":"Veronica"},{"family":"Chifiriuc","given":"Mariana C"},{"family":"Grumezescu","given":"Alexandru Mihai"}],"editor":[{"family":"Ficai","given":"Anton"},{"family":"Grumezescu","given":"Alexandru Mihai"}],"issued":{"date-parts":[["2017"]]}}}],"schema":"https://github.com/citation-style-language/schema/raw/master/csl-citation.json"}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[90]</w:t>
      </w:r>
      <w:r w:rsidRPr="00D22AA7">
        <w:rPr>
          <w:rFonts w:ascii="Times" w:hAnsi="Times" w:cs="Arial"/>
          <w:color w:val="222222"/>
        </w:rPr>
        <w:fldChar w:fldCharType="end"/>
      </w:r>
      <w:r w:rsidR="00CF6A25">
        <w:rPr>
          <w:rFonts w:ascii="Times" w:hAnsi="Times" w:cs="Arial"/>
          <w:color w:val="222222"/>
        </w:rPr>
        <w:t>.</w:t>
      </w:r>
    </w:p>
    <w:p w14:paraId="54CDA73C" w14:textId="77777777" w:rsidR="00A417B6" w:rsidRPr="00D22AA7" w:rsidRDefault="00A417B6" w:rsidP="10F2265A">
      <w:pPr>
        <w:shd w:val="clear" w:color="auto" w:fill="FFFFFF" w:themeFill="background1"/>
        <w:ind w:firstLine="480"/>
        <w:jc w:val="both"/>
        <w:rPr>
          <w:rFonts w:ascii="Times" w:hAnsi="Times" w:cs="Arial"/>
          <w:color w:val="222222"/>
        </w:rPr>
      </w:pPr>
    </w:p>
    <w:p w14:paraId="18CC94DB" w14:textId="48C5F590" w:rsidR="00FE0BAA" w:rsidRPr="00D22AA7" w:rsidRDefault="0067242C" w:rsidP="0DE242D6">
      <w:pPr>
        <w:shd w:val="clear" w:color="auto" w:fill="FFFFFF" w:themeFill="background1"/>
        <w:ind w:firstLine="480"/>
        <w:jc w:val="both"/>
        <w:rPr>
          <w:rFonts w:ascii="Times" w:hAnsi="Times" w:cs="Arial"/>
          <w:b/>
          <w:bCs/>
          <w:color w:val="222222"/>
        </w:rPr>
      </w:pPr>
      <w:r w:rsidRPr="00D22AA7">
        <w:rPr>
          <w:rFonts w:ascii="Times" w:hAnsi="Times" w:cs="Arial"/>
          <w:b/>
          <w:bCs/>
          <w:color w:val="222222"/>
        </w:rPr>
        <w:t xml:space="preserve">3.1. </w:t>
      </w:r>
      <w:r w:rsidR="00D45672" w:rsidRPr="00D22AA7">
        <w:rPr>
          <w:rFonts w:ascii="Times" w:hAnsi="Times" w:cs="Arial"/>
          <w:b/>
          <w:bCs/>
          <w:color w:val="222222"/>
        </w:rPr>
        <w:t>Liposomes</w:t>
      </w:r>
    </w:p>
    <w:p w14:paraId="5A76DC4F" w14:textId="799F08CA" w:rsidR="00FE0BAA" w:rsidRDefault="00FE0BAA" w:rsidP="10F2265A">
      <w:pPr>
        <w:shd w:val="clear" w:color="auto" w:fill="FFFFFF" w:themeFill="background1"/>
        <w:ind w:firstLine="480"/>
        <w:jc w:val="both"/>
        <w:rPr>
          <w:rFonts w:ascii="Times" w:hAnsi="Times" w:cs="Arial"/>
          <w:color w:val="222222"/>
        </w:rPr>
      </w:pPr>
      <w:r w:rsidRPr="00D22AA7">
        <w:rPr>
          <w:rFonts w:ascii="Times" w:hAnsi="Times" w:cs="Arial"/>
          <w:color w:val="222222"/>
        </w:rPr>
        <w:t xml:space="preserve">Liposomes are spherical vesicles composed of a phospholipid bilayer surrounding an aqueous core, making them versatile carriers for both hydrophobic and hydrophilic drugs. </w:t>
      </w:r>
      <w:r w:rsidR="1733E078" w:rsidRPr="00D22AA7">
        <w:rPr>
          <w:rFonts w:ascii="Times" w:hAnsi="Times" w:cs="Arial"/>
          <w:color w:val="222222"/>
        </w:rPr>
        <w:t>The h</w:t>
      </w:r>
      <w:r w:rsidRPr="00D22AA7">
        <w:rPr>
          <w:rFonts w:ascii="Times" w:hAnsi="Times" w:cs="Arial"/>
          <w:color w:val="222222"/>
        </w:rPr>
        <w:t>ydrophobic drugs  incorporate</w:t>
      </w:r>
      <w:r w:rsidR="7C6D4D51" w:rsidRPr="00D22AA7">
        <w:rPr>
          <w:rFonts w:ascii="Times" w:hAnsi="Times" w:cs="Arial"/>
          <w:color w:val="222222"/>
        </w:rPr>
        <w:t>s</w:t>
      </w:r>
      <w:r w:rsidRPr="00D22AA7">
        <w:rPr>
          <w:rFonts w:ascii="Times" w:hAnsi="Times" w:cs="Arial"/>
          <w:color w:val="222222"/>
        </w:rPr>
        <w:t xml:space="preserve"> into the </w:t>
      </w:r>
      <w:r w:rsidR="3999EC83" w:rsidRPr="00D22AA7">
        <w:rPr>
          <w:rFonts w:ascii="Times" w:hAnsi="Times" w:cs="Arial"/>
          <w:color w:val="222222"/>
        </w:rPr>
        <w:t xml:space="preserve">site of </w:t>
      </w:r>
      <w:r w:rsidRPr="00D22AA7">
        <w:rPr>
          <w:rFonts w:ascii="Times" w:hAnsi="Times" w:cs="Arial"/>
          <w:color w:val="222222"/>
        </w:rPr>
        <w:t>phospholipid bilayer,</w:t>
      </w:r>
      <w:r w:rsidR="00880335">
        <w:rPr>
          <w:rFonts w:ascii="Times" w:hAnsi="Times" w:cs="Arial"/>
          <w:color w:val="222222"/>
        </w:rPr>
        <w:t xml:space="preserve"> while</w:t>
      </w:r>
      <w:r w:rsidRPr="00D22AA7">
        <w:rPr>
          <w:rFonts w:ascii="Times" w:hAnsi="Times" w:cs="Arial"/>
          <w:color w:val="222222"/>
        </w:rPr>
        <w:t xml:space="preserve"> hydrophilic drugs can be encapsulated within the</w:t>
      </w:r>
      <w:r w:rsidR="36BBD54E" w:rsidRPr="00D22AA7">
        <w:rPr>
          <w:rFonts w:ascii="Times" w:hAnsi="Times" w:cs="Arial"/>
          <w:color w:val="222222"/>
        </w:rPr>
        <w:t xml:space="preserve"> region of </w:t>
      </w:r>
      <w:r w:rsidRPr="00D22AA7">
        <w:rPr>
          <w:rFonts w:ascii="Times" w:hAnsi="Times" w:cs="Arial"/>
          <w:color w:val="222222"/>
        </w:rPr>
        <w:t xml:space="preserve"> aqueous core</w:t>
      </w:r>
      <w:r w:rsidR="007C6CA9"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{"citationID":"GJf3gc4e","properties":{"formattedCitation":"[91]","plainCitation":"[91]","noteIndex":0},"citationItems":[{"id":2426,"uris":["http://zotero.org/users/9439317/items/GWUWYEAY"],"itemData":{"id":2426,"type":"article-journal","abstract":"The present investigation reports the development of liposomes for the co-delivery of naturally occurring polyphenols, namely quercetin and resveratrol. Small, spherical, uni/bilamellar vesicles were produced, as demonstrated by light scattering, cryo-TEM, SAXS. The incorporation of quercetin and resveratrol in liposomes did not affect their intrinsic antioxidant activity, as DPPH radical was almost completely inhibited. The cellular uptake of the polyphenols was higher when they were formulated in liposomes, and especially when co-loaded rather than as single agents, which resulted in a superior ability to scavenge ROS in fibroblasts. The in vivo efficacy of the polyphenols in liposomes was assessed in a mouse model of skin lesion. The topical administration of liposomes led to a remarkable amelioration of the tissue damage, with a significant reduction of oedema and leukocyte infiltration. Therefore, the proposed approach based on polyphenol vesicular formulation may be of value in the treatment of inflammation/oxidative stress associated with pre-cancerous/cancerous skin lesions.","container-title":"International Journal of Pharmaceutics","DOI":"10.1016/j.ijpharm.2016.09.014","ISSN":"0378-5173","issue":"1","journalAbbreviation":"International Journal of Pharmaceutics","page":"153-163","title":"Effect of quercetin and resveratrol co-incorporated in liposomes against inflammatory/oxidative response associated with skin cancer","URL":"https://www.sciencedirect.com/science/article/pii/S0378517316308353","volume":"513","author":[{"family":"Caddeo","given":"Carla"},{"family":"Nacher","given":"Amparo"},{"family":"Vassallo","given":"Antonio"},{"family":"Armentano","given":"Maria Francesca"},{"family":"Pons","given":"Ramon"},{"family":"Fernàndez-Busquets","given":"Xavier"},{"family":"Carbone","given":"Claudia"},{"family":"Valenti","given":"Donatella"},{"family":"Fadda","given":"Anna Maria"},{"family":"Manconi","given":"Maria"}],"issued":{"date-parts":[["2016",11,20]]}}}],"schema":"https://github.com/citation-style-language/schema/raw/master/csl-citation.json"}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[91]</w:t>
      </w:r>
      <w:r w:rsidRPr="00D22AA7">
        <w:rPr>
          <w:rFonts w:ascii="Times" w:hAnsi="Times" w:cs="Arial"/>
          <w:color w:val="222222"/>
        </w:rPr>
        <w:fldChar w:fldCharType="end"/>
      </w:r>
      <w:r w:rsidRPr="00D22AA7">
        <w:rPr>
          <w:rFonts w:ascii="Times" w:hAnsi="Times" w:cs="Arial"/>
          <w:color w:val="222222"/>
        </w:rPr>
        <w:t xml:space="preserve">. The structure of </w:t>
      </w:r>
      <w:proofErr w:type="gramStart"/>
      <w:r w:rsidRPr="00D22AA7">
        <w:rPr>
          <w:rFonts w:ascii="Times" w:hAnsi="Times" w:cs="Arial"/>
          <w:color w:val="222222"/>
        </w:rPr>
        <w:t>liposomes  tailored</w:t>
      </w:r>
      <w:proofErr w:type="gramEnd"/>
      <w:r w:rsidR="38E41177" w:rsidRPr="00D22AA7">
        <w:rPr>
          <w:rFonts w:ascii="Times" w:hAnsi="Times" w:cs="Arial"/>
          <w:color w:val="222222"/>
        </w:rPr>
        <w:t xml:space="preserve"> </w:t>
      </w:r>
      <w:r w:rsidRPr="00D22AA7">
        <w:rPr>
          <w:rFonts w:ascii="Times" w:hAnsi="Times" w:cs="Arial"/>
          <w:color w:val="222222"/>
        </w:rPr>
        <w:t>to achieve specific therapeutic outcomes, such as by attaching small molecules like antibodies or ligands to their surface, enabling targeted delivery to specific cells</w:t>
      </w:r>
      <w:r w:rsidR="00355104">
        <w:rPr>
          <w:rFonts w:ascii="Times" w:hAnsi="Times" w:cs="Arial"/>
          <w:color w:val="222222"/>
        </w:rPr>
        <w:t xml:space="preserve"> (figure 5)</w:t>
      </w:r>
      <w:r w:rsidRPr="00D22AA7">
        <w:rPr>
          <w:rFonts w:ascii="Times" w:hAnsi="Times" w:cs="Arial"/>
          <w:color w:val="222222"/>
        </w:rPr>
        <w:t>. Liposomes also offer controlled drug release under specific conditions, such as changes in pH, enzymatic activity, or exposure to ultrasound. Additionally, they provide protection to drugs from degradation, such as photodegradation caused by UV light. For instance, trans-resveratrol (RSV) encapsulated in liposomes remains 70% intact for 16 minutes, compared to free RSV, which degrades more rapidly</w:t>
      </w:r>
      <w:r w:rsidR="007C6CA9"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{"citationID":"ypwpxcef","properties":{"formattedCitation":"[92]","plainCitation":"[92]","noteIndex":0},"citationItems":[{"id":2557,"uris":["http://zotero.org/users/9439317/items/QXYZ8G5H"],"itemData":{"id":2557,"type":"article-journal","abstract":"Multifunctional lipid nanocarriers are a promising therapeutic approach for controlled drug release in cancer therapy. Combining the widely used liposome structure with magnetic nanoparticles in magnetoliposomes allies, the advantages of using liposomes include the possibility to magnetically guide, selectively accumulate, and magnetically control the release of drugs on target. The effectiveness of these nanosystems is intrinsically related to the individual characteristics of the two main components—lipid formulation and magnetic nanoparticles—and their physicochemical combination. Herein, shape-anisotropic calcium-substituted magnesium ferrite nanoparticles (Ca0.25Mg0.75Fe2O4) were prepared for the ﬁrst time, improving the magnetic properties of spherical counterparts. The nanoparticles revealed a superparamagnetic behavior, high saturation magnetization (50.07 emu/g at 300 K), and a large heating capacity. Furthermore, a new method for the synthesis of solid magnetoliposomes (SMLs) was developed to enhance their magnetic response. The manufacturing technicalities were optimized with different lipid compositions (DPPC, DPPC/Ch, and DPPC/DSPE-PEG) originating nanosystems with optimal sizes for biomedical applications (around or below 150 nm) and low polydispersity index. The high encapsulation efﬁciency of doxorubicin in these magnetoliposomes was proven, as well as the ability of the drug-loaded nanosystems to interact with cell membrane models and release DOX by fusion. SMLs revealed to reduce doxorubicin interaction with human serum albumin, contributing to a prolonged bioavailability of the drug upon systemic administration. Finally, the drug release kinetic assays revealed a preferable DOX release at hyperthermia temperatures (42 </w:instrText>
      </w:r>
      <w:r w:rsidR="0056095D">
        <w:rPr>
          <w:color w:val="222222"/>
        </w:rPr>
        <w:instrText>◦</w:instrText>
      </w:r>
      <w:r w:rsidR="0056095D">
        <w:rPr>
          <w:rFonts w:ascii="Times" w:hAnsi="Times" w:cs="Arial"/>
          <w:color w:val="222222"/>
        </w:rPr>
        <w:instrText xml:space="preserve">C) and acidic conditions (pH = 5.5), indicating them as promising controlled release nanocarriers by either internal (pH) and external (alternate magnetic ﬁeld) stimuli in cancer therapy.","container-title":"Pharmaceutics","DOI":"10.3390/pharmaceutics13081248","ISSN":"1999-4923","issue":"8","journalAbbreviation":"Pharmaceutics","language":"en","page":"1248","source":"DOI.org (Crossref)","title":"Magnetoliposomes Based on Shape Anisotropic Calcium/Magnesium Ferrite Nanoparticles as Nanocarriers for Doxorubicin","URL":"https://www.mdpi.com/1999-4923/13/8/1248","volume":"13","author":[{"family":"Cardoso","given":"Beatriz D."},{"family":"Rodrigues","given":"Ana Rita O."},{"family":"Bañobre-López","given":"Manuel"},{"family":"Almeida","given":"Bernardo G."},{"family":"Amorim","given":"Carlos O."},{"family":"Amaral","given":"Vítor S."},{"family":"Coutinho","given":"Paulo J. G."},{"family":"Castanheira","given":"Elisabete M. S."}],"accessed":{"date-parts":[["2023",5,31]]},"issued":{"date-parts":[["2021",8,12]]}}}],"schema":"https://github.com/citation-style-language/schema/raw/master/csl-citation.json"}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[92]</w:t>
      </w:r>
      <w:r w:rsidRPr="00D22AA7">
        <w:rPr>
          <w:rFonts w:ascii="Times" w:hAnsi="Times" w:cs="Arial"/>
          <w:color w:val="222222"/>
        </w:rPr>
        <w:fldChar w:fldCharType="end"/>
      </w:r>
      <w:r w:rsidRPr="00D22AA7">
        <w:rPr>
          <w:rFonts w:ascii="Times" w:hAnsi="Times" w:cs="Arial"/>
          <w:color w:val="222222"/>
        </w:rPr>
        <w:t>.</w:t>
      </w:r>
    </w:p>
    <w:p w14:paraId="3379709C" w14:textId="77777777" w:rsidR="00A417B6" w:rsidRPr="00D22AA7" w:rsidRDefault="00A417B6" w:rsidP="10F2265A">
      <w:pPr>
        <w:shd w:val="clear" w:color="auto" w:fill="FFFFFF" w:themeFill="background1"/>
        <w:ind w:firstLine="480"/>
        <w:jc w:val="both"/>
        <w:rPr>
          <w:rFonts w:ascii="Times" w:hAnsi="Times" w:cs="Arial"/>
          <w:color w:val="222222"/>
        </w:rPr>
      </w:pPr>
    </w:p>
    <w:p w14:paraId="04248090" w14:textId="23625DB7" w:rsidR="00FE0BAA" w:rsidRDefault="00A417B6" w:rsidP="0DE242D6">
      <w:pPr>
        <w:shd w:val="clear" w:color="auto" w:fill="FFFFFF" w:themeFill="background1"/>
        <w:ind w:firstLine="480"/>
        <w:jc w:val="both"/>
        <w:rPr>
          <w:rFonts w:ascii="Times" w:hAnsi="Times"/>
        </w:rPr>
      </w:pPr>
      <w:r>
        <w:rPr>
          <w:rFonts w:ascii="Times" w:hAnsi="Times"/>
        </w:rPr>
        <w:t xml:space="preserve">                                 </w:t>
      </w:r>
      <w:r w:rsidR="6173300C" w:rsidRPr="00D22AA7">
        <w:rPr>
          <w:rFonts w:ascii="Times" w:hAnsi="Times"/>
          <w:noProof/>
        </w:rPr>
        <w:drawing>
          <wp:inline distT="0" distB="0" distL="0" distR="0" wp14:anchorId="69596495" wp14:editId="5383D713">
            <wp:extent cx="3514725" cy="2152650"/>
            <wp:effectExtent l="0" t="0" r="0" b="0"/>
            <wp:docPr id="1118237307" name="Picture 1118237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3514725" cy="2152650"/>
                    </a:xfrm>
                    <a:prstGeom prst="rect">
                      <a:avLst/>
                    </a:prstGeom>
                  </pic:spPr>
                </pic:pic>
              </a:graphicData>
            </a:graphic>
          </wp:inline>
        </w:drawing>
      </w:r>
    </w:p>
    <w:p w14:paraId="4DE752EA" w14:textId="77777777" w:rsidR="00E84A65" w:rsidRPr="00D22AA7" w:rsidRDefault="00E84A65" w:rsidP="0DE242D6">
      <w:pPr>
        <w:shd w:val="clear" w:color="auto" w:fill="FFFFFF" w:themeFill="background1"/>
        <w:ind w:firstLine="480"/>
        <w:jc w:val="both"/>
        <w:rPr>
          <w:rFonts w:ascii="Times" w:hAnsi="Times"/>
        </w:rPr>
      </w:pPr>
    </w:p>
    <w:p w14:paraId="616B01C3" w14:textId="03415535" w:rsidR="00FE0BAA" w:rsidRDefault="6173300C" w:rsidP="0DE242D6">
      <w:pPr>
        <w:shd w:val="clear" w:color="auto" w:fill="FFFFFF" w:themeFill="background1"/>
        <w:ind w:firstLine="480"/>
        <w:jc w:val="both"/>
        <w:rPr>
          <w:rFonts w:ascii="Times" w:eastAsia="Helvetica" w:hAnsi="Times" w:cs="Helvetica"/>
          <w:color w:val="2E2E2E"/>
          <w:sz w:val="20"/>
          <w:szCs w:val="20"/>
        </w:rPr>
      </w:pPr>
      <w:r w:rsidRPr="009E1465">
        <w:rPr>
          <w:rFonts w:ascii="Times" w:hAnsi="Times"/>
          <w:b/>
          <w:bCs/>
          <w:sz w:val="20"/>
          <w:szCs w:val="20"/>
        </w:rPr>
        <w:t>Figure 5.</w:t>
      </w:r>
      <w:r w:rsidRPr="009E1465">
        <w:rPr>
          <w:rFonts w:ascii="Times" w:hAnsi="Times"/>
          <w:sz w:val="20"/>
          <w:szCs w:val="20"/>
        </w:rPr>
        <w:t xml:space="preserve"> </w:t>
      </w:r>
      <w:r w:rsidRPr="009E1465">
        <w:rPr>
          <w:rFonts w:ascii="Times" w:eastAsia="Helvetica" w:hAnsi="Times" w:cs="Helvetica"/>
          <w:color w:val="2E2E2E"/>
          <w:sz w:val="20"/>
          <w:szCs w:val="20"/>
        </w:rPr>
        <w:t>Schematic representation of liposomes.</w:t>
      </w:r>
      <w:r w:rsidR="005A0DE4" w:rsidRPr="009E1465">
        <w:rPr>
          <w:rFonts w:ascii="Times" w:eastAsia="Helvetica" w:hAnsi="Times" w:cs="Helvetica"/>
          <w:color w:val="2E2E2E"/>
          <w:sz w:val="20"/>
          <w:szCs w:val="20"/>
        </w:rPr>
        <w:t xml:space="preserve"> Reprinted from </w:t>
      </w:r>
      <w:r w:rsidR="005A0DE4" w:rsidRPr="009E1465">
        <w:rPr>
          <w:rFonts w:ascii="Times" w:eastAsia="Helvetica" w:hAnsi="Times" w:cs="Helvetica"/>
          <w:color w:val="2E2E2E"/>
          <w:sz w:val="20"/>
          <w:szCs w:val="20"/>
        </w:rPr>
        <w:fldChar w:fldCharType="begin"/>
      </w:r>
      <w:r w:rsidR="0056095D">
        <w:rPr>
          <w:rFonts w:ascii="Times" w:eastAsia="Helvetica" w:hAnsi="Times" w:cs="Helvetica"/>
          <w:color w:val="2E2E2E"/>
          <w:sz w:val="20"/>
          <w:szCs w:val="20"/>
        </w:rPr>
        <w:instrText xml:space="preserve"> ADDIN ZOTERO_ITEM CSL_CITATION {"citationID":"wUveEvcH","properties":{"formattedCitation":"[93]","plainCitation":"[93]","noteIndex":0},"citationItems":[{"id":16030,"uris":["http://zotero.org/users/9439317/items/UMQ5IVB3"],"itemData":{"id":16030,"type":"article-journal","container-title":"Heliyon","DOI":"10.1016/j.heliyon.2022.e09394","ISSN":"2405-8440","issue":"5","note":"publisher: Elsevier","title":"Liposomes: structure, composition, types, and clinical applications","URL":"https://doi.org/10.1016/j.heliyon.2022.e09394","volume":"8","author":[{"family":"Nsairat","given":"Hamdi"},{"family":"Khater","given":"Dima"},{"family":"Sayed","given":"Usama"},{"family":"Odeh","given":"Fadwa"},{"family":"Al Bawab","given":"Abeer"},{"family":"Alshaer","given":"Walhan"}],"accessed":{"date-parts":[["2025",2,19]]},"issued":{"date-parts":[["2022",5,1]]}}}],"schema":"https://github.com/citation-style-language/schema/raw/master/csl-citation.json"} </w:instrText>
      </w:r>
      <w:r w:rsidR="005A0DE4" w:rsidRPr="009E1465">
        <w:rPr>
          <w:rFonts w:ascii="Times" w:eastAsia="Helvetica" w:hAnsi="Times" w:cs="Helvetica"/>
          <w:color w:val="2E2E2E"/>
          <w:sz w:val="20"/>
          <w:szCs w:val="20"/>
        </w:rPr>
        <w:fldChar w:fldCharType="separate"/>
      </w:r>
      <w:r w:rsidR="0056095D">
        <w:rPr>
          <w:rFonts w:ascii="Times" w:eastAsia="Helvetica" w:hAnsi="Times" w:cs="Helvetica"/>
          <w:noProof/>
          <w:color w:val="2E2E2E"/>
          <w:sz w:val="20"/>
          <w:szCs w:val="20"/>
        </w:rPr>
        <w:t>[93]</w:t>
      </w:r>
      <w:r w:rsidR="005A0DE4" w:rsidRPr="009E1465">
        <w:rPr>
          <w:rFonts w:ascii="Times" w:eastAsia="Helvetica" w:hAnsi="Times" w:cs="Helvetica"/>
          <w:color w:val="2E2E2E"/>
          <w:sz w:val="20"/>
          <w:szCs w:val="20"/>
        </w:rPr>
        <w:fldChar w:fldCharType="end"/>
      </w:r>
      <w:r w:rsidR="005A0DE4" w:rsidRPr="009E1465">
        <w:rPr>
          <w:rFonts w:ascii="Times" w:eastAsia="Helvetica" w:hAnsi="Times" w:cs="Helvetica"/>
          <w:color w:val="2E2E2E"/>
          <w:sz w:val="20"/>
          <w:szCs w:val="20"/>
        </w:rPr>
        <w:t>. Under CC BY license.</w:t>
      </w:r>
    </w:p>
    <w:p w14:paraId="3A6EE400" w14:textId="77777777" w:rsidR="00E84A65" w:rsidRPr="009E1465" w:rsidRDefault="00E84A65" w:rsidP="0DE242D6">
      <w:pPr>
        <w:shd w:val="clear" w:color="auto" w:fill="FFFFFF" w:themeFill="background1"/>
        <w:ind w:firstLine="480"/>
        <w:jc w:val="both"/>
        <w:rPr>
          <w:rFonts w:ascii="Times" w:hAnsi="Times"/>
          <w:sz w:val="20"/>
          <w:szCs w:val="20"/>
        </w:rPr>
      </w:pPr>
    </w:p>
    <w:p w14:paraId="7AEDFCA4" w14:textId="5DEB17C8" w:rsidR="0067242C" w:rsidRDefault="00FE0BAA" w:rsidP="0067242C">
      <w:pPr>
        <w:shd w:val="clear" w:color="auto" w:fill="FFFFFF" w:themeFill="background1"/>
        <w:ind w:firstLine="480"/>
        <w:jc w:val="both"/>
        <w:rPr>
          <w:rFonts w:ascii="Times" w:hAnsi="Times" w:cs="Arial"/>
          <w:color w:val="222222"/>
        </w:rPr>
      </w:pPr>
      <w:r w:rsidRPr="00D22AA7">
        <w:rPr>
          <w:rFonts w:ascii="Times" w:hAnsi="Times" w:cs="Arial"/>
          <w:color w:val="222222"/>
        </w:rPr>
        <w:t>The preparation of liposomes is highly dependent on their intended characteristics, including</w:t>
      </w:r>
      <w:r w:rsidR="1A35D27C" w:rsidRPr="00D22AA7">
        <w:rPr>
          <w:rFonts w:ascii="Times" w:hAnsi="Times" w:cs="Arial"/>
          <w:color w:val="222222"/>
        </w:rPr>
        <w:t xml:space="preserve"> size, drug properties, solvent type</w:t>
      </w:r>
      <w:r w:rsidRPr="00D22AA7">
        <w:rPr>
          <w:rFonts w:ascii="Times" w:hAnsi="Times" w:cs="Arial"/>
          <w:color w:val="222222"/>
        </w:rPr>
        <w:t xml:space="preserve"> half-life,</w:t>
      </w:r>
      <w:r w:rsidR="5FE7F7BF" w:rsidRPr="00D22AA7">
        <w:rPr>
          <w:rFonts w:ascii="Times" w:hAnsi="Times" w:cs="Arial"/>
          <w:color w:val="222222"/>
        </w:rPr>
        <w:t xml:space="preserve"> </w:t>
      </w:r>
      <w:r w:rsidRPr="00D22AA7">
        <w:rPr>
          <w:rFonts w:ascii="Times" w:hAnsi="Times" w:cs="Arial"/>
          <w:color w:val="222222"/>
        </w:rPr>
        <w:t>and t</w:t>
      </w:r>
      <w:r w:rsidR="50638E49" w:rsidRPr="00D22AA7">
        <w:rPr>
          <w:rFonts w:ascii="Times" w:hAnsi="Times" w:cs="Arial"/>
          <w:color w:val="222222"/>
        </w:rPr>
        <w:t>he compounds</w:t>
      </w:r>
      <w:r w:rsidRPr="00D22AA7">
        <w:rPr>
          <w:rFonts w:ascii="Times" w:hAnsi="Times" w:cs="Arial"/>
          <w:color w:val="222222"/>
        </w:rPr>
        <w:t xml:space="preserve"> used. One common method for synthesizing liposomes is thin-film hydration, where lipids are dissolved in an organic solvent, followed by evaporation to form a thin film, which is then dispersed in an aqueous solution. Other techniques include </w:t>
      </w:r>
      <w:r w:rsidR="6DBEED12" w:rsidRPr="00D22AA7">
        <w:rPr>
          <w:rFonts w:ascii="Times" w:hAnsi="Times" w:cs="Arial"/>
          <w:color w:val="222222"/>
        </w:rPr>
        <w:t xml:space="preserve">such as dehydration–rehydration, solvent injection, </w:t>
      </w:r>
      <w:r w:rsidRPr="00D22AA7">
        <w:rPr>
          <w:rFonts w:ascii="Times" w:hAnsi="Times" w:cs="Arial"/>
          <w:color w:val="222222"/>
        </w:rPr>
        <w:t>reverse-phase evaporation,</w:t>
      </w:r>
      <w:r w:rsidR="722DA7BB" w:rsidRPr="00D22AA7">
        <w:rPr>
          <w:rFonts w:ascii="Times" w:hAnsi="Times" w:cs="Arial"/>
          <w:color w:val="222222"/>
        </w:rPr>
        <w:t xml:space="preserve"> </w:t>
      </w:r>
      <w:r w:rsidRPr="00D22AA7">
        <w:rPr>
          <w:rFonts w:ascii="Times" w:hAnsi="Times" w:cs="Arial"/>
          <w:color w:val="222222"/>
        </w:rPr>
        <w:t>and microfluidic-based methods, which are particularly useful for achieving high drug encapsulation efficiency</w:t>
      </w:r>
      <w:r w:rsidR="006171C6" w:rsidRPr="00D22AA7">
        <w:rPr>
          <w:rFonts w:ascii="Times" w:hAnsi="Times" w:cs="Arial"/>
          <w:color w:val="222222"/>
        </w:rPr>
        <w:t xml:space="preserve"> </w:t>
      </w:r>
      <w:r w:rsidRPr="00D22AA7">
        <w:rPr>
          <w:rFonts w:ascii="Times" w:hAnsi="Times" w:cs="Arial"/>
          <w:color w:val="222222"/>
        </w:rPr>
        <w:fldChar w:fldCharType="begin"/>
      </w:r>
      <w:r w:rsidR="0056095D">
        <w:rPr>
          <w:rFonts w:ascii="Times" w:hAnsi="Times" w:cs="Arial"/>
          <w:color w:val="222222"/>
        </w:rPr>
        <w:instrText xml:space="preserve"> ADDIN ZOTERO_ITEM CSL_CITATION {"citationID":"u1FVHzEJ","properties":{"formattedCitation":"[94]","plainCitation":"[94]","noteIndex":0},"citationItems":[{"id":4563,"uris":["http://zotero.org/users/9439317/items/LQXSDTGX"],"itemData":{"id":4563,"type":"article-journal","abstract":"Abstract\n\nMultidrug resistance (MDR) is a major impediment to cancer treatment. A promising strategy for treating MDR is the joint delivery of combined anticancer agents to tumor cells in a single nanocarrier. Here, for the first time, Resveratrol (Res) was co-encapsulated with paclitaxel (PTX) in a PEGylated liposome to construct a carrier-delivered form of combination therapy for drug-resistant tumors. The composite liposome had an average diameter of 50</w:instrText>
      </w:r>
      <w:r w:rsidR="0056095D">
        <w:rPr>
          <w:color w:val="222222"/>
        </w:rPr>
        <w:instrText> </w:instrText>
      </w:r>
      <w:r w:rsidR="0056095D">
        <w:rPr>
          <w:rFonts w:ascii="Times" w:hAnsi="Times" w:cs="Arial"/>
          <w:color w:val="222222"/>
        </w:rPr>
        <w:instrText>nm with encapsulated efficiencies of above 50%. The studies demonstrated that the composite liposome could generate potent cytotoxicity against the drug-resistant MCF-7/Adr tumor cells\nin vitro\nand enhance the bioavailability and the tumor-retention of the drugs\nin vivo\n. Moreover, systemic therapy with the composite liposome effectively inhibited drug-resistant tumor in mice (\np\n&lt;</w:instrText>
      </w:r>
      <w:r w:rsidR="0056095D">
        <w:rPr>
          <w:color w:val="222222"/>
        </w:rPr>
        <w:instrText> </w:instrText>
      </w:r>
      <w:r w:rsidR="0056095D">
        <w:rPr>
          <w:rFonts w:ascii="Times" w:hAnsi="Times" w:cs="Arial"/>
          <w:color w:val="222222"/>
        </w:rPr>
        <w:instrText xml:space="preserve">0.01), without any notable increase in the toxicity. These results suggested that the co-delivery of Res and a cytotoxic agent in a nanocarrier may potentially improve the treatment of drug-resistant tumors.","container-title":"Scientific Reports","DOI":"10.1038/srep22390","ISSN":"2045-2322","issue":"1","journalAbbreviation":"Sci Rep","language":"en","page":"22390","source":"DOI.org (Crossref)","title":"Combination Therapy using Co-encapsulated Resveratrol and Paclitaxel in Liposomes for Drug Resistance Reversal in Breast Cancer Cells in vivo","URL":"https://www.nature.com/articles/srep22390","volume":"6","author":[{"family":"Meng","given":"Jie"},{"family":"Guo","given":"Fangqin"},{"family":"Xu","given":"Haiyan"},{"family":"Liang","given":"Wei"},{"family":"Wang","given":"Chen"},{"family":"Yang","given":"Xian-Da"}],"accessed":{"date-parts":[["2023",3,7]]},"issued":{"date-parts":[["2016",3,7]]}}}],"schema":"https://github.com/citation-style-language/schema/raw/master/csl-citation.json"} </w:instrText>
      </w:r>
      <w:r w:rsidRPr="00D22AA7">
        <w:rPr>
          <w:rFonts w:ascii="Times" w:hAnsi="Times" w:cs="Arial"/>
          <w:color w:val="222222"/>
        </w:rPr>
        <w:fldChar w:fldCharType="separate"/>
      </w:r>
      <w:r w:rsidR="0056095D">
        <w:rPr>
          <w:rFonts w:ascii="Times" w:hAnsi="Times" w:cs="Arial"/>
          <w:noProof/>
          <w:color w:val="222222"/>
        </w:rPr>
        <w:t>[94]</w:t>
      </w:r>
      <w:r w:rsidRPr="00D22AA7">
        <w:rPr>
          <w:rFonts w:ascii="Times" w:hAnsi="Times" w:cs="Arial"/>
          <w:color w:val="222222"/>
        </w:rPr>
        <w:fldChar w:fldCharType="end"/>
      </w:r>
      <w:r w:rsidRPr="00D22AA7">
        <w:rPr>
          <w:rFonts w:ascii="Times" w:hAnsi="Times" w:cs="Arial"/>
          <w:color w:val="222222"/>
        </w:rPr>
        <w:t xml:space="preserve">. </w:t>
      </w:r>
    </w:p>
    <w:p w14:paraId="368C49A2" w14:textId="77777777" w:rsidR="00A417B6" w:rsidRPr="00D22AA7" w:rsidRDefault="00A417B6" w:rsidP="00E84A65">
      <w:pPr>
        <w:shd w:val="clear" w:color="auto" w:fill="FFFFFF" w:themeFill="background1"/>
        <w:jc w:val="both"/>
        <w:rPr>
          <w:rFonts w:ascii="Times" w:hAnsi="Times" w:cs="Arial"/>
          <w:color w:val="222222"/>
        </w:rPr>
      </w:pPr>
    </w:p>
    <w:p w14:paraId="455F9550" w14:textId="77777777" w:rsidR="0067242C" w:rsidRPr="00D22AA7" w:rsidRDefault="0067242C" w:rsidP="0067242C">
      <w:pPr>
        <w:shd w:val="clear" w:color="auto" w:fill="FFFFFF" w:themeFill="background1"/>
        <w:ind w:firstLine="480"/>
        <w:jc w:val="both"/>
        <w:rPr>
          <w:rFonts w:ascii="Times" w:hAnsi="Times" w:cs="Arial"/>
          <w:color w:val="222222"/>
        </w:rPr>
      </w:pPr>
    </w:p>
    <w:p w14:paraId="68C8B4A0" w14:textId="4387D997" w:rsidR="0067242C" w:rsidRDefault="0067242C" w:rsidP="0067242C">
      <w:pPr>
        <w:shd w:val="clear" w:color="auto" w:fill="FFFFFF" w:themeFill="background1"/>
        <w:ind w:firstLine="480"/>
        <w:jc w:val="both"/>
        <w:rPr>
          <w:rFonts w:ascii="Times" w:hAnsi="Times"/>
          <w:b/>
          <w:bCs/>
          <w:color w:val="000000" w:themeColor="text1"/>
        </w:rPr>
      </w:pPr>
      <w:r w:rsidRPr="00D22AA7">
        <w:rPr>
          <w:rFonts w:ascii="Times" w:hAnsi="Times"/>
          <w:b/>
          <w:bCs/>
          <w:color w:val="000000" w:themeColor="text1"/>
        </w:rPr>
        <w:t>3.2. Solid Lipid Nanoparticles</w:t>
      </w:r>
    </w:p>
    <w:p w14:paraId="3427CF1F" w14:textId="77777777" w:rsidR="00E84A65" w:rsidRPr="00D22AA7" w:rsidRDefault="00E84A65" w:rsidP="0067242C">
      <w:pPr>
        <w:shd w:val="clear" w:color="auto" w:fill="FFFFFF" w:themeFill="background1"/>
        <w:ind w:firstLine="480"/>
        <w:jc w:val="both"/>
        <w:rPr>
          <w:rFonts w:ascii="Times" w:hAnsi="Times"/>
          <w:b/>
          <w:bCs/>
          <w:color w:val="000000" w:themeColor="text1"/>
        </w:rPr>
      </w:pPr>
    </w:p>
    <w:p w14:paraId="04A0EBE3" w14:textId="0D6C6689" w:rsidR="0067242C" w:rsidRPr="00D22AA7" w:rsidRDefault="0067242C" w:rsidP="0067242C">
      <w:pPr>
        <w:shd w:val="clear" w:color="auto" w:fill="FFFFFF" w:themeFill="background1"/>
        <w:ind w:firstLine="480"/>
        <w:jc w:val="both"/>
        <w:rPr>
          <w:rFonts w:ascii="Times" w:hAnsi="Times" w:cs="Arial"/>
          <w:color w:val="222222"/>
        </w:rPr>
      </w:pPr>
      <w:r w:rsidRPr="00D22AA7">
        <w:rPr>
          <w:rFonts w:ascii="Times" w:hAnsi="Times"/>
          <w:color w:val="000000" w:themeColor="text1"/>
        </w:rPr>
        <w:t>The Solid lipid nanoparticle  are  ranging from 40 to 1000 nm in diameter</w:t>
      </w:r>
      <w:r w:rsidRPr="00D22AA7">
        <w:rPr>
          <w:rFonts w:ascii="Times" w:hAnsi="Times"/>
          <w:color w:val="000000" w:themeColor="text1"/>
        </w:rPr>
        <w:fldChar w:fldCharType="begin"/>
      </w:r>
      <w:r w:rsidR="0056095D">
        <w:rPr>
          <w:rFonts w:ascii="Times" w:hAnsi="Times"/>
          <w:color w:val="000000" w:themeColor="text1"/>
        </w:rPr>
        <w:instrText xml:space="preserve"> ADDIN ZOTERO_ITEM CSL_CITATION {"citationID":"or1lFygS","properties":{"formattedCitation":"[95]","plainCitation":"[95]","noteIndex":0},"citationItems":[{"id":2415,"uris":["http://zotero.org/users/9439317/items/3AFSJAY9"],"itemData":{"id":2415,"type":"article-journal","container-title":"Pharmaceutics","ISSN":"1999-4923","issue":"3","journalAbbreviation":"Pharmaceutics","note":"publisher: MDPI","page":"831","title":"Solid Lipid Nanoparticles: Multitasking Nano-Carriers for Cancer Treatment","volume":"15","author":[{"family":"German-Cortés","given":"Júlia"},{"family":"Vilar-Hernández","given":"Mireia"},{"family":"Rafael","given":"Diana"},{"family":"Abasolo","given":"Ibane"},{"family":"Andrade","given":"Fernanda"}],"issued":{"date-parts":[["2023"]]}}}],"schema":"https://github.com/citation-style-language/schema/raw/master/csl-citation.json"} </w:instrText>
      </w:r>
      <w:r w:rsidRPr="00D22AA7">
        <w:rPr>
          <w:rFonts w:ascii="Times" w:hAnsi="Times"/>
          <w:color w:val="000000" w:themeColor="text1"/>
        </w:rPr>
        <w:fldChar w:fldCharType="separate"/>
      </w:r>
      <w:r w:rsidR="0056095D">
        <w:rPr>
          <w:rFonts w:ascii="Times" w:hAnsi="Times"/>
          <w:noProof/>
          <w:color w:val="000000" w:themeColor="text1"/>
        </w:rPr>
        <w:t>[95]</w:t>
      </w:r>
      <w:r w:rsidRPr="00D22AA7">
        <w:rPr>
          <w:rFonts w:ascii="Times" w:hAnsi="Times"/>
          <w:color w:val="000000" w:themeColor="text1"/>
        </w:rPr>
        <w:fldChar w:fldCharType="end"/>
      </w:r>
      <w:r w:rsidRPr="00D22AA7">
        <w:rPr>
          <w:rFonts w:ascii="Times" w:hAnsi="Times"/>
          <w:color w:val="000000" w:themeColor="text1"/>
        </w:rPr>
        <w:t xml:space="preserve">. SLNs play </w:t>
      </w:r>
      <w:proofErr w:type="spellStart"/>
      <w:r w:rsidRPr="00D22AA7">
        <w:rPr>
          <w:rFonts w:ascii="Times" w:hAnsi="Times"/>
          <w:color w:val="000000" w:themeColor="text1"/>
        </w:rPr>
        <w:t>a</w:t>
      </w:r>
      <w:proofErr w:type="spellEnd"/>
      <w:r w:rsidRPr="00D22AA7">
        <w:rPr>
          <w:rFonts w:ascii="Times" w:hAnsi="Times"/>
          <w:color w:val="000000" w:themeColor="text1"/>
        </w:rPr>
        <w:t xml:space="preserve"> important role in drug protection from  being hydrolysis and oxidation while significantly enhancing their bioavailability </w:t>
      </w:r>
      <w:r w:rsidRPr="00D22AA7">
        <w:rPr>
          <w:rFonts w:ascii="Times" w:hAnsi="Times"/>
          <w:color w:val="000000" w:themeColor="text1"/>
        </w:rPr>
        <w:fldChar w:fldCharType="begin"/>
      </w:r>
      <w:r w:rsidR="0056095D">
        <w:rPr>
          <w:rFonts w:ascii="Times" w:hAnsi="Times"/>
          <w:color w:val="000000" w:themeColor="text1"/>
        </w:rPr>
        <w:instrText xml:space="preserve"> ADDIN ZOTERO_ITEM CSL_CITATION {"citationID":"zWNLvpGJ","properties":{"formattedCitation":"[96]","plainCitation":"[96]","noteIndex":0},"citationItems":[{"id":2457,"uris":["http://zotero.org/users/9439317/items/KYVD9DD8"],"itemData":{"id":2457,"type":"article-journal","abstract":"Resveratrol is a potent anticancer. However, because of its low half-life (&lt;0.25h) the molecule is difficult to achieve the therapeutic concentration at the site of action. The aim of this work was to check the brain targeting ability of glyceryl behenate-based solid lipid nanoparticles (SLN) for resveratrol. SLN were prepared by solvent evaporation technique employing high speed homogenization followed by ultrasonication. SLN were designed at varying drug–lipid ratios (1:5, 1:9, 1:10, 1:11, 1:12 and 1:15) using Tween 80 or a combination of Tween 80 and polyvinyl alcohol (PVA) as surfactants. The mean particle size and zeta potential of the optimized formulation (drug–lipid ratio of 1:10) were 248.30±3.80nm and −25.49±0.49mV, respectively. The particle size and the encapsulation efficiency (EE) increased when varying the drug–lipid ratio from 1:5 to 1:15. Scanning electron microscopic (SEM) analysis showed that SLN were spherical in shape and had a smooth surface. The X-ray diffraction (XRD) and differential scanning calorimetry (DSC) analyses revealed that the matrix of drug-loaded SLN was in disordered crystalline phase. The in vitro release study in phosphate buffer pH 7.4 followed a sustained release pattern. The drug release data was found to fit best into Higuchi kinetic model suggesting the diffusion controlled mechanism of drug release. The cytotoxicity assay (MAT) showed that SLN were equally effective (P&lt;0.5) as free resveratrol, as an anti-tumor agent. The in vivo biodistribution study using Wistar rats demonstrated that SLN could significantly (P&lt;0.001) increase the brain concentration of resveratrol (17.28±0.6344μg/g) as compared to free resveratrol (3.45±0.3961μg/g). The results showed that our resveratrol-loaded SLN serve as promising therapeutic systems to treat neoplastic diseases located in the brain tissue.","container-title":"International Journal of Pharmaceutics","DOI":"10.1016/j.ijpharm.2014.08.003","ISSN":"0378-5173","issue":"1","journalAbbreviation":"International Journal of Pharmaceutics","page":"6-13","title":"In vivo pharmacokinetics and biodistribution of resveratrol-loaded solid lipid nanoparticles for brain delivery","URL":"https://www.sciencedirect.com/science/article/pii/S0378517314005584","volume":"474","author":[{"family":"Jose","given":"S."},{"family":"Anju","given":"S.S."},{"family":"Cinu","given":"T.A."},{"family":"Aleykutty","given":"N.A."},{"family":"Thomas","given":"S."},{"family":"Souto","given":"E.B."}],"issued":{"date-parts":[["2014",10,20]]}}}],"schema":"https://github.com/citation-style-language/schema/raw/master/csl-citation.json"} </w:instrText>
      </w:r>
      <w:r w:rsidRPr="00D22AA7">
        <w:rPr>
          <w:rFonts w:ascii="Times" w:hAnsi="Times"/>
          <w:color w:val="000000" w:themeColor="text1"/>
        </w:rPr>
        <w:fldChar w:fldCharType="separate"/>
      </w:r>
      <w:r w:rsidR="0056095D">
        <w:rPr>
          <w:rFonts w:ascii="Times" w:hAnsi="Times"/>
          <w:noProof/>
          <w:color w:val="000000" w:themeColor="text1"/>
        </w:rPr>
        <w:t>[96]</w:t>
      </w:r>
      <w:r w:rsidRPr="00D22AA7">
        <w:rPr>
          <w:rFonts w:ascii="Times" w:hAnsi="Times"/>
          <w:color w:val="000000" w:themeColor="text1"/>
        </w:rPr>
        <w:fldChar w:fldCharType="end"/>
      </w:r>
      <w:r w:rsidR="00F20076">
        <w:rPr>
          <w:rFonts w:ascii="Times" w:hAnsi="Times"/>
          <w:color w:val="000000" w:themeColor="text1"/>
        </w:rPr>
        <w:t xml:space="preserve"> (figure 6) </w:t>
      </w:r>
      <w:r w:rsidRPr="00D22AA7">
        <w:rPr>
          <w:rFonts w:ascii="Times" w:hAnsi="Times"/>
          <w:color w:val="000000" w:themeColor="text1"/>
        </w:rPr>
        <w:t xml:space="preserve">.I In a subsequent study, SLNs were successfully employed to deliver RSV to skin keratinocytes for skin cancer treatment. Fluorescence imaging provided compelling evidence that SLNs smaller than 180 nm exhibit rapid transmembrane migration. Once inside the cells, they disperse efficiently throughout the cytoplasm, progressively moving through various cellular layers and ultimately localizing in the perinuclear region—all without inducing cytotoxic effects. This efficient intracellular trafficking highlights their potential as a safe and effective drug delivery system. Furthermore, the sustained release of RSV from SLNs enhanced its bioavailability, prolonged its therapeutic effects, and improved its stability against enzymatic degradation. These findings underscore the promise of SLNs as a targeted delivery platform for RSV, paving the way for advanced nanocarrier-based strategies in skin cancer therapy </w:t>
      </w:r>
      <w:r w:rsidRPr="00D22AA7">
        <w:rPr>
          <w:rFonts w:ascii="Times" w:hAnsi="Times"/>
          <w:color w:val="000000" w:themeColor="text1"/>
        </w:rPr>
        <w:fldChar w:fldCharType="begin"/>
      </w:r>
      <w:r w:rsidR="0056095D">
        <w:rPr>
          <w:rFonts w:ascii="Times" w:hAnsi="Times"/>
          <w:color w:val="000000" w:themeColor="text1"/>
        </w:rPr>
        <w:instrText xml:space="preserve"> ADDIN ZOTERO_ITEM CSL_CITATION {"citationID":"ewNOucc9","properties":{"formattedCitation":"[91]","plainCitation":"[91]","noteIndex":0},"citationItems":[{"id":2426,"uris":["http://zotero.org/users/9439317/items/GWUWYEAY"],"itemData":{"id":2426,"type":"article-journal","abstract":"The present investigation reports the development of liposomes for the co-delivery of naturally occurring polyphenols, namely quercetin and resveratrol. Small, spherical, uni/bilamellar vesicles were produced, as demonstrated by light scattering, cryo-TEM, SAXS. The incorporation of quercetin and resveratrol in liposomes did not affect their intrinsic antioxidant activity, as DPPH radical was almost completely inhibited. The cellular uptake of the polyphenols was higher when they were formulated in liposomes, and especially when co-loaded rather than as single agents, which resulted in a superior ability to scavenge ROS in fibroblasts. The in vivo efficacy of the polyphenols in liposomes was assessed in a mouse model of skin lesion. The topical administration of liposomes led to a remarkable amelioration of the tissue damage, with a significant reduction of oedema and leukocyte infiltration. Therefore, the proposed approach based on polyphenol vesicular formulation may be of value in the treatment of inflammation/oxidative stress associated with pre-cancerous/cancerous skin lesions.","container-title":"International Journal of Pharmaceutics","DOI":"10.1016/j.ijpharm.2016.09.014","ISSN":"0378-5173","issue":"1","journalAbbreviation":"International Journal of Pharmaceutics","page":"153-163","title":"Effect of quercetin and resveratrol co-incorporated in liposomes against inflammatory/oxidative response associated with skin cancer","URL":"https://www.sciencedirect.com/science/article/pii/S0378517316308353","volume":"513","author":[{"family":"Caddeo","given":"Carla"},{"family":"Nacher","given":"Amparo"},{"family":"Vassallo","given":"Antonio"},{"family":"Armentano","given":"Maria Francesca"},{"family":"Pons","given":"Ramon"},{"family":"Fernàndez-Busquets","given":"Xavier"},{"family":"Carbone","given":"Claudia"},{"family":"Valenti","given":"Donatella"},{"family":"Fadda","given":"Anna Maria"},{"family":"Manconi","given":"Maria"}],"issued":{"date-parts":[["2016",11,20]]}}}],"schema":"https://github.com/citation-style-language/schema/raw/master/csl-citation.json"} </w:instrText>
      </w:r>
      <w:r w:rsidRPr="00D22AA7">
        <w:rPr>
          <w:rFonts w:ascii="Times" w:hAnsi="Times"/>
          <w:color w:val="000000" w:themeColor="text1"/>
        </w:rPr>
        <w:fldChar w:fldCharType="separate"/>
      </w:r>
      <w:r w:rsidR="0056095D">
        <w:rPr>
          <w:rFonts w:ascii="Times" w:hAnsi="Times"/>
          <w:noProof/>
          <w:color w:val="000000" w:themeColor="text1"/>
        </w:rPr>
        <w:t>[91]</w:t>
      </w:r>
      <w:r w:rsidRPr="00D22AA7">
        <w:rPr>
          <w:rFonts w:ascii="Times" w:hAnsi="Times"/>
          <w:color w:val="000000" w:themeColor="text1"/>
        </w:rPr>
        <w:fldChar w:fldCharType="end"/>
      </w:r>
      <w:r w:rsidRPr="00D22AA7">
        <w:rPr>
          <w:rFonts w:ascii="Times" w:hAnsi="Times"/>
          <w:color w:val="000000" w:themeColor="text1"/>
        </w:rPr>
        <w:t>.</w:t>
      </w:r>
    </w:p>
    <w:p w14:paraId="707F3B45" w14:textId="7DF2AB8A" w:rsidR="0067242C" w:rsidRPr="00D22AA7" w:rsidRDefault="0067242C" w:rsidP="0067242C">
      <w:pPr>
        <w:rPr>
          <w:rFonts w:ascii="Times" w:hAnsi="Times"/>
          <w:b/>
          <w:bCs/>
          <w:i/>
          <w:iCs/>
          <w:color w:val="000000" w:themeColor="text1"/>
          <w:sz w:val="22"/>
          <w:szCs w:val="22"/>
        </w:rPr>
      </w:pPr>
      <w:r w:rsidRPr="00D22AA7">
        <w:rPr>
          <w:rFonts w:ascii="Times" w:hAnsi="Times"/>
          <w:b/>
          <w:bCs/>
          <w:i/>
          <w:iCs/>
          <w:color w:val="000000" w:themeColor="text1"/>
          <w:sz w:val="22"/>
          <w:szCs w:val="22"/>
        </w:rPr>
        <w:t xml:space="preserve">                                                 </w:t>
      </w:r>
      <w:r w:rsidRPr="00D22AA7">
        <w:rPr>
          <w:rFonts w:ascii="Times" w:hAnsi="Times"/>
          <w:noProof/>
        </w:rPr>
        <w:drawing>
          <wp:inline distT="0" distB="0" distL="0" distR="0" wp14:anchorId="48A4E836" wp14:editId="41FC101B">
            <wp:extent cx="3037694" cy="2020262"/>
            <wp:effectExtent l="0" t="0" r="0" b="0"/>
            <wp:docPr id="1830676674" name="Picture 1830676674" descr="Diagram of a yellow ball with red dots and blue threa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676674" name="Picture 1830676674" descr="Diagram of a yellow ball with red dots and blue threads&#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037694" cy="2020262"/>
                    </a:xfrm>
                    <a:prstGeom prst="rect">
                      <a:avLst/>
                    </a:prstGeom>
                  </pic:spPr>
                </pic:pic>
              </a:graphicData>
            </a:graphic>
          </wp:inline>
        </w:drawing>
      </w:r>
    </w:p>
    <w:p w14:paraId="6AED3868" w14:textId="79E35429" w:rsidR="0067242C" w:rsidRPr="009E1465" w:rsidRDefault="0067242C" w:rsidP="0067242C">
      <w:pPr>
        <w:rPr>
          <w:rFonts w:ascii="Times" w:hAnsi="Times"/>
          <w:sz w:val="20"/>
          <w:szCs w:val="20"/>
        </w:rPr>
      </w:pPr>
      <w:r w:rsidRPr="009E1465">
        <w:rPr>
          <w:rFonts w:ascii="Times" w:hAnsi="Times"/>
          <w:b/>
          <w:bCs/>
          <w:i/>
          <w:iCs/>
          <w:color w:val="000000" w:themeColor="text1"/>
          <w:sz w:val="20"/>
          <w:szCs w:val="20"/>
        </w:rPr>
        <w:t xml:space="preserve">                                               </w:t>
      </w:r>
      <w:r w:rsidRPr="009E1465">
        <w:rPr>
          <w:rFonts w:ascii="Times" w:hAnsi="Times"/>
          <w:b/>
          <w:bCs/>
          <w:color w:val="000000" w:themeColor="text1"/>
          <w:sz w:val="20"/>
          <w:szCs w:val="20"/>
        </w:rPr>
        <w:t>Figure 6.</w:t>
      </w:r>
      <w:r w:rsidRPr="009E1465">
        <w:rPr>
          <w:rFonts w:ascii="Times" w:hAnsi="Times"/>
          <w:color w:val="000000" w:themeColor="text1"/>
          <w:sz w:val="20"/>
          <w:szCs w:val="20"/>
        </w:rPr>
        <w:t xml:space="preserve"> Solid Lipid Nanoparticles</w:t>
      </w:r>
      <w:r w:rsidR="0012157B" w:rsidRPr="009E1465">
        <w:rPr>
          <w:rFonts w:ascii="Times" w:hAnsi="Times"/>
          <w:color w:val="000000" w:themeColor="text1"/>
          <w:sz w:val="20"/>
          <w:szCs w:val="20"/>
        </w:rPr>
        <w:t xml:space="preserve"> </w:t>
      </w:r>
      <w:r w:rsidR="0012157B" w:rsidRPr="009E1465">
        <w:rPr>
          <w:rFonts w:ascii="Times" w:hAnsi="Times"/>
          <w:color w:val="000000" w:themeColor="text1"/>
          <w:sz w:val="20"/>
          <w:szCs w:val="20"/>
        </w:rPr>
        <w:fldChar w:fldCharType="begin"/>
      </w:r>
      <w:r w:rsidR="0056095D">
        <w:rPr>
          <w:rFonts w:ascii="Times" w:hAnsi="Times"/>
          <w:color w:val="000000" w:themeColor="text1"/>
          <w:sz w:val="20"/>
          <w:szCs w:val="20"/>
        </w:rPr>
        <w:instrText xml:space="preserve"> ADDIN ZOTERO_ITEM CSL_CITATION {"citationID":"7TW1b56R","properties":{"formattedCitation":"[97]","plainCitation":"[97]","noteIndex":0},"citationItems":[{"id":16032,"uris":["http://zotero.org/users/9439317/items/78Y3QZUT"],"itemData":{"id":16032,"type":"article-journal","abstract":"Solid lipid nanoparticles (SLNs) are one of the developed technologies for addressing the bioavailability and targeting issues of drug delivery. In this review article, we attempted to incorporate all the essential details of SLNs like various methods of preparation, different models of SLNs, updated characterization methods, in vivo behavior (uptake), their applications, route of administration as well as advancements taken place in the field of delivery of biological drugs like gene vector, new adjuvant for vaccines, protein, and peptide with SLNs. Surface modified SLNs hold excellent potential for targeted and controlled drug delivery which is discussed and summarized. Based on the available data, the future success of SLNs is widened because they could be easily fabricated with various functionalities which would display enormous potential for targeting and diagnosing various diseases. This review would help the budding researchers to find out the unexplored areas of SLNs with the present discussion that reframes the potential of SLNs by gathering the various research findings of SLNs in tabular form along with the approved patent technologies of SLNs.","archive":"PubMed","archive_location":"35517874","container-title":"Adv Pharm Bull","DOI":"10.34172/apb.2022.007","ISSN":"2228-5881","issue":"1","journalAbbreviation":"Adv Pharm Bull","language":"eng","page":"17-33","title":"A Recent Update: Solid Lipid Nanoparticles for Effective Drug Delivery","URL":"http://europepmc.org/abstract/MED/35517874","volume":"12","author":[{"family":"Pandey","given":"Sonia"},{"family":"Shaikh","given":"Farhinbanu"},{"family":"Gupta","given":"Arti"},{"family":"Tripathi","given":"Purnima"},{"family":"Yadav","given":"Jitendra Singh"}],"issued":{"date-parts":[["2022",1]]}}}],"schema":"https://github.com/citation-style-language/schema/raw/master/csl-citation.json"} </w:instrText>
      </w:r>
      <w:r w:rsidR="0012157B" w:rsidRPr="009E1465">
        <w:rPr>
          <w:rFonts w:ascii="Times" w:hAnsi="Times"/>
          <w:color w:val="000000" w:themeColor="text1"/>
          <w:sz w:val="20"/>
          <w:szCs w:val="20"/>
        </w:rPr>
        <w:fldChar w:fldCharType="separate"/>
      </w:r>
      <w:r w:rsidR="0056095D">
        <w:rPr>
          <w:rFonts w:ascii="Times" w:hAnsi="Times"/>
          <w:noProof/>
          <w:color w:val="000000" w:themeColor="text1"/>
          <w:sz w:val="20"/>
          <w:szCs w:val="20"/>
        </w:rPr>
        <w:t>[97]</w:t>
      </w:r>
      <w:r w:rsidR="0012157B" w:rsidRPr="009E1465">
        <w:rPr>
          <w:rFonts w:ascii="Times" w:hAnsi="Times"/>
          <w:color w:val="000000" w:themeColor="text1"/>
          <w:sz w:val="20"/>
          <w:szCs w:val="20"/>
        </w:rPr>
        <w:fldChar w:fldCharType="end"/>
      </w:r>
    </w:p>
    <w:p w14:paraId="64139497" w14:textId="77777777" w:rsidR="0067242C" w:rsidRPr="00D22AA7" w:rsidRDefault="0067242C" w:rsidP="0067242C">
      <w:pPr>
        <w:shd w:val="clear" w:color="auto" w:fill="FFFFFF" w:themeFill="background1"/>
        <w:jc w:val="both"/>
        <w:rPr>
          <w:rFonts w:ascii="Times" w:hAnsi="Times" w:cs="Arial"/>
          <w:noProof/>
          <w:color w:val="222222"/>
        </w:rPr>
      </w:pPr>
    </w:p>
    <w:p w14:paraId="688B4214" w14:textId="0619020D" w:rsidR="00386CA0" w:rsidRPr="00D22AA7" w:rsidRDefault="0067242C" w:rsidP="3300C1C8">
      <w:pPr>
        <w:pStyle w:val="Heading4"/>
        <w:shd w:val="clear" w:color="auto" w:fill="FFFFFF" w:themeFill="background1"/>
        <w:ind w:firstLine="480"/>
        <w:jc w:val="both"/>
        <w:rPr>
          <w:rFonts w:ascii="Times" w:hAnsi="Times" w:cs="Arial"/>
          <w:b/>
          <w:bCs/>
          <w:i w:val="0"/>
          <w:iCs w:val="0"/>
          <w:color w:val="222222"/>
        </w:rPr>
      </w:pPr>
      <w:r w:rsidRPr="00D22AA7">
        <w:rPr>
          <w:rFonts w:ascii="Times" w:hAnsi="Times" w:cs="Arial"/>
          <w:b/>
          <w:bCs/>
          <w:i w:val="0"/>
          <w:iCs w:val="0"/>
          <w:color w:val="222222"/>
        </w:rPr>
        <w:t xml:space="preserve">3.3.  </w:t>
      </w:r>
      <w:r w:rsidR="66779EFB" w:rsidRPr="00D22AA7">
        <w:rPr>
          <w:rFonts w:ascii="Times" w:hAnsi="Times" w:cs="Arial"/>
          <w:b/>
          <w:bCs/>
          <w:i w:val="0"/>
          <w:iCs w:val="0"/>
          <w:color w:val="222222"/>
        </w:rPr>
        <w:t>Polymeric Nanoparticles</w:t>
      </w:r>
    </w:p>
    <w:p w14:paraId="081DEE63" w14:textId="6A9E4DF2" w:rsidR="00EF3134" w:rsidRPr="00D22AA7" w:rsidRDefault="4A281999" w:rsidP="003D4574">
      <w:pPr>
        <w:jc w:val="both"/>
        <w:rPr>
          <w:rFonts w:ascii="Times" w:hAnsi="Times"/>
        </w:rPr>
      </w:pPr>
      <w:r w:rsidRPr="00D22AA7">
        <w:rPr>
          <w:rFonts w:ascii="Times" w:hAnsi="Times"/>
        </w:rPr>
        <w:t>Polymeric nanoparticles are made up of different polymer matrices that encapsulate various substances,</w:t>
      </w:r>
      <w:r w:rsidR="4DA63F23" w:rsidRPr="00D22AA7">
        <w:rPr>
          <w:rFonts w:ascii="Times" w:hAnsi="Times"/>
        </w:rPr>
        <w:t xml:space="preserve"> including</w:t>
      </w:r>
      <w:r w:rsidR="3AA1A6F3" w:rsidRPr="00D22AA7">
        <w:rPr>
          <w:rFonts w:ascii="Times" w:hAnsi="Times"/>
        </w:rPr>
        <w:t xml:space="preserve"> poly(methacrylic acid)</w:t>
      </w:r>
      <w:r w:rsidR="4DA63F23" w:rsidRPr="00D22AA7">
        <w:rPr>
          <w:rFonts w:ascii="Times" w:hAnsi="Times"/>
        </w:rPr>
        <w:t xml:space="preserve">, poly(acrylic acid), , poly(lactic acid) (PLA), poly(ε-caprolactone) (PCL),polypropylene imine (PPI), </w:t>
      </w:r>
      <w:r w:rsidR="484151FE" w:rsidRPr="00D22AA7">
        <w:rPr>
          <w:rFonts w:ascii="Times" w:hAnsi="Times"/>
        </w:rPr>
        <w:t xml:space="preserve">albumin, </w:t>
      </w:r>
      <w:r w:rsidR="4DA63F23" w:rsidRPr="00D22AA7">
        <w:rPr>
          <w:rFonts w:ascii="Times" w:hAnsi="Times"/>
        </w:rPr>
        <w:t xml:space="preserve">zein, </w:t>
      </w:r>
      <w:r w:rsidR="7C0D802A" w:rsidRPr="00D22AA7">
        <w:rPr>
          <w:rFonts w:ascii="Times" w:hAnsi="Times"/>
        </w:rPr>
        <w:t xml:space="preserve">silk, and </w:t>
      </w:r>
      <w:r w:rsidR="4DA63F23" w:rsidRPr="00D22AA7">
        <w:rPr>
          <w:rFonts w:ascii="Times" w:hAnsi="Times"/>
        </w:rPr>
        <w:t>gelatin</w:t>
      </w:r>
      <w:r w:rsidR="44E16D6D" w:rsidRPr="00D22AA7">
        <w:rPr>
          <w:rFonts w:ascii="Times" w:hAnsi="Times"/>
        </w:rPr>
        <w:t xml:space="preserve"> </w:t>
      </w:r>
      <w:r w:rsidR="00EF3134" w:rsidRPr="00D22AA7">
        <w:rPr>
          <w:rFonts w:ascii="Times" w:hAnsi="Times"/>
        </w:rPr>
        <w:fldChar w:fldCharType="begin"/>
      </w:r>
      <w:r w:rsidR="0056095D">
        <w:rPr>
          <w:rFonts w:ascii="Times" w:hAnsi="Times"/>
        </w:rPr>
        <w:instrText xml:space="preserve"> ADDIN ZOTERO_ITEM CSL_CITATION {"citationID":"xeh4oKO3","properties":{"formattedCitation":"[98]","plainCitation":"[98]","noteIndex":0},"citationItems":[{"id":2300,"uris":["http://zotero.org/users/9439317/items/F695PZBG"],"itemData":{"id":2300,"type":"article-journal","abstract":"Advances in nanotechnology have favored the development of novel colloidal formulations able to modulate the pharmacological and biopharmaceutical properties of drugs. The peculiar physico-chemical and technological properties of nanomaterial-based therapeutics have allowed for several successful applications in the treatment of cancer. The size, shape, charge and patterning of nanoscale therapeutic molecules are parameters that need to be investigated and modulated in order to promote and optimize cell and tissue interaction. In this review, the use of polymeric nanoparticles as drug delivery systems of anticancer compounds, their physico-chemical properties and their ability to be efﬁciently localized in speciﬁc tumor tissues have been described. The nanoencapsulation of antitumor active compounds in polymeric systems is a promising approach to improve the efﬁcacy of various tumor treatments.","container-title":"Frontiers in Pharmacology","DOI":"10.3389/fphar.2021.601626","ISSN":"1663-9812","journalAbbreviation":"Front. Pharmacol.","language":"en","page":"601626","source":"DOI.org (Crossref)","title":"Biodegradable Polymeric Nanoparticles for Drug Delivery to Solid Tumors","URL":"https://www.frontiersin.org/articles/10.3389/fphar.2021.601626/full","volume":"12","author":[{"family":"Gagliardi","given":"Agnese"},{"family":"Giuliano","given":"Elena"},{"family":"Venkateswararao","given":"Eeda"},{"family":"Fresta","given":"Massimo"},{"family":"Bulotta","given":"Stefania"},{"family":"Awasthi","given":"Vibhudutta"},{"family":"Cosco","given":"Donato"}],"accessed":{"date-parts":[["2023",3,4]]},"issued":{"date-parts":[["2021",2,3]]}}}],"schema":"https://github.com/citation-style-language/schema/raw/master/csl-citation.json"} </w:instrText>
      </w:r>
      <w:r w:rsidR="00EF3134" w:rsidRPr="00D22AA7">
        <w:rPr>
          <w:rFonts w:ascii="Times" w:hAnsi="Times"/>
        </w:rPr>
        <w:fldChar w:fldCharType="separate"/>
      </w:r>
      <w:r w:rsidR="0056095D">
        <w:rPr>
          <w:rFonts w:ascii="Times" w:hAnsi="Times"/>
          <w:noProof/>
        </w:rPr>
        <w:t>[98]</w:t>
      </w:r>
      <w:r w:rsidR="00EF3134" w:rsidRPr="00D22AA7">
        <w:rPr>
          <w:rFonts w:ascii="Times" w:hAnsi="Times"/>
        </w:rPr>
        <w:fldChar w:fldCharType="end"/>
      </w:r>
      <w:r w:rsidR="00596117">
        <w:rPr>
          <w:rFonts w:ascii="Times" w:hAnsi="Times"/>
        </w:rPr>
        <w:t xml:space="preserve"> (figure 7)</w:t>
      </w:r>
      <w:r w:rsidR="4DA63F23" w:rsidRPr="00D22AA7">
        <w:rPr>
          <w:rFonts w:ascii="Times" w:hAnsi="Times"/>
        </w:rPr>
        <w:t xml:space="preserve">. Encapsulating drugs within a polymeric matrix protects them from degradation, enables sustained release, and enhances therapeutic efficacy. Furthermore, structural modifications of polymeric nanoparticles facilitate targeted delivery to tumor cells  </w:t>
      </w:r>
      <w:r w:rsidR="00EF3134" w:rsidRPr="00D22AA7">
        <w:rPr>
          <w:rFonts w:ascii="Times" w:hAnsi="Times"/>
        </w:rPr>
        <w:fldChar w:fldCharType="begin"/>
      </w:r>
      <w:r w:rsidR="0056095D">
        <w:rPr>
          <w:rFonts w:ascii="Times" w:hAnsi="Times"/>
        </w:rPr>
        <w:instrText xml:space="preserve"> ADDIN ZOTERO_ITEM CSL_CITATION {"citationID":"bnXca694","properties":{"formattedCitation":"[98]","plainCitation":"[98]","noteIndex":0},"citationItems":[{"id":2300,"uris":["http://zotero.org/users/9439317/items/F695PZBG"],"itemData":{"id":2300,"type":"article-journal","abstract":"Advances in nanotechnology have favored the development of novel colloidal formulations able to modulate the pharmacological and biopharmaceutical properties of drugs. The peculiar physico-chemical and technological properties of nanomaterial-based therapeutics have allowed for several successful applications in the treatment of cancer. The size, shape, charge and patterning of nanoscale therapeutic molecules are parameters that need to be investigated and modulated in order to promote and optimize cell and tissue interaction. In this review, the use of polymeric nanoparticles as drug delivery systems of anticancer compounds, their physico-chemical properties and their ability to be efﬁciently localized in speciﬁc tumor tissues have been described. The nanoencapsulation of antitumor active compounds in polymeric systems is a promising approach to improve the efﬁcacy of various tumor treatments.","container-title":"Frontiers in Pharmacology","DOI":"10.3389/fphar.2021.601626","ISSN":"1663-9812","journalAbbreviation":"Front. Pharmacol.","language":"en","page":"601626","source":"DOI.org (Crossref)","title":"Biodegradable Polymeric Nanoparticles for Drug Delivery to Solid Tumors","URL":"https://www.frontiersin.org/articles/10.3389/fphar.2021.601626/full","volume":"12","author":[{"family":"Gagliardi","given":"Agnese"},{"family":"Giuliano","given":"Elena"},{"family":"Venkateswararao","given":"Eeda"},{"family":"Fresta","given":"Massimo"},{"family":"Bulotta","given":"Stefania"},{"family":"Awasthi","given":"Vibhudutta"},{"family":"Cosco","given":"Donato"}],"accessed":{"date-parts":[["2023",3,4]]},"issued":{"date-parts":[["2021",2,3]]}}}],"schema":"https://github.com/citation-style-language/schema/raw/master/csl-citation.json"} </w:instrText>
      </w:r>
      <w:r w:rsidR="00EF3134" w:rsidRPr="00D22AA7">
        <w:rPr>
          <w:rFonts w:ascii="Times" w:hAnsi="Times"/>
        </w:rPr>
        <w:fldChar w:fldCharType="separate"/>
      </w:r>
      <w:r w:rsidR="0056095D">
        <w:rPr>
          <w:rFonts w:ascii="Times" w:hAnsi="Times"/>
          <w:noProof/>
        </w:rPr>
        <w:t>[98]</w:t>
      </w:r>
      <w:r w:rsidR="00EF3134" w:rsidRPr="00D22AA7">
        <w:rPr>
          <w:rFonts w:ascii="Times" w:hAnsi="Times"/>
        </w:rPr>
        <w:fldChar w:fldCharType="end"/>
      </w:r>
      <w:r w:rsidR="4DA63F23" w:rsidRPr="00D22AA7">
        <w:rPr>
          <w:rFonts w:ascii="Times" w:hAnsi="Times"/>
        </w:rPr>
        <w:t>.</w:t>
      </w:r>
    </w:p>
    <w:p w14:paraId="304EAAD5" w14:textId="1AC5BEDB" w:rsidR="412BD665" w:rsidRPr="00D22AA7" w:rsidRDefault="00A0238A" w:rsidP="0DE242D6">
      <w:pPr>
        <w:rPr>
          <w:rFonts w:ascii="Times" w:hAnsi="Times"/>
        </w:rPr>
      </w:pPr>
      <w:r>
        <w:rPr>
          <w:rFonts w:ascii="Times" w:hAnsi="Times"/>
        </w:rPr>
        <w:lastRenderedPageBreak/>
        <w:t xml:space="preserve">                              </w:t>
      </w:r>
      <w:r w:rsidR="412BD665" w:rsidRPr="00D22AA7">
        <w:rPr>
          <w:rFonts w:ascii="Times" w:hAnsi="Times"/>
          <w:noProof/>
        </w:rPr>
        <w:drawing>
          <wp:inline distT="0" distB="0" distL="0" distR="0" wp14:anchorId="45F29001" wp14:editId="7715EC23">
            <wp:extent cx="3723560" cy="3019426"/>
            <wp:effectExtent l="0" t="0" r="0" b="0"/>
            <wp:docPr id="1268620023" name="Picture 126862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3723560" cy="3019426"/>
                    </a:xfrm>
                    <a:prstGeom prst="rect">
                      <a:avLst/>
                    </a:prstGeom>
                  </pic:spPr>
                </pic:pic>
              </a:graphicData>
            </a:graphic>
          </wp:inline>
        </w:drawing>
      </w:r>
    </w:p>
    <w:p w14:paraId="68D9A9D7" w14:textId="023BA41E" w:rsidR="521508EB" w:rsidRDefault="00A0238A" w:rsidP="0DE242D6">
      <w:pPr>
        <w:rPr>
          <w:rFonts w:ascii="Times" w:hAnsi="Times" w:cs="Arial"/>
          <w:color w:val="222222"/>
          <w:sz w:val="20"/>
          <w:szCs w:val="20"/>
        </w:rPr>
      </w:pPr>
      <w:r>
        <w:rPr>
          <w:rFonts w:ascii="Times" w:hAnsi="Times"/>
          <w:b/>
          <w:bCs/>
          <w:sz w:val="20"/>
          <w:szCs w:val="20"/>
        </w:rPr>
        <w:t xml:space="preserve">                                         </w:t>
      </w:r>
      <w:r w:rsidR="521508EB" w:rsidRPr="009E1465">
        <w:rPr>
          <w:rFonts w:ascii="Times" w:hAnsi="Times"/>
          <w:b/>
          <w:bCs/>
          <w:sz w:val="20"/>
          <w:szCs w:val="20"/>
        </w:rPr>
        <w:t xml:space="preserve">Figure </w:t>
      </w:r>
      <w:r w:rsidR="0067242C" w:rsidRPr="009E1465">
        <w:rPr>
          <w:rFonts w:ascii="Times" w:hAnsi="Times"/>
          <w:b/>
          <w:bCs/>
          <w:sz w:val="20"/>
          <w:szCs w:val="20"/>
        </w:rPr>
        <w:t>7</w:t>
      </w:r>
      <w:r w:rsidR="521508EB" w:rsidRPr="009E1465">
        <w:rPr>
          <w:rFonts w:ascii="Times" w:hAnsi="Times"/>
          <w:b/>
          <w:bCs/>
          <w:sz w:val="20"/>
          <w:szCs w:val="20"/>
        </w:rPr>
        <w:t>.</w:t>
      </w:r>
      <w:r w:rsidR="521508EB" w:rsidRPr="009E1465">
        <w:rPr>
          <w:rFonts w:ascii="Times" w:hAnsi="Times"/>
          <w:sz w:val="20"/>
          <w:szCs w:val="20"/>
        </w:rPr>
        <w:t xml:space="preserve"> </w:t>
      </w:r>
      <w:r w:rsidR="0067242C" w:rsidRPr="009E1465">
        <w:rPr>
          <w:rFonts w:ascii="Times" w:hAnsi="Times" w:cs="Arial"/>
          <w:color w:val="222222"/>
          <w:sz w:val="20"/>
          <w:szCs w:val="20"/>
        </w:rPr>
        <w:t>Polymeric Nanoparticles</w:t>
      </w:r>
      <w:r w:rsidR="0012157B" w:rsidRPr="009E1465">
        <w:rPr>
          <w:rFonts w:ascii="Times" w:hAnsi="Times" w:cs="Arial"/>
          <w:color w:val="222222"/>
          <w:sz w:val="20"/>
          <w:szCs w:val="20"/>
        </w:rPr>
        <w:t xml:space="preserve">. Adapted from </w:t>
      </w:r>
      <w:r w:rsidR="0012157B" w:rsidRPr="009E1465">
        <w:rPr>
          <w:rFonts w:ascii="Times" w:hAnsi="Times" w:cs="Arial"/>
          <w:color w:val="222222"/>
          <w:sz w:val="20"/>
          <w:szCs w:val="20"/>
        </w:rPr>
        <w:fldChar w:fldCharType="begin"/>
      </w:r>
      <w:r w:rsidR="0056095D">
        <w:rPr>
          <w:rFonts w:ascii="Times" w:hAnsi="Times" w:cs="Arial"/>
          <w:color w:val="222222"/>
          <w:sz w:val="20"/>
          <w:szCs w:val="20"/>
        </w:rPr>
        <w:instrText xml:space="preserve"> ADDIN ZOTERO_ITEM CSL_CITATION {"citationID":"p4eBF9bT","properties":{"formattedCitation":"[99]","plainCitation":"[99]","noteIndex":0},"citationItems":[{"id":2567,"uris":["http://zotero.org/users/9439317/items/CJM6B6FE"],"itemData":{"id":2567,"type":"article-journal","abstract":"Polymeric nanoparticles (NPs) are particles within the size range from 1 to 1000 nm and can be loaded with active compounds entrapped within or surface-adsorbed onto the polymeric core. The term “nanoparticle” stands for both nanocapsules and nanospheres, which are distinguished by the morphological structure. Polymeric NPs have shown great potential for targeted delivery of drugs for the treatment of several diseases. In this review, we discuss the most commonly used methods for the production and characterization of polymeric NPs, the association e</w:instrText>
      </w:r>
      <w:r w:rsidR="0056095D">
        <w:rPr>
          <w:color w:val="222222"/>
          <w:sz w:val="20"/>
          <w:szCs w:val="20"/>
        </w:rPr>
        <w:instrText>ﬃ</w:instrText>
      </w:r>
      <w:r w:rsidR="0056095D">
        <w:rPr>
          <w:rFonts w:ascii="Times" w:hAnsi="Times" w:cs="Arial"/>
          <w:color w:val="222222"/>
          <w:sz w:val="20"/>
          <w:szCs w:val="20"/>
        </w:rPr>
        <w:instrText xml:space="preserve">ciency of the active compound to the polymeric core, and the in vitro release mechanisms. As the safety of nanoparticles is a high priority, we also discuss the toxicology and ecotoxicology of nanoparticles to humans and to the environment.","container-title":"Molecules","DOI":"10.3390/molecules25163731","ISSN":"1420-3049","issue":"16","journalAbbreviation":"Molecules","language":"en","page":"3731","source":"DOI.org (Crossref)","title":"Polymeric Nanoparticles: Production, Characterization, Toxicology and Ecotoxicology","title-short":"Polymeric Nanoparticles","URL":"https://www.mdpi.com/1420-3049/25/16/3731","volume":"25","author":[{"family":"Zielińska","given":"Aleksandra"},{"family":"Carreiró","given":"Filipa"},{"family":"Oliveira","given":"Ana M."},{"family":"Neves","given":"Andreia"},{"family":"Pires","given":"Bárbara"},{"family":"Venkatesh","given":"D. Nagasamy"},{"family":"Durazzo","given":"Alessandra"},{"family":"Lucarini","given":"Massimo"},{"family":"Eder","given":"Piotr"},{"family":"Silva","given":"Amélia M."},{"family":"Santini","given":"Antonello"},{"family":"Souto","given":"Eliana B."}],"accessed":{"date-parts":[["2023",5,31]]},"issued":{"date-parts":[["2020",8,15]]}}}],"schema":"https://github.com/citation-style-language/schema/raw/master/csl-citation.json"} </w:instrText>
      </w:r>
      <w:r w:rsidR="0012157B" w:rsidRPr="009E1465">
        <w:rPr>
          <w:rFonts w:ascii="Times" w:hAnsi="Times" w:cs="Arial"/>
          <w:color w:val="222222"/>
          <w:sz w:val="20"/>
          <w:szCs w:val="20"/>
        </w:rPr>
        <w:fldChar w:fldCharType="separate"/>
      </w:r>
      <w:r w:rsidR="0056095D">
        <w:rPr>
          <w:rFonts w:ascii="Times" w:hAnsi="Times" w:cs="Arial"/>
          <w:noProof/>
          <w:color w:val="222222"/>
          <w:sz w:val="20"/>
          <w:szCs w:val="20"/>
        </w:rPr>
        <w:t>[99]</w:t>
      </w:r>
      <w:r w:rsidR="0012157B" w:rsidRPr="009E1465">
        <w:rPr>
          <w:rFonts w:ascii="Times" w:hAnsi="Times" w:cs="Arial"/>
          <w:color w:val="222222"/>
          <w:sz w:val="20"/>
          <w:szCs w:val="20"/>
        </w:rPr>
        <w:fldChar w:fldCharType="end"/>
      </w:r>
      <w:r w:rsidR="00B63791" w:rsidRPr="009E1465">
        <w:rPr>
          <w:rFonts w:ascii="Times" w:hAnsi="Times" w:cs="Arial"/>
          <w:color w:val="222222"/>
          <w:sz w:val="20"/>
          <w:szCs w:val="20"/>
        </w:rPr>
        <w:t>.</w:t>
      </w:r>
    </w:p>
    <w:p w14:paraId="4F66379F" w14:textId="77777777" w:rsidR="00E84A65" w:rsidRPr="009E1465" w:rsidRDefault="00E84A65" w:rsidP="0DE242D6">
      <w:pPr>
        <w:rPr>
          <w:rFonts w:ascii="Times" w:hAnsi="Times"/>
          <w:sz w:val="20"/>
          <w:szCs w:val="20"/>
        </w:rPr>
      </w:pPr>
    </w:p>
    <w:p w14:paraId="1AD9E251" w14:textId="58AE2E54" w:rsidR="00FE0BAA" w:rsidRDefault="0EA07EFD" w:rsidP="003D4574">
      <w:pPr>
        <w:jc w:val="both"/>
        <w:rPr>
          <w:rFonts w:ascii="Times" w:hAnsi="Times"/>
        </w:rPr>
      </w:pPr>
      <w:r w:rsidRPr="00D22AA7">
        <w:rPr>
          <w:rFonts w:ascii="Times" w:hAnsi="Times"/>
        </w:rPr>
        <w:t xml:space="preserve">Incorporating RSV into polymeric nanoparticles offers significant advantages, including controlled drug release and protection against light-induced degradation.  Extensive </w:t>
      </w:r>
      <w:r w:rsidR="73F3AADD" w:rsidRPr="00D22AA7">
        <w:rPr>
          <w:rFonts w:ascii="Times" w:hAnsi="Times"/>
        </w:rPr>
        <w:t>research</w:t>
      </w:r>
      <w:r w:rsidRPr="00D22AA7">
        <w:rPr>
          <w:rFonts w:ascii="Times" w:hAnsi="Times"/>
        </w:rPr>
        <w:t xml:space="preserve"> on formulations,</w:t>
      </w:r>
      <w:r w:rsidR="40420A28" w:rsidRPr="00D22AA7">
        <w:rPr>
          <w:rFonts w:ascii="Times" w:hAnsi="Times"/>
        </w:rPr>
        <w:t xml:space="preserve"> machanism of action, and pharmacokinetics </w:t>
      </w:r>
      <w:proofErr w:type="gramStart"/>
      <w:r w:rsidR="40420A28" w:rsidRPr="00D22AA7">
        <w:rPr>
          <w:rFonts w:ascii="Times" w:hAnsi="Times"/>
        </w:rPr>
        <w:t>bring</w:t>
      </w:r>
      <w:r w:rsidRPr="00D22AA7">
        <w:rPr>
          <w:rFonts w:ascii="Times" w:hAnsi="Times"/>
        </w:rPr>
        <w:t xml:space="preserve">  valuable</w:t>
      </w:r>
      <w:proofErr w:type="gramEnd"/>
      <w:r w:rsidRPr="00D22AA7">
        <w:rPr>
          <w:rFonts w:ascii="Times" w:hAnsi="Times"/>
        </w:rPr>
        <w:t xml:space="preserve"> </w:t>
      </w:r>
      <w:r w:rsidR="6C3F56EC" w:rsidRPr="00D22AA7">
        <w:rPr>
          <w:rFonts w:ascii="Times" w:hAnsi="Times"/>
        </w:rPr>
        <w:t>details</w:t>
      </w:r>
      <w:r w:rsidRPr="00D22AA7">
        <w:rPr>
          <w:rFonts w:ascii="Times" w:hAnsi="Times"/>
        </w:rPr>
        <w:t xml:space="preserve"> into their safety and efficacy. The synthesis of mixed micelles, such as P127/TPGS a has demonstrated </w:t>
      </w:r>
      <w:proofErr w:type="gramStart"/>
      <w:r w:rsidRPr="00D22AA7">
        <w:rPr>
          <w:rFonts w:ascii="Times" w:hAnsi="Times"/>
        </w:rPr>
        <w:t>the  controlled</w:t>
      </w:r>
      <w:proofErr w:type="gramEnd"/>
      <w:r w:rsidR="7FCC4F02" w:rsidRPr="00D22AA7">
        <w:rPr>
          <w:rFonts w:ascii="Times" w:hAnsi="Times"/>
        </w:rPr>
        <w:t xml:space="preserve"> release of </w:t>
      </w:r>
      <w:r w:rsidRPr="00D22AA7">
        <w:rPr>
          <w:rFonts w:ascii="Times" w:hAnsi="Times"/>
        </w:rPr>
        <w:t xml:space="preserve"> RSV</w:t>
      </w:r>
      <w:r w:rsidR="3A6FBBCC" w:rsidRPr="00D22AA7">
        <w:rPr>
          <w:rFonts w:ascii="Times" w:hAnsi="Times"/>
        </w:rPr>
        <w:t>.</w:t>
      </w:r>
      <w:r w:rsidRPr="00D22AA7">
        <w:rPr>
          <w:rFonts w:ascii="Times" w:hAnsi="Times"/>
        </w:rPr>
        <w:t xml:space="preserve"> </w:t>
      </w:r>
      <w:r w:rsidR="04908ADF" w:rsidRPr="00D22AA7">
        <w:rPr>
          <w:rFonts w:ascii="Times" w:hAnsi="Times"/>
        </w:rPr>
        <w:t xml:space="preserve">Various </w:t>
      </w:r>
      <w:r w:rsidR="159DADF2" w:rsidRPr="00D22AA7">
        <w:rPr>
          <w:rFonts w:ascii="Times" w:hAnsi="Times"/>
        </w:rPr>
        <w:t>reseraches</w:t>
      </w:r>
      <w:r w:rsidRPr="00D22AA7">
        <w:rPr>
          <w:rFonts w:ascii="Times" w:hAnsi="Times"/>
        </w:rPr>
        <w:t xml:space="preserve"> further highlight the impact of nanoparticle formulations on drug accumulation in organs, indirectly indicating potential off-target side effects. Notably, folic acid-conjugated P127/TPGS mixed micelles have been shown to reduce undesired organ accumulation, potentially lowering RSV-associated adverse effects. Additionally, glyceryl behenate-based solid lipid nanoparticles (SLN), TPGS-coated and PLGA:TPGS co</w:t>
      </w:r>
      <w:r w:rsidR="65982E37" w:rsidRPr="00D22AA7">
        <w:rPr>
          <w:rFonts w:ascii="Times" w:hAnsi="Times"/>
        </w:rPr>
        <w:t xml:space="preserve">mbined </w:t>
      </w:r>
      <w:r w:rsidRPr="00D22AA7">
        <w:rPr>
          <w:rFonts w:ascii="Times" w:hAnsi="Times"/>
        </w:rPr>
        <w:t xml:space="preserve">with </w:t>
      </w:r>
      <w:r w:rsidR="5FE9F48E" w:rsidRPr="00D22AA7">
        <w:rPr>
          <w:rFonts w:ascii="Times" w:hAnsi="Times"/>
        </w:rPr>
        <w:t>FA</w:t>
      </w:r>
      <w:r w:rsidRPr="00D22AA7">
        <w:rPr>
          <w:rFonts w:ascii="Times" w:hAnsi="Times"/>
        </w:rPr>
        <w:t xml:space="preserve"> have</w:t>
      </w:r>
      <w:r w:rsidR="4958AFF4" w:rsidRPr="00D22AA7">
        <w:rPr>
          <w:rFonts w:ascii="Times" w:hAnsi="Times"/>
        </w:rPr>
        <w:t xml:space="preserve"> showed excellend enhacned targeting of cancerous cells</w:t>
      </w:r>
      <w:r w:rsidRPr="00D22AA7">
        <w:rPr>
          <w:rFonts w:ascii="Times" w:hAnsi="Times"/>
        </w:rPr>
        <w:t xml:space="preserve"> </w:t>
      </w:r>
      <w:r w:rsidR="778C078E" w:rsidRPr="00D22AA7">
        <w:rPr>
          <w:rFonts w:ascii="Times" w:hAnsi="Times"/>
        </w:rPr>
        <w:t xml:space="preserve">, </w:t>
      </w:r>
      <w:r w:rsidRPr="00D22AA7">
        <w:rPr>
          <w:rFonts w:ascii="Times" w:hAnsi="Times"/>
        </w:rPr>
        <w:t>improving therapeutic precision and efficacy</w:t>
      </w:r>
      <w:r w:rsidR="2ED70351" w:rsidRPr="00D22AA7">
        <w:rPr>
          <w:rFonts w:ascii="Times" w:hAnsi="Times"/>
        </w:rPr>
        <w:t xml:space="preserve"> </w:t>
      </w:r>
      <w:r w:rsidR="00FE0BAA" w:rsidRPr="00D22AA7">
        <w:rPr>
          <w:rFonts w:ascii="Times" w:hAnsi="Times"/>
        </w:rPr>
        <w:fldChar w:fldCharType="begin"/>
      </w:r>
      <w:r w:rsidR="0056095D">
        <w:rPr>
          <w:rFonts w:ascii="Times" w:hAnsi="Times"/>
        </w:rPr>
        <w:instrText xml:space="preserve"> ADDIN ZOTERO_ITEM CSL_CITATION {"citationID":"ts3S9h5F","properties":{"formattedCitation":"[100]","plainCitation":"[100]","noteIndex":0},"citationItems":[{"id":5172,"uris":["http://zotero.org/users/9439317/items/FFQGWUC3"],"itemData":{"id":5172,"type":"article-journal","abstract":"Resveratrol (RES) is a polyphenolic compound which has shown beneficial pharmacological effects such as anti-inflammatory, antioxidant, and anti-cancer effects. However, poor aqueous solubility, bioavailability, and low stability are the major limitations to the clinical application of RES. Therefore, in the present study, chitosan (CS) coated PLGA nanoparticles of RES (CS-RES-PLGA NPs) was developed, characterized and its anticancer activity was evaluated in the H1299 lung carcinoma cell line. The effects of the increase in CS coating and cryoprotectant concentration on particle size, polydispersity index (PDI) and zeta potential (ZP) were determined. The particle size, PDI, ZP and entrapment efficiency of the optimized CS-RES-PLGA NPs were found to be 341.56 &amp;plusmn; 7.90 nm, 0.117 &amp;plusmn; 0.01, 26.88 &amp;plusmn; 2.69 mV and 75.13% &amp;plusmn; 1.02% respectively. The average particle size and ZP showed a steady increase with an increase in CS concentration. The increase in positive zeta potential is evident for higher CS concentrations. The effect of trehalose as cryoprotectant on average particle size was decreased significantly (p &amp;lt; 0.05) when it was increased from 1%&amp;minus;5% w/v. TEM and SEM showed uniform particle distribution with a smooth surface and spherical shape. The CS coating provides modulation of in vitro drug release and showed a sustained release pattern. The stability of RES loaded PLGA NPs was improved by CS coating. CS-coated NPs showed greater cytotoxicity and apoptotic activities compared to free RES. The CS coated NPs had a higher antioxidant effect than the free RES. Therefore, CS coated PLGA NPs could be a potential nanocarrier of RES to improve drug solubility, entrapment, sustain release, stability and therapeutic application.","container-title":"Coatings","DOI":"10.3390/coatings10050439","ISSN":"2079-6412","issue":"5","title":"Preparation and Characterization of Chitosan Coated PLGA Nanoparticles of Resveratrol: Improved Stability, Antioxidant and Apoptotic Activities in H1299 Lung Cancer Cells","volume":"10","author":[{"family":"Aldawsari","given":"Hibah M."},{"family":"Alhakamy","given":"Nabil A."},{"family":"Padder","given":"Rayees"},{"family":"Husain","given":"Mohammad"},{"family":"Md","given":"Shadab"}],"issued":{"date-parts":[["2020"]]}}}],"schema":"https://github.com/citation-style-language/schema/raw/master/csl-citation.json"} </w:instrText>
      </w:r>
      <w:r w:rsidR="00FE0BAA" w:rsidRPr="00D22AA7">
        <w:rPr>
          <w:rFonts w:ascii="Times" w:hAnsi="Times"/>
        </w:rPr>
        <w:fldChar w:fldCharType="separate"/>
      </w:r>
      <w:r w:rsidR="0056095D">
        <w:rPr>
          <w:rFonts w:ascii="Times" w:hAnsi="Times"/>
          <w:noProof/>
        </w:rPr>
        <w:t>[100]</w:t>
      </w:r>
      <w:r w:rsidR="00FE0BAA" w:rsidRPr="00D22AA7">
        <w:rPr>
          <w:rFonts w:ascii="Times" w:hAnsi="Times"/>
        </w:rPr>
        <w:fldChar w:fldCharType="end"/>
      </w:r>
      <w:r w:rsidRPr="00D22AA7">
        <w:rPr>
          <w:rFonts w:ascii="Times" w:hAnsi="Times"/>
        </w:rPr>
        <w:t>.</w:t>
      </w:r>
    </w:p>
    <w:p w14:paraId="65DFBF6D" w14:textId="77777777" w:rsidR="009E1465" w:rsidRPr="00D22AA7" w:rsidRDefault="009E1465" w:rsidP="003D4574">
      <w:pPr>
        <w:jc w:val="both"/>
        <w:rPr>
          <w:rFonts w:ascii="Times" w:hAnsi="Times"/>
        </w:rPr>
      </w:pPr>
    </w:p>
    <w:p w14:paraId="4AD48EDD" w14:textId="68BAA5C1" w:rsidR="0067242C" w:rsidRPr="00D22AA7" w:rsidRDefault="0067242C" w:rsidP="0067242C">
      <w:pPr>
        <w:pStyle w:val="Heading4"/>
        <w:shd w:val="clear" w:color="auto" w:fill="FFFFFF" w:themeFill="background1"/>
        <w:ind w:firstLine="480"/>
        <w:jc w:val="both"/>
        <w:rPr>
          <w:rFonts w:ascii="Times" w:hAnsi="Times"/>
          <w:b/>
          <w:bCs/>
          <w:i w:val="0"/>
          <w:iCs w:val="0"/>
          <w:color w:val="000000"/>
        </w:rPr>
      </w:pPr>
      <w:r w:rsidRPr="00D22AA7">
        <w:rPr>
          <w:rFonts w:ascii="Times" w:hAnsi="Times" w:cs="Arial"/>
          <w:b/>
          <w:bCs/>
          <w:i w:val="0"/>
          <w:iCs w:val="0"/>
          <w:color w:val="222222"/>
        </w:rPr>
        <w:t>3.4. Zinc Oxide Nanoparticles</w:t>
      </w:r>
    </w:p>
    <w:p w14:paraId="57798B20" w14:textId="727AB83B" w:rsidR="0067242C" w:rsidRPr="00D22AA7" w:rsidRDefault="0067242C" w:rsidP="003D4574">
      <w:pPr>
        <w:spacing w:before="240" w:after="240"/>
        <w:jc w:val="both"/>
        <w:rPr>
          <w:rFonts w:ascii="Times" w:hAnsi="Times"/>
        </w:rPr>
      </w:pPr>
      <w:r w:rsidRPr="00D22AA7">
        <w:rPr>
          <w:rFonts w:ascii="Times" w:hAnsi="Times"/>
        </w:rPr>
        <w:t>Zinc oxide nanoparticles (</w:t>
      </w:r>
      <w:proofErr w:type="spellStart"/>
      <w:r w:rsidRPr="00D22AA7">
        <w:rPr>
          <w:rFonts w:ascii="Times" w:hAnsi="Times"/>
        </w:rPr>
        <w:t>ZnONPs</w:t>
      </w:r>
      <w:proofErr w:type="spellEnd"/>
      <w:r w:rsidRPr="00D22AA7">
        <w:rPr>
          <w:rFonts w:ascii="Times" w:hAnsi="Times"/>
        </w:rPr>
        <w:t xml:space="preserve">) are inorganic nanoparticles that have gained significant attention due to their diverse applications across multiple fields. They are extensively utilized in cancer diagnosis, drug delivery, and therapeutic interventions, as well as in industries such as textiles, cosmetics, and electronics. Their unique physicochemical properties, including high surface area, biocompatibility, and tunable structural characteristics, make them highly suitable for these applications </w:t>
      </w:r>
      <w:r w:rsidRPr="00D22AA7">
        <w:rPr>
          <w:rFonts w:ascii="Times" w:hAnsi="Times"/>
          <w:color w:val="222222"/>
        </w:rPr>
        <w:fldChar w:fldCharType="begin"/>
      </w:r>
      <w:r w:rsidR="0056095D">
        <w:rPr>
          <w:rFonts w:ascii="Times" w:hAnsi="Times"/>
          <w:color w:val="222222"/>
        </w:rPr>
        <w:instrText xml:space="preserve"> ADDIN ZOTERO_ITEM CSL_CITATION {"citationID":"neeEMvU2","properties":{"formattedCitation":"[84]","plainCitation":"[84]","noteIndex":0},"citationItems":[{"id":2981,"uris":["http://zotero.org/users/9439317/items/ZTAI6EH5"],"itemData":{"id":2981,"type":"article-journal","abstract":"Cancer is regarded as one of the most deadly and mirthless diseases and it develops due to the uncontrolled proliferation of cells. To date, varieties of traditional medications and chemotherapies have been utilized to fight tumors. However, their immense drawbacks, such as reduced bioavailability, insufficient supply, and significant adverse effects, make their use limited. Nanotechnology has evolved rapidly in recent years and offers a wide spectrum of applications in the healthcare sectors. Nanoscale materials offer strong potential for curing cancer as they pose low risk and fewer complications. Several metal oxide NPs are being developed to diagnose or treat malignancies, but zinc oxide nanoparticles (ZnO NPs) have remarkably demonstrated their potential in the diagnosis and treatment of various types of cancers due to their biocompatibility, biodegradability, and unique physico-chemical attributes. ZnO NPs showed cancer cell specific toxicity via generation of reactive oxygen species and destruction of mitochondrial membrane potential, which leads to the activation of caspase cascades followed by apoptosis of cancerous cells. ZnO NPs have also been used as an effective carrier for targeted and sustained delivery of various plant bioactive and chemotherapeutic anticancerous drugs into tumor cells. In this review, at first we have discussed the role of ZnO NPs in diagnosis and bio-imaging of cancer cells. Secondly, we have extensively reviewed the capability of ZnO NPs as carriers of anticancerous drugs for targeted drug delivery into tumor cells, with a special focus on surface functionalization, drug-loading mechanism, and stimuli-responsive controlled release of drugs. Finally, we have critically discussed the anticancerous activity of ZnO NPs on different types of cancers along with their mode of actions. Furthermore, this review also highlights the limitations and future prospects of ZnO NPs in cancer theranostic.","container-title":"Cancers","DOI":"10.3390/cancers13184570","ISSN":"2072-6694","issue":"18","journalAbbreviation":"Cancers","language":"en","page":"4570","source":"DOI.org (Crossref)","title":"Recent Advances in Zinc Oxide Nanoparticles (ZnO NPs) for Cancer Diagnosis, Target Drug Delivery, and Treatment","URL":"https://www.mdpi.com/2072-6694/13/18/4570","volume":"13","author":[{"family":"Anjum","given":"Sumaira"},{"family":"Hashim","given":"Mariam"},{"family":"Malik","given":"Sara Asad"},{"family":"Khan","given":"Maha"},{"family":"Lorenzo","given":"José M."},{"family":"Abbasi","given":"Bilal Haider"},{"family":"Hano","given":"Christophe"}],"accessed":{"date-parts":[["2023",10,12]]},"issued":{"date-parts":[["2021",9,12]]}}}],"schema":"https://github.com/citation-style-language/schema/raw/master/csl-citation.json"}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[84]</w:t>
      </w:r>
      <w:r w:rsidRPr="00D22AA7">
        <w:rPr>
          <w:rFonts w:ascii="Times" w:hAnsi="Times"/>
          <w:color w:val="222222"/>
        </w:rPr>
        <w:fldChar w:fldCharType="end"/>
      </w:r>
      <w:r w:rsidRPr="00D22AA7">
        <w:rPr>
          <w:rFonts w:ascii="Times" w:hAnsi="Times"/>
        </w:rPr>
        <w:t>.</w:t>
      </w:r>
    </w:p>
    <w:p w14:paraId="6CDB3878" w14:textId="77777777" w:rsidR="0067242C" w:rsidRPr="00D22AA7" w:rsidRDefault="0067242C" w:rsidP="003D4574">
      <w:pPr>
        <w:spacing w:before="240" w:after="240"/>
        <w:jc w:val="both"/>
        <w:rPr>
          <w:rFonts w:ascii="Times" w:hAnsi="Times"/>
        </w:rPr>
      </w:pPr>
      <w:r w:rsidRPr="00D22AA7">
        <w:rPr>
          <w:rFonts w:ascii="Times" w:hAnsi="Times"/>
        </w:rPr>
        <w:t xml:space="preserve">A variety of synthesis techniques have been developed to produce </w:t>
      </w:r>
      <w:proofErr w:type="spellStart"/>
      <w:r w:rsidRPr="00D22AA7">
        <w:rPr>
          <w:rFonts w:ascii="Times" w:hAnsi="Times"/>
        </w:rPr>
        <w:t>ZnONPs</w:t>
      </w:r>
      <w:proofErr w:type="spellEnd"/>
      <w:r w:rsidRPr="00D22AA7">
        <w:rPr>
          <w:rFonts w:ascii="Times" w:hAnsi="Times"/>
        </w:rPr>
        <w:t xml:space="preserve">, broadly categorized into physical, chemical, and biological methods. Chemical synthesis methods include microemulsion, precipitation, hydrothermal techniques, and sol–gel processes, each offering advantages in terms of particle size control, uniformity, and stability. Physical approaches, such as ultrasonic irradiation, plasma treatment, and vapor deposition, enable the production of </w:t>
      </w:r>
      <w:proofErr w:type="spellStart"/>
      <w:r w:rsidRPr="00D22AA7">
        <w:rPr>
          <w:rFonts w:ascii="Times" w:hAnsi="Times"/>
        </w:rPr>
        <w:t>ZnONPs</w:t>
      </w:r>
      <w:proofErr w:type="spellEnd"/>
      <w:r w:rsidRPr="00D22AA7">
        <w:rPr>
          <w:rFonts w:ascii="Times" w:hAnsi="Times"/>
        </w:rPr>
        <w:t xml:space="preserve"> with distinct morphological and structural attributes. Additionally, biological synthesis, which involves using </w:t>
      </w:r>
      <w:r w:rsidRPr="00D22AA7">
        <w:rPr>
          <w:rFonts w:ascii="Times" w:hAnsi="Times"/>
        </w:rPr>
        <w:lastRenderedPageBreak/>
        <w:t>plant extracts, microorganisms, or biomolecules, is gaining traction as an eco-friendly and sustainable alternative, minimizing the use of toxic reagents and harsh conditions.</w:t>
      </w:r>
    </w:p>
    <w:p w14:paraId="27FA5D28" w14:textId="6D4C49AC" w:rsidR="0067242C" w:rsidRPr="00D22AA7" w:rsidRDefault="0067242C" w:rsidP="00BB2CB8">
      <w:pPr>
        <w:spacing w:before="240" w:after="240"/>
        <w:jc w:val="both"/>
        <w:rPr>
          <w:rFonts w:ascii="Times" w:hAnsi="Times"/>
        </w:rPr>
      </w:pPr>
      <w:r w:rsidRPr="00D22AA7">
        <w:rPr>
          <w:rFonts w:ascii="Times" w:hAnsi="Times"/>
        </w:rPr>
        <w:t xml:space="preserve">One of the most notable applications of </w:t>
      </w:r>
      <w:proofErr w:type="spellStart"/>
      <w:r w:rsidRPr="00D22AA7">
        <w:rPr>
          <w:rFonts w:ascii="Times" w:hAnsi="Times"/>
        </w:rPr>
        <w:t>ZnONPs</w:t>
      </w:r>
      <w:proofErr w:type="spellEnd"/>
      <w:r w:rsidRPr="00D22AA7">
        <w:rPr>
          <w:rFonts w:ascii="Times" w:hAnsi="Times"/>
        </w:rPr>
        <w:t xml:space="preserve"> is their role in drug delivery systems, particularly in oncology. They serve as effective carriers for anticancer agents, facilitating controlled and targeted drug release, thereby enhancing therapeutic efficacy while minimizing systemic toxicity. Their ability to induce apoptosis in cancer cells through reactive oxygen species (ROS) generation and DNA damage further underscores their potential as a multifunctional tool in cancer treatment. Ongoing research continues to explore the optimization of </w:t>
      </w:r>
      <w:proofErr w:type="spellStart"/>
      <w:r w:rsidRPr="00D22AA7">
        <w:rPr>
          <w:rFonts w:ascii="Times" w:hAnsi="Times"/>
        </w:rPr>
        <w:t>ZnONPs</w:t>
      </w:r>
      <w:proofErr w:type="spellEnd"/>
      <w:r w:rsidRPr="00D22AA7">
        <w:rPr>
          <w:rFonts w:ascii="Times" w:hAnsi="Times"/>
        </w:rPr>
        <w:t xml:space="preserve"> for improved biocompatibility, enhanced drug-loading efficiency, and tailored surface modifications, broadening their applicability in nanomedicine and beyond </w:t>
      </w:r>
      <w:r w:rsidRPr="00D22AA7">
        <w:rPr>
          <w:rFonts w:ascii="Times" w:hAnsi="Times"/>
          <w:color w:val="222222"/>
        </w:rPr>
        <w:fldChar w:fldCharType="begin"/>
      </w:r>
      <w:r w:rsidR="0056095D">
        <w:rPr>
          <w:rFonts w:ascii="Times" w:hAnsi="Times"/>
          <w:color w:val="222222"/>
        </w:rPr>
        <w:instrText xml:space="preserve"> ADDIN ZOTERO_ITEM CSL_CITATION {"citationID":"4zJIBrqr","properties":{"formattedCitation":"[101]","plainCitation":"[101]","noteIndex":0},"citationItems":[{"id":2987,"uris":["http://zotero.org/users/9439317/items/K2C54LJU"],"itemData":{"id":2987,"type":"article-journal","abstract":"Zinc oxide (ZnO) nanoparticles have been studied as metal-based drugs that may be used for biomedical applications due to the fact of their biocompatibility. Their physicochemical properties, which depend on synthesis techniques involving physical, chemical, biological, and microﬂuidic reactor methods a</w:instrText>
      </w:r>
      <w:r w:rsidR="0056095D">
        <w:rPr>
          <w:color w:val="222222"/>
        </w:rPr>
        <w:instrText>ﬀ</w:instrText>
      </w:r>
      <w:r w:rsidR="0056095D">
        <w:rPr>
          <w:rFonts w:ascii="Times" w:hAnsi="Times"/>
          <w:color w:val="222222"/>
        </w:rPr>
        <w:instrText>ect biological activity in vitro and in vivo. Advanced tool-based physicochemical characterization is required to identify the biological and toxicological e</w:instrText>
      </w:r>
      <w:r w:rsidR="0056095D">
        <w:rPr>
          <w:color w:val="222222"/>
        </w:rPr>
        <w:instrText>ﬀ</w:instrText>
      </w:r>
      <w:r w:rsidR="0056095D">
        <w:rPr>
          <w:rFonts w:ascii="Times" w:hAnsi="Times"/>
          <w:color w:val="222222"/>
        </w:rPr>
        <w:instrText xml:space="preserve">ects of ZnO nanoparticles. These nanoparticles have variable morphologies and can be molded into three-dimensional structures to enhance their performance. Zinc oxide nanoparticles have shown therapeutic activity against cancer, diabetes, microbial infection, and inﬂammation. They have also shown the potential to aid in wound healing and can be used for imaging tools and sensors. In this review, we discuss the synthesis techniques, physicochemical characteristics, evaluation tools, techniques used to generate three-dimensional structures, and the various biomedical applications of ZnO nanoparticles.","container-title":"Pharmaceutics","DOI":"10.3390/pharmaceutics11110575","ISSN":"1999-4923","issue":"11","journalAbbreviation":"Pharmaceutics","language":"en","page":"575","source":"DOI.org (Crossref)","title":"Synthesis, Characterization, and Three-Dimensional Structure Generation of Zinc Oxide-Based Nanomedicine for Biomedical Applications","URL":"https://www.mdpi.com/1999-4923/11/11/575","volume":"11","author":[{"family":"Jin","given":"Su-Eon"},{"family":"Jin","given":"Hyo-Eon"}],"accessed":{"date-parts":[["2023",10,12]]},"issued":{"date-parts":[["2019",11,4]]}}}],"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[101]</w:t>
      </w:r>
      <w:r w:rsidRPr="00D22AA7">
        <w:rPr>
          <w:rFonts w:ascii="Times" w:hAnsi="Times"/>
          <w:color w:val="222222"/>
        </w:rPr>
        <w:fldChar w:fldCharType="end"/>
      </w:r>
      <w:r w:rsidRPr="00D22AA7">
        <w:rPr>
          <w:rFonts w:ascii="Times" w:hAnsi="Times"/>
        </w:rPr>
        <w:t>.</w:t>
      </w:r>
    </w:p>
    <w:p w14:paraId="39505759" w14:textId="77777777" w:rsidR="00FE0BAA" w:rsidRPr="00D22AA7" w:rsidRDefault="00FE0BAA" w:rsidP="00FE0BAA">
      <w:pPr>
        <w:rPr>
          <w:rFonts w:ascii="Times" w:hAnsi="Times"/>
        </w:rPr>
      </w:pPr>
    </w:p>
    <w:p w14:paraId="41A7F50A" w14:textId="641EC30F" w:rsidR="00386CA0" w:rsidRPr="00D22AA7" w:rsidRDefault="0067242C" w:rsidP="3B4CA44B">
      <w:pPr>
        <w:pStyle w:val="Heading4"/>
        <w:spacing w:line="336" w:lineRule="auto"/>
        <w:jc w:val="both"/>
        <w:rPr>
          <w:rFonts w:ascii="Times" w:hAnsi="Times"/>
          <w:i w:val="0"/>
          <w:iCs w:val="0"/>
          <w:color w:val="000000"/>
        </w:rPr>
      </w:pPr>
      <w:r w:rsidRPr="00D22AA7">
        <w:rPr>
          <w:rFonts w:ascii="Times" w:hAnsi="Times"/>
          <w:b/>
          <w:bCs/>
          <w:i w:val="0"/>
          <w:iCs w:val="0"/>
          <w:color w:val="000000" w:themeColor="text1"/>
        </w:rPr>
        <w:t xml:space="preserve">3.5. </w:t>
      </w:r>
      <w:r w:rsidR="00D45672" w:rsidRPr="00D22AA7">
        <w:rPr>
          <w:rFonts w:ascii="Times" w:hAnsi="Times"/>
          <w:b/>
          <w:bCs/>
          <w:i w:val="0"/>
          <w:iCs w:val="0"/>
          <w:color w:val="000000" w:themeColor="text1"/>
        </w:rPr>
        <w:t>Gold Nanoparticles</w:t>
      </w:r>
    </w:p>
    <w:p w14:paraId="3028A700" w14:textId="3CA937D2" w:rsidR="00FE0BAA" w:rsidRPr="00D22AA7" w:rsidRDefault="6A41A651" w:rsidP="003D4574">
      <w:pPr>
        <w:pStyle w:val="BodyText"/>
        <w:jc w:val="both"/>
        <w:rPr>
          <w:rFonts w:ascii="Times" w:hAnsi="Times"/>
          <w:color w:val="222222"/>
        </w:rPr>
      </w:pPr>
      <w:r w:rsidRPr="00D22AA7">
        <w:rPr>
          <w:rFonts w:ascii="Times" w:hAnsi="Times"/>
          <w:noProof/>
        </w:rPr>
        <w:t xml:space="preserve">Gold nanoparticles (GNPs) demonstrate exceptional adaptability, as they can be engineered into a wide range of shapes and architectures </w:t>
      </w:r>
      <w:r w:rsidR="00FE0BAA" w:rsidRPr="00D22AA7">
        <w:rPr>
          <w:rFonts w:ascii="Times" w:hAnsi="Times"/>
          <w:color w:val="222222"/>
        </w:rPr>
        <w:fldChar w:fldCharType="begin"/>
      </w:r>
      <w:r w:rsidR="0056095D">
        <w:rPr>
          <w:rFonts w:ascii="Times" w:hAnsi="Times"/>
          <w:color w:val="222222"/>
        </w:rPr>
        <w:instrText xml:space="preserve"> ADDIN ZOTERO_ITEM CSL_CITATION {"citationID":"qyrV2bf0","properties":{"formattedCitation":"[102]","plainCitation":"[102]","noteIndex":0},"citationItems":[{"id":14937,"uris":["http://zotero.org/users/9439317/items/JQBDNW4N"],"itemData":{"id":14937,"type":"article-journal","abstract":"Importance of the field—Site-specific drug delivery is an important area of research that is anticipated to increase the efficacy of the drug and reduce potential side effects. Due to this, substantial work has been done developing non-invasive and targeted tumor treatment with nanoscale metallic particles.","container-title":"Expert Opinion on Drug Delivery","DOI":"10.1517/17425241003777010","ISSN":"1742-5247, 1744-7593","issue":"6","journalAbbreviation":"Expert Opinion on Drug Delivery","language":"en","page":"753-763","source":"DOI.org (Crossref)","title":"Gold nanoparticles: opportunities and challenges in nanomedicine","title-short":"Gold nanoparticles","URL":"http://www.tandfonline.com/doi/full/10.1517/17425241003777010","volume":"7","author":[{"family":"Arvizo","given":"Rochelle"},{"family":"Bhattacharya","given":"Resham"},{"family":"Mukherjee","given":"Priyabrata"}],"accessed":{"date-parts":[["2023",12,28]]},"issued":{"date-parts":[["2010",6]]}}}],"schema":"https://github.com/citation-style-language/schema/raw/master/csl-citation.json"} </w:instrText>
      </w:r>
      <w:r w:rsidR="00FE0BAA" w:rsidRPr="00D22AA7">
        <w:rPr>
          <w:rFonts w:ascii="Times" w:hAnsi="Times"/>
          <w:color w:val="222222"/>
        </w:rPr>
        <w:fldChar w:fldCharType="separate"/>
      </w:r>
      <w:r w:rsidR="0056095D">
        <w:rPr>
          <w:rFonts w:ascii="Times" w:hAnsi="Times"/>
          <w:noProof/>
          <w:color w:val="222222"/>
        </w:rPr>
        <w:t>[102]</w:t>
      </w:r>
      <w:r w:rsidR="00FE0BAA" w:rsidRPr="00D22AA7">
        <w:rPr>
          <w:rFonts w:ascii="Times" w:hAnsi="Times"/>
          <w:color w:val="222222"/>
        </w:rPr>
        <w:fldChar w:fldCharType="end"/>
      </w:r>
      <w:r w:rsidR="0EA07EFD" w:rsidRPr="00D22AA7">
        <w:rPr>
          <w:rFonts w:ascii="Times" w:hAnsi="Times"/>
          <w:color w:val="222222"/>
        </w:rPr>
        <w:t>. These</w:t>
      </w:r>
      <w:r w:rsidR="1B5E9270" w:rsidRPr="00D22AA7">
        <w:rPr>
          <w:rFonts w:ascii="Times" w:hAnsi="Times"/>
          <w:color w:val="222222"/>
        </w:rPr>
        <w:t xml:space="preserve"> kind </w:t>
      </w:r>
      <w:proofErr w:type="gramStart"/>
      <w:r w:rsidR="1B5E9270" w:rsidRPr="00D22AA7">
        <w:rPr>
          <w:rFonts w:ascii="Times" w:hAnsi="Times"/>
          <w:color w:val="222222"/>
        </w:rPr>
        <w:t xml:space="preserve">of </w:t>
      </w:r>
      <w:r w:rsidR="0EA07EFD" w:rsidRPr="00D22AA7">
        <w:rPr>
          <w:rFonts w:ascii="Times" w:hAnsi="Times"/>
          <w:color w:val="222222"/>
        </w:rPr>
        <w:t xml:space="preserve"> nanoparticles</w:t>
      </w:r>
      <w:proofErr w:type="gramEnd"/>
      <w:r w:rsidR="0EA07EFD" w:rsidRPr="00D22AA7">
        <w:rPr>
          <w:rFonts w:ascii="Times" w:hAnsi="Times"/>
          <w:color w:val="222222"/>
        </w:rPr>
        <w:t xml:space="preserve"> differ from bulk gold in their density, color, and size</w:t>
      </w:r>
      <w:r w:rsidR="071CD005" w:rsidRPr="00D22AA7">
        <w:rPr>
          <w:rFonts w:ascii="Times" w:hAnsi="Times"/>
          <w:color w:val="222222"/>
        </w:rPr>
        <w:t xml:space="preserve">, </w:t>
      </w:r>
      <w:r w:rsidR="0EA07EFD" w:rsidRPr="00D22AA7">
        <w:rPr>
          <w:rFonts w:ascii="Times" w:hAnsi="Times"/>
          <w:color w:val="222222"/>
        </w:rPr>
        <w:t xml:space="preserve"> with diameters </w:t>
      </w:r>
      <w:r w:rsidR="1D187F2E" w:rsidRPr="00D22AA7">
        <w:rPr>
          <w:rFonts w:ascii="Times" w:hAnsi="Times"/>
          <w:color w:val="222222"/>
        </w:rPr>
        <w:t xml:space="preserve">of </w:t>
      </w:r>
      <w:r w:rsidR="0EA07EFD" w:rsidRPr="00D22AA7">
        <w:rPr>
          <w:rFonts w:ascii="Times" w:hAnsi="Times"/>
          <w:color w:val="222222"/>
        </w:rPr>
        <w:t>ranging from 1 nanometer to 8 millimeters</w:t>
      </w:r>
      <w:r w:rsidR="00B105B8">
        <w:rPr>
          <w:rFonts w:ascii="Times" w:hAnsi="Times"/>
          <w:color w:val="222222"/>
        </w:rPr>
        <w:t xml:space="preserve"> (figure 8)</w:t>
      </w:r>
      <w:r w:rsidR="0EA07EFD" w:rsidRPr="00D22AA7">
        <w:rPr>
          <w:rFonts w:ascii="Times" w:hAnsi="Times"/>
          <w:color w:val="222222"/>
        </w:rPr>
        <w:t>. The</w:t>
      </w:r>
      <w:r w:rsidR="201FEF82" w:rsidRPr="00D22AA7">
        <w:rPr>
          <w:rFonts w:ascii="Times" w:hAnsi="Times"/>
          <w:color w:val="222222"/>
        </w:rPr>
        <w:t xml:space="preserve"> </w:t>
      </w:r>
      <w:r w:rsidR="0EA07EFD" w:rsidRPr="00D22AA7">
        <w:rPr>
          <w:rFonts w:ascii="Times" w:hAnsi="Times"/>
          <w:color w:val="222222"/>
        </w:rPr>
        <w:t>unique  physicochemical properties make them highly valuable in medical applications, particularly in the development of therapeutic solutions for diseases such as cancer, neurological disorders, and hepatitis</w:t>
      </w:r>
      <w:r w:rsidR="1E9AD7B6" w:rsidRPr="00D22AA7">
        <w:rPr>
          <w:rFonts w:ascii="Times" w:hAnsi="Times"/>
          <w:color w:val="222222"/>
        </w:rPr>
        <w:t xml:space="preserve"> </w:t>
      </w:r>
      <w:r w:rsidR="00FE0BAA" w:rsidRPr="00D22AA7">
        <w:rPr>
          <w:rFonts w:ascii="Times" w:hAnsi="Times"/>
          <w:color w:val="222222"/>
        </w:rPr>
        <w:fldChar w:fldCharType="begin"/>
      </w:r>
      <w:r w:rsidR="0056095D">
        <w:rPr>
          <w:rFonts w:ascii="Times" w:hAnsi="Times"/>
          <w:color w:val="222222"/>
        </w:rPr>
        <w:instrText xml:space="preserve"> ADDIN ZOTERO_ITEM CSL_CITATION {"citationID":"hBwssQfY","properties":{"formattedCitation":"[103]","plainCitation":"[103]","noteIndex":0},"citationItems":[{"id":14716,"uris":["http://zotero.org/users/9439317/items/JQ45CCU9"],"itemData":{"id":14716,"type":"article-journal","abstract":"Gold nanoparticles (AuNPs) with antitumorigenic effects obstruct the initiation, development and progression of tumors via the regulation of various processes, such as proliferation and apoptosis. However, the effects of AuNPs on breast cancer metastasis have not been well studied, and their response to 12-O-tetradecanoylphorbol-13-acetate (TPA) stimulation remains unclear. Therefore, we synthesized resveratrol-capped gold nanoparticles (Rev-AuNPs) using green nanotechnology and investigated their potential anti-invasive properties in human breast cancer cells in response to TPA stimulation. The Rev-AuNPs formed spherical nanoparticles of 22.28±2.98 nm in diameter. Next, we found that non-cytotoxic concentrations of Rev-AuNPs significantly suppressed the TPA-induced migration and invasion abilities of breast cancer cells. Rev-AuNPs suppressed TPA-induced enzymatic activity and the expression of matrix metalloproteinase (MMP)-9 and cyclooxygenase-2 (COX-2). Furthermore, Rev-AuNP treatment remarkably downregulated TPA-induced nuclear translocation and transcriptional activation of nuclear transcription factor-κB (NF-κB) and activator protein-1 (AP-1). Rev-AuNPs reduced the phosphorylation of phosphoinositide 3-kinase/Akt (PI3K/Akt) and extracellular signal-regulated kinase (ERK)1/2 signaling, but did not affect the phosphorylation of Jun N-terminal kinase (JNK) or p38 MAPK in the TPA-stimulated breast cancer cells. Notably, Rev-AuNPs generally showed better anti-invasive activity than resveratrol without cytotoxicity. The inhibitory effect of Rev-AuNPs on MMP-9, COX-2, NF-κB, AP-1, PI3K/Akt and ERK activation was stronger than that of resveratrol for the same concentrations. We also demonstrated that Rev-AuNPs induced heme oxygenase-1 (HO-1) expression and that the inhibition of MMP-9 and COX-2 expression and MMP-9 enzymatic activity of Rev-AuNPs were abrogated by siRNA knockdown of HO-1 expression. Our findings revealed that the anti-invasive effects of Rev-AuNPs in response to TPA-stimulation were mediated by the suppression of MMP-9, COX-2, NF-κB, AP-1, PI3K/Akt and ERK and/or the activation of HO-1 signaling cascades. This novel finding emphasizes the pharmacological ability of Rev-AuNPs to treat breast cancer metastasis.","container-title":"Oncology Reports","DOI":"10.3892/or.2016.4716","ISSN":"1021-335X 1791-2431","issue":"6","journalAbbreviation":"Oncol Rep","page":"3248-3256","title":"Gold-conjugated resveratrol nanoparticles attenuate the invasion and MMP-9 and COX-2 expression in breast cancer cells","URL":"https://doi.org/10.3892/or.2016.4716","volume":"35","author":[{"family":"Park","given":"Sun","suffix":"Young"},{"family":"Chae","given":"Seon","suffix":"Yeong"},{"family":"Park","given":"Jin","suffix":"Oh"},{"family":"Lee","given":"Kyu","suffix":"Jin"},{"family":"Park","given":"Geuntae"}],"issued":{"date-parts":[["2016",6,1]]}}}],"schema":"https://github.com/citation-style-language/schema/raw/master/csl-citation.json"} </w:instrText>
      </w:r>
      <w:r w:rsidR="00FE0BAA" w:rsidRPr="00D22AA7">
        <w:rPr>
          <w:rFonts w:ascii="Times" w:hAnsi="Times"/>
          <w:color w:val="222222"/>
        </w:rPr>
        <w:fldChar w:fldCharType="separate"/>
      </w:r>
      <w:r w:rsidR="0056095D">
        <w:rPr>
          <w:rFonts w:ascii="Times" w:hAnsi="Times"/>
          <w:noProof/>
          <w:color w:val="222222"/>
        </w:rPr>
        <w:t>[103]</w:t>
      </w:r>
      <w:r w:rsidR="00FE0BAA" w:rsidRPr="00D22AA7">
        <w:rPr>
          <w:rFonts w:ascii="Times" w:hAnsi="Times"/>
          <w:color w:val="222222"/>
        </w:rPr>
        <w:fldChar w:fldCharType="end"/>
      </w:r>
      <w:r w:rsidR="0EA07EFD" w:rsidRPr="00D22AA7">
        <w:rPr>
          <w:rFonts w:ascii="Times" w:hAnsi="Times"/>
          <w:color w:val="222222"/>
        </w:rPr>
        <w:t>.</w:t>
      </w:r>
    </w:p>
    <w:p w14:paraId="637047AA" w14:textId="71295FD5" w:rsidR="00386CA0" w:rsidRPr="00D22AA7" w:rsidRDefault="00FE0BAA" w:rsidP="003D4574">
      <w:pPr>
        <w:pStyle w:val="BodyText"/>
        <w:jc w:val="both"/>
        <w:rPr>
          <w:rFonts w:ascii="Times" w:hAnsi="Times"/>
          <w:color w:val="222222"/>
        </w:rPr>
      </w:pPr>
      <w:r w:rsidRPr="00D22AA7">
        <w:rPr>
          <w:rFonts w:ascii="Times" w:hAnsi="Times"/>
          <w:color w:val="222222"/>
        </w:rPr>
        <w:t xml:space="preserve">In recent years, there has been a growing interest in the physiological synthesis of gold nanoparticles (AuNPs) using phytochemicals, which are natural compounds derived from plants. These phytochemical-based </w:t>
      </w:r>
      <w:proofErr w:type="spellStart"/>
      <w:r w:rsidRPr="00D22AA7">
        <w:rPr>
          <w:rFonts w:ascii="Times" w:hAnsi="Times"/>
          <w:color w:val="222222"/>
        </w:rPr>
        <w:t>nanoformulations</w:t>
      </w:r>
      <w:proofErr w:type="spellEnd"/>
      <w:r w:rsidRPr="00D22AA7">
        <w:rPr>
          <w:rFonts w:ascii="Times" w:hAnsi="Times"/>
          <w:color w:val="222222"/>
        </w:rPr>
        <w:t xml:space="preserve"> enhance cellular absorption, bioavailability, and therapeutic efficacy, particularly in anticancer applications. For example</w:t>
      </w:r>
      <w:r w:rsidR="3B60ADCE" w:rsidRPr="00D22AA7">
        <w:rPr>
          <w:rFonts w:ascii="Times" w:hAnsi="Times"/>
          <w:color w:val="222222"/>
        </w:rPr>
        <w:t xml:space="preserve"> </w:t>
      </w:r>
      <w:r w:rsidRPr="00D22AA7">
        <w:rPr>
          <w:rFonts w:ascii="Times" w:hAnsi="Times"/>
          <w:color w:val="222222"/>
        </w:rPr>
        <w:t>RSV-</w:t>
      </w:r>
      <w:proofErr w:type="gramStart"/>
      <w:r w:rsidRPr="00D22AA7">
        <w:rPr>
          <w:rFonts w:ascii="Times" w:hAnsi="Times"/>
          <w:color w:val="222222"/>
        </w:rPr>
        <w:t>GNCs</w:t>
      </w:r>
      <w:r w:rsidR="3422CA26" w:rsidRPr="00D22AA7">
        <w:rPr>
          <w:rFonts w:ascii="Times" w:hAnsi="Times"/>
          <w:color w:val="222222"/>
        </w:rPr>
        <w:t xml:space="preserve"> </w:t>
      </w:r>
      <w:r w:rsidRPr="00D22AA7">
        <w:rPr>
          <w:rFonts w:ascii="Times" w:hAnsi="Times"/>
          <w:color w:val="222222"/>
        </w:rPr>
        <w:t xml:space="preserve"> have</w:t>
      </w:r>
      <w:proofErr w:type="gramEnd"/>
      <w:r w:rsidRPr="00D22AA7">
        <w:rPr>
          <w:rFonts w:ascii="Times" w:hAnsi="Times"/>
          <w:color w:val="222222"/>
        </w:rPr>
        <w:t xml:space="preserve"> demonstrated a significantly stronger anticancer effect compared to resveratrol (RSV) treatment alone. The combination of resveratrol's bioactive properties with the unique characteristics of gold nanoparticles results in a synergistic effect, improving drug delivery and therapeutic outcomes. This innovative approach highlights the potential of gold nanoparticles in advancing targeted and efficient treatments for complex diseases</w:t>
      </w:r>
      <w:r w:rsidR="005807BA" w:rsidRPr="00D22AA7">
        <w:rPr>
          <w:rFonts w:ascii="Times" w:hAnsi="Times"/>
          <w:color w:val="222222"/>
        </w:rPr>
        <w:t xml:space="preserve"> </w:t>
      </w:r>
      <w:r w:rsidRPr="00D22AA7">
        <w:rPr>
          <w:rFonts w:ascii="Times" w:hAnsi="Times"/>
          <w:color w:val="222222"/>
        </w:rPr>
        <w:fldChar w:fldCharType="begin"/>
      </w:r>
      <w:r w:rsidR="0056095D">
        <w:rPr>
          <w:rFonts w:ascii="Times" w:hAnsi="Times"/>
          <w:color w:val="222222"/>
        </w:rPr>
        <w:instrText xml:space="preserve"> ADDIN ZOTERO_ITEM CSL_CITATION {"citationID":"hPA4aAs1","properties":{"formattedCitation":"[104]","plainCitation":"[104]","noteIndex":0},"citationItems":[{"id":4594,"uris":["http://zotero.org/users/9439317/items/PWMT2JK3"],"itemData":{"id":4594,"type":"article-journal","abstract":"When tagged with a suitable radionuclide, the cancer targeting properties of trans-resveratrol could be utilized to locate cancerous sites in the body using radionuclide imaging technique. However, the polyphenol due to its rapid and extensive metabolism exhibits low bioavailability in vivo. The study was designed to enhance the cancer targeting efficacy of radiolabeled resveratrol using nano-based technology. Technetium-99m labeled resveratrol loaded gold nanoparticles (Res-AuNP) were synthesized, characterized and evaluated for their cancer targeting efficacy in HT29 colon cancer cells and in animal cancer model. Results of various investigations were compared to corresponding results obtained for 99mTc-AuNP and 99mTc-resveratrol. Cancer cell internalization observed for 99mTc-Res-AuNP was significantly higher than that of 99mTc-AuNP and 99mTcresveratrol. Also, a gradual rise in target to nontarget uptake with time was observed following i.v. administration of 99mTc-Res-AuNP to colon tumor bearing rats, demonstrating better in vivo targeting of colon adenocarcinoma with 99mTc-Res-AuNP when compared to 99mTc-resveratrol. © 2018 Elsevier Inc. All rights reserved.","container-title":"Nanomedicine: Nanotechnology, Biology and Medicine","DOI":"10.1016/j.nano.2018.01.008","ISSN":"15499634","issue":"3","journalAbbreviation":"Nanomedicine: Nanotechnology, Biology and Medicine","language":"en","page":"1059-1071","source":"DOI.org (Crossref)","title":"Physiological uptake and retention of radiolabeled resveratrol loaded gold nanoparticles (99mTc-Res-AuNP) in colon cancer tissue","URL":"https://linkinghub.elsevier.com/retrieve/pii/S1549963418300194","volume":"14","author":[{"family":"Kamal","given":"Rozy"},{"family":"Chadha","given":"Vijayta D."},{"family":"Dhawan","given":"D.K."}],"accessed":{"date-parts":[["2023",3,25]]},"issued":{"date-parts":[["2018",4]]}}}],"schema":"https://github.com/citation-style-language/schema/raw/master/csl-citation.json"}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[104]</w:t>
      </w:r>
      <w:r w:rsidRPr="00D22AA7">
        <w:rPr>
          <w:rFonts w:ascii="Times" w:hAnsi="Times"/>
          <w:color w:val="222222"/>
        </w:rPr>
        <w:fldChar w:fldCharType="end"/>
      </w:r>
      <w:r w:rsidR="4BFDDADE" w:rsidRPr="00D22AA7">
        <w:rPr>
          <w:rFonts w:ascii="Times" w:hAnsi="Times"/>
          <w:color w:val="222222"/>
        </w:rPr>
        <w:t>.</w:t>
      </w:r>
    </w:p>
    <w:p w14:paraId="3AC8F418" w14:textId="7208B762" w:rsidR="710A6EB0" w:rsidRPr="00D22AA7" w:rsidRDefault="00A0238A" w:rsidP="0DE242D6">
      <w:pPr>
        <w:pStyle w:val="BodyText"/>
        <w:rPr>
          <w:rFonts w:ascii="Times" w:hAnsi="Times"/>
        </w:rPr>
      </w:pPr>
      <w:r>
        <w:rPr>
          <w:rFonts w:ascii="Times" w:hAnsi="Times"/>
        </w:rPr>
        <w:t xml:space="preserve">                              </w:t>
      </w:r>
      <w:r w:rsidR="710A6EB0" w:rsidRPr="00D22AA7">
        <w:rPr>
          <w:rFonts w:ascii="Times" w:hAnsi="Times"/>
          <w:noProof/>
        </w:rPr>
        <w:drawing>
          <wp:inline distT="0" distB="0" distL="0" distR="0" wp14:anchorId="6B0E7185" wp14:editId="2BF98637">
            <wp:extent cx="3846710" cy="2533650"/>
            <wp:effectExtent l="0" t="0" r="0" b="0"/>
            <wp:docPr id="2130155486" name="Picture 2130155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3846710" cy="2533650"/>
                    </a:xfrm>
                    <a:prstGeom prst="rect">
                      <a:avLst/>
                    </a:prstGeom>
                  </pic:spPr>
                </pic:pic>
              </a:graphicData>
            </a:graphic>
          </wp:inline>
        </w:drawing>
      </w:r>
    </w:p>
    <w:p w14:paraId="06F4F7EA" w14:textId="598CC9B8" w:rsidR="00F426A6" w:rsidRPr="00E84A65" w:rsidRDefault="00A0238A" w:rsidP="0DE242D6">
      <w:pPr>
        <w:pStyle w:val="BodyText"/>
        <w:rPr>
          <w:rFonts w:ascii="Times" w:hAnsi="Times"/>
          <w:color w:val="000000" w:themeColor="text1"/>
          <w:sz w:val="20"/>
          <w:szCs w:val="20"/>
        </w:rPr>
      </w:pPr>
      <w:r>
        <w:rPr>
          <w:rFonts w:ascii="Times" w:hAnsi="Times"/>
          <w:b/>
          <w:bCs/>
          <w:sz w:val="20"/>
          <w:szCs w:val="20"/>
        </w:rPr>
        <w:t xml:space="preserve">                                                         </w:t>
      </w:r>
      <w:r w:rsidR="710A6EB0" w:rsidRPr="009E1465">
        <w:rPr>
          <w:rFonts w:ascii="Times" w:hAnsi="Times"/>
          <w:b/>
          <w:bCs/>
          <w:sz w:val="20"/>
          <w:szCs w:val="20"/>
        </w:rPr>
        <w:t>Figure 8.</w:t>
      </w:r>
      <w:r w:rsidR="710A6EB0" w:rsidRPr="009E1465">
        <w:rPr>
          <w:rFonts w:ascii="Times" w:hAnsi="Times"/>
          <w:sz w:val="20"/>
          <w:szCs w:val="20"/>
        </w:rPr>
        <w:t xml:space="preserve"> </w:t>
      </w:r>
      <w:r w:rsidR="00AD46E0" w:rsidRPr="009E1465">
        <w:rPr>
          <w:rFonts w:ascii="Times" w:hAnsi="Times"/>
          <w:color w:val="000000" w:themeColor="text1"/>
          <w:sz w:val="20"/>
          <w:szCs w:val="20"/>
        </w:rPr>
        <w:t>Gold Nanoparticles</w:t>
      </w:r>
      <w:r w:rsidR="00742C1F" w:rsidRPr="009E1465">
        <w:rPr>
          <w:rFonts w:ascii="Times" w:hAnsi="Times"/>
          <w:color w:val="000000" w:themeColor="text1"/>
          <w:sz w:val="20"/>
          <w:szCs w:val="20"/>
        </w:rPr>
        <w:t xml:space="preserve">. Adapted from </w:t>
      </w:r>
      <w:r w:rsidR="00742C1F" w:rsidRPr="009E1465">
        <w:rPr>
          <w:rFonts w:ascii="Times" w:hAnsi="Times"/>
          <w:color w:val="000000" w:themeColor="text1"/>
          <w:sz w:val="20"/>
          <w:szCs w:val="20"/>
        </w:rPr>
        <w:fldChar w:fldCharType="begin"/>
      </w:r>
      <w:r w:rsidR="0056095D">
        <w:rPr>
          <w:rFonts w:ascii="Times" w:hAnsi="Times"/>
          <w:color w:val="000000" w:themeColor="text1"/>
          <w:sz w:val="20"/>
          <w:szCs w:val="20"/>
        </w:rPr>
        <w:instrText xml:space="preserve"> ADDIN ZOTERO_ITEM CSL_CITATION {"citationID":"zfstyuO9","properties":{"formattedCitation":"[105]","plainCitation":"[105]","noteIndex":0},"citationItems":[{"id":16034,"uris":["http://zotero.org/users/9439317/items/7AGPSIKA"],"itemData":{"id":16034,"type":"chapter","abstract":"Nanomaterials substantially contribute in delineating the rapidly advancing field of nanotechnology. Recently, primary emphasis has been laid down on augmenting the biological methodologies for the synthesis of nanomaterials. In this aspect, green nanotechnology has revolutionized the entire process of nanosynthesis. Essentially biofabrication of nanoparticles have long range applications, primarily in the field of medical applications such as drug delivery, cancer diagnostics and genetic engineering processes. Biological systems including bacteria, yeasts, fungi, and plants have already been exploited in the field of nanotechnology. Gold nanoparticles possess anti-oxidation activity, are highly stable and biocompatible in nature. Fungi including yeasts are very much preferred as they secrete more enzymes that would mediate the biosynthesis of nanoparticle.","container-title":"Entrepreneurship with Microorganisms","ISBN":"978-0-443-19049-0","note":"DOI: 10.1016/B978-0-443-19049-0.00012-8","page":"371-388","publisher":"Academic Press","title":"Chapter 18 - Biological synthesis of gold nanoparticles by microbes: Mechanistic aspects, biomedical applications, and future prospects","URL":"https://www.sciencedirect.com/science/article/pii/B9780443190490000128","author":[{"family":"Panigrahi","given":"Gagan Kumar"},{"family":"Satapathy","given":"Kunja Bihari"}],"editor":[{"family":"Shukla","given":"Amritesh C."}],"issued":{"date-parts":[["2024",1,1]]}}}],"schema":"https://github.com/citation-style-language/schema/raw/master/csl-citation.json"} </w:instrText>
      </w:r>
      <w:r w:rsidR="00742C1F" w:rsidRPr="009E1465">
        <w:rPr>
          <w:rFonts w:ascii="Times" w:hAnsi="Times"/>
          <w:color w:val="000000" w:themeColor="text1"/>
          <w:sz w:val="20"/>
          <w:szCs w:val="20"/>
        </w:rPr>
        <w:fldChar w:fldCharType="separate"/>
      </w:r>
      <w:r w:rsidR="0056095D">
        <w:rPr>
          <w:rFonts w:ascii="Times" w:hAnsi="Times"/>
          <w:noProof/>
          <w:color w:val="000000" w:themeColor="text1"/>
          <w:sz w:val="20"/>
          <w:szCs w:val="20"/>
        </w:rPr>
        <w:t>[105]</w:t>
      </w:r>
      <w:r w:rsidR="00742C1F" w:rsidRPr="009E1465">
        <w:rPr>
          <w:rFonts w:ascii="Times" w:hAnsi="Times"/>
          <w:color w:val="000000" w:themeColor="text1"/>
          <w:sz w:val="20"/>
          <w:szCs w:val="20"/>
        </w:rPr>
        <w:fldChar w:fldCharType="end"/>
      </w:r>
    </w:p>
    <w:p w14:paraId="3280CBCD" w14:textId="2E24791C" w:rsidR="00AD46E0" w:rsidRDefault="00AD46E0" w:rsidP="00AD46E0">
      <w:pPr>
        <w:pStyle w:val="Heading4"/>
        <w:shd w:val="clear" w:color="auto" w:fill="FFFFFF" w:themeFill="background1"/>
        <w:jc w:val="both"/>
        <w:rPr>
          <w:rFonts w:ascii="Times" w:hAnsi="Times" w:cs="Arial"/>
          <w:b/>
          <w:bCs/>
          <w:i w:val="0"/>
          <w:iCs w:val="0"/>
          <w:color w:val="222222"/>
        </w:rPr>
      </w:pPr>
      <w:r w:rsidRPr="00D22AA7">
        <w:rPr>
          <w:rFonts w:ascii="Times" w:hAnsi="Times" w:cs="Arial"/>
          <w:b/>
          <w:bCs/>
          <w:i w:val="0"/>
          <w:iCs w:val="0"/>
          <w:color w:val="222222"/>
        </w:rPr>
        <w:lastRenderedPageBreak/>
        <w:t>3.6. Carbon Nanotubes</w:t>
      </w:r>
    </w:p>
    <w:p w14:paraId="2D118069" w14:textId="77777777" w:rsidR="00F426A6" w:rsidRPr="00F426A6" w:rsidRDefault="00F426A6" w:rsidP="00F426A6"/>
    <w:p w14:paraId="2285CEAD" w14:textId="77FD6376" w:rsidR="00F426A6" w:rsidRDefault="00AD46E0" w:rsidP="00AD46E0">
      <w:pPr>
        <w:pStyle w:val="BodyText"/>
        <w:suppressAutoHyphens/>
        <w:spacing w:after="0" w:line="276" w:lineRule="auto"/>
        <w:jc w:val="both"/>
        <w:rPr>
          <w:rFonts w:ascii="Times" w:hAnsi="Times"/>
        </w:rPr>
      </w:pPr>
      <w:r w:rsidRPr="00D22AA7">
        <w:rPr>
          <w:rFonts w:ascii="Times" w:hAnsi="Times"/>
        </w:rPr>
        <w:t xml:space="preserve"> </w:t>
      </w:r>
      <w:r w:rsidRPr="00D22AA7">
        <w:rPr>
          <w:rFonts w:ascii="Times" w:eastAsiaTheme="minorEastAsia" w:hAnsi="Times" w:cs="Arial"/>
          <w:color w:val="222222"/>
          <w:lang w:eastAsia="ja-JP"/>
        </w:rPr>
        <w:t xml:space="preserve">CNTs typically have diameters ranging from 1 to 100 nm, with both ends capped by half of a fullerene molecule. Structurally, they consist of cylindrical layers of coaxial graphene sheets, where each carbon atom is bonded to three neighboring atoms, providing exceptional strength </w:t>
      </w:r>
      <w:r w:rsidRPr="00D22AA7">
        <w:rPr>
          <w:rFonts w:ascii="Times" w:hAnsi="Times"/>
          <w:color w:val="222222"/>
        </w:rPr>
        <w:fldChar w:fldCharType="begin"/>
      </w:r>
      <w:r w:rsidR="0056095D">
        <w:rPr>
          <w:rFonts w:ascii="Times" w:hAnsi="Times"/>
          <w:color w:val="222222"/>
        </w:rPr>
        <w:instrText xml:space="preserve"> ADDIN ZOTERO_ITEM CSL_CITATION {"citationID":"3AmhDlOg","properties":{"formattedCitation":"[106]","plainCitation":"[106]","noteIndex":0},"citationItems":[{"id":14933,"uris":["http://zotero.org/users/9439317/items/8G5AAF7N"],"itemData":{"id":14933,"type":"article-journal","abstract":"Carbon Nano Tubes (CNTs) are cylindrical structured rolled up sheets of graphene. The use of CNTs is observed as increasing immensely nowadays due to its tremendous characteristical properties. The low thermal expansion coefficient (CTE) of carbon nanotubes (CNTs), their high mechanical strength, high specific surface area (SSA), and high thermal conductivity strongly idealize them as a nanostructure for enhancing the physical properties of the fibre-reinforced polymer (FRP) materials for advanced applications such as microelectronic, chemical sensors, electromagnetic interference shielding (EMI), microwave absorption, hydrogen storage and aerospace. This review is comprised of the recent advancement in the fabrication of FRP by incorporated CNTs. Moreover, different functionalization techniques are analyzed to ensure uniform dispersion of CNTs and various fabrication routes were opted to enhance the overall performance of the CNTs incorporated FRPs composites. Common characterization techniques such as scanning electron spectroscopy (SEM), Differential scanning calorimetry (DSC), Thermal gravimetric analysis (TGA) and mechanical testing are discussed to study the influence of CNTs on physical and mechanical properties of CNTs incorporated FRP composite. Furthermore, comprehensive and descriptive overview of complex characterization techniques including Brillouin scattering, Raman spectroscopy, transmission electron microscopy (TEM), Dynamic light scattering (DLS), X-ray photoelectron spectroscopy (XPS) and Fourier transform infrared spectroscopy (FTIR), is also covered in the scope of this paper which are used for studying influence of CNTs on the properties of FRP composites. This review will facilitate upcoming researchers to choose the most appropriate functionalization method of CNTs, optimized fabrication route for composite synthesis, essential characterization techniques for evaluating the performance as per required applications.","container-title":"Journal of Materials Research and Technology","DOI":"10.1016/j.jmrt.2023.04.072","ISSN":"2238-7854","journalAbbreviation":"Journal of Materials Research and Technology","page":"6495-6521","title":"Carbon nanotube characteristics and enhancement effects on the mechanical features of polymer-based materials and structures – A review","URL":"https://www.sciencedirect.com/science/article/pii/S2238785423007652","volume":"24","author":[{"family":"Ali","given":"Alamry"},{"family":"Rahimian Koloor","given":"Seyed Saeid"},{"family":"Alshehri","given":"Abdullah H."},{"family":"Arockiarajan","given":"A."}],"issued":{"date-parts":[["2023",5,1]]}}}],"schema":"https://github.com/citation-style-language/schema/raw/master/csl-citation.json"}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[106]</w:t>
      </w:r>
      <w:r w:rsidRPr="00D22AA7">
        <w:rPr>
          <w:rFonts w:ascii="Times" w:hAnsi="Times"/>
          <w:color w:val="222222"/>
        </w:rPr>
        <w:fldChar w:fldCharType="end"/>
      </w:r>
      <w:r w:rsidRPr="00D22AA7">
        <w:rPr>
          <w:rFonts w:ascii="Times" w:eastAsiaTheme="minorEastAsia" w:hAnsi="Times" w:cs="Arial"/>
          <w:color w:val="222222"/>
          <w:lang w:eastAsia="ja-JP"/>
        </w:rPr>
        <w:t>.</w:t>
      </w:r>
      <w:r w:rsidRPr="00D22AA7">
        <w:rPr>
          <w:rFonts w:ascii="Times" w:hAnsi="Times"/>
        </w:rPr>
        <w:t xml:space="preserve">CNTs are broadly classified into two types: single-walled carbon nanotubes (SWCNTs) and multi-walled carbon nanotubes (MWCNTs) . SWCNTs are composed of a single graphene sheet seamlessly rolled into a hollow cylindrical structure, with diameters ranging from approximately 0.5 to 2.0 nm. Their unique one-dimensional configuration imparts them with remarkable electrical, mechanical, and optical properties, making them highly valuable for applications in nanotechnology, electronics, and biomedical research </w:t>
      </w:r>
      <w:r w:rsidRPr="00D22AA7">
        <w:rPr>
          <w:rFonts w:ascii="Times" w:hAnsi="Times"/>
          <w:color w:val="222222"/>
        </w:rPr>
        <w:fldChar w:fldCharType="begin"/>
      </w:r>
      <w:r w:rsidR="0056095D">
        <w:rPr>
          <w:rFonts w:ascii="Times" w:hAnsi="Times"/>
          <w:color w:val="222222"/>
        </w:rPr>
        <w:instrText xml:space="preserve"> ADDIN ZOTERO_ITEM CSL_CITATION {"citationID":"ffP2FB5a","properties":{"formattedCitation":"[107]","plainCitation":"[107]","noteIndex":0},"citationItems":[{"id":5184,"uris":["http://zotero.org/users/9439317/items/XFARAKVM"],"itemData":{"id":5184,"type":"article-journal","container-title":"Polymer","ISSN":"0032-3861","issue":"8","journalAbbreviation":"Polymer","note":"publisher: Elsevier","page":"2472-2485","title":"Polyelectrolyte-functionalized multiwalled carbon nanotubes: preparation, characterization and layer-by-layer self-assembly","volume":"46","author":[{"family":"Kong","given":"Hao"},{"family":"Luo","given":"Ping"},{"family":"Gao","given":"Chao"},{"family":"Yan","given":"Deyue"}],"issued":{"date-parts":[["2005"]]}}}],"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[107]</w:t>
      </w:r>
      <w:r w:rsidRPr="00D22AA7">
        <w:rPr>
          <w:rFonts w:ascii="Times" w:hAnsi="Times"/>
          <w:color w:val="222222"/>
        </w:rPr>
        <w:fldChar w:fldCharType="end"/>
      </w:r>
      <w:r w:rsidRPr="00D22AA7">
        <w:rPr>
          <w:rFonts w:ascii="Times" w:hAnsi="Times"/>
          <w:color w:val="222222"/>
        </w:rPr>
        <w:t>.</w:t>
      </w:r>
      <w:r w:rsidRPr="00D22AA7">
        <w:rPr>
          <w:rFonts w:ascii="Times" w:hAnsi="Times"/>
        </w:rPr>
        <w:t xml:space="preserve"> In contrast, MWCNTs consist of multiple concentric graphene layers arranged in a nested, tube-like formation, resulting in structures with progressively larger diameters</w:t>
      </w:r>
      <w:r w:rsidR="00B105B8">
        <w:rPr>
          <w:rFonts w:ascii="Times" w:hAnsi="Times"/>
        </w:rPr>
        <w:t xml:space="preserve"> (figure 9)</w:t>
      </w:r>
      <w:r w:rsidRPr="00D22AA7">
        <w:rPr>
          <w:rFonts w:ascii="Times" w:hAnsi="Times"/>
        </w:rPr>
        <w:t xml:space="preserve">. </w:t>
      </w:r>
    </w:p>
    <w:p w14:paraId="4EDA2837" w14:textId="77777777" w:rsidR="00F426A6" w:rsidRDefault="00AD46E0" w:rsidP="00AD46E0">
      <w:pPr>
        <w:pStyle w:val="BodyText"/>
        <w:suppressAutoHyphens/>
        <w:spacing w:after="0" w:line="276" w:lineRule="auto"/>
        <w:jc w:val="both"/>
        <w:rPr>
          <w:rFonts w:ascii="Times" w:hAnsi="Times"/>
        </w:rPr>
      </w:pPr>
      <w:r w:rsidRPr="00D22AA7">
        <w:rPr>
          <w:rFonts w:ascii="Times" w:hAnsi="Times"/>
        </w:rPr>
        <w:t xml:space="preserve">This multilayered composition provides enhanced mechanical strength, superior electrical conductivity, and increased thermal stability compared to SWCNTs. The presence of multiple walls also grants MWCNTs greater resistance to structural defects and environmental degradation, making them suitable for heavy-duty applications such as composite reinforcement, energy storage, and drug delivery systems. </w:t>
      </w:r>
    </w:p>
    <w:p w14:paraId="6CC4070E" w14:textId="5CC19E5E" w:rsidR="00F426A6" w:rsidRDefault="00AD46E0" w:rsidP="00AD46E0">
      <w:pPr>
        <w:pStyle w:val="BodyText"/>
        <w:suppressAutoHyphens/>
        <w:spacing w:after="0" w:line="276" w:lineRule="auto"/>
        <w:jc w:val="both"/>
        <w:rPr>
          <w:rFonts w:ascii="Times" w:eastAsiaTheme="minorEastAsia" w:hAnsi="Times" w:cs="Arial"/>
          <w:color w:val="222222"/>
          <w:lang w:eastAsia="ja-JP"/>
        </w:rPr>
      </w:pPr>
      <w:r w:rsidRPr="00D22AA7">
        <w:rPr>
          <w:rFonts w:ascii="Times" w:hAnsi="Times"/>
        </w:rPr>
        <w:t xml:space="preserve">Due to their distinct characteristics, SWCNTs and MWCNTs exhibit different behaviors in terms of flexibility, conductivity, and surface functionalization. While SWCNTs offer higher electron mobility and sensitivity, making them ideal for nanoscale electronic devices and sensors, MWCNTs provide improved durability and load-bearing capacity, rendering them more suitable for structural and industrial applications. Ongoing research continues to explore ways to optimize and tailor CNT properties through surface modifications, doping, and hybridization with other nanomaterials, further expanding their potential across diverse scientific and technological domains </w:t>
      </w:r>
      <w:r w:rsidRPr="00D22AA7">
        <w:rPr>
          <w:rFonts w:ascii="Times" w:hAnsi="Times"/>
          <w:color w:val="222222"/>
        </w:rPr>
        <w:fldChar w:fldCharType="begin"/>
      </w:r>
      <w:r w:rsidR="0056095D">
        <w:rPr>
          <w:rFonts w:ascii="Times" w:hAnsi="Times"/>
          <w:color w:val="222222"/>
        </w:rPr>
        <w:instrText xml:space="preserve"> ADDIN ZOTERO_ITEM CSL_CITATION {"citationID":"0JZ8PAdn","properties":{"formattedCitation":"[108]","plainCitation":"[108]","noteIndex":0},"citationItems":[{"id":767,"uris":["http://zotero.org/users/9439317/items/V8VP4XMU"],"itemData":{"id":767,"type":"article-journal","abstract":"Dynamic thin films confined in a microfluidic platform are effective in exfoliating graphite in water and then decorating the multi-layer 2D sheets on the surface of microalgal cells. The overall process incorporates green chemistry principles in using naturally available resources, namely algae and graphite, and using water as a benign reaction medium. Furthermore, the nanobio hybrid material is active for wastewater treatment, in removing all traces of nitrate from liquid effluents, more efficiently than the pristine microalgal cells, with the multi-layer graphene itself not showing any significant nitrate removal. © 2013 The Royal Society of Chemistry.","container-title":"Green Chemistry","DOI":"10.1039/C2GC36892G","issue":"3","note":"publisher: Royal Society of Chemistry","page":"650-655","title":"Functional multi-layer graphene-algae hybrid material formed using vortex fluidics","volume":"15","author":[{"family":"Wahid","given":"M. Haniff"},{"family":"Eroglu","given":"Ela"},{"family":"Chen","given":"Xianjue"},{"family":"Smith","given":"Steven M."},{"family":"Raston","given":"Colin L."}],"accessed":{"date-parts":[["2021",10,18]]},"issued":{"date-parts":[["2013"]]}}}],"schema":"https://github.com/citation-style-language/schema/raw/master/csl-citation.json"}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[108]</w:t>
      </w:r>
      <w:r w:rsidRPr="00D22AA7">
        <w:rPr>
          <w:rFonts w:ascii="Times" w:hAnsi="Times"/>
          <w:color w:val="222222"/>
        </w:rPr>
        <w:fldChar w:fldCharType="end"/>
      </w:r>
      <w:r w:rsidRPr="00D22AA7">
        <w:rPr>
          <w:rFonts w:ascii="Times" w:hAnsi="Times"/>
          <w:color w:val="222222"/>
        </w:rPr>
        <w:t>.</w:t>
      </w:r>
    </w:p>
    <w:p w14:paraId="553982D0" w14:textId="468CEC2B" w:rsidR="00AD46E0" w:rsidRPr="00D22AA7" w:rsidRDefault="00AD46E0" w:rsidP="00AD46E0">
      <w:pPr>
        <w:pStyle w:val="BodyText"/>
        <w:suppressAutoHyphens/>
        <w:spacing w:after="0" w:line="276" w:lineRule="auto"/>
        <w:jc w:val="both"/>
        <w:rPr>
          <w:rFonts w:ascii="Times" w:eastAsiaTheme="minorEastAsia" w:hAnsi="Times" w:cs="Arial"/>
          <w:color w:val="222222"/>
          <w:lang w:eastAsia="ja-JP"/>
        </w:rPr>
      </w:pPr>
      <w:r w:rsidRPr="00D22AA7">
        <w:rPr>
          <w:rFonts w:ascii="Times" w:eastAsiaTheme="minorEastAsia" w:hAnsi="Times" w:cs="Arial"/>
          <w:color w:val="222222"/>
          <w:lang w:eastAsia="ja-JP"/>
        </w:rPr>
        <w:t xml:space="preserve">CNTs have significant applications in diagnostics, including protein and DNA detection, serum protein identification, and drug delivery. They are particularly valuable in targeted cancer therapies, as </w:t>
      </w:r>
      <w:proofErr w:type="gramStart"/>
      <w:r w:rsidRPr="00D22AA7">
        <w:rPr>
          <w:rFonts w:ascii="Times" w:eastAsiaTheme="minorEastAsia" w:hAnsi="Times" w:cs="Arial"/>
          <w:color w:val="222222"/>
          <w:lang w:eastAsia="ja-JP"/>
        </w:rPr>
        <w:t>their  structure</w:t>
      </w:r>
      <w:proofErr w:type="gramEnd"/>
      <w:r w:rsidRPr="00D22AA7">
        <w:rPr>
          <w:rFonts w:ascii="Times" w:eastAsiaTheme="minorEastAsia" w:hAnsi="Times" w:cs="Arial"/>
          <w:color w:val="222222"/>
          <w:lang w:eastAsia="ja-JP"/>
        </w:rPr>
        <w:t xml:space="preserve">, high surface area, and high biocompatibility enable efficient drug transport. Their ability to traverse biological barriers, penetrate plasma membranes, and enter the cytoplasm makes them ideal drug carriers </w:t>
      </w:r>
      <w:r w:rsidRPr="00D22AA7">
        <w:rPr>
          <w:rFonts w:ascii="Times" w:hAnsi="Times"/>
          <w:color w:val="222222"/>
        </w:rPr>
        <w:fldChar w:fldCharType="begin"/>
      </w:r>
      <w:r w:rsidR="0056095D">
        <w:rPr>
          <w:rFonts w:ascii="Times" w:hAnsi="Times"/>
          <w:color w:val="222222"/>
        </w:rPr>
        <w:instrText xml:space="preserve"> ADDIN ZOTERO_ITEM CSL_CITATION {"citationID":"QufZfr4I","properties":{"formattedCitation":"[109\\uc0\\u8211{}111]","plainCitation":"[109–111]","noteIndex":0},"citationItems":[{"id":14931,"uris":["http://zotero.org/users/9439317/items/2P4FYBMY"],"itemData":{"id":14931,"type":"article-journal","abstract":"Abstract Small-diameter (&lt;6 mm) tissue?engineered blood vessels (TEBVs) have a low patency rate due to chronic inflammation mediated intimal hyperplasia. Functional coating with drug release is a promising solution, but preventing the released drug from being rushed away by blood flow remains a great challenge. A single-walled carboxylic acid functionalized carbon nanotube (C-SWCNT) is used to build an irregular mesh for TEBV coating. However, an interaction between the released drug and the cells is still insufficient due to the blood flow. Thus, an intracellular drug delivery system mediated by macrophage cellular uptake is designed. Resveratrol (RSV) modified CNT is used for macrophage uptake. M1 macrophage uptakes CNT-RSV and then converts to the M2 phenotype upon intracellular RSV release. Prohealing M2 macrophage inhibits the chronic inflammation thus maintains the contractile phenotype of the vascular smooth muscle cell (VSMC), which reduces intimal hyperplasia. Additionally, RSV released from the mesh coating also directly protects the contractile VSMCs from being converted to a secretory phenotype. Through antishear stress coating and macrophage-based intracellular drug delivery, CNT-RSV TEBVs exhibit a long-term anti-intimal hyperplasia function. Animal transplantation studies show that the patency rate remains high until day 90 after grafting in rat carotid arteries.","container-title":"Advanced Healthcare Materials","DOI":"10.1002/adhm.201800026","ISSN":"2192-2640","issue":"11","journalAbbreviation":"Advanced Healthcare Materials","page":"1800026","title":"Antishear Stress Bionic Carbon Nanotube Mesh Coating with Intracellular Controlled Drug Delivery Constructing Small-Diameter Tissue–Engineered Vascular Grafts","URL":"https://doi.org/10.1002/adhm.201800026","volume":"7","author":[{"family":"Ding","given":"Ning"},{"family":"Dou","given":"Ce"},{"family":"Wang","given":"Yuxin"},{"family":"Liu","given":"Feila"},{"family":"Guan","given":"Ge"},{"family":"Huo","given":"Da"},{"family":"Li","given":"Yanzhao"},{"family":"Yang","given":"Jingyuan"},{"family":"Wei","given":"Keyu"},{"family":"Yang","given":"Mingcan"},{"family":"Tan","given":"Ju"},{"family":"Zeng","given":"Wen"},{"family":"Zhu","given":"Chuhong"}],"accessed":{"date-parts":[["2023",12,25]]},"issued":{"date-parts":[["2018",6,1]]}}},{"id":5192,"uris":["http://zotero.org/users/9439317/items/7NWM993W"],"itemData":{"id":5192,"type":"article-journal","abstract":"The unique properties of carbon nanotubes (CNTs) (such as their high surface to volume ratios, enhanced conductivity and strength, biocompatibility, ease of functionaliza­ tion, optical properties, etc.) have led to their consideration to serve as novel drug and gene delivery carriers. CNTs are effectively taken up by many different cell types through several mechanisms. CNTs have acted as carriers of anticancer molecules (including docetaxel (DTX), doxorubicin (DOX), methotrexate (MTX), paclitaxel (PTX), and gemcitabine (GEM)), anti-inflammatory drugs, osteogenic dexamethasone (DEX) steroids, etc. In addi­ tion, the unique optical properties of CNTs have led to their use in a number of platforms for improved photo-therapy. Further, the easy surface functionalization of CNTs has prompted their use to deliver different genes, such as plasmid DNA (PDNA), micro-RNA (miRNA), and small interfering RNA (siRNA) as gene delivery vectors for various diseases such as cancers. However, despite all of these promises, the most important continuous concerns raised by scientists reside in CNT nanotoxicology and the environmental effects of CNTs, mostly because of their non-biodegradable state. Despite a lack of widespread FDA approval, CNTs have been studied for decades and plenty of in vivo and in vitro reports have been published, which are reviewed here. Lastly, this review covers the future research necessary for the field of CNT medicine to grow even further.","container-title":"International Journal of Nanomedicine","DOI":"10.2147/IJN.S299448","ISSN":"1178-2013","journalAbbreviation":"IJN","language":"en","page":"1681-1706","source":"DOI.org (Crossref)","title":"Carbon Nanotubes: Smart Drug/Gene Delivery Carriers","title-short":"Carbon Nanotubes","URL":"https://www.dovepress.com/carbon-nanotubes-smart-druggene-delivery-carriers-peer-reviewed-article-IJN","volume":"Volume 16","author":[{"family":"Zare","given":"Hossein"},{"family":"Ahmadi","given":"Sepideh"},{"family":"Ghasemi","given":"Amir"},{"family":"Ghanbari","given":"Mohammad"},{"family":"Rabiee","given":"Navid"},{"family":"Bagherzadeh","given":"Mojtaba"},{"family":"Karimi","given":"Mahdi"},{"family":"Webster","given":"Thomas J"},{"family":"Hamblin","given":"Michael R"},{"family":"Mostafavi","given":"Ebrahim"}],"accessed":{"date-parts":[["2023",12,25]]},"issued":{"date-parts":[["2021",3]]}}},{"id":14935,"uris":["http://zotero.org/users/9439317/items/W9ASQXDY"],"itemData":{"id":14935,"type":"article-journal","abstract":"Non-small cell lung cancer (NSCLC) is a global burden leading to millions of deaths worldwide every year. Nanomedicine refers to the use of materials at the nanoscale for drug delivery and subsequent therapeutic approaches in cancer. Carbon nanotubes (CNTs) are widely used as nanocarriers for therapeutic molecules such as plasmids, siRNAs, antisense agents, aptamers and molecules related to the immunotherapy for several cancers. They are usually functionalized and loaded with standard drug molecules to improve their therapeutic efficiency. Functionalization and drug loading possibly decrease the genotoxic and carcinogenic potential of CNTs. In addition, the targeted cytotoxic properties of the drug improve and undesired toxicity decreases after drug loading and/or conjugation with proteins, including antibodies. For intended drug delivery, a lysosomal pH of 5.5 is more suitable and effective for the slow and extended release of cytotoxic drugs than a physiological of pH 7.4. Remarkably, CNTs possess intrinsic antitumor properties and are usually internalized by endocytosis. After being internalized, several mechanisms are involved in the therapeutic and carcinogenic effects of CNTs. They are generally safe for therapy, and their toxicity profile remains dependent on their physicochemical properties. Moreover, the dose, route, duration of exposure, surface properties and degradative potential determine the toxicity outcomes of CNTs locally or systemically. In summary, the use of CNTs in drug delivery and NSCLC therapy, as well as their genotoxic and carcinogenic potential and the possible mechanisms, has been discussed in this review. The therapeutic index is generally high for NSCLC cells treated with drug-loaded CNTs; therefore, they are effective carriers in implementing targeted therapy for NSCLC.","container-title":"International Journal of Nanomedicine","DOI":"10.2147/IJN.S384592","ISSN":"1178-2013","journalAbbreviation":"IJN","language":"en","page":"6157-6180","source":"DOI.org (Crossref)","title":"Carbon Nanotubes as Carriers in Drug Delivery for Non-Small Cell Lung Cancer, Mechanistic Analysis of Their Carcinogenic Potential, Safety Profiling and Identification of Biomarkers","URL":"https://www.dovepress.com/carbon-nanotubes-as-carriers-in-drug-delivery-for-non-small-cell-lung--peer-reviewed-fulltext-article-IJN","volume":"Volume 17","author":[{"family":"Pu","given":"Zhongjian"},{"family":"Wei","given":"Yujia"},{"family":"Sun","given":"Yuanpeng"},{"family":"Wang","given":"Yajun"},{"family":"Zhu","given":"Shilin"}],"accessed":{"date-parts":[["2023",12,25]]},"issued":{"date-parts":[["2022",12]]}}}],"schema":"https://github.com/citation-style-language/schema/raw/master/csl-citation.json"} </w:instrText>
      </w:r>
      <w:r w:rsidRPr="00D22AA7">
        <w:rPr>
          <w:rFonts w:ascii="Times" w:hAnsi="Times"/>
          <w:color w:val="222222"/>
        </w:rPr>
        <w:fldChar w:fldCharType="separate"/>
      </w:r>
      <w:r w:rsidR="0056095D" w:rsidRPr="0056095D">
        <w:rPr>
          <w:rFonts w:ascii="Times" w:hAnsi="Times"/>
          <w:color w:val="000000"/>
          <w:lang w:val="en-GB"/>
        </w:rPr>
        <w:t>[109–111]</w:t>
      </w:r>
      <w:r w:rsidRPr="00D22AA7">
        <w:rPr>
          <w:rFonts w:ascii="Times" w:hAnsi="Times"/>
          <w:color w:val="222222"/>
        </w:rPr>
        <w:fldChar w:fldCharType="end"/>
      </w:r>
      <w:r w:rsidRPr="00D22AA7">
        <w:rPr>
          <w:rFonts w:ascii="Times" w:hAnsi="Times"/>
          <w:color w:val="222222"/>
        </w:rPr>
        <w:t>.</w:t>
      </w:r>
    </w:p>
    <w:p w14:paraId="1A5C4300" w14:textId="77777777" w:rsidR="00AD46E0" w:rsidRPr="00D22AA7" w:rsidRDefault="00AD46E0" w:rsidP="00AD46E0">
      <w:pPr>
        <w:pStyle w:val="BodyText"/>
        <w:spacing w:after="0"/>
        <w:jc w:val="both"/>
        <w:rPr>
          <w:rFonts w:ascii="Times" w:hAnsi="Times" w:cs="Arial"/>
          <w:color w:val="222222"/>
          <w:sz w:val="20"/>
          <w:szCs w:val="20"/>
        </w:rPr>
      </w:pPr>
    </w:p>
    <w:p w14:paraId="60831DE1" w14:textId="54E1EEDB" w:rsidR="00AD46E0" w:rsidRPr="00D22AA7" w:rsidRDefault="00A0238A" w:rsidP="00AD46E0">
      <w:pPr>
        <w:pStyle w:val="BodyText"/>
        <w:spacing w:after="0"/>
        <w:jc w:val="both"/>
        <w:rPr>
          <w:rFonts w:ascii="Times" w:hAnsi="Times"/>
        </w:rPr>
      </w:pPr>
      <w:r>
        <w:lastRenderedPageBreak/>
        <w:t xml:space="preserve">                      </w:t>
      </w:r>
      <w:r w:rsidR="00742C1F">
        <w:fldChar w:fldCharType="begin"/>
      </w:r>
      <w:r w:rsidR="00742C1F">
        <w:instrText xml:space="preserve"> INCLUDEPICTURE "https://www.mdpi.com/processes/processes-11-01171/article_deploy/html/images/processes-11-01171-g003.png" \* MERGEFORMATINET </w:instrText>
      </w:r>
      <w:r w:rsidR="00742C1F">
        <w:fldChar w:fldCharType="separate"/>
      </w:r>
      <w:r w:rsidR="00742C1F">
        <w:rPr>
          <w:noProof/>
        </w:rPr>
        <w:drawing>
          <wp:inline distT="0" distB="0" distL="0" distR="0" wp14:anchorId="0E19FE7B" wp14:editId="7DD43252">
            <wp:extent cx="4494998" cy="2853555"/>
            <wp:effectExtent l="0" t="0" r="1270" b="4445"/>
            <wp:docPr id="974057555" name="Picture 20" descr="Processes 11 01171 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Processes 11 01171 g00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41363" cy="2882989"/>
                    </a:xfrm>
                    <a:prstGeom prst="rect">
                      <a:avLst/>
                    </a:prstGeom>
                    <a:noFill/>
                    <a:ln>
                      <a:noFill/>
                    </a:ln>
                  </pic:spPr>
                </pic:pic>
              </a:graphicData>
            </a:graphic>
          </wp:inline>
        </w:drawing>
      </w:r>
      <w:r w:rsidR="00742C1F">
        <w:fldChar w:fldCharType="end"/>
      </w:r>
    </w:p>
    <w:p w14:paraId="211E3A80" w14:textId="48096263" w:rsidR="00AD46E0" w:rsidRPr="009E1465" w:rsidRDefault="00A0238A" w:rsidP="00AD46E0">
      <w:pPr>
        <w:pStyle w:val="BodyText"/>
        <w:spacing w:after="0"/>
        <w:jc w:val="both"/>
        <w:rPr>
          <w:rFonts w:ascii="Times" w:hAnsi="Times"/>
          <w:sz w:val="20"/>
          <w:szCs w:val="20"/>
        </w:rPr>
      </w:pPr>
      <w:r>
        <w:rPr>
          <w:rFonts w:ascii="Times" w:hAnsi="Times"/>
          <w:b/>
          <w:bCs/>
          <w:sz w:val="20"/>
          <w:szCs w:val="20"/>
        </w:rPr>
        <w:t xml:space="preserve">                                      </w:t>
      </w:r>
      <w:r w:rsidR="00AD46E0" w:rsidRPr="009E1465">
        <w:rPr>
          <w:rFonts w:ascii="Times" w:hAnsi="Times"/>
          <w:b/>
          <w:bCs/>
          <w:sz w:val="20"/>
          <w:szCs w:val="20"/>
        </w:rPr>
        <w:t>Figure 9.</w:t>
      </w:r>
      <w:r w:rsidR="00AD46E0" w:rsidRPr="009E1465">
        <w:rPr>
          <w:rFonts w:ascii="Times" w:hAnsi="Times"/>
          <w:sz w:val="20"/>
          <w:szCs w:val="20"/>
        </w:rPr>
        <w:t xml:space="preserve">  </w:t>
      </w:r>
      <w:r w:rsidR="00AD46E0" w:rsidRPr="009E1465">
        <w:rPr>
          <w:rFonts w:ascii="Times" w:hAnsi="Times" w:cs="Arial"/>
          <w:color w:val="222222"/>
          <w:sz w:val="20"/>
          <w:szCs w:val="20"/>
        </w:rPr>
        <w:t>Carbon Nanotubes</w:t>
      </w:r>
      <w:r w:rsidR="00742C1F" w:rsidRPr="009E1465">
        <w:rPr>
          <w:rFonts w:ascii="Times" w:hAnsi="Times" w:cs="Arial"/>
          <w:color w:val="222222"/>
          <w:sz w:val="20"/>
          <w:szCs w:val="20"/>
        </w:rPr>
        <w:t xml:space="preserve">. Adpated from </w:t>
      </w:r>
      <w:r w:rsidR="00742C1F" w:rsidRPr="009E1465">
        <w:rPr>
          <w:rFonts w:ascii="Times" w:hAnsi="Times" w:cs="Arial"/>
          <w:color w:val="222222"/>
          <w:sz w:val="20"/>
          <w:szCs w:val="20"/>
        </w:rPr>
        <w:fldChar w:fldCharType="begin"/>
      </w:r>
      <w:r w:rsidR="0056095D">
        <w:rPr>
          <w:rFonts w:ascii="Times" w:hAnsi="Times" w:cs="Arial"/>
          <w:color w:val="222222"/>
          <w:sz w:val="20"/>
          <w:szCs w:val="20"/>
        </w:rPr>
        <w:instrText xml:space="preserve"> ADDIN ZOTERO_ITEM CSL_CITATION {"citationID":"CfqqUTJm","properties":{"formattedCitation":"[112]","plainCitation":"[112]","noteIndex":0},"citationItems":[{"id":16035,"uris":["http://zotero.org/users/9439317/items/7WDTQXKF"],"itemData":{"id":16035,"type":"article-journal","abstract":"Shape memory nanocomposites are excellent smart materials which can switch between a variable temporary shape and their original shape upon exposure to external stimuli such as heat, light, electricity, magnetic fields, moisture, chemicals, pH, etc. Numerous nanofillers have been introduced in shape memory polymers such as carbon nanotubes, graphene, nanodiamonds, carbon nanofibers, etc. Among nanocarbons, graphene has attracted research interest for the development of shape memory polymer/graphene nanocomposites. Graphene is a unique one-atom-thick two-dimensional nanosheet of sp2-hybridized carbon atoms. Graphene has been used as an effective nanofiller in shape memory polymeric nanocomposites owing to its remarkable electrical conductivity, flexibility, strength, and heat stability. Thermoplastics as well as thermoset matrices have been used to form the shape memory nanomaterials with graphene nanofiller. In shape memory polymer/graphene nanocomposites, their shape has been fixed above the transition temperature and then transformed to the original shape through an external stimulus. The inclusion of graphene in nanocomposites can cause fast switching of their temporary shape to their original shape. Fine graphene dispersion, matrix–nanofiller interactions, and compatible interface development can lead to high-performance shape memory graphene-derived nanocomposites. Consequently, this review focuses on an important class of shape memory graphene-based nanocomposites. The fabrication, physical properties, and shape memory actuation of polymer/graphene nanocomposites are discussed. The stimuli-responsive polymer/graphene nanocomposites mostly revealed heat-, electricity-, and light-induced effects. The inclusion of graphene enhanced the physical/covalent linking, shape recovery, shape fixity, flexibility, and crystallization effects in the polymers. Furthermore, potential applications of these materials are observed in the aerospace/automobile industries, civil engineering, and biomaterials.","container-title":"Processes","DOI":"10.3390/pr11041171","ISSN":"2227-9717","issue":"4","title":"Shape Memory Graphene Nanocomposites—Fundamentals, Properties, and Significance","volume":"11","author":[{"family":"Kausar","given":"Ayesha"},{"family":"Ahmad","given":"Ishaq"},{"family":"Aldaghri","given":"O."},{"family":"Ibnaouf","given":"Khalid H."},{"family":"Eisa","given":"M. H."}],"issued":{"date-parts":[["2023"]]}}}],"schema":"https://github.com/citation-style-language/schema/raw/master/csl-citation.json"} </w:instrText>
      </w:r>
      <w:r w:rsidR="00742C1F" w:rsidRPr="009E1465">
        <w:rPr>
          <w:rFonts w:ascii="Times" w:hAnsi="Times" w:cs="Arial"/>
          <w:color w:val="222222"/>
          <w:sz w:val="20"/>
          <w:szCs w:val="20"/>
        </w:rPr>
        <w:fldChar w:fldCharType="separate"/>
      </w:r>
      <w:r w:rsidR="0056095D">
        <w:rPr>
          <w:rFonts w:ascii="Times" w:hAnsi="Times" w:cs="Arial"/>
          <w:noProof/>
          <w:color w:val="222222"/>
          <w:sz w:val="20"/>
          <w:szCs w:val="20"/>
        </w:rPr>
        <w:t>[112]</w:t>
      </w:r>
      <w:r w:rsidR="00742C1F" w:rsidRPr="009E1465">
        <w:rPr>
          <w:rFonts w:ascii="Times" w:hAnsi="Times" w:cs="Arial"/>
          <w:color w:val="222222"/>
          <w:sz w:val="20"/>
          <w:szCs w:val="20"/>
        </w:rPr>
        <w:fldChar w:fldCharType="end"/>
      </w:r>
      <w:r w:rsidR="00742C1F" w:rsidRPr="009E1465">
        <w:rPr>
          <w:rFonts w:ascii="Times" w:hAnsi="Times" w:cs="Arial"/>
          <w:color w:val="222222"/>
          <w:sz w:val="20"/>
          <w:szCs w:val="20"/>
        </w:rPr>
        <w:t xml:space="preserve"> under CC BY license</w:t>
      </w:r>
    </w:p>
    <w:p w14:paraId="5A921D74" w14:textId="77777777" w:rsidR="00AD46E0" w:rsidRPr="00D22AA7" w:rsidRDefault="00AD46E0" w:rsidP="0DE242D6">
      <w:pPr>
        <w:pStyle w:val="BodyText"/>
        <w:rPr>
          <w:rFonts w:ascii="Times" w:hAnsi="Times"/>
          <w:sz w:val="22"/>
          <w:szCs w:val="22"/>
        </w:rPr>
      </w:pPr>
    </w:p>
    <w:p w14:paraId="5994C7FA" w14:textId="2E147215" w:rsidR="10F2265A" w:rsidRPr="00D22AA7" w:rsidRDefault="10F2265A" w:rsidP="10F2265A">
      <w:pPr>
        <w:pStyle w:val="BodyText"/>
        <w:spacing w:after="0"/>
        <w:jc w:val="both"/>
        <w:rPr>
          <w:rFonts w:ascii="Times" w:hAnsi="Times"/>
        </w:rPr>
      </w:pPr>
    </w:p>
    <w:p w14:paraId="5FDBA3AD" w14:textId="00AD8AE3" w:rsidR="7BF57034" w:rsidRPr="00D22AA7" w:rsidRDefault="00AD46E0" w:rsidP="00AD46E0">
      <w:pPr>
        <w:pStyle w:val="Heading4"/>
        <w:shd w:val="clear" w:color="auto" w:fill="FFFFFF" w:themeFill="background1"/>
        <w:jc w:val="both"/>
        <w:rPr>
          <w:rFonts w:ascii="Times" w:hAnsi="Times"/>
          <w:b/>
          <w:bCs/>
          <w:i w:val="0"/>
          <w:iCs w:val="0"/>
          <w:color w:val="000000" w:themeColor="text1"/>
          <w:sz w:val="20"/>
          <w:szCs w:val="20"/>
        </w:rPr>
      </w:pPr>
      <w:r w:rsidRPr="00D22AA7">
        <w:rPr>
          <w:rFonts w:ascii="Times" w:hAnsi="Times" w:cs="Arial"/>
          <w:b/>
          <w:bCs/>
          <w:i w:val="0"/>
          <w:iCs w:val="0"/>
          <w:color w:val="222222"/>
          <w:sz w:val="20"/>
          <w:szCs w:val="20"/>
        </w:rPr>
        <w:t xml:space="preserve">3.7. </w:t>
      </w:r>
      <w:r w:rsidR="66779EFB" w:rsidRPr="00D22AA7">
        <w:rPr>
          <w:rFonts w:ascii="Times" w:hAnsi="Times" w:cs="Arial"/>
          <w:b/>
          <w:bCs/>
          <w:i w:val="0"/>
          <w:iCs w:val="0"/>
          <w:color w:val="222222"/>
          <w:sz w:val="20"/>
          <w:szCs w:val="20"/>
        </w:rPr>
        <w:t>Zeolitic Imidazolate Framework</w:t>
      </w:r>
      <w:r w:rsidR="3FB03BDA" w:rsidRPr="00D22AA7">
        <w:rPr>
          <w:rFonts w:ascii="Times" w:hAnsi="Times" w:cs="Arial"/>
          <w:b/>
          <w:bCs/>
          <w:i w:val="0"/>
          <w:iCs w:val="0"/>
          <w:color w:val="222222"/>
          <w:sz w:val="20"/>
          <w:szCs w:val="20"/>
        </w:rPr>
        <w:t xml:space="preserve"> </w:t>
      </w:r>
      <w:r w:rsidR="66779EFB" w:rsidRPr="00D22AA7">
        <w:rPr>
          <w:rFonts w:ascii="Times" w:hAnsi="Times" w:cs="Arial"/>
          <w:b/>
          <w:bCs/>
          <w:i w:val="0"/>
          <w:iCs w:val="0"/>
          <w:color w:val="222222"/>
          <w:sz w:val="20"/>
          <w:szCs w:val="20"/>
        </w:rPr>
        <w:t xml:space="preserve">Nanoparticles </w:t>
      </w:r>
    </w:p>
    <w:p w14:paraId="65796CE3" w14:textId="389DFA6D" w:rsidR="29999C8F" w:rsidRPr="00D22AA7" w:rsidRDefault="212D1D3C" w:rsidP="003D4574">
      <w:pPr>
        <w:spacing w:before="240" w:after="240"/>
        <w:jc w:val="both"/>
        <w:rPr>
          <w:rFonts w:ascii="Times" w:hAnsi="Times"/>
        </w:rPr>
      </w:pPr>
      <w:r w:rsidRPr="00D22AA7">
        <w:rPr>
          <w:rFonts w:ascii="Times" w:hAnsi="Times"/>
        </w:rPr>
        <w:t xml:space="preserve">Zeolitic imidazolate frameworks (ZIFs) represent a distinct subclass of metal–organic frameworks (MOFs). </w:t>
      </w:r>
      <w:r w:rsidR="5CE5CCB9" w:rsidRPr="00D22AA7">
        <w:rPr>
          <w:rFonts w:ascii="Times" w:hAnsi="Times"/>
        </w:rPr>
        <w:t>its</w:t>
      </w:r>
      <w:r w:rsidRPr="00D22AA7">
        <w:rPr>
          <w:rFonts w:ascii="Times" w:hAnsi="Times"/>
        </w:rPr>
        <w:t xml:space="preserve"> framework consists of tetrahedral metal ions linked by four imidazolate ligands, forming a metal–imidazole–metal bond angle that closely resembles the Si–O–Si bond angle found in zeolites. This unique architecture imparts ZIFs with a combination of properties from both zeolites and MOFs, including high porosity, well-defined crystallinity, and exceptional chemical and thermal stability, making them highly versatile materials for a wide range of applications </w:t>
      </w:r>
      <w:r w:rsidR="29999C8F" w:rsidRPr="00D22AA7">
        <w:rPr>
          <w:rFonts w:ascii="Times" w:hAnsi="Times"/>
          <w:color w:val="222222"/>
        </w:rPr>
        <w:fldChar w:fldCharType="begin"/>
      </w:r>
      <w:r w:rsidR="0056095D">
        <w:rPr>
          <w:rFonts w:ascii="Times" w:hAnsi="Times"/>
          <w:color w:val="222222"/>
        </w:rPr>
        <w:instrText xml:space="preserve"> ADDIN ZOTERO_ITEM CSL_CITATION {"citationID":"rFygcCVq","properties":{"formattedCitation":"[113]","plainCitation":"[113]","noteIndex":0},"citationItems":[{"id":3004,"uris":["http://zotero.org/users/9439317/items/BFXMP9RF"],"itemData":{"id":3004,"type":"article-journal","abstract":"Metal organic frameworks (MOFs) are one of the greatest significant and rapidly growing groups of porous materials. MOFs are capable materials for a varied range of applications. Zeolitic imidazolate frameworks (ZIFs) denote a new and special class of metal organic frameworks. The zeolitic imidazolate framework and zeolitic imidazolate framework supported on nickel titanate were synthesized by sol-gel method. The Fourier Transform Infrared Spectroscopy (FTIR), X-ray diffraction (XRD), Field Emission Scanning Electron Microscopy (FESEM), Transmission Electron Microscopy (TEM), N2 adsorption–desorption isotherms and Vibrating sample magnetometer (VSM) methods were used to describe structure, morphology, particle size and the magnetic properties. FTIR results confirmed the formation of Ni-N band for imimdazolate and Ni-O and Ti-O bands for nickel titanate. The results of FESEM and TEM images indicated nickel titanate has particle size about 23 nm and zeolitic imidazolate framework supported on nickel titanate had porous nature with uniform spherical shape of 30 nm. The XRD result showed nickel titanate has illminite phase. BET analysis showed the surface area of nickel titanate nano particles is 31m2g−1, zeolitic imidazolate framework is 1150 m2 g−1 and zeolitic imidazolate framework supported on nickel titanate is 345 m2 g−1. At room temperature samples showed weak ferromagnetism activities. VSM reduced with supporting of nickel titanate by zeolitic imidazolate framework from 0.51 emu/g to 0.35 emu/g.","container-title":"Journal of Molecular Structure","DOI":"10.1016/j.molstruc.2021.130555","ISSN":"0022-2860","journalAbbreviation":"Journal of Molecular Structure","page":"130555","title":"Structural and magnetic properties of zeolitic imidazolate framework supported on nickel titanate","URL":"https://www.sciencedirect.com/science/article/pii/S0022286021006888","volume":"1240","author":[{"family":"Akbarzadeh","given":"Mohammad Javad"},{"family":"Hashemian","given":"Saeedeh"},{"family":"Moktarian","given":"Nader"}],"issued":{"date-parts":[["2021",9,15]]}}}],"schema":"https://github.com/citation-style-language/schema/raw/master/csl-citation.json"} </w:instrText>
      </w:r>
      <w:r w:rsidR="29999C8F" w:rsidRPr="00D22AA7">
        <w:rPr>
          <w:rFonts w:ascii="Times" w:hAnsi="Times"/>
          <w:color w:val="222222"/>
        </w:rPr>
        <w:fldChar w:fldCharType="separate"/>
      </w:r>
      <w:r w:rsidR="0056095D">
        <w:rPr>
          <w:rFonts w:ascii="Times" w:hAnsi="Times"/>
          <w:noProof/>
          <w:color w:val="222222"/>
        </w:rPr>
        <w:t>[113]</w:t>
      </w:r>
      <w:r w:rsidR="29999C8F" w:rsidRPr="00D22AA7">
        <w:rPr>
          <w:rFonts w:ascii="Times" w:hAnsi="Times"/>
          <w:color w:val="222222"/>
        </w:rPr>
        <w:fldChar w:fldCharType="end"/>
      </w:r>
      <w:r w:rsidR="00B105B8">
        <w:rPr>
          <w:rFonts w:ascii="Times" w:hAnsi="Times"/>
          <w:color w:val="222222"/>
        </w:rPr>
        <w:t xml:space="preserve"> (figure 10)</w:t>
      </w:r>
      <w:r w:rsidRPr="00D22AA7">
        <w:rPr>
          <w:rFonts w:ascii="Times" w:hAnsi="Times"/>
        </w:rPr>
        <w:t>.</w:t>
      </w:r>
    </w:p>
    <w:p w14:paraId="7EDC020C" w14:textId="09371B7B" w:rsidR="29999C8F" w:rsidRPr="00D22AA7" w:rsidRDefault="212D1D3C" w:rsidP="003D4574">
      <w:pPr>
        <w:spacing w:before="240" w:after="240"/>
        <w:jc w:val="both"/>
        <w:rPr>
          <w:rFonts w:ascii="Times" w:hAnsi="Times"/>
        </w:rPr>
      </w:pPr>
      <w:r w:rsidRPr="00D22AA7">
        <w:rPr>
          <w:rFonts w:ascii="Times" w:hAnsi="Times"/>
        </w:rPr>
        <w:t>Since their discovery, ZIFs have attracted immense research interest due to their tunable structural properties and broad functional capabilities. These glassy ZIFs exhibit amorphous characteristics while retaining high thermal resistance and structural integrity, further expanding the potential of ZIFs in advanced material science. Their ability to form stable frameworks with variable pore sizes has made them particularly valuable in fields such as gas separation, catalysis, water purification, and biomedical applications, particularly in drug delivery and therapeutic interventions.</w:t>
      </w:r>
    </w:p>
    <w:p w14:paraId="369A59E0" w14:textId="1D93DB65" w:rsidR="29999C8F" w:rsidRPr="00D22AA7" w:rsidRDefault="212D1D3C" w:rsidP="003D4574">
      <w:pPr>
        <w:spacing w:before="240" w:after="240"/>
        <w:jc w:val="both"/>
        <w:rPr>
          <w:rFonts w:ascii="Times" w:hAnsi="Times"/>
        </w:rPr>
      </w:pPr>
      <w:r w:rsidRPr="00D22AA7">
        <w:rPr>
          <w:rFonts w:ascii="Times" w:hAnsi="Times"/>
        </w:rPr>
        <w:t xml:space="preserve">Among the various ZIF structures, ZIF-8, composed of zinc ions coordinated with 2-methylimidazolate linkers, has emerged as one of the most widely studied due to its remarkable drug encapsulation efficiency and stability. Its high biodegradability and biocompatibility further facilitate its use in biomedical applications. Notably, ZIF-8 exhibits pH-responsive degradation, allowing it to break down in the acidic tumor microenvironment and release therapeutic agents in a targeted manner. This targeted release mechanism minimizes systemic toxicity and enhances the bioavailability of encapsulated drugs, thereby improving therapeutic efficacy. In addition to its role in drug delivery, ZIF-8 and other ZIFs have been explored for use in biosensing, bioimaging, and tissue engineering. Their customizable surface chemistry enables functionalization with biomolecules, antibodies, and other ligands, paving the way for their integration into precision medicine. The </w:t>
      </w:r>
      <w:r w:rsidRPr="00D22AA7">
        <w:rPr>
          <w:rFonts w:ascii="Times" w:hAnsi="Times"/>
        </w:rPr>
        <w:lastRenderedPageBreak/>
        <w:t xml:space="preserve">ongoing development of novel ZIF formulations continues to enhance their potential, with researchers exploring ways to optimize their structural stability, surface modifications, and responsiveness to external stimuli, such as temperature and enzymatic activity. As a result, ZIFs are poised to play a crucial role in the advancement of nanomedicine and other high-impact scientific fields, making them a key focus of contemporary materials research </w:t>
      </w:r>
      <w:r w:rsidR="29999C8F" w:rsidRPr="00D22AA7">
        <w:rPr>
          <w:rFonts w:ascii="Times" w:hAnsi="Times"/>
          <w:color w:val="222222"/>
        </w:rPr>
        <w:fldChar w:fldCharType="begin"/>
      </w:r>
      <w:r w:rsidR="0056095D">
        <w:rPr>
          <w:rFonts w:ascii="Times" w:hAnsi="Times"/>
          <w:color w:val="222222"/>
        </w:rPr>
        <w:instrText xml:space="preserve"> ADDIN ZOTERO_ITEM CSL_CITATION {"citationID":"37lgQCzp","properties":{"formattedCitation":"[114,115]","plainCitation":"[114,115]","noteIndex":0},"citationItems":[{"id":12911,"uris":["http://zotero.org/users/9439317/items/K88FHXI2"],"itemData":{"id":12911,"type":"article-journal","container-title":"Science","ISSN":"0036-8075","issue":"5865","journalAbbreviation":"Science","page":"939-943","title":"High-throughput synthesis of zeolitic imidazolate frameworks and application to CO2 capture","volume":"319","author":[{"family":"Banerjee","given":"Rahul"},{"family":"Phan","given":"Anh"},{"family":"Wang","given":"Bo"},{"family":"Knobler","given":"Carolyn"},{"family":"Furukawa","given":"Hiroyasu"},{"family":"O'Keeffe","given":"Michael"},{"family":"Yaghi","given":"Omar M"}],"issued":{"date-parts":[["2008"]]}}},{"id":14749,"uris":["http://zotero.org/users/9439317/items/3IW62SR3"],"itemData":{"id":14749,"type":"article-journal","container-title":"Bioconjugate Chemistry","DOI":"10.1021/acs.bioconjchem.2c00246","ISSN":"1043-1802","issue":"7","journalAbbreviation":"Bioconjugate Chem.","page":"1405-1414","title":"Acid-Responsive Multifunctional Zeolitic Imidazolate Framework-8 (ZIF-8) Nanocomposites for Tumor Chemo-Photothermal Synergistic Therapy","URL":"https://doi.org/10.1021/acs.bioconjchem.2c00246","volume":"33","author":[{"family":"Liu","given":"Weiwei"},{"family":"Semcheddine","given":"Farouk"},{"family":"Jiang","given":"Hui"},{"family":"Wang","given":"Xuemei"}],"issued":{"date-parts":[["2022",7,20]]}}}],"schema":"https://github.com/citation-style-language/schema/raw/master/csl-citation.json"} </w:instrText>
      </w:r>
      <w:r w:rsidR="29999C8F" w:rsidRPr="00D22AA7">
        <w:rPr>
          <w:rFonts w:ascii="Times" w:hAnsi="Times"/>
          <w:color w:val="222222"/>
        </w:rPr>
        <w:fldChar w:fldCharType="separate"/>
      </w:r>
      <w:r w:rsidR="0056095D">
        <w:rPr>
          <w:rFonts w:ascii="Times" w:hAnsi="Times"/>
          <w:noProof/>
          <w:color w:val="222222"/>
        </w:rPr>
        <w:t>[114,115]</w:t>
      </w:r>
      <w:r w:rsidR="29999C8F" w:rsidRPr="00D22AA7">
        <w:rPr>
          <w:rFonts w:ascii="Times" w:hAnsi="Times"/>
          <w:color w:val="222222"/>
        </w:rPr>
        <w:fldChar w:fldCharType="end"/>
      </w:r>
      <w:r w:rsidRPr="00D22AA7">
        <w:rPr>
          <w:rFonts w:ascii="Times" w:hAnsi="Times"/>
        </w:rPr>
        <w:t>.</w:t>
      </w:r>
    </w:p>
    <w:p w14:paraId="1FF9070C" w14:textId="0226ACCA" w:rsidR="10F2265A" w:rsidRPr="00D22AA7" w:rsidRDefault="10F2265A" w:rsidP="10F2265A">
      <w:pPr>
        <w:pStyle w:val="BodyText"/>
        <w:spacing w:after="0" w:line="276" w:lineRule="auto"/>
        <w:jc w:val="both"/>
        <w:rPr>
          <w:rFonts w:ascii="Times" w:hAnsi="Times"/>
        </w:rPr>
      </w:pPr>
    </w:p>
    <w:p w14:paraId="1AAC65A1" w14:textId="77777777" w:rsidR="00EF3134" w:rsidRPr="00D22AA7" w:rsidRDefault="00EF3134">
      <w:pPr>
        <w:pStyle w:val="BodyText"/>
        <w:spacing w:after="0"/>
        <w:jc w:val="both"/>
        <w:rPr>
          <w:rFonts w:ascii="Times" w:hAnsi="Times"/>
        </w:rPr>
      </w:pPr>
    </w:p>
    <w:p w14:paraId="3F748F26" w14:textId="7E6AC970" w:rsidR="00742C1F" w:rsidRDefault="00537589" w:rsidP="0DE242D6">
      <w:pPr>
        <w:pStyle w:val="BodyText"/>
        <w:spacing w:after="0"/>
        <w:jc w:val="both"/>
        <w:rPr>
          <w:rFonts w:ascii="Times" w:hAnsi="Times"/>
          <w:b/>
          <w:bCs/>
          <w:sz w:val="22"/>
          <w:szCs w:val="22"/>
        </w:rPr>
      </w:pPr>
      <w:r>
        <w:rPr>
          <w:rFonts w:ascii="Times" w:hAnsi="Times"/>
          <w:b/>
          <w:bCs/>
          <w:sz w:val="22"/>
          <w:szCs w:val="22"/>
        </w:rPr>
        <w:t xml:space="preserve">        </w:t>
      </w:r>
      <w:r w:rsidR="00A0238A">
        <w:rPr>
          <w:rFonts w:ascii="Times" w:hAnsi="Times"/>
          <w:b/>
          <w:bCs/>
          <w:sz w:val="22"/>
          <w:szCs w:val="22"/>
        </w:rPr>
        <w:t xml:space="preserve">    </w:t>
      </w:r>
      <w:r>
        <w:rPr>
          <w:rFonts w:ascii="Times" w:hAnsi="Times"/>
          <w:b/>
          <w:bCs/>
          <w:sz w:val="22"/>
          <w:szCs w:val="22"/>
        </w:rPr>
        <w:t xml:space="preserve">         </w:t>
      </w:r>
      <w:r w:rsidR="7FAE91EA" w:rsidRPr="00D22AA7">
        <w:rPr>
          <w:rFonts w:ascii="Times" w:hAnsi="Times"/>
          <w:noProof/>
        </w:rPr>
        <w:drawing>
          <wp:inline distT="0" distB="0" distL="0" distR="0" wp14:anchorId="2B8F8580" wp14:editId="2AE4EF44">
            <wp:extent cx="4562946" cy="1520982"/>
            <wp:effectExtent l="0" t="0" r="0" b="3175"/>
            <wp:docPr id="1542882858" name="Picture 1542882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2882858"/>
                    <pic:cNvPicPr/>
                  </pic:nvPicPr>
                  <pic:blipFill>
                    <a:blip r:embed="rId27">
                      <a:extLst>
                        <a:ext uri="{28A0092B-C50C-407E-A947-70E740481C1C}">
                          <a14:useLocalDpi xmlns:a14="http://schemas.microsoft.com/office/drawing/2010/main" val="0"/>
                        </a:ext>
                      </a:extLst>
                    </a:blip>
                    <a:stretch>
                      <a:fillRect/>
                    </a:stretch>
                  </pic:blipFill>
                  <pic:spPr>
                    <a:xfrm>
                      <a:off x="0" y="0"/>
                      <a:ext cx="4651659" cy="1550553"/>
                    </a:xfrm>
                    <a:prstGeom prst="rect">
                      <a:avLst/>
                    </a:prstGeom>
                  </pic:spPr>
                </pic:pic>
              </a:graphicData>
            </a:graphic>
          </wp:inline>
        </w:drawing>
      </w:r>
    </w:p>
    <w:p w14:paraId="4156803A" w14:textId="77777777" w:rsidR="00742C1F" w:rsidRDefault="00742C1F" w:rsidP="0DE242D6">
      <w:pPr>
        <w:pStyle w:val="BodyText"/>
        <w:spacing w:after="0"/>
        <w:jc w:val="both"/>
        <w:rPr>
          <w:rFonts w:ascii="Times" w:hAnsi="Times"/>
          <w:b/>
          <w:bCs/>
          <w:sz w:val="22"/>
          <w:szCs w:val="22"/>
        </w:rPr>
      </w:pPr>
    </w:p>
    <w:p w14:paraId="434B70C5" w14:textId="4C3C762E" w:rsidR="7FAE91EA" w:rsidRPr="009E1465" w:rsidRDefault="00A0238A" w:rsidP="0DE242D6">
      <w:pPr>
        <w:pStyle w:val="BodyText"/>
        <w:spacing w:after="0"/>
        <w:jc w:val="both"/>
        <w:rPr>
          <w:rFonts w:ascii="Times" w:hAnsi="Times"/>
          <w:sz w:val="20"/>
          <w:szCs w:val="20"/>
        </w:rPr>
      </w:pPr>
      <w:r>
        <w:rPr>
          <w:rFonts w:ascii="Times" w:hAnsi="Times"/>
          <w:b/>
          <w:bCs/>
          <w:sz w:val="20"/>
          <w:szCs w:val="20"/>
        </w:rPr>
        <w:t xml:space="preserve">                       </w:t>
      </w:r>
      <w:r w:rsidR="3FB299AB" w:rsidRPr="009E1465">
        <w:rPr>
          <w:rFonts w:ascii="Times" w:hAnsi="Times"/>
          <w:b/>
          <w:bCs/>
          <w:sz w:val="20"/>
          <w:szCs w:val="20"/>
        </w:rPr>
        <w:t xml:space="preserve">Figure </w:t>
      </w:r>
      <w:r w:rsidR="00AD46E0" w:rsidRPr="009E1465">
        <w:rPr>
          <w:rFonts w:ascii="Times" w:hAnsi="Times"/>
          <w:b/>
          <w:bCs/>
          <w:sz w:val="20"/>
          <w:szCs w:val="20"/>
        </w:rPr>
        <w:t>10.</w:t>
      </w:r>
      <w:r w:rsidR="00AD46E0" w:rsidRPr="009E1465">
        <w:rPr>
          <w:rFonts w:ascii="Times" w:hAnsi="Times"/>
          <w:sz w:val="20"/>
          <w:szCs w:val="20"/>
        </w:rPr>
        <w:t xml:space="preserve"> </w:t>
      </w:r>
      <w:r w:rsidR="3FB299AB" w:rsidRPr="009E1465">
        <w:rPr>
          <w:rFonts w:ascii="Times" w:hAnsi="Times"/>
          <w:sz w:val="20"/>
          <w:szCs w:val="20"/>
        </w:rPr>
        <w:t xml:space="preserve"> </w:t>
      </w:r>
      <w:r w:rsidR="00AD46E0" w:rsidRPr="009E1465">
        <w:rPr>
          <w:rFonts w:ascii="Times" w:hAnsi="Times" w:cs="Arial"/>
          <w:color w:val="222222"/>
          <w:sz w:val="20"/>
          <w:szCs w:val="20"/>
        </w:rPr>
        <w:t>Zeolitic Imidazolate Framework Nanoparticles</w:t>
      </w:r>
      <w:r w:rsidR="005141A1" w:rsidRPr="009E1465">
        <w:rPr>
          <w:rFonts w:ascii="Times" w:hAnsi="Times" w:cs="Arial"/>
          <w:color w:val="222222"/>
          <w:sz w:val="20"/>
          <w:szCs w:val="20"/>
        </w:rPr>
        <w:t xml:space="preserve">. Reprinted with permission from </w:t>
      </w:r>
      <w:r w:rsidR="005141A1" w:rsidRPr="009E1465">
        <w:rPr>
          <w:rFonts w:ascii="Times" w:hAnsi="Times" w:cs="Arial"/>
          <w:color w:val="222222"/>
          <w:sz w:val="20"/>
          <w:szCs w:val="20"/>
        </w:rPr>
        <w:fldChar w:fldCharType="begin"/>
      </w:r>
      <w:r w:rsidR="0056095D">
        <w:rPr>
          <w:rFonts w:ascii="Times" w:hAnsi="Times" w:cs="Arial"/>
          <w:color w:val="222222"/>
          <w:sz w:val="20"/>
          <w:szCs w:val="20"/>
        </w:rPr>
        <w:instrText xml:space="preserve"> ADDIN ZOTERO_ITEM CSL_CITATION {"citationID":"4JXQJJmo","properties":{"formattedCitation":"[116]","plainCitation":"[116]","noteIndex":0},"citationItems":[{"id":16036,"uris":["http://zotero.org/users/9439317/items/4QZ7JFXI"],"itemData":{"id":16036,"type":"article-journal","abstract":"Abstract Zeolite imidazole framework-8 (ZIF-8) is the most prestigious one among zeolitic imidazolate framework (ZIF) with tunable dimensions and unique morphological features. Utilizing its synthetic adjustability and structural regularity, ZIF-8 exhibits enhanced flexibility, allowing for a wide range of functionalities, such as loading of nanoparticle components while preserving biomolecules activity. Extensive efforts are made from investigating synthesis techniques to develop novel applications over decades. In this review, the development and recent progress of various synthesis approaches are briefly summarized. In addition, its interesting properties such as adjustable porosity, excellent thermal, and chemical stabilities are introduced. Further, five representative biomedical applications are highlighted based on above physicochemical properties. Finally, the remaining challenges and offered insights into the future outlook are also discussed. This review aims to understand the co-relationships between structures and biomedical functionalities, offering the opportunity to construct attractive materials with promising characteristics.","container-title":"Small Methods","DOI":"10.1002/smtd.202301270","ISSN":"2366-9608","issue":"3","journalAbbreviation":"Small Methods","note":"publisher: John Wiley &amp; Sons, Ltd","page":"2301270","title":"Tunable Zeolitic Imidazolate Framework-8 Nanoparticles for Biomedical Applications","URL":"https://doi.org/10.1002/smtd.202301270","volume":"8","author":[{"family":"Wang","given":"Dongdong"},{"family":"Wu","given":"Qiong"},{"family":"Ren","given":"Xiangling"},{"family":"Niu","given":"Meng"},{"family":"Ren","given":"Jun"},{"family":"Meng","given":"Xianwei"}],"accessed":{"date-parts":[["2025",2,19]]},"issued":{"date-parts":[["2024",3,1]]}}}],"schema":"https://github.com/citation-style-language/schema/raw/master/csl-citation.json"} </w:instrText>
      </w:r>
      <w:r w:rsidR="005141A1" w:rsidRPr="009E1465">
        <w:rPr>
          <w:rFonts w:ascii="Times" w:hAnsi="Times" w:cs="Arial"/>
          <w:color w:val="222222"/>
          <w:sz w:val="20"/>
          <w:szCs w:val="20"/>
        </w:rPr>
        <w:fldChar w:fldCharType="separate"/>
      </w:r>
      <w:r w:rsidR="0056095D">
        <w:rPr>
          <w:rFonts w:ascii="Times" w:hAnsi="Times" w:cs="Arial"/>
          <w:noProof/>
          <w:color w:val="222222"/>
          <w:sz w:val="20"/>
          <w:szCs w:val="20"/>
        </w:rPr>
        <w:t>[116]</w:t>
      </w:r>
      <w:r w:rsidR="005141A1" w:rsidRPr="009E1465">
        <w:rPr>
          <w:rFonts w:ascii="Times" w:hAnsi="Times" w:cs="Arial"/>
          <w:color w:val="222222"/>
          <w:sz w:val="20"/>
          <w:szCs w:val="20"/>
        </w:rPr>
        <w:fldChar w:fldCharType="end"/>
      </w:r>
    </w:p>
    <w:p w14:paraId="1DFBE282" w14:textId="77777777" w:rsidR="00AD46E0" w:rsidRPr="00D22AA7" w:rsidRDefault="00AD46E0" w:rsidP="00AD46E0">
      <w:pPr>
        <w:pStyle w:val="Heading4"/>
        <w:shd w:val="clear" w:color="auto" w:fill="FFFFFF" w:themeFill="background1"/>
        <w:jc w:val="both"/>
        <w:rPr>
          <w:rFonts w:ascii="Times" w:hAnsi="Times" w:cs="Arial"/>
          <w:b/>
          <w:bCs/>
          <w:i w:val="0"/>
          <w:iCs w:val="0"/>
          <w:color w:val="222222"/>
          <w:sz w:val="20"/>
          <w:szCs w:val="20"/>
        </w:rPr>
      </w:pPr>
    </w:p>
    <w:p w14:paraId="6AD2C74A" w14:textId="4DF7B5AA" w:rsidR="00386CA0" w:rsidRPr="00D22AA7" w:rsidRDefault="00AD46E0" w:rsidP="00AD46E0">
      <w:pPr>
        <w:pStyle w:val="Heading4"/>
        <w:shd w:val="clear" w:color="auto" w:fill="FFFFFF" w:themeFill="background1"/>
        <w:jc w:val="both"/>
        <w:rPr>
          <w:rFonts w:ascii="Times" w:hAnsi="Times"/>
          <w:b/>
          <w:bCs/>
          <w:i w:val="0"/>
          <w:iCs w:val="0"/>
          <w:color w:val="000000"/>
        </w:rPr>
      </w:pPr>
      <w:r w:rsidRPr="00D22AA7">
        <w:rPr>
          <w:rFonts w:ascii="Times" w:hAnsi="Times" w:cs="Arial"/>
          <w:b/>
          <w:bCs/>
          <w:i w:val="0"/>
          <w:iCs w:val="0"/>
          <w:color w:val="222222"/>
        </w:rPr>
        <w:t xml:space="preserve">3.8. </w:t>
      </w:r>
      <w:r w:rsidR="00D45672" w:rsidRPr="00D22AA7">
        <w:rPr>
          <w:rFonts w:ascii="Times" w:hAnsi="Times" w:cs="Arial"/>
          <w:b/>
          <w:bCs/>
          <w:i w:val="0"/>
          <w:iCs w:val="0"/>
          <w:color w:val="222222"/>
        </w:rPr>
        <w:t>Mesoporous Silica Nanoparticles</w:t>
      </w:r>
    </w:p>
    <w:p w14:paraId="3C281658" w14:textId="5D59AB8A" w:rsidR="005F2397" w:rsidRPr="00D22AA7" w:rsidRDefault="08A2B46B" w:rsidP="003D4574">
      <w:pPr>
        <w:pStyle w:val="NormalWeb"/>
        <w:jc w:val="both"/>
        <w:rPr>
          <w:rFonts w:ascii="Times" w:hAnsi="Times"/>
        </w:rPr>
      </w:pPr>
      <w:r w:rsidRPr="00D22AA7">
        <w:rPr>
          <w:rFonts w:ascii="Times" w:hAnsi="Times"/>
        </w:rPr>
        <w:t>Mesoporous silica nanoparticles (MSNs)</w:t>
      </w:r>
      <w:r w:rsidR="12F3C6F7" w:rsidRPr="00D22AA7">
        <w:rPr>
          <w:rFonts w:ascii="Times" w:hAnsi="Times"/>
        </w:rPr>
        <w:t xml:space="preserve">,  a </w:t>
      </w:r>
      <w:r w:rsidRPr="00D22AA7">
        <w:rPr>
          <w:rFonts w:ascii="Times" w:hAnsi="Times"/>
        </w:rPr>
        <w:t>type of inorganic nanoparticle that</w:t>
      </w:r>
      <w:r w:rsidR="6328EF80" w:rsidRPr="00D22AA7">
        <w:rPr>
          <w:rFonts w:ascii="Times" w:hAnsi="Times"/>
        </w:rPr>
        <w:t xml:space="preserve"> play important role</w:t>
      </w:r>
      <w:r w:rsidRPr="00D22AA7">
        <w:rPr>
          <w:rFonts w:ascii="Times" w:hAnsi="Times"/>
        </w:rPr>
        <w:t xml:space="preserve"> due to their desirable properties, including controlled size and shape, unique morphology, high porosity, large surface area, excellent physicochemical characteristics, superior dispersion, and stability </w:t>
      </w:r>
      <w:r w:rsidRPr="00D22AA7">
        <w:rPr>
          <w:rFonts w:ascii="Times" w:hAnsi="Times" w:cs="Arial"/>
          <w:color w:val="222222"/>
        </w:rPr>
        <w:t xml:space="preserve"> </w:t>
      </w:r>
      <w:r w:rsidR="005F2397" w:rsidRPr="00D22AA7">
        <w:rPr>
          <w:rFonts w:ascii="Times" w:hAnsi="Times" w:cs="Arial"/>
          <w:color w:val="222222"/>
        </w:rPr>
        <w:fldChar w:fldCharType="begin"/>
      </w:r>
      <w:r w:rsidR="0056095D">
        <w:rPr>
          <w:rFonts w:ascii="Times" w:hAnsi="Times" w:cs="Arial"/>
          <w:color w:val="222222"/>
        </w:rPr>
        <w:instrText xml:space="preserve"> ADDIN ZOTERO_ITEM CSL_CITATION {"citationID":"EI8Urseu","properties":{"formattedCitation":"[88,117]","plainCitation":"[88,117]","noteIndex":0},"citationItems":[{"id":4861,"uris":["http://zotero.org/users/9439317/items/QHHK7IR6"],"itemData":{"id":4861,"type":"article-journal","abstract":"Resveratrol (RES) is a naturally existing polyphenol which exhibits anti-oxidant, anti-inﬂammatory, and anti-cancer properties. In recent years, RES has attracted attention for its synergistic effect with other anti-cancer drugs for the treatment of drug resistant cancers. However, RES faces the issues of poor pharmacokinetics, stability and low solubility which limits its clinical application. In present study, RES has been loaded onto uniformly sized (</w:instrText>
      </w:r>
      <w:r w:rsidR="0056095D">
        <w:rPr>
          <w:rFonts w:ascii="Cambria Math" w:hAnsi="Cambria Math" w:cs="Cambria Math"/>
          <w:color w:val="222222"/>
        </w:rPr>
        <w:instrText>∼</w:instrText>
      </w:r>
      <w:r w:rsidR="0056095D">
        <w:rPr>
          <w:rFonts w:ascii="Times" w:hAnsi="Times" w:cs="Arial"/>
          <w:color w:val="222222"/>
        </w:rPr>
        <w:instrText xml:space="preserve">60 nm) mesoporous silica nanoparticles (MSNs) to improve its in vitro anti-proliferative activity and sensitization of Docatexal in hypoxia induced drug resistance in prostate cancer. RES was efﬁciently encapsulated within phosphonate (negatively charged) and amine (positively charged) modiﬁed MSNs. The effect of surface functionalization was studied on the loading, in vitro release, antiproliferative and cytotoxic potential of RES using prostate cancer cell line. At pH 7.4 both free and NH2-MSNs loaded RES showed burst release which was plateaued with almost 90% of drug released in ﬁrst 12 h. On the other hand, PO3-MSNs showed signiﬁcantly slower release kinetics with only 50% drug release in ﬁrst 12 h at pH 7.4. At pH 5.5, however, both the PO3-MSNs and NH2-MSNs showed signiﬁcant control over release (around 40% less release compared with free RES in 24 h). Phosphonate modiﬁed MSNs signiﬁcantly enhanced the anti-proliferative potential of RES with an IC50 of 7.15 µM as compared to 14.86 µM of free RES whereas amine modiﬁed MSNs didn’t affect proliferation with an IC50 value higher than free RES (20.45 µM). Furthermore, RES loaded onto PO3-MSNs showed robust and dose dependent sensitization of Docatexal in hypoxic cell environment which was comparable to pure RES solution. This study provides an example of applicability of MSNs loaded with polyphenols such as RES as next generation anticancer formulations for treating drug resistant cancers such as prostate cancer.","container-title":"Frontiers in Bioengineering and Biotechnology","DOI":"10.3389/fbioe.2019.00225","ISSN":"2296-4185","journalAbbreviation":"Front. Bioeng. Biotechnol.","language":"en","page":"225","source":"DOI.org (Crossref)","title":"Encapsulation and Controlled Release of Resveratrol Within Functionalized Mesoporous Silica Nanoparticles for Prostate Cancer Therapy","URL":"https://www.frontiersin.org/article/10.3389/fbioe.2019.00225/full","volume":"7","author":[{"family":"Chaudhary","given":"Zanib"},{"family":"Subramaniam","given":"Sugarniya"},{"family":"Khan","given":"Gul Majid"},{"family":"Abeer","given":"Muhammad Mustafa"},{"family":"Qu","given":"Zhi"},{"family":"Janjua","given":"Taskeen"},{"family":"Kumeria","given":"Tushar"},{"family":"Batra","given":"Jyotsna"},{"family":"Popat","given":"Amirali"}],"accessed":{"date-parts":[["2023",10,12]]},"issued":{"date-parts":[["2019",9,18]]}}},{"id":3033,"uris":["http://zotero.org/users/9439317/items/J4MUXT8D"],"itemData":{"id":3033,"type":"article-journal","abstract":"A procedure for the preparation of low-density silica described in a patent filed in 1969 [V. Chiola, J.E. Ritsko, C.D. Vanderpool, US Patent 3 556 725, 1971] leads to the formation of solids having all the properties of MCM-41, the ordered mesoporous silica disclosed in 1991 [J.S. Beck, C.T.-W. Chu, I.D. Johnson, C.T. Kresge, M.E. Leonowicz, W.J. Roth, J.W. Vartuli, WO Patent 91/11390, 1991]. @ 1997 Elsevier Science B.V.","container-title":"Microporous Materials","DOI":"10.1016/S0927-6513(97)00028-X","ISSN":"09276513","issue":"4-6","journalAbbreviation":"Microporous Materials","language":"en","page":"283-286","source":"DOI.org (Crossref)","title":"A 28-year-old synthesis of micelle-templated mesoporous silica","URL":"https://linkinghub.elsevier.com/retrieve/pii/S092765139700028X","volume":"10","author":[{"family":"Di Renzo","given":"Francesco"},{"family":"Cambon","given":"Hélène"},{"family":"Dutartre","given":"Roger"}],"accessed":{"date-parts":[["2023",10,12]]},"issued":{"date-parts":[["1997",7]]}}}],"schema":"https://github.com/citation-style-language/schema/raw/master/csl-citation.json"} </w:instrText>
      </w:r>
      <w:r w:rsidR="005F2397" w:rsidRPr="00D22AA7">
        <w:rPr>
          <w:rFonts w:ascii="Times" w:hAnsi="Times" w:cs="Arial"/>
          <w:color w:val="222222"/>
        </w:rPr>
        <w:fldChar w:fldCharType="separate"/>
      </w:r>
      <w:r w:rsidR="0056095D">
        <w:rPr>
          <w:rFonts w:ascii="Times" w:hAnsi="Times" w:cs="Arial"/>
          <w:noProof/>
          <w:color w:val="222222"/>
        </w:rPr>
        <w:t>[88,117]</w:t>
      </w:r>
      <w:r w:rsidR="005F2397" w:rsidRPr="00D22AA7">
        <w:rPr>
          <w:rFonts w:ascii="Times" w:hAnsi="Times" w:cs="Arial"/>
          <w:color w:val="222222"/>
        </w:rPr>
        <w:fldChar w:fldCharType="end"/>
      </w:r>
      <w:r w:rsidRPr="00D22AA7">
        <w:rPr>
          <w:rFonts w:ascii="Times" w:hAnsi="Times"/>
        </w:rPr>
        <w:t>. MSNs are synthesized through the reaction of a micellar rod template with tetraethyl orthosilicate, resulting in nano-sized rods arranged in a regular porous structure</w:t>
      </w:r>
      <w:r w:rsidR="00DE6038">
        <w:rPr>
          <w:rFonts w:ascii="Times" w:hAnsi="Times"/>
        </w:rPr>
        <w:t xml:space="preserve"> (figure 11)</w:t>
      </w:r>
      <w:r w:rsidRPr="00D22AA7">
        <w:rPr>
          <w:rFonts w:ascii="Times" w:hAnsi="Times"/>
        </w:rPr>
        <w:t xml:space="preserve">.  The concept of mesoporous silica was first patented around 1970 but remained largely unnoticed until it was replicated in 1997. In the early 1990s, Japanese researchers independently developed MSNs, which were later synthesized in the laboratories  </w:t>
      </w:r>
      <w:r w:rsidRPr="00D22AA7">
        <w:rPr>
          <w:rFonts w:ascii="Times" w:hAnsi="Times" w:cs="Arial"/>
          <w:color w:val="222222"/>
        </w:rPr>
        <w:t xml:space="preserve"> </w:t>
      </w:r>
      <w:r w:rsidR="005F2397" w:rsidRPr="00D22AA7">
        <w:rPr>
          <w:rFonts w:ascii="Times" w:hAnsi="Times" w:cs="Arial"/>
          <w:color w:val="222222"/>
        </w:rPr>
        <w:fldChar w:fldCharType="begin"/>
      </w:r>
      <w:r w:rsidR="0056095D">
        <w:rPr>
          <w:rFonts w:ascii="Times" w:hAnsi="Times" w:cs="Arial"/>
          <w:color w:val="222222"/>
        </w:rPr>
        <w:instrText xml:space="preserve"> ADDIN ZOTERO_ITEM CSL_CITATION {"citationID":"uf53PkRM","properties":{"formattedCitation":"[117\\uc0\\u8211{}119]","plainCitation":"[117–119]","noteIndex":0},"citationItems":[{"id":3033,"uris":["http://zotero.org/users/9439317/items/J4MUXT8D"],"itemData":{"id":3033,"type":"article-journal","abstract":"A procedure for the preparation of low-density silica described in a patent filed in 1969 [V. Chiola, J.E. Ritsko, C.D. Vanderpool, US Patent 3 556 725, 1971] leads to the formation of solids having all the properties of MCM-41, the ordered mesoporous silica disclosed in 1991 [J.S. Beck, C.T.-W. Chu, I.D. Johnson, C.T. Kresge, M.E. Leonowicz, W.J. Roth, J.W. Vartuli, WO Patent 91/11390, 1991]. @ 1997 Elsevier Science B.V.","container-title":"Microporous Materials","DOI":"10.1016/S0927-6513(97)00028-X","ISSN":"09276513","issue":"4-6","journalAbbreviation":"Microporous Materials","language":"en","page":"283-286","source":"DOI.org (Crossref)","title":"A 28-year-old synthesis of micelle-templated mesoporous silica","URL":"https://linkinghub.elsevier.com/retrieve/pii/S092765139700028X","volume":"10","author":[{"family":"Di Renzo","given":"Francesco"},{"family":"Cambon","given":"Hélène"},{"family":"Dutartre","given":"Roger"}],"accessed":{"date-parts":[["2023",10,12]]},"issued":{"date-parts":[["1997",7]]}}},{"id":5086,"uris":["http://zotero.org/users/9439317/items/3NB5EYWJ"],"itemData":{"id":5086,"type":"article-journal","abstract":"Abstract In recent years, researchers are developing novel nanoparticles for diagnostic applications using imaging techniques and for therapeutic purposes through drug delivery techniques. The unique physical and chemical properties of mesoporous silica nanoparticles (MSNs) make it possible to integrate a variety of commonly used therapeutic and imaging agents to construct a multimodal synergistic anticancer drug delivery system. Herein, recent advances in MSNs synthesis for drug delivery and smart response applications are reviewed. First, synthetic strategies for the fabrication of ordered MSNs, hollow MSNs, core?shell structured MSNs, dendritic MSNs, and biodegradable MSNs are outlined. Then, the recent research progress in designing functional MSN materials with various controlled release mechanisms in anticancer therapy is discussed, and new properties are introduced to suggest the latest design requirements as drug delivery materials. The review also highlights significant achievements in bioimaging using MSNs and their multifunctional counterparts as delivery vehicles. Finally, personal views on key directions for future work in this area are presented.","container-title":"Advanced Healthcare Materials","DOI":"10.1002/adhm.202201884","ISSN":"2192-2640","issue":"16","journalAbbreviation":"Advanced Healthcare Materials","note":"publisher: John Wiley &amp; Sons, Ltd","page":"2201884","title":"Mesoporous Silica Nanoparticles-Based Nanoplatforms: Basic Construction, Current State, and Emerging Applications in Anticancer Therapeutics","URL":"https://doi.org/10.1002/adhm.202201884","volume":"12","author":[{"family":"Feng","given":"Yi"},{"family":"Liao","given":"Zhen"},{"family":"Li","given":"Mengyue"},{"family":"Zhang","given":"Hanxi"},{"family":"Li","given":"Tingting"},{"family":"Qin","given":"Xiang"},{"family":"Li","given":"Shun"},{"family":"Wu","given":"Chunhui"},{"family":"You","given":"Fengming"},{"family":"Liao","given":"Xiaoling"},{"family":"Cai","given":"Lulu"},{"family":"Yang","given":"Hong"},{"family":"Liu","given":"Yiyao"}],"accessed":{"date-parts":[["2023",12,10]]},"issued":{"date-parts":[["2023",6,1]]}}},{"id":14721,"uris":["http://zotero.org/users/9439317/items/RUJCXRFZ"],"itemData":{"id":14721,"type":"article-journal","abstract":"Objective. The characteristics of poor pharmacokinetics, stability, and low solubility seriously limited the clinical application of resveratrol (Res) in breast cancer. Thus, this study intends to develop a delivery system for Res which could be better used in breast cancer therapy. Methods. Resveratrol-modified mesoporous silica nanoparticles (MSN-Res) were chemically constructed. Their shape and encapsulation were detected by transmission electron microscope, Fourier transforms infrared spectrometer, and UV spectroscopy, respectively. MGF-7 tumor-bearing mice were established by subcutaneous injection, and the pathological changes were detected by hematoxylin-eosin staining. CCK-8 and Ki-67 immunohistochemical staining were used for proliferation evaluation in vitro and in vivo. Flow cytometry, TUNEL, wound healing, and transwell assay detected cell apoptosis, invasion, and migration. Results. MSN-Res was successfully prepared with high biosafety. MSN-Res inhibited MGF-7 cell proliferation, invasion, and migration and promoted apoptosis in vitro. Furthermore, MSN-Res showed better performance compared Res in breast cancer mouse models. In addition, we found that MSN-Res inhibited tumor growth via inhibiting the NF-κB signaling pathway. Conclusion. MSN-Res inhibited breast cancer progression with better efficacy compared with Res treatment alone by inhibiting the NF-κB signaling pathway, suggesting that MSN-Res is a more effective adjuvant treatment method for breast cancer. Thus, our findings may provide a new and safer means of using phytochemicals in combinatorial therapy of breast cancer.","container-title":"Journal of Oncology","DOI":"10.1155/2022/8471331","ISSN":"1687-8469, 1687-8450","journalAbbreviation":"Journal of Oncology","language":"en","page":"1-11","source":"DOI.org (Crossref)","title":"Mesoporous Silica Nanoparticles Loaded with Resveratrol Are Used for Targeted Breast Cancer Therapy","URL":"https://www.hindawi.com/journals/jo/2022/8471331/","volume":"2022","author":[{"family":"Gu","given":"Yifan"},{"family":"Fei","given":"Zhewei"}],"editor":[{"family":"Ding","given":"Xiangya"}],"accessed":{"date-parts":[["2023",10,12]]},"issued":{"date-parts":[["2022",9,19]]}}}],"schema":"https://github.com/citation-style-language/schema/raw/master/csl-citation.json"} </w:instrText>
      </w:r>
      <w:r w:rsidR="005F2397" w:rsidRPr="00D22AA7">
        <w:rPr>
          <w:rFonts w:ascii="Times" w:hAnsi="Times" w:cs="Arial"/>
          <w:color w:val="222222"/>
        </w:rPr>
        <w:fldChar w:fldCharType="separate"/>
      </w:r>
      <w:r w:rsidR="0056095D" w:rsidRPr="0056095D">
        <w:rPr>
          <w:rFonts w:ascii="Times" w:hAnsi="Times"/>
          <w:color w:val="000000"/>
          <w:lang w:val="en-GB"/>
        </w:rPr>
        <w:t>[117–119]</w:t>
      </w:r>
      <w:r w:rsidR="005F2397" w:rsidRPr="00D22AA7">
        <w:rPr>
          <w:rFonts w:ascii="Times" w:hAnsi="Times" w:cs="Arial"/>
          <w:color w:val="222222"/>
        </w:rPr>
        <w:fldChar w:fldCharType="end"/>
      </w:r>
      <w:r w:rsidRPr="00D22AA7">
        <w:rPr>
          <w:rFonts w:ascii="Times" w:hAnsi="Times"/>
        </w:rPr>
        <w:t>.</w:t>
      </w:r>
    </w:p>
    <w:p w14:paraId="323AC14D" w14:textId="77777777" w:rsidR="005F2397" w:rsidRPr="00D22AA7" w:rsidRDefault="005F2397" w:rsidP="0DE242D6">
      <w:pPr>
        <w:shd w:val="clear" w:color="auto" w:fill="FFFFFF" w:themeFill="background1"/>
        <w:ind w:firstLine="480"/>
        <w:jc w:val="both"/>
        <w:rPr>
          <w:rFonts w:ascii="Times" w:hAnsi="Times" w:cs="Arial"/>
          <w:color w:val="222222"/>
        </w:rPr>
      </w:pPr>
    </w:p>
    <w:p w14:paraId="5D0D9F84" w14:textId="44C9FA2F" w:rsidR="275198DE" w:rsidRPr="00D22AA7" w:rsidRDefault="00EF36DA" w:rsidP="0DE242D6">
      <w:pPr>
        <w:shd w:val="clear" w:color="auto" w:fill="FFFFFF" w:themeFill="background1"/>
        <w:ind w:firstLine="480"/>
        <w:jc w:val="both"/>
        <w:rPr>
          <w:rFonts w:ascii="Times" w:hAnsi="Times"/>
        </w:rPr>
      </w:pPr>
      <w:r>
        <w:rPr>
          <w:rFonts w:ascii="Times" w:hAnsi="Times"/>
        </w:rPr>
        <w:t xml:space="preserve">      </w:t>
      </w:r>
      <w:r w:rsidR="00A0238A">
        <w:rPr>
          <w:rFonts w:ascii="Times" w:hAnsi="Times"/>
        </w:rPr>
        <w:t xml:space="preserve">      </w:t>
      </w:r>
      <w:r>
        <w:rPr>
          <w:rFonts w:ascii="Times" w:hAnsi="Times"/>
        </w:rPr>
        <w:t xml:space="preserve">                </w:t>
      </w:r>
      <w:r w:rsidR="275198DE" w:rsidRPr="00D22AA7">
        <w:rPr>
          <w:rFonts w:ascii="Times" w:hAnsi="Times"/>
          <w:noProof/>
        </w:rPr>
        <w:drawing>
          <wp:inline distT="0" distB="0" distL="0" distR="0" wp14:anchorId="1C6B8A31" wp14:editId="3373E67B">
            <wp:extent cx="3594226" cy="2286711"/>
            <wp:effectExtent l="0" t="0" r="0" b="0"/>
            <wp:docPr id="2104447280" name="Picture 2104447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12193" cy="2298142"/>
                    </a:xfrm>
                    <a:prstGeom prst="rect">
                      <a:avLst/>
                    </a:prstGeom>
                  </pic:spPr>
                </pic:pic>
              </a:graphicData>
            </a:graphic>
          </wp:inline>
        </w:drawing>
      </w:r>
    </w:p>
    <w:p w14:paraId="5F770C24" w14:textId="5DFE372E" w:rsidR="409B8603" w:rsidRPr="0091374A" w:rsidRDefault="00A0238A" w:rsidP="0DE242D6">
      <w:pPr>
        <w:shd w:val="clear" w:color="auto" w:fill="FFFFFF" w:themeFill="background1"/>
        <w:ind w:firstLine="480"/>
        <w:jc w:val="both"/>
        <w:rPr>
          <w:rFonts w:ascii="Times" w:hAnsi="Times"/>
          <w:sz w:val="20"/>
          <w:szCs w:val="20"/>
        </w:rPr>
      </w:pPr>
      <w:r w:rsidRPr="0091374A">
        <w:rPr>
          <w:rFonts w:ascii="Times" w:hAnsi="Times"/>
          <w:b/>
          <w:bCs/>
          <w:sz w:val="20"/>
          <w:szCs w:val="20"/>
        </w:rPr>
        <w:t xml:space="preserve">           </w:t>
      </w:r>
      <w:r w:rsidR="0091374A">
        <w:rPr>
          <w:rFonts w:ascii="Times" w:hAnsi="Times"/>
          <w:b/>
          <w:bCs/>
          <w:sz w:val="20"/>
          <w:szCs w:val="20"/>
        </w:rPr>
        <w:t xml:space="preserve">  </w:t>
      </w:r>
      <w:r w:rsidR="409B8603" w:rsidRPr="0091374A">
        <w:rPr>
          <w:rFonts w:ascii="Times" w:hAnsi="Times"/>
          <w:b/>
          <w:bCs/>
          <w:sz w:val="20"/>
          <w:szCs w:val="20"/>
        </w:rPr>
        <w:t>Figure 1</w:t>
      </w:r>
      <w:r w:rsidR="00AD46E0" w:rsidRPr="0091374A">
        <w:rPr>
          <w:rFonts w:ascii="Times" w:hAnsi="Times"/>
          <w:b/>
          <w:bCs/>
          <w:sz w:val="20"/>
          <w:szCs w:val="20"/>
        </w:rPr>
        <w:t>1.</w:t>
      </w:r>
      <w:r w:rsidR="00AD46E0" w:rsidRPr="0091374A">
        <w:rPr>
          <w:rFonts w:ascii="Times" w:hAnsi="Times"/>
          <w:sz w:val="20"/>
          <w:szCs w:val="20"/>
        </w:rPr>
        <w:t xml:space="preserve">  </w:t>
      </w:r>
      <w:r w:rsidR="00AD46E0" w:rsidRPr="0091374A">
        <w:rPr>
          <w:rFonts w:ascii="Times" w:hAnsi="Times" w:cs="Arial"/>
          <w:color w:val="222222"/>
          <w:sz w:val="20"/>
          <w:szCs w:val="20"/>
        </w:rPr>
        <w:t>Mesoporous Silica Nanoparticles</w:t>
      </w:r>
      <w:r w:rsidR="005141A1" w:rsidRPr="0091374A">
        <w:rPr>
          <w:rFonts w:ascii="Times" w:hAnsi="Times" w:cs="Arial"/>
          <w:color w:val="222222"/>
          <w:sz w:val="20"/>
          <w:szCs w:val="20"/>
        </w:rPr>
        <w:t xml:space="preserve">. Reprinted from </w:t>
      </w:r>
      <w:r w:rsidR="005141A1" w:rsidRPr="0091374A">
        <w:rPr>
          <w:rFonts w:ascii="Times" w:hAnsi="Times" w:cs="Arial"/>
          <w:color w:val="222222"/>
          <w:sz w:val="20"/>
          <w:szCs w:val="20"/>
        </w:rPr>
        <w:fldChar w:fldCharType="begin"/>
      </w:r>
      <w:r w:rsidR="0056095D" w:rsidRPr="0091374A">
        <w:rPr>
          <w:rFonts w:ascii="Times" w:hAnsi="Times" w:cs="Arial"/>
          <w:color w:val="222222"/>
          <w:sz w:val="20"/>
          <w:szCs w:val="20"/>
        </w:rPr>
        <w:instrText xml:space="preserve"> ADDIN ZOTERO_ITEM CSL_CITATION {"citationID":"K0XgsMQy","properties":{"formattedCitation":"[120]","plainCitation":"[120]","noteIndex":0},"citationItems":[{"id":5088,"uris":["http://zotero.org/users/9439317/items/L7475VEW"],"itemData":{"id":5088,"type":"article-journal","container-title":"Advanced Drug Delivery Reviews","ISSN":"0169-409X","journalAbbreviation":"Advanced Drug Delivery Reviews","note":"publisher: Elsevier","page":"115049","title":"Biosafety of mesoporous silica nanoparticles; towards clinical translation","author":[{"family":"Lérida-Viso","given":"Araceli"},{"family":"Estepa-Fernández","given":"Alejandra"},{"family":"García-Fernández","given":"Alba"},{"family":"Martí-Centelles","given":"Vicente"},{"family":"Martínez-Máñez","given":"Ramón"}],"issued":{"date-parts":[["2023"]]}}}],"schema":"https://github.com/citation-style-language/schema/raw/master/csl-citation.json"} </w:instrText>
      </w:r>
      <w:r w:rsidR="005141A1" w:rsidRPr="0091374A">
        <w:rPr>
          <w:rFonts w:ascii="Times" w:hAnsi="Times" w:cs="Arial"/>
          <w:color w:val="222222"/>
          <w:sz w:val="20"/>
          <w:szCs w:val="20"/>
        </w:rPr>
        <w:fldChar w:fldCharType="separate"/>
      </w:r>
      <w:r w:rsidR="0056095D" w:rsidRPr="0091374A">
        <w:rPr>
          <w:rFonts w:ascii="Times" w:hAnsi="Times" w:cs="Arial"/>
          <w:noProof/>
          <w:color w:val="222222"/>
          <w:sz w:val="20"/>
          <w:szCs w:val="20"/>
        </w:rPr>
        <w:t>[120]</w:t>
      </w:r>
      <w:r w:rsidR="005141A1" w:rsidRPr="0091374A">
        <w:rPr>
          <w:rFonts w:ascii="Times" w:hAnsi="Times" w:cs="Arial"/>
          <w:color w:val="222222"/>
          <w:sz w:val="20"/>
          <w:szCs w:val="20"/>
        </w:rPr>
        <w:fldChar w:fldCharType="end"/>
      </w:r>
      <w:r w:rsidR="005141A1" w:rsidRPr="0091374A">
        <w:rPr>
          <w:rFonts w:ascii="Times" w:hAnsi="Times" w:cs="Arial"/>
          <w:color w:val="222222"/>
          <w:sz w:val="20"/>
          <w:szCs w:val="20"/>
        </w:rPr>
        <w:t xml:space="preserve"> under CC BY license.</w:t>
      </w:r>
    </w:p>
    <w:p w14:paraId="0EFE7F5A" w14:textId="77777777" w:rsidR="00AD46E0" w:rsidRPr="00D22AA7" w:rsidRDefault="00AD46E0" w:rsidP="00AD46E0">
      <w:pPr>
        <w:pStyle w:val="Heading4"/>
        <w:spacing w:before="0" w:after="0"/>
        <w:jc w:val="both"/>
        <w:rPr>
          <w:rFonts w:ascii="Times" w:hAnsi="Times"/>
          <w:b/>
          <w:bCs/>
          <w:i w:val="0"/>
          <w:iCs w:val="0"/>
          <w:color w:val="222222"/>
          <w:sz w:val="20"/>
          <w:szCs w:val="20"/>
        </w:rPr>
      </w:pPr>
    </w:p>
    <w:p w14:paraId="487EB9E8" w14:textId="5279354C" w:rsidR="00386CA0" w:rsidRPr="00D22AA7" w:rsidRDefault="00AD46E0" w:rsidP="00AD46E0">
      <w:pPr>
        <w:pStyle w:val="Heading4"/>
        <w:spacing w:before="0" w:after="0"/>
        <w:jc w:val="both"/>
        <w:rPr>
          <w:rFonts w:ascii="Times" w:hAnsi="Times"/>
          <w:b/>
          <w:bCs/>
          <w:i w:val="0"/>
          <w:iCs w:val="0"/>
          <w:color w:val="000000"/>
        </w:rPr>
      </w:pPr>
      <w:r w:rsidRPr="00D22AA7">
        <w:rPr>
          <w:rFonts w:ascii="Times" w:hAnsi="Times"/>
          <w:b/>
          <w:bCs/>
          <w:i w:val="0"/>
          <w:iCs w:val="0"/>
          <w:color w:val="222222"/>
        </w:rPr>
        <w:t xml:space="preserve">3.9 </w:t>
      </w:r>
      <w:r w:rsidR="66779EFB" w:rsidRPr="00D22AA7">
        <w:rPr>
          <w:rFonts w:ascii="Times" w:hAnsi="Times"/>
          <w:b/>
          <w:bCs/>
          <w:i w:val="0"/>
          <w:iCs w:val="0"/>
          <w:color w:val="222222"/>
        </w:rPr>
        <w:t>Bioactive Glass Nanoparticles</w:t>
      </w:r>
    </w:p>
    <w:p w14:paraId="5670DF78" w14:textId="0517BCFC" w:rsidR="11D39F32" w:rsidRPr="00D22AA7" w:rsidRDefault="6E7B621E" w:rsidP="003D4574">
      <w:pPr>
        <w:spacing w:before="240" w:after="240"/>
        <w:jc w:val="both"/>
        <w:rPr>
          <w:rFonts w:ascii="Times" w:hAnsi="Times" w:cs="Arial"/>
          <w:color w:val="222222"/>
        </w:rPr>
      </w:pPr>
      <w:r w:rsidRPr="00D22AA7">
        <w:rPr>
          <w:rFonts w:ascii="Times" w:hAnsi="Times"/>
        </w:rPr>
        <w:t xml:space="preserve">Bioactive glass (BG), a type of glass-ceramic material composed of </w:t>
      </w:r>
      <w:proofErr w:type="spellStart"/>
      <w:r w:rsidRPr="00D22AA7">
        <w:rPr>
          <w:rFonts w:ascii="Times" w:hAnsi="Times"/>
        </w:rPr>
        <w:t>SiO</w:t>
      </w:r>
      <w:proofErr w:type="spellEnd"/>
      <w:r w:rsidRPr="00D22AA7">
        <w:rPr>
          <w:rFonts w:ascii="Cambria Math" w:hAnsi="Cambria Math" w:cs="Cambria Math"/>
        </w:rPr>
        <w:t>₂</w:t>
      </w:r>
      <w:r w:rsidRPr="00D22AA7">
        <w:rPr>
          <w:rFonts w:ascii="Times" w:hAnsi="Times"/>
        </w:rPr>
        <w:t xml:space="preserve">, </w:t>
      </w:r>
      <w:proofErr w:type="spellStart"/>
      <w:r w:rsidRPr="00D22AA7">
        <w:rPr>
          <w:rFonts w:ascii="Times" w:hAnsi="Times"/>
        </w:rPr>
        <w:t>Na</w:t>
      </w:r>
      <w:r w:rsidRPr="00D22AA7">
        <w:rPr>
          <w:rFonts w:ascii="Cambria Math" w:hAnsi="Cambria Math" w:cs="Cambria Math"/>
        </w:rPr>
        <w:t>₂</w:t>
      </w:r>
      <w:r w:rsidRPr="00D22AA7">
        <w:rPr>
          <w:rFonts w:ascii="Times" w:hAnsi="Times"/>
        </w:rPr>
        <w:t>O</w:t>
      </w:r>
      <w:proofErr w:type="spellEnd"/>
      <w:r w:rsidRPr="00D22AA7">
        <w:rPr>
          <w:rFonts w:ascii="Times" w:hAnsi="Times"/>
        </w:rPr>
        <w:t xml:space="preserve">, </w:t>
      </w:r>
      <w:proofErr w:type="spellStart"/>
      <w:r w:rsidRPr="00D22AA7">
        <w:rPr>
          <w:rFonts w:ascii="Times" w:hAnsi="Times"/>
        </w:rPr>
        <w:t>CaO</w:t>
      </w:r>
      <w:proofErr w:type="spellEnd"/>
      <w:r w:rsidRPr="00D22AA7">
        <w:rPr>
          <w:rFonts w:ascii="Times" w:hAnsi="Times"/>
        </w:rPr>
        <w:t>, and P</w:t>
      </w:r>
      <w:r w:rsidRPr="00D22AA7">
        <w:rPr>
          <w:rFonts w:ascii="Cambria Math" w:hAnsi="Cambria Math" w:cs="Cambria Math"/>
        </w:rPr>
        <w:t>₂</w:t>
      </w:r>
      <w:r w:rsidRPr="00D22AA7">
        <w:rPr>
          <w:rFonts w:ascii="Times" w:hAnsi="Times"/>
        </w:rPr>
        <w:t>O</w:t>
      </w:r>
      <w:r w:rsidRPr="00D22AA7">
        <w:rPr>
          <w:rFonts w:ascii="Cambria Math" w:hAnsi="Cambria Math" w:cs="Cambria Math"/>
        </w:rPr>
        <w:t>₅</w:t>
      </w:r>
      <w:r w:rsidRPr="00D22AA7">
        <w:rPr>
          <w:rFonts w:ascii="Times" w:hAnsi="Times"/>
        </w:rPr>
        <w:t>, was initially discovered by Larry Hench in 1969. This breakthrough led to the development of a material that can interact biologically with tissues, facilitating healing and regeneration</w:t>
      </w:r>
      <w:r w:rsidR="0AEB2FCB" w:rsidRPr="00D22AA7">
        <w:rPr>
          <w:rFonts w:ascii="Times" w:hAnsi="Times"/>
        </w:rPr>
        <w:t xml:space="preserve"> </w:t>
      </w:r>
      <w:r w:rsidR="11D39F32" w:rsidRPr="00D22AA7">
        <w:rPr>
          <w:rFonts w:ascii="Times" w:hAnsi="Times"/>
          <w:color w:val="222222"/>
        </w:rPr>
        <w:fldChar w:fldCharType="begin"/>
      </w:r>
      <w:r w:rsidR="0056095D">
        <w:rPr>
          <w:rFonts w:ascii="Times" w:hAnsi="Times"/>
          <w:color w:val="222222"/>
        </w:rPr>
        <w:instrText xml:space="preserve"> ADDIN ZOTERO_ITEM CSL_CITATION {"citationID":"vud6pIWX","properties":{"formattedCitation":"[121]","plainCitation":"[121]","noteIndex":0},"citationItems":[{"id":5210,"uris":["http://zotero.org/users/9439317/items/7LJC7QJ4"],"itemData":{"id":5210,"type":"chapter","abstract":"Publisher Summary\nBioactive glasses are amorphous silicate-based materials that are compatible with the human body, bond to bone, and can stimulate new bone growth while dissolving over time. They, therefore, have the potential to restore diseased or damaged bone to its original state and function (bone regeneration). The interest in bioactive glasses focuses on their ability to stimulate new bone growth and its potential to be used in the development of constructs that can stimulate the body's own regenerative mechanisms to restore damaged bone to its original state and function. This chapter describes the properties of different bioactive glasses and reviews the cutting edge progress toward using them in regenerative medicine. Since the invention of Bioglass®, the first bioactive ceramic, bioactive glasses have been found to bond to bone, to dissolve over time, releasing ions that stimulate bone cells at the genetic level, causing osteoinduction. It is this biological mechanism that must be fully understood if bioactive glasses and other bioactive materials are to be fully optimized. Different compositions and sol–gel-derived glasses have also been found to be bioactive.","container-title":"Bioceramics and their Clinical Applications","ISBN":"978-1-84569-204-9","note":"DOI: 10.1533/9781845694227.2.266","page":"266-283","publisher":"Woodhead Publishing","title":"12 - Bioactive glass","URL":"https://www.sciencedirect.com/science/article/pii/B9781845692049500120","author":[{"family":"JONES","given":"J R"}],"editor":[{"family":"Kokubo","given":"Tadashi"}],"issued":{"date-parts":[["2008",1,1]]}}}],"schema":"https://github.com/citation-style-language/schema/raw/master/csl-citation.json"} </w:instrText>
      </w:r>
      <w:r w:rsidR="11D39F32" w:rsidRPr="00D22AA7">
        <w:rPr>
          <w:rFonts w:ascii="Times" w:hAnsi="Times"/>
          <w:color w:val="222222"/>
        </w:rPr>
        <w:fldChar w:fldCharType="separate"/>
      </w:r>
      <w:r w:rsidR="0056095D">
        <w:rPr>
          <w:rFonts w:ascii="Times" w:hAnsi="Times"/>
          <w:noProof/>
          <w:color w:val="222222"/>
        </w:rPr>
        <w:t>[121]</w:t>
      </w:r>
      <w:r w:rsidR="11D39F32" w:rsidRPr="00D22AA7">
        <w:rPr>
          <w:rFonts w:ascii="Times" w:hAnsi="Times"/>
          <w:color w:val="222222"/>
        </w:rPr>
        <w:fldChar w:fldCharType="end"/>
      </w:r>
      <w:r w:rsidR="0AEB2FCB" w:rsidRPr="00D22AA7">
        <w:rPr>
          <w:rFonts w:ascii="Times" w:hAnsi="Times"/>
        </w:rPr>
        <w:t xml:space="preserve">. The original formulation, known as 45S5 </w:t>
      </w:r>
      <w:proofErr w:type="spellStart"/>
      <w:r w:rsidR="0AEB2FCB" w:rsidRPr="00D22AA7">
        <w:rPr>
          <w:rFonts w:ascii="Times" w:hAnsi="Times"/>
        </w:rPr>
        <w:t>bioglass</w:t>
      </w:r>
      <w:proofErr w:type="spellEnd"/>
      <w:r w:rsidR="0AEB2FCB" w:rsidRPr="00D22AA7">
        <w:rPr>
          <w:rFonts w:ascii="Times" w:hAnsi="Times"/>
        </w:rPr>
        <w:t xml:space="preserve">, contained 46.1% </w:t>
      </w:r>
      <w:proofErr w:type="spellStart"/>
      <w:r w:rsidR="0AEB2FCB" w:rsidRPr="00D22AA7">
        <w:rPr>
          <w:rFonts w:ascii="Times" w:hAnsi="Times"/>
        </w:rPr>
        <w:t>SiO</w:t>
      </w:r>
      <w:proofErr w:type="spellEnd"/>
      <w:r w:rsidR="0AEB2FCB" w:rsidRPr="00D22AA7">
        <w:rPr>
          <w:rFonts w:ascii="Cambria Math" w:hAnsi="Cambria Math" w:cs="Cambria Math"/>
        </w:rPr>
        <w:t>₂</w:t>
      </w:r>
      <w:r w:rsidR="0AEB2FCB" w:rsidRPr="00D22AA7">
        <w:rPr>
          <w:rFonts w:ascii="Times" w:hAnsi="Times"/>
        </w:rPr>
        <w:t xml:space="preserve">, 24.4% </w:t>
      </w:r>
      <w:proofErr w:type="spellStart"/>
      <w:r w:rsidR="0AEB2FCB" w:rsidRPr="00D22AA7">
        <w:rPr>
          <w:rFonts w:ascii="Times" w:hAnsi="Times"/>
        </w:rPr>
        <w:t>Na</w:t>
      </w:r>
      <w:r w:rsidR="0AEB2FCB" w:rsidRPr="00D22AA7">
        <w:rPr>
          <w:rFonts w:ascii="Cambria Math" w:hAnsi="Cambria Math" w:cs="Cambria Math"/>
        </w:rPr>
        <w:t>₂</w:t>
      </w:r>
      <w:r w:rsidR="0AEB2FCB" w:rsidRPr="00D22AA7">
        <w:rPr>
          <w:rFonts w:ascii="Times" w:hAnsi="Times"/>
        </w:rPr>
        <w:t>O</w:t>
      </w:r>
      <w:proofErr w:type="spellEnd"/>
      <w:r w:rsidR="0AEB2FCB" w:rsidRPr="00D22AA7">
        <w:rPr>
          <w:rFonts w:ascii="Times" w:hAnsi="Times"/>
        </w:rPr>
        <w:t xml:space="preserve">, 26.9% </w:t>
      </w:r>
      <w:proofErr w:type="spellStart"/>
      <w:r w:rsidR="0AEB2FCB" w:rsidRPr="00D22AA7">
        <w:rPr>
          <w:rFonts w:ascii="Times" w:hAnsi="Times"/>
        </w:rPr>
        <w:t>CaO</w:t>
      </w:r>
      <w:proofErr w:type="spellEnd"/>
      <w:r w:rsidR="0AEB2FCB" w:rsidRPr="00D22AA7">
        <w:rPr>
          <w:rFonts w:ascii="Times" w:hAnsi="Times"/>
        </w:rPr>
        <w:t>, and 2.6% P</w:t>
      </w:r>
      <w:r w:rsidR="0AEB2FCB" w:rsidRPr="00D22AA7">
        <w:rPr>
          <w:rFonts w:ascii="Cambria Math" w:hAnsi="Cambria Math" w:cs="Cambria Math"/>
        </w:rPr>
        <w:t>₂</w:t>
      </w:r>
      <w:r w:rsidR="0AEB2FCB" w:rsidRPr="00D22AA7">
        <w:rPr>
          <w:rFonts w:ascii="Times" w:hAnsi="Times"/>
        </w:rPr>
        <w:t>O</w:t>
      </w:r>
      <w:r w:rsidR="0AEB2FCB" w:rsidRPr="00D22AA7">
        <w:rPr>
          <w:rFonts w:ascii="Cambria Math" w:hAnsi="Cambria Math" w:cs="Cambria Math"/>
        </w:rPr>
        <w:t>₅</w:t>
      </w:r>
      <w:r w:rsidR="0AEB2FCB" w:rsidRPr="00D22AA7">
        <w:rPr>
          <w:rFonts w:ascii="Times" w:hAnsi="Times"/>
        </w:rPr>
        <w:t xml:space="preserve"> (in mol%) </w:t>
      </w:r>
      <w:r w:rsidR="11D39F32" w:rsidRPr="00D22AA7">
        <w:rPr>
          <w:rFonts w:ascii="Times" w:hAnsi="Times"/>
          <w:color w:val="222222"/>
        </w:rPr>
        <w:fldChar w:fldCharType="begin"/>
      </w:r>
      <w:r w:rsidR="0056095D">
        <w:rPr>
          <w:rFonts w:ascii="Times" w:hAnsi="Times"/>
          <w:color w:val="222222"/>
        </w:rPr>
        <w:instrText xml:space="preserve"> ADDIN ZOTERO_ITEM CSL_CITATION {"citationID":"USaxXHm7","properties":{"formattedCitation":"[122]","plainCitation":"[122]","noteIndex":0},"citationItems":[{"id":15994,"uris":["http://zotero.org/users/9439317/items/PECEESXJ"],"itemData":{"id":15994,"type":"article-journal","note":"publisher: Universidade de São Paulo","title":"45S5 BioglassÂ®-based compositions containing alumina and strontium","author":[{"family":"Araujo","given":"Mariana Silva","dropping-particle":"de"}],"issued":{"date-parts":[["2023"]]}}}],"schema":"https://github.com/citation-style-language/schema/raw/master/csl-citation.json"} </w:instrText>
      </w:r>
      <w:r w:rsidR="11D39F32" w:rsidRPr="00D22AA7">
        <w:rPr>
          <w:rFonts w:ascii="Times" w:hAnsi="Times"/>
          <w:color w:val="222222"/>
        </w:rPr>
        <w:fldChar w:fldCharType="separate"/>
      </w:r>
      <w:r w:rsidR="0056095D">
        <w:rPr>
          <w:rFonts w:ascii="Times" w:hAnsi="Times"/>
          <w:noProof/>
          <w:color w:val="222222"/>
        </w:rPr>
        <w:t>[122]</w:t>
      </w:r>
      <w:r w:rsidR="11D39F32" w:rsidRPr="00D22AA7">
        <w:rPr>
          <w:rFonts w:ascii="Times" w:hAnsi="Times"/>
          <w:color w:val="222222"/>
        </w:rPr>
        <w:fldChar w:fldCharType="end"/>
      </w:r>
      <w:r w:rsidR="0AEB2FCB" w:rsidRPr="00D22AA7">
        <w:rPr>
          <w:rFonts w:ascii="Times" w:hAnsi="Times" w:cs="Arial"/>
          <w:color w:val="222222"/>
        </w:rPr>
        <w:t xml:space="preserve">. </w:t>
      </w:r>
      <w:r w:rsidR="0AEB2FCB" w:rsidRPr="00D22AA7">
        <w:rPr>
          <w:rFonts w:ascii="Times" w:hAnsi="Times"/>
        </w:rPr>
        <w:t xml:space="preserve">This pioneering material gained significant recognition for its exceptional ability to bond with bone tissue, facilitating regeneration and repair </w:t>
      </w:r>
      <w:r w:rsidR="11D39F32" w:rsidRPr="00D22AA7">
        <w:rPr>
          <w:rFonts w:ascii="Times" w:hAnsi="Times"/>
          <w:color w:val="222222"/>
        </w:rPr>
        <w:fldChar w:fldCharType="begin"/>
      </w:r>
      <w:r w:rsidR="0056095D">
        <w:rPr>
          <w:rFonts w:ascii="Times" w:hAnsi="Times"/>
          <w:color w:val="222222"/>
        </w:rPr>
        <w:instrText xml:space="preserve"> ADDIN ZOTERO_ITEM CSL_CITATION {"citationID":"AgWJ5YTH","properties":{"formattedCitation":"[123]","plainCitation":"[123]","noteIndex":0},"citationItems":[{"id":15995,"uris":["http://zotero.org/users/9439317/items/XNVPQNHV"],"itemData":{"id":15995,"type":"article-journal","container-title":"Bioceramics: Status in Tissue Engineering and Regenerative Medicine (Part 2)","ISSN":"9815313908","journalAbbreviation":"Bioceramics: Status in Tissue Engineering and Regenerative Medicine (Part 2)","note":"publisher: Bentham Science Publishers","page":"261","title":"Bioceramics and Bioactive Glasses for Skin Wound Healing","author":[{"family":"Bhattacharya","given":"Soumalya"},{"family":"Roy","given":"Payal"},{"family":"Saha","given":"Rupam"},{"family":"Chakraborty","given":"Jui"}],"issued":{"date-parts":[["2024"]]}}}],"schema":"https://github.com/citation-style-language/schema/raw/master/csl-citation.json"} </w:instrText>
      </w:r>
      <w:r w:rsidR="11D39F32" w:rsidRPr="00D22AA7">
        <w:rPr>
          <w:rFonts w:ascii="Times" w:hAnsi="Times"/>
          <w:color w:val="222222"/>
        </w:rPr>
        <w:fldChar w:fldCharType="separate"/>
      </w:r>
      <w:r w:rsidR="0056095D">
        <w:rPr>
          <w:rFonts w:ascii="Times" w:hAnsi="Times"/>
          <w:noProof/>
          <w:color w:val="222222"/>
        </w:rPr>
        <w:t>[123]</w:t>
      </w:r>
      <w:r w:rsidR="11D39F32" w:rsidRPr="00D22AA7">
        <w:rPr>
          <w:rFonts w:ascii="Times" w:hAnsi="Times"/>
          <w:color w:val="222222"/>
        </w:rPr>
        <w:fldChar w:fldCharType="end"/>
      </w:r>
      <w:r w:rsidR="0AEB2FCB" w:rsidRPr="00D22AA7">
        <w:rPr>
          <w:rFonts w:ascii="Times" w:hAnsi="Times"/>
          <w:color w:val="222222"/>
        </w:rPr>
        <w:t>.</w:t>
      </w:r>
      <w:r w:rsidR="0AEB2FCB" w:rsidRPr="00D22AA7">
        <w:rPr>
          <w:rFonts w:ascii="Times" w:hAnsi="Times"/>
        </w:rPr>
        <w:t xml:space="preserve"> Over the years, extensive research has led to modifications in its composition and structure, allowing for enhanced bioactivity and expanded biomedical applications </w:t>
      </w:r>
      <w:r w:rsidR="11D39F32" w:rsidRPr="00D22AA7">
        <w:rPr>
          <w:rFonts w:ascii="Times" w:hAnsi="Times"/>
          <w:color w:val="222222"/>
        </w:rPr>
        <w:fldChar w:fldCharType="begin"/>
      </w:r>
      <w:r w:rsidR="0056095D">
        <w:rPr>
          <w:rFonts w:ascii="Times" w:hAnsi="Times"/>
          <w:color w:val="222222"/>
        </w:rPr>
        <w:instrText xml:space="preserve"> ADDIN ZOTERO_ITEM CSL_CITATION {"citationID":"Mr5pz8QJ","properties":{"formattedCitation":"[124]","plainCitation":"[124]","noteIndex":0},"citationItems":[{"id":15996,"uris":["http://zotero.org/users/9439317/items/KK26DB9I"],"itemData":{"id":15996,"type":"article-journal","ISSN":"1661-6596","title":"Mesoporous Bioactive Nanoparticles for Bone Tissue Applications","author":[{"family":"Arcos Navarrete","given":"Daniel"},{"family":"Portolés Pérez","given":"María Teresa"}],"issued":{"date-parts":[["2023"]]}}}],"schema":"https://github.com/citation-style-language/schema/raw/master/csl-citation.json"} </w:instrText>
      </w:r>
      <w:r w:rsidR="11D39F32" w:rsidRPr="00D22AA7">
        <w:rPr>
          <w:rFonts w:ascii="Times" w:hAnsi="Times"/>
          <w:color w:val="222222"/>
        </w:rPr>
        <w:fldChar w:fldCharType="separate"/>
      </w:r>
      <w:r w:rsidR="0056095D">
        <w:rPr>
          <w:rFonts w:ascii="Times" w:hAnsi="Times"/>
          <w:noProof/>
          <w:color w:val="222222"/>
        </w:rPr>
        <w:t>[124]</w:t>
      </w:r>
      <w:r w:rsidR="11D39F32" w:rsidRPr="00D22AA7">
        <w:rPr>
          <w:rFonts w:ascii="Times" w:hAnsi="Times"/>
          <w:color w:val="222222"/>
        </w:rPr>
        <w:fldChar w:fldCharType="end"/>
      </w:r>
    </w:p>
    <w:p w14:paraId="55F72F05" w14:textId="3DC7CDDC" w:rsidR="11D39F32" w:rsidRPr="00D22AA7" w:rsidRDefault="11D39F32" w:rsidP="003D4574">
      <w:pPr>
        <w:spacing w:before="240" w:after="240"/>
        <w:jc w:val="both"/>
        <w:rPr>
          <w:rFonts w:ascii="Times" w:hAnsi="Times"/>
        </w:rPr>
      </w:pPr>
      <w:r w:rsidRPr="00D22AA7">
        <w:rPr>
          <w:rFonts w:ascii="Times" w:hAnsi="Times"/>
        </w:rPr>
        <w:t xml:space="preserve">Beyond its well-established role in bone regeneration, BG has emerged as a promising material in cancer treatment. Its potential applications include hyperthermia therapy, phototherapy, and targeted anticancer drug delivery. Mesoporous bioactive glass (MBG) nanoparticles, characterized by their high surface area and tunable pore sizes, have been widely explored for their exceptional drug-loading capabilities and ability to deliver therapeutic agents with precision These nanoparticles enable the controlled release of anticancer drugs, improving treatment efficacy while minimizing systemic side effects </w:t>
      </w:r>
      <w:r w:rsidRPr="00D22AA7">
        <w:rPr>
          <w:rFonts w:ascii="Times" w:hAnsi="Times"/>
          <w:color w:val="222222"/>
        </w:rPr>
        <w:fldChar w:fldCharType="begin"/>
      </w:r>
      <w:r w:rsidR="0056095D">
        <w:rPr>
          <w:rFonts w:ascii="Times" w:hAnsi="Times"/>
          <w:color w:val="222222"/>
        </w:rPr>
        <w:instrText xml:space="preserve"> ADDIN ZOTERO_ITEM CSL_CITATION {"citationID":"4WWKbF78","properties":{"formattedCitation":"[125]","plainCitation":"[125]","noteIndex":0},"citationItems":[{"id":15997,"uris":["http://zotero.org/users/9439317/items/8FGB7LQE"],"itemData":{"id":15997,"type":"article-journal","container-title":"International Journal of Applied Glass Science","ISSN":"2041-1286","issue":"1","journalAbbreviation":"International Journal of Applied Glass Science","note":"publisher: Wiley Online Library","page":"69-87","title":"A critical review of bioactive glasses and glass–ceramics in cancer therapy","volume":"14","author":[{"family":"Moeini","given":"Ali"},{"family":"Hassanzadeh Chinijani","given":"Turan"},{"family":"Malek Khachatourian","given":"Adrine"},{"family":"Vinicius Lia Fook","given":"Marcus"},{"family":"Baino","given":"Francesco"},{"family":"Montazerian","given":"Maziar"}],"issued":{"date-parts":[["2023"]]}}}],"schema":"https://github.com/citation-style-language/schema/raw/master/csl-citation.json"}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[125]</w:t>
      </w:r>
      <w:r w:rsidRPr="00D22AA7">
        <w:rPr>
          <w:rFonts w:ascii="Times" w:hAnsi="Times"/>
          <w:color w:val="222222"/>
        </w:rPr>
        <w:fldChar w:fldCharType="end"/>
      </w:r>
      <w:r w:rsidR="209EFE7B" w:rsidRPr="00D22AA7">
        <w:rPr>
          <w:rFonts w:ascii="Times" w:hAnsi="Times" w:cs="Arial"/>
          <w:color w:val="222222"/>
        </w:rPr>
        <w:t>.</w:t>
      </w:r>
    </w:p>
    <w:p w14:paraId="1F49192C" w14:textId="59658B67" w:rsidR="11D39F32" w:rsidRPr="00D22AA7" w:rsidRDefault="11D39F32" w:rsidP="003D4574">
      <w:pPr>
        <w:spacing w:before="240" w:after="240"/>
        <w:jc w:val="both"/>
        <w:rPr>
          <w:rFonts w:ascii="Times" w:hAnsi="Times"/>
        </w:rPr>
      </w:pPr>
      <w:r w:rsidRPr="00D22AA7">
        <w:rPr>
          <w:rFonts w:ascii="Times" w:hAnsi="Times"/>
        </w:rPr>
        <w:t>To further optimize drug-release kinetics and enhance therapeutic outcomes, researchers have investigated various surface modification techniques. Functionalization strategies, such as grafting bioactive molecules, have been employed to improve drug-binding affinity and cellular interactions. Additionally, composite formulations integrating BG with polymers and hydrogels have been developed to achieve sustained drug release, enhance biocompatibility, and improve mechanical properties. These advancements position bioactive glass as a multifunctional material with immense potential in regenerative medicine and oncology, paving the way for future innovations in targeted therapy and personalized medicine</w:t>
      </w:r>
      <w:r w:rsidR="12C736B0" w:rsidRPr="00D22AA7">
        <w:rPr>
          <w:rFonts w:ascii="Times" w:hAnsi="Times"/>
        </w:rPr>
        <w:t xml:space="preserve"> </w:t>
      </w:r>
      <w:r w:rsidRPr="00D22AA7">
        <w:rPr>
          <w:rFonts w:ascii="Times" w:hAnsi="Times"/>
          <w:color w:val="222222"/>
        </w:rPr>
        <w:fldChar w:fldCharType="begin"/>
      </w:r>
      <w:r w:rsidR="0056095D">
        <w:rPr>
          <w:rFonts w:ascii="Times" w:hAnsi="Times"/>
          <w:color w:val="222222"/>
        </w:rPr>
        <w:instrText xml:space="preserve"> ADDIN ZOTERO_ITEM CSL_CITATION {"citationID":"YpOGw3co","properties":{"formattedCitation":"[126]","plainCitation":"[126]","noteIndex":0},"citationItems":[{"id":5241,"uris":["http://zotero.org/users/9439317/items/WFFHQ59L"],"itemData":{"id":5241,"type":"article-journal","abstract":"Abstract We have successfully prepared a novel targeted drug delivery system, composed of folic acid (FA) as targeting molecule, methotrexate (MTX) as anticancer drug, and bioactive glass (BG) as carrier. The BG nanoparticles were synthesized by sol-gel method with the dodecylamine as template. The surface of BG nanoparticles was grafted with amino groups by (3-aminopropyl) triethoxysilane, then, FA and MTX were covalently conjugated to the surface of modified BG through amidation reaction, so FA functionalized BG (BG-FA) and targeted drug delivery system (MTX-BG-FA) were prepared. The physicochemical properties of BG, BG-NH2, and BG-FA were characterized by various methods, such as X-ray diffraction, scanning electron microscopy, transmission electron microscopy, Fourier transform infrared spectroscopy, ultraviolet?visible, and so on. Moreover, the drug release results showed that the MTX-BG-FA had sustained release property because of the peptide bond between MTX and BG-FA. And the cytocompatibility evaluation demonstrated that the BG and BG-FA were biocompatible and BG-FA even could promote cell proliferation, while the MTX-BG-FA had high cytotoxicity owning to the sustained release of anticancer drug. From the above, it could be concluded that MTX-BG-FA could kill tumor cells targetedly and sustainedly, which made it a good cancer targeted therapy material. ? 2018 Wiley Periodicals, Inc. J Biomed Mater Res Part A: 107A: 319?329, 2019.","container-title":"Journal of Biomedical Materials Research Part A","DOI":"10.1002/jbm.a.36471","ISSN":"1549-3296","issue":"2","journalAbbreviation":"Journal of Biomedical Materials Research Part A","note":"publisher: John Wiley &amp; Sons, Ltd","page":"319-329","title":"Preparation and characterization of folic acid functionalized bioactive glass for targeted delivery and sustained release of methotrexate","URL":"https://doi.org/10.1002/jbm.a.36471","volume":"107","author":[{"family":"Chen","given":"Jianhui"},{"family":"Chen","given":"Xiaofeng"},{"family":"Yang","given":"Zhengyu"},{"family":"Tan","given":"Xiaojun"},{"family":"Wang","given":"Jiachen"},{"family":"Chen","given":"Yao"}],"accessed":{"date-parts":[["2024",1,10]]},"issued":{"date-parts":[["2019",2,1]]}}}],"schema":"https://github.com/citation-style-language/schema/raw/master/csl-citation.json"} </w:instrText>
      </w:r>
      <w:r w:rsidRPr="00D22AA7">
        <w:rPr>
          <w:rFonts w:ascii="Times" w:hAnsi="Times"/>
          <w:color w:val="222222"/>
        </w:rPr>
        <w:fldChar w:fldCharType="separate"/>
      </w:r>
      <w:r w:rsidR="0056095D">
        <w:rPr>
          <w:rFonts w:ascii="Times" w:hAnsi="Times"/>
          <w:noProof/>
          <w:color w:val="222222"/>
        </w:rPr>
        <w:t>[126]</w:t>
      </w:r>
      <w:r w:rsidRPr="00D22AA7">
        <w:rPr>
          <w:rFonts w:ascii="Times" w:hAnsi="Times"/>
          <w:color w:val="222222"/>
        </w:rPr>
        <w:fldChar w:fldCharType="end"/>
      </w:r>
      <w:r w:rsidR="12C736B0" w:rsidRPr="00D22AA7">
        <w:rPr>
          <w:rFonts w:ascii="Times" w:hAnsi="Times" w:cs="Arial"/>
          <w:color w:val="222222"/>
        </w:rPr>
        <w:t>.</w:t>
      </w:r>
    </w:p>
    <w:p w14:paraId="44C5497B" w14:textId="110DBCD2" w:rsidR="10F2265A" w:rsidRPr="00D22AA7" w:rsidRDefault="10F2265A" w:rsidP="10F2265A">
      <w:pPr>
        <w:pStyle w:val="BodyText"/>
        <w:spacing w:after="0"/>
        <w:jc w:val="both"/>
        <w:rPr>
          <w:rFonts w:ascii="Times" w:hAnsi="Times" w:cs="Arial"/>
          <w:color w:val="222222"/>
          <w:sz w:val="20"/>
          <w:szCs w:val="20"/>
        </w:rPr>
      </w:pPr>
    </w:p>
    <w:p w14:paraId="1D47D266" w14:textId="01E64D08" w:rsidR="0DE242D6" w:rsidRPr="00D22AA7" w:rsidRDefault="0DE242D6" w:rsidP="0DE242D6">
      <w:pPr>
        <w:pStyle w:val="BodyText"/>
        <w:spacing w:after="0"/>
        <w:jc w:val="both"/>
        <w:rPr>
          <w:rFonts w:ascii="Times" w:hAnsi="Times" w:cs="Arial"/>
          <w:color w:val="222222"/>
          <w:sz w:val="20"/>
          <w:szCs w:val="20"/>
        </w:rPr>
      </w:pPr>
    </w:p>
    <w:p w14:paraId="4C57014B" w14:textId="04E0A060" w:rsidR="0DE242D6" w:rsidRPr="00D22AA7" w:rsidRDefault="0DE242D6" w:rsidP="0DE242D6">
      <w:pPr>
        <w:pStyle w:val="BodyText"/>
        <w:spacing w:after="0"/>
        <w:jc w:val="both"/>
        <w:rPr>
          <w:rFonts w:ascii="Times" w:hAnsi="Times" w:cs="Arial"/>
          <w:color w:val="222222"/>
          <w:sz w:val="20"/>
          <w:szCs w:val="20"/>
        </w:rPr>
      </w:pPr>
    </w:p>
    <w:p w14:paraId="6ABF54C9" w14:textId="5DCC7DB2" w:rsidR="0DE242D6" w:rsidRPr="00D22AA7" w:rsidRDefault="0DE242D6" w:rsidP="0DE242D6">
      <w:pPr>
        <w:pStyle w:val="BodyText"/>
        <w:spacing w:after="0"/>
        <w:jc w:val="both"/>
        <w:rPr>
          <w:rFonts w:ascii="Times" w:hAnsi="Times" w:cs="Arial"/>
          <w:color w:val="222222"/>
          <w:sz w:val="20"/>
          <w:szCs w:val="20"/>
        </w:rPr>
      </w:pPr>
    </w:p>
    <w:p w14:paraId="04B1DE12" w14:textId="324795CA" w:rsidR="0DE242D6" w:rsidRPr="00D22AA7" w:rsidRDefault="0DE242D6" w:rsidP="0DE242D6">
      <w:pPr>
        <w:pStyle w:val="BodyText"/>
        <w:spacing w:after="0"/>
        <w:jc w:val="both"/>
        <w:rPr>
          <w:rFonts w:ascii="Times" w:hAnsi="Times" w:cs="Arial"/>
          <w:color w:val="222222"/>
          <w:sz w:val="20"/>
          <w:szCs w:val="20"/>
        </w:rPr>
      </w:pPr>
    </w:p>
    <w:p w14:paraId="14E2C155" w14:textId="11F5CCA4" w:rsidR="0DE242D6" w:rsidRPr="00D22AA7" w:rsidRDefault="0DE242D6" w:rsidP="0DE242D6">
      <w:pPr>
        <w:pStyle w:val="BodyText"/>
        <w:spacing w:after="0"/>
        <w:jc w:val="both"/>
        <w:rPr>
          <w:rFonts w:ascii="Times" w:hAnsi="Times" w:cs="Arial"/>
          <w:color w:val="222222"/>
          <w:sz w:val="20"/>
          <w:szCs w:val="20"/>
        </w:rPr>
      </w:pPr>
    </w:p>
    <w:p w14:paraId="72C5C93C" w14:textId="4CD9D601" w:rsidR="0DE242D6" w:rsidRPr="00D22AA7" w:rsidRDefault="0DE242D6" w:rsidP="0DE242D6">
      <w:pPr>
        <w:pStyle w:val="BodyText"/>
        <w:spacing w:after="0"/>
        <w:jc w:val="both"/>
        <w:rPr>
          <w:rFonts w:ascii="Times" w:hAnsi="Times" w:cs="Arial"/>
          <w:color w:val="222222"/>
          <w:sz w:val="20"/>
          <w:szCs w:val="20"/>
        </w:rPr>
      </w:pPr>
    </w:p>
    <w:p w14:paraId="3080CA58" w14:textId="510E6A20" w:rsidR="0DE242D6" w:rsidRPr="00D22AA7" w:rsidRDefault="0DE242D6" w:rsidP="0DE242D6">
      <w:pPr>
        <w:pStyle w:val="BodyText"/>
        <w:spacing w:after="0"/>
        <w:jc w:val="both"/>
        <w:rPr>
          <w:rFonts w:ascii="Times" w:hAnsi="Times" w:cs="Arial"/>
          <w:color w:val="222222"/>
          <w:sz w:val="20"/>
          <w:szCs w:val="20"/>
        </w:rPr>
      </w:pPr>
    </w:p>
    <w:p w14:paraId="355D123D" w14:textId="062996B8" w:rsidR="0DE242D6" w:rsidRPr="00D22AA7" w:rsidRDefault="0DE242D6" w:rsidP="0DE242D6">
      <w:pPr>
        <w:pStyle w:val="BodyText"/>
        <w:spacing w:after="0"/>
        <w:jc w:val="both"/>
        <w:rPr>
          <w:rFonts w:ascii="Times" w:hAnsi="Times" w:cs="Arial"/>
          <w:color w:val="222222"/>
          <w:sz w:val="20"/>
          <w:szCs w:val="20"/>
        </w:rPr>
      </w:pPr>
    </w:p>
    <w:p w14:paraId="312264E0" w14:textId="77706676" w:rsidR="0DE242D6" w:rsidRPr="00D22AA7" w:rsidRDefault="0DE242D6" w:rsidP="0DE242D6">
      <w:pPr>
        <w:pStyle w:val="BodyText"/>
        <w:spacing w:after="0"/>
        <w:jc w:val="both"/>
        <w:rPr>
          <w:rFonts w:ascii="Times" w:hAnsi="Times" w:cs="Arial"/>
          <w:color w:val="222222"/>
          <w:sz w:val="20"/>
          <w:szCs w:val="20"/>
        </w:rPr>
      </w:pPr>
    </w:p>
    <w:p w14:paraId="6AFD377F" w14:textId="377A407B" w:rsidR="0DE242D6" w:rsidRPr="00D22AA7" w:rsidRDefault="0DE242D6" w:rsidP="0DE242D6">
      <w:pPr>
        <w:pStyle w:val="BodyText"/>
        <w:spacing w:after="0"/>
        <w:jc w:val="both"/>
        <w:rPr>
          <w:rFonts w:ascii="Times" w:hAnsi="Times" w:cs="Arial"/>
          <w:color w:val="222222"/>
          <w:sz w:val="20"/>
          <w:szCs w:val="20"/>
        </w:rPr>
      </w:pPr>
    </w:p>
    <w:p w14:paraId="1AA5BAEB" w14:textId="77B30220" w:rsidR="0DE242D6" w:rsidRPr="00D22AA7" w:rsidRDefault="0DE242D6" w:rsidP="0DE242D6">
      <w:pPr>
        <w:pStyle w:val="BodyText"/>
        <w:spacing w:after="0"/>
        <w:jc w:val="both"/>
        <w:rPr>
          <w:rFonts w:ascii="Times" w:hAnsi="Times" w:cs="Arial"/>
          <w:color w:val="222222"/>
          <w:sz w:val="20"/>
          <w:szCs w:val="20"/>
        </w:rPr>
      </w:pPr>
    </w:p>
    <w:p w14:paraId="647FC439" w14:textId="38D28E72" w:rsidR="0DE242D6" w:rsidRPr="00D22AA7" w:rsidRDefault="0DE242D6" w:rsidP="0DE242D6">
      <w:pPr>
        <w:pStyle w:val="BodyText"/>
        <w:spacing w:after="0"/>
        <w:jc w:val="both"/>
        <w:rPr>
          <w:rFonts w:ascii="Times" w:hAnsi="Times" w:cs="Arial"/>
          <w:color w:val="222222"/>
          <w:sz w:val="20"/>
          <w:szCs w:val="20"/>
        </w:rPr>
      </w:pPr>
    </w:p>
    <w:p w14:paraId="79804EFE" w14:textId="2EA32648" w:rsidR="0DE242D6" w:rsidRPr="00D22AA7" w:rsidRDefault="0DE242D6" w:rsidP="0DE242D6">
      <w:pPr>
        <w:pStyle w:val="BodyText"/>
        <w:spacing w:after="0"/>
        <w:jc w:val="both"/>
        <w:rPr>
          <w:rFonts w:ascii="Times" w:hAnsi="Times" w:cs="Arial"/>
          <w:color w:val="222222"/>
          <w:sz w:val="20"/>
          <w:szCs w:val="20"/>
        </w:rPr>
      </w:pPr>
    </w:p>
    <w:p w14:paraId="77D318F5" w14:textId="0977E9C3" w:rsidR="0DE242D6" w:rsidRPr="00D22AA7" w:rsidRDefault="0DE242D6" w:rsidP="0DE242D6">
      <w:pPr>
        <w:pStyle w:val="BodyText"/>
        <w:spacing w:after="0"/>
        <w:jc w:val="both"/>
        <w:rPr>
          <w:rFonts w:ascii="Times" w:hAnsi="Times" w:cs="Arial"/>
          <w:color w:val="222222"/>
          <w:sz w:val="20"/>
          <w:szCs w:val="20"/>
        </w:rPr>
      </w:pPr>
    </w:p>
    <w:p w14:paraId="7197F0EF" w14:textId="7CB3D6B5" w:rsidR="0DE242D6" w:rsidRPr="00D22AA7" w:rsidRDefault="0DE242D6" w:rsidP="0DE242D6">
      <w:pPr>
        <w:pStyle w:val="BodyText"/>
        <w:spacing w:after="0"/>
        <w:jc w:val="both"/>
        <w:rPr>
          <w:rFonts w:ascii="Times" w:hAnsi="Times" w:cs="Arial"/>
          <w:color w:val="222222"/>
          <w:sz w:val="20"/>
          <w:szCs w:val="20"/>
        </w:rPr>
      </w:pPr>
    </w:p>
    <w:p w14:paraId="5BCB2439" w14:textId="4331F20F" w:rsidR="0DE242D6" w:rsidRPr="00D22AA7" w:rsidRDefault="0DE242D6" w:rsidP="0DE242D6">
      <w:pPr>
        <w:pStyle w:val="BodyText"/>
        <w:spacing w:after="0"/>
        <w:jc w:val="both"/>
        <w:rPr>
          <w:rFonts w:ascii="Times" w:hAnsi="Times" w:cs="Arial"/>
          <w:color w:val="222222"/>
          <w:sz w:val="20"/>
          <w:szCs w:val="20"/>
        </w:rPr>
      </w:pPr>
    </w:p>
    <w:p w14:paraId="1380B1D1" w14:textId="03CAAB0B" w:rsidR="0DE242D6" w:rsidRPr="00D22AA7" w:rsidRDefault="0DE242D6" w:rsidP="0DE242D6">
      <w:pPr>
        <w:pStyle w:val="BodyText"/>
        <w:spacing w:after="0"/>
        <w:jc w:val="both"/>
        <w:rPr>
          <w:rFonts w:ascii="Times" w:hAnsi="Times" w:cs="Arial"/>
          <w:color w:val="222222"/>
          <w:sz w:val="20"/>
          <w:szCs w:val="20"/>
        </w:rPr>
      </w:pPr>
    </w:p>
    <w:p w14:paraId="53BC52C2" w14:textId="49F4B31F" w:rsidR="0DE242D6" w:rsidRPr="00D22AA7" w:rsidRDefault="0DE242D6" w:rsidP="0DE242D6">
      <w:pPr>
        <w:pStyle w:val="BodyText"/>
        <w:spacing w:after="0"/>
        <w:jc w:val="both"/>
        <w:rPr>
          <w:rFonts w:ascii="Times" w:hAnsi="Times" w:cs="Arial"/>
          <w:color w:val="222222"/>
          <w:sz w:val="20"/>
          <w:szCs w:val="20"/>
        </w:rPr>
      </w:pPr>
    </w:p>
    <w:p w14:paraId="0DF1AB71" w14:textId="73F3BF34" w:rsidR="0DE242D6" w:rsidRPr="00D22AA7" w:rsidRDefault="0DE242D6" w:rsidP="0DE242D6">
      <w:pPr>
        <w:pStyle w:val="BodyText"/>
        <w:spacing w:after="0"/>
        <w:jc w:val="both"/>
        <w:rPr>
          <w:rFonts w:ascii="Times" w:hAnsi="Times" w:cs="Arial"/>
          <w:color w:val="222222"/>
          <w:sz w:val="20"/>
          <w:szCs w:val="20"/>
        </w:rPr>
      </w:pPr>
    </w:p>
    <w:p w14:paraId="11188CF6" w14:textId="77777777" w:rsidR="00780971" w:rsidRPr="00D22AA7" w:rsidRDefault="00780971" w:rsidP="00963435">
      <w:pPr>
        <w:shd w:val="clear" w:color="auto" w:fill="FFFFFF"/>
        <w:jc w:val="both"/>
        <w:rPr>
          <w:rFonts w:ascii="Times" w:hAnsi="Times" w:cs="Arial"/>
          <w:color w:val="222222"/>
          <w:sz w:val="20"/>
          <w:szCs w:val="20"/>
        </w:rPr>
      </w:pPr>
    </w:p>
    <w:p w14:paraId="6F7F1339" w14:textId="77777777" w:rsidR="00DD783C" w:rsidRPr="00D22AA7" w:rsidRDefault="00DD783C">
      <w:pPr>
        <w:shd w:val="clear" w:color="auto" w:fill="FFFFFF"/>
        <w:ind w:firstLine="480"/>
        <w:jc w:val="both"/>
        <w:rPr>
          <w:rFonts w:ascii="Times" w:hAnsi="Times" w:cs="Arial"/>
          <w:b/>
          <w:bCs/>
          <w:color w:val="222222"/>
          <w:sz w:val="32"/>
          <w:szCs w:val="32"/>
        </w:rPr>
      </w:pPr>
    </w:p>
    <w:p w14:paraId="0DF5CFC6" w14:textId="157104F9" w:rsidR="003D4574" w:rsidRDefault="00D45672" w:rsidP="00771175">
      <w:pPr>
        <w:shd w:val="clear" w:color="auto" w:fill="FFFFFF"/>
        <w:jc w:val="both"/>
        <w:rPr>
          <w:rFonts w:ascii="Times" w:hAnsi="Times" w:cs="Arial"/>
          <w:b/>
          <w:bCs/>
          <w:color w:val="222222"/>
          <w:sz w:val="40"/>
          <w:szCs w:val="40"/>
        </w:rPr>
      </w:pPr>
      <w:r w:rsidRPr="00D22AA7">
        <w:rPr>
          <w:rFonts w:ascii="Times" w:hAnsi="Times" w:cs="Arial"/>
          <w:b/>
          <w:bCs/>
          <w:color w:val="222222"/>
          <w:sz w:val="40"/>
          <w:szCs w:val="40"/>
        </w:rPr>
        <w:t>Chapter 4</w:t>
      </w:r>
    </w:p>
    <w:p w14:paraId="5824E6F5" w14:textId="77777777" w:rsidR="00771175" w:rsidRPr="00D22AA7" w:rsidRDefault="00771175" w:rsidP="00771175">
      <w:pPr>
        <w:shd w:val="clear" w:color="auto" w:fill="FFFFFF"/>
        <w:jc w:val="both"/>
        <w:rPr>
          <w:rFonts w:ascii="Times" w:hAnsi="Times" w:cs="Arial"/>
          <w:b/>
          <w:bCs/>
          <w:color w:val="222222"/>
          <w:sz w:val="40"/>
          <w:szCs w:val="40"/>
        </w:rPr>
      </w:pPr>
    </w:p>
    <w:p w14:paraId="0E8156F4" w14:textId="2BB67B8E" w:rsidR="00386CA0" w:rsidRPr="00D22AA7" w:rsidRDefault="00D45672" w:rsidP="00771175">
      <w:pPr>
        <w:shd w:val="clear" w:color="auto" w:fill="FFFFFF"/>
        <w:jc w:val="both"/>
        <w:rPr>
          <w:rFonts w:ascii="Times" w:hAnsi="Times" w:cs="Arial"/>
          <w:b/>
          <w:bCs/>
          <w:color w:val="222222"/>
          <w:sz w:val="40"/>
          <w:szCs w:val="40"/>
        </w:rPr>
      </w:pPr>
      <w:r w:rsidRPr="00D22AA7">
        <w:rPr>
          <w:rFonts w:ascii="Times" w:hAnsi="Times" w:cs="Arial"/>
          <w:b/>
          <w:bCs/>
          <w:color w:val="222222"/>
          <w:sz w:val="40"/>
          <w:szCs w:val="40"/>
        </w:rPr>
        <w:t xml:space="preserve">The Use of </w:t>
      </w:r>
      <w:r w:rsidRPr="00D22AA7">
        <w:rPr>
          <w:rFonts w:ascii="Times" w:hAnsi="Times"/>
          <w:b/>
          <w:bCs/>
          <w:sz w:val="40"/>
          <w:szCs w:val="40"/>
        </w:rPr>
        <w:t>Artificial Intelligence applied in Microscopy Imaging of cells</w:t>
      </w:r>
      <w:r w:rsidRPr="00D22AA7">
        <w:rPr>
          <w:rFonts w:ascii="Times" w:hAnsi="Times" w:cs="Arial"/>
          <w:b/>
          <w:bCs/>
          <w:color w:val="222222"/>
          <w:sz w:val="40"/>
          <w:szCs w:val="40"/>
        </w:rPr>
        <w:t xml:space="preserve"> </w:t>
      </w:r>
    </w:p>
    <w:p w14:paraId="45E449A7" w14:textId="0B89792A" w:rsidR="00386CA0" w:rsidRPr="00D22AA7" w:rsidRDefault="00386CA0" w:rsidP="0DE242D6">
      <w:pPr>
        <w:pStyle w:val="MDPI31text"/>
        <w:ind w:left="0" w:firstLine="0"/>
        <w:rPr>
          <w:rFonts w:ascii="Times" w:hAnsi="Times"/>
          <w:color w:val="212121"/>
        </w:rPr>
      </w:pPr>
    </w:p>
    <w:p w14:paraId="0D4B8833" w14:textId="2523A121" w:rsidR="00EF0A65" w:rsidRDefault="00EF0A65" w:rsidP="00F25D76">
      <w:pPr>
        <w:pStyle w:val="MDPI31text"/>
        <w:ind w:left="0" w:firstLine="0"/>
        <w:rPr>
          <w:rFonts w:ascii="Times" w:hAnsi="Times"/>
          <w:b/>
          <w:bCs/>
          <w:color w:val="212121"/>
          <w:sz w:val="24"/>
          <w:szCs w:val="24"/>
        </w:rPr>
      </w:pPr>
      <w:r>
        <w:rPr>
          <w:rFonts w:ascii="Times" w:hAnsi="Times"/>
          <w:b/>
          <w:bCs/>
          <w:color w:val="212121"/>
          <w:sz w:val="24"/>
          <w:szCs w:val="24"/>
        </w:rPr>
        <w:t xml:space="preserve">4.1. </w:t>
      </w:r>
      <w:r w:rsidRPr="00EF0A65">
        <w:rPr>
          <w:rFonts w:ascii="Times" w:hAnsi="Times"/>
          <w:b/>
          <w:bCs/>
          <w:color w:val="212121"/>
          <w:sz w:val="24"/>
          <w:szCs w:val="24"/>
        </w:rPr>
        <w:t xml:space="preserve">Cell </w:t>
      </w:r>
      <w:proofErr w:type="gramStart"/>
      <w:r w:rsidRPr="00EF0A65">
        <w:rPr>
          <w:rFonts w:ascii="Times" w:hAnsi="Times"/>
          <w:b/>
          <w:bCs/>
          <w:color w:val="212121"/>
          <w:sz w:val="24"/>
          <w:szCs w:val="24"/>
        </w:rPr>
        <w:t>culture:A</w:t>
      </w:r>
      <w:proofErr w:type="gramEnd"/>
      <w:r w:rsidRPr="00EF0A65">
        <w:rPr>
          <w:rFonts w:ascii="Times" w:hAnsi="Times"/>
          <w:b/>
          <w:bCs/>
          <w:color w:val="212121"/>
          <w:sz w:val="24"/>
          <w:szCs w:val="24"/>
        </w:rPr>
        <w:t xml:space="preserve"> foundational technique in molecular and cellular biology research</w:t>
      </w:r>
    </w:p>
    <w:p w14:paraId="355EDFBB" w14:textId="77777777" w:rsidR="003D4574" w:rsidRPr="00EF0A65" w:rsidRDefault="003D4574" w:rsidP="00F25D76">
      <w:pPr>
        <w:pStyle w:val="MDPI31text"/>
        <w:ind w:left="0" w:firstLine="0"/>
        <w:rPr>
          <w:rFonts w:ascii="Times" w:hAnsi="Times"/>
          <w:b/>
          <w:bCs/>
          <w:color w:val="212121"/>
          <w:sz w:val="24"/>
          <w:szCs w:val="24"/>
        </w:rPr>
      </w:pPr>
    </w:p>
    <w:p w14:paraId="60345428" w14:textId="2F83FBCD" w:rsidR="00F25D76" w:rsidRPr="00F25D76" w:rsidRDefault="00F25D76" w:rsidP="00F25D76">
      <w:pPr>
        <w:pStyle w:val="MDPI31text"/>
        <w:ind w:left="0" w:firstLine="0"/>
        <w:rPr>
          <w:rFonts w:ascii="Times" w:hAnsi="Times"/>
          <w:color w:val="212121"/>
          <w:sz w:val="24"/>
          <w:szCs w:val="24"/>
        </w:rPr>
      </w:pPr>
      <w:r w:rsidRPr="00F25D76">
        <w:rPr>
          <w:rFonts w:ascii="Times" w:hAnsi="Times"/>
          <w:color w:val="212121"/>
          <w:sz w:val="24"/>
          <w:szCs w:val="24"/>
        </w:rPr>
        <w:t xml:space="preserve">Cell culture serves as </w:t>
      </w:r>
      <w:r w:rsidRPr="00D22AA7">
        <w:rPr>
          <w:rFonts w:ascii="Times" w:hAnsi="Times"/>
          <w:color w:val="212121"/>
          <w:sz w:val="24"/>
          <w:szCs w:val="24"/>
        </w:rPr>
        <w:t>fundamental</w:t>
      </w:r>
      <w:r w:rsidRPr="00F25D76">
        <w:rPr>
          <w:rFonts w:ascii="Times" w:hAnsi="Times"/>
          <w:color w:val="212121"/>
          <w:sz w:val="24"/>
          <w:szCs w:val="24"/>
        </w:rPr>
        <w:t xml:space="preserve"> technique in molecular and cellular biology research, offering a powerful platform for investigating a wide array of cellular processes, including metabolism, physiology, and biochemistry, in both healthy and diseased cell models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{"citationID":"S8sJjiOR","properties":{"formattedCitation":"[127,128]","plainCitation":"[127,128]","noteIndex":0},"citationItems":[{"id":6188,"uris":["http://zotero.org/users/9439317/items/DKAUMKLP"],"itemData":{"id":6188,"type":"article-journal","abstract":"Virus detection in natural and clinical samples is a complicated problem in research and diagnostics. There are different approaches for virus isolation and identification, including PCR, CRISPR/Cas technology, NGS, immunoassays, and cell-based assays. Following the development of genetic engineering methods, approaches that utilize cell cultures have become useful and informative. Molecular biology methods allow increases in the sensitivity and specificity of cell cultures for certain viruses and can be used to generate reporter cell lines. These cell lines express specific reporter proteins (e.g., GFP, luciferase, and CAT) in response to virus infection that can be detected in a laboratory setting. The development of genome editing and synthetic biology methods has given rise to new perspectives regarding the design of virus reporter systems in cell cultures. This review is aimed at describing both virology methods in general and examples of the development of cell-based methods that exist today.","container-title":"International Journal of Molecular Sciences","DOI":"10.3390/ijms21217978","ISSN":"1422-0067","issue":"21","title":"Cell Cultures for Virology: Usability, Advantages, and Prospects","volume":"21","author":[{"family":"Dolskiy","given":"Alexander A."},{"family":"Grishchenko","given":"Irina V."},{"family":"Yudkin","given":"Dmitry V."}],"issued":{"date-parts":[["2020"]]}}},{"id":6187,"uris":["http://zotero.org/users/9439317/items/IMPZSYKP"],"itemData":{"id":6187,"type":"article-journal","abstract":"Abstract The clinical translations of drugs and nanomedicines depend on coherent pharmaceutical research based on biologically accurate screening approaches. Since establishing the 2D in vitro cell culture method, the scientific community has improved cell-based drug screening assays and models. Those advances result in more informative biochemical assays and the development of 3D multicellular models to describe the biological complexity better and enhance the simulation of the in vivo microenvironment. Despite the overall dominance of conventional 2D and 3D cell macroscopic culture methods, they present physicochemical and operational challenges that impair the scale-up of drug screening by not allowing a high parallelization, multidrug combination, and high-throughput screening. Their combination and complementarity with microfluidic platforms enable the development of microfluidics-based cell culture platforms with unequivocal advantages in drug screening and cell therapies. Thus, this review presents an updated and consolidated view of cell culture miniaturization's physical, chemical, and operational considerations in the pharmaceutical research scenario. It clarifies advances in the field using gradient-based microfluidics, droplet-based microfluidics, printed-based microfluidics, digital-based microfluidics, SlipChip, and paper-based microfluidics. Finally, it presents a comparative analysis of the performance of cell-based methods in life research and development to achieve increased precision in the drug screening process.","container-title":"Advanced Healthcare Materials","DOI":"10.1002/adhm.202202936","ISSN":"2192-2640","issue":"18","journalAbbreviation":"Advanced Healthcare Materials","note":"publisher: John Wiley &amp; Sons, Ltd","page":"2202936","title":"Recent Advances on Cell Culture Platforms for In Vitro Drug Screening and Cell Therapies: From Conventional to Microfluidic Strategies","URL":"https://doi.org/10.1002/adhm.202202936","volume":"12","author":[{"family":"Cardoso","given":"Beatriz D."},{"family":"Castanheira","given":"Elisabete M. S."},{"family":"Lanceros-Méndez","given":"Senentxu"},{"family":"Cardoso","given":"Vanessa F."}],"accessed":{"date-parts":[["2024",6,24]]},"issued":{"date-parts":[["2023",7,1]]}}}],"schema":"https://github.com/citation-style-language/schema/raw/master/csl-citation.json"}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Pr>
          <w:rFonts w:ascii="Times" w:hAnsi="Times"/>
          <w:noProof/>
          <w:color w:val="212121"/>
          <w:sz w:val="24"/>
          <w:szCs w:val="24"/>
          <w:shd w:val="clear" w:color="auto" w:fill="FFFFFF"/>
        </w:rPr>
        <w:t>[127,128]</w:t>
      </w:r>
      <w:r w:rsidRPr="00D22AA7">
        <w:rPr>
          <w:rFonts w:ascii="Times" w:hAnsi="Times"/>
          <w:color w:val="212121"/>
          <w:sz w:val="24"/>
          <w:szCs w:val="24"/>
          <w:shd w:val="clear" w:color="auto" w:fill="FFFFFF"/>
        </w:rPr>
        <w:fldChar w:fldCharType="end"/>
      </w:r>
      <w:r w:rsidRPr="00D22AA7">
        <w:rPr>
          <w:rFonts w:ascii="Times" w:hAnsi="Times"/>
          <w:color w:val="212121"/>
          <w:sz w:val="24"/>
          <w:szCs w:val="24"/>
          <w:shd w:val="clear" w:color="auto" w:fill="FFFFFF"/>
        </w:rPr>
        <w:t xml:space="preserve">. </w:t>
      </w:r>
      <w:r w:rsidRPr="00F25D76">
        <w:rPr>
          <w:rFonts w:ascii="Times" w:hAnsi="Times"/>
          <w:color w:val="212121"/>
          <w:sz w:val="24"/>
          <w:szCs w:val="24"/>
        </w:rPr>
        <w:t xml:space="preserve">It is crucial for assessing the cytotoxic effects of various substances, such as cosmetics, novel chemicals, and pharmaceutical compounds, on specific cell types. Furthermore, in the field of virology, mammalian cell cultures are often utilized as hosts for viral replication, facilitating detailed studies on viral growth and development. Cell culture also plays a key role in gene expression analysis by allowing the introduction of specific genes into the nuclei of cultured mammalian cells, thus enabling the study of genetic behavior and interactions within a controlled environment. The use of clonal cell lines in research is particularly advantageous, as their homogeneity and reproducibility contribute to the reliability and consistency of experimental data, making cell culture a valuable tool for addressing a broad spectrum of both fundamental and applied scientific inquiries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{"citationID":"7C0JQZxh","properties":{"formattedCitation":"[127,129,130]","plainCitation":"[127,129,130]","noteIndex":0},"citationItems":[{"id":6188,"uris":["http://zotero.org/users/9439317/items/DKAUMKLP"],"itemData":{"id":6188,"type":"article-journal","abstract":"Virus detection in natural and clinical samples is a complicated problem in research and diagnostics. There are different approaches for virus isolation and identification, including PCR, CRISPR/Cas technology, NGS, immunoassays, and cell-based assays. Following the development of genetic engineering methods, approaches that utilize cell cultures have become useful and informative. Molecular biology methods allow increases in the sensitivity and specificity of cell cultures for certain viruses and can be used to generate reporter cell lines. These cell lines express specific reporter proteins (e.g., GFP, luciferase, and CAT) in response to virus infection that can be detected in a laboratory setting. The development of genome editing and synthetic biology methods has given rise to new perspectives regarding the design of virus reporter systems in cell cultures. This review is aimed at describing both virology methods in general and examples of the development of cell-based methods that exist today.","container-title":"International Journal of Molecular Sciences","DOI":"10.3390/ijms21217978","ISSN":"1422-0067","issue":"21","title":"Cell Cultures for Virology: Usability, Advantages, and Prospects","volume":"21","author":[{"family":"Dolskiy","given":"Alexander A."},{"family":"Grishchenko","given":"Irina V."},{"family":"Yudkin","given":"Dmitry V."}],"issued":{"date-parts":[["2020"]]}}},{"id":11302,"uris":["http://zotero.org/users/9439317/items/GLGPY6LQ"],"itemData":{"id":11302,"type":"article-journal","abstract":"The SRB assay has been used since its development in 1990 (Skehan et al., 1990) to inexpensively conduct various screening assays to investigate cytotoxicity in cell based studies (Vichai and Kirtikara, 2006). This method relies on the property of SRB, which binds stoichiometrically to proteins under mild acidic conditions and then can be extracted using basic conditions; thus, the amount of bound dye can be used as a proxy for cell mass, which can then be extrapolated to measure cell proliferation. The protocol can be divided into four main steps: preparation of treatment, incubation of cells with treatment of choice, cell fixation and SRB staining, and absorbance measurement. This assay is limited to manual or semiautomatic screening, and can be used in an efficient and sensitive manner to test chemotherapeutic drugs or small molecules in adherent cells. It also has applications in evaluating the effects of gene expression modulation (knockdown, gene expression upregulation), as well as to study the effects of miRNA replacement on cell proliferation (Kasinski et al., 2015).","container-title":"Bio-protocol","DOI":"10.21769/BioProtoc.1984","ISSN":"2331-8325","issue":"21","language":"eng","page":"e1984","title":"Sulforhodamine B (SRB) Assay in Cell Culture to Investigate Cell Proliferation","URL":"https://pubmed.ncbi.nlm.nih.gov/28573164","volume":"6","author":[{"family":"Orellana","given":"Esteban A"},{"family":"Kasinski","given":"Andrea L"}],"issued":{"date-parts":[["2016",11,5]]}}},{"id":15837,"uris":["http://zotero.org/users/9439317/items/75BPSRWJ"],"itemData":{"id":15837,"type":"article-journal","abstract":"Summary\nProteinaceous inclusions are associated with neurodegenerative diseases and cell models are often used to determine genetic and chemical modifiers of their formation. This protocol involves the usage of automated microscopy and machine learning-based image analysis to accurately quantify the levels of protein inclusion formation in cultured cells from fluorescence microscopy images. This protocol is highly scalable and can be applied to a few images or large datasets. For complete details on the use and execution of this protocol, please refer to McAlary et al. (2022).","container-title":"STAR Protocols","DOI":"10.1016/j.xpro.2022.101748","ISSN":"2666-1667","issue":"4","journalAbbreviation":"STAR Protocols","page":"101748","title":"Assessment of protein inclusions in cultured cells using automated image analysis","URL":"https://www.sciencedirect.com/science/article/pii/S2666166722006281","volume":"3","author":[{"family":"McAlary","given":"Luke"},{"family":"Shephard","given":"Victoria K."},{"family":"Sher","given":"Mine"},{"family":"Rice","given":"Lauren J."},{"family":"Yerbury","given":"Justin J."},{"family":"Cashman","given":"Neil R."},{"family":"Plotkin","given":"Steven S."}],"issued":{"date-parts":[["2022",12,16]]}}}],"schema":"https://github.com/citation-style-language/schema/raw/master/csl-citation.json"}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Pr>
          <w:rFonts w:ascii="Times" w:hAnsi="Times"/>
          <w:noProof/>
          <w:color w:val="212121"/>
          <w:sz w:val="24"/>
          <w:szCs w:val="24"/>
          <w:shd w:val="clear" w:color="auto" w:fill="FFFFFF"/>
        </w:rPr>
        <w:t>[127,129,130]</w:t>
      </w:r>
      <w:r w:rsidRPr="00D22AA7">
        <w:rPr>
          <w:rFonts w:ascii="Times" w:hAnsi="Times"/>
          <w:color w:val="212121"/>
          <w:sz w:val="24"/>
          <w:szCs w:val="24"/>
          <w:shd w:val="clear" w:color="auto" w:fill="FFFFFF"/>
        </w:rPr>
        <w:fldChar w:fldCharType="end"/>
      </w:r>
      <w:r w:rsidRPr="00D22AA7">
        <w:rPr>
          <w:rFonts w:ascii="Times" w:hAnsi="Times"/>
          <w:color w:val="212121"/>
          <w:sz w:val="24"/>
          <w:szCs w:val="24"/>
          <w:shd w:val="clear" w:color="auto" w:fill="FFFFFF"/>
        </w:rPr>
        <w:t>.</w:t>
      </w:r>
    </w:p>
    <w:p w14:paraId="2A23041F" w14:textId="1D1FA4E0" w:rsidR="00EF0A65" w:rsidRDefault="00F25D76" w:rsidP="00F25D76">
      <w:pPr>
        <w:pStyle w:val="MDPI31text"/>
        <w:ind w:left="0" w:firstLine="0"/>
        <w:rPr>
          <w:rFonts w:ascii="Times" w:hAnsi="Times"/>
          <w:color w:val="212121"/>
          <w:sz w:val="24"/>
          <w:szCs w:val="24"/>
        </w:rPr>
      </w:pPr>
      <w:r w:rsidRPr="00F25D76">
        <w:rPr>
          <w:rFonts w:ascii="Times" w:hAnsi="Times"/>
          <w:color w:val="212121"/>
          <w:sz w:val="24"/>
          <w:szCs w:val="24"/>
        </w:rPr>
        <w:t xml:space="preserve">Within the practice of cell culturing, it is crucial to examine various characteristics of cells through diverse methods, such as traditional plate counting, semi-automated or fully automated cell counters, inverted microscopy for evaluating cell morphology and size, as well as live-cell tracking to observe dynamic cellular processes over extended periods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{"citationID":"FHyT9BZP","properties":{"formattedCitation":"[131\\uc0\\u8211{}133]","plainCitation":"[131–133]","noteIndex":0},"citationItems":[{"id":6195,"uris":["http://zotero.org/users/9439317/items/64CHYS7A"],"itemData":{"id":6195,"type":"article-journal","abstract":"The evaluation of cell wellness is an important task for molecular biology research. This mainly comprises the assessment for morphology and viability of culturing cells. Annexin V-Propidium iodide counterstaining has been currently one of the common and easy methods to discriminate apoptotic and necrotic cell profiles. The method is operated by fluorescence-based detection of counterstain via laser beam-employed instruments including flow cytometer, fluorescence microscope and automated cell counter. The detection is primarily conducted based on the same principle; however the efficiency of instruments may vary. Here we evaluated the efficiency of those instruments for the clear-cut detection of cell death through various mammalian and microalgae cell lines. To the best of our knowledge, this is the first study revealing comparative analyses of apoptotic and necrotic cells in mammalian and microalgae cells using Annexin V-PI counterstain detected by flow cytometer, fluorescence microscope and automated cell counter. Fluorescence microscope and cell counter instruments were also tested and compared for the traditional trypan blue-based cell viability detection performance. For these, cell death was induced by UV-irradiation and/or bee venom for mammalian (pancreatic cancer, metastatic breast cancer and mouse fibroblasts) and microalgae cells (Chlorella vulgaris), respectfully. Findings postulated that automated cell counter and fluorescence microscopy revealed similar patterns for the detection by both counterstain and trypan blue in mammalian cells. Interestingly, flow cytometry did provide an accurate and significant detection for only one mammalian cell line when UV-treatment was followed by routine Annexin V-Propidium iodide counterstaining. Unlike, only flow cytometry revealed a significant change in the detection of death of microalgae cells by Annexin V-Propidium iodide method, but both Annexin and conventional trypan blue methods were not applicable for the automated cell counter and microscopic detections for microalgae cells. The related outputs propose that the obtaining reliable quantitation strongly depends on cell type and instruments used. These suggest the necessity of optimization and validation endeavors before any cell death detection initiative. The analytical outcomes present insights into detailed assessment of cell death detection of eukaryotic cells and provide a direction to researchers to consider.","container-title":"Journal of Fluorescence","DOI":"10.1007/s10895-018-2306-4","ISSN":"1573-4994","issue":"6","journalAbbreviation":"Journal of Fluorescence","page":"1393-1404","title":"The Detailed Comparison of Cell Death Detected by Annexin V-PI Counterstain Using Fluorescence Microscope, Flow Cytometry and Automated Cell Counter in Mammalian and Microalgae Cells","URL":"https://doi.org/10.1007/s10895-018-2306-4","volume":"28","author":[{"family":"Koç","given":"Emine"},{"family":"Çelik-Uzuner","given":"Selcen"},{"family":"Uzuner","given":"Uğur"},{"family":"Çakmak","given":"Ramazan"}],"issued":{"date-parts":[["2018",11,1]]}}},{"id":6194,"uris":["http://zotero.org/users/9439317/items/A89RET83"],"itemData":{"id":6194,"type":"article-journal","container-title":"Biotechnology Reports","DOI":"10.1016/j.btre.2015.04.004","ISSN":"2215017X","journalAbbreviation":"Biotechnology Reports","language":"en","page":"9-16","source":"DOI.org (Crossref)","title":"Validation of three viable-cell counting methods: Manual, semi-automated, and automated","title-short":"Validation of three viable-cell counting methods","URL":"https://linkinghub.elsevier.com/retrieve/pii/S2215017X15000235","volume":"7","author":[{"family":"Cadena-Herrera","given":"Daniela"},{"family":"Esparza-De Lara","given":"Joshua E."},{"family":"Ramírez-Ibañez","given":"Nancy D."},{"family":"López-Morales","given":"Carlos A."},{"family":"Pérez","given":"Néstor O."},{"family":"Flores-Ortiz","given":"Luis F."},{"family":"Medina-Rivero","given":"Emilio"}],"accessed":{"date-parts":[["2024",6,24]]},"issued":{"date-parts":[["2015",9]]}}},{"id":15912,"uris":["http://zotero.org/users/9439317/items/XQGY748P"],"itemData":{"id":15912,"type":"article-journal","note":"publisher: UNSW Sydney","title":"Analysis of Cellular and Subcellular Morphology using Machine Learning in Microscopy Images","author":[{"family":"Rana","given":"Priyanka"}],"issued":{"date-parts":[["2023"]]}}}],"schema":"https://github.com/citation-style-language/schema/raw/master/csl-citation.json"}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sidRPr="0056095D">
        <w:rPr>
          <w:rFonts w:ascii="Times" w:hAnsi="Times"/>
          <w:sz w:val="24"/>
          <w:lang w:val="en-GB"/>
        </w:rPr>
        <w:t>[131–133]</w:t>
      </w:r>
      <w:r w:rsidRPr="00D22AA7">
        <w:rPr>
          <w:rFonts w:ascii="Times" w:hAnsi="Times"/>
          <w:color w:val="212121"/>
          <w:sz w:val="24"/>
          <w:szCs w:val="24"/>
          <w:shd w:val="clear" w:color="auto" w:fill="FFFFFF"/>
        </w:rPr>
        <w:fldChar w:fldCharType="end"/>
      </w:r>
      <w:r w:rsidRPr="00D22AA7">
        <w:rPr>
          <w:rFonts w:ascii="Times" w:hAnsi="Times"/>
          <w:color w:val="212121"/>
          <w:sz w:val="24"/>
          <w:szCs w:val="24"/>
          <w:shd w:val="clear" w:color="auto" w:fill="FFFFFF"/>
        </w:rPr>
        <w:t>.</w:t>
      </w:r>
      <w:r w:rsidRPr="00F25D76">
        <w:rPr>
          <w:rFonts w:ascii="Times" w:hAnsi="Times"/>
          <w:color w:val="212121"/>
          <w:sz w:val="24"/>
          <w:szCs w:val="24"/>
        </w:rPr>
        <w:t xml:space="preserve"> </w:t>
      </w:r>
    </w:p>
    <w:p w14:paraId="27811985" w14:textId="77777777" w:rsidR="003D4574" w:rsidRDefault="003D4574" w:rsidP="00F25D76">
      <w:pPr>
        <w:pStyle w:val="MDPI31text"/>
        <w:ind w:left="0" w:firstLine="0"/>
        <w:rPr>
          <w:rFonts w:ascii="Times" w:hAnsi="Times"/>
          <w:color w:val="212121"/>
          <w:sz w:val="24"/>
          <w:szCs w:val="24"/>
        </w:rPr>
      </w:pPr>
    </w:p>
    <w:p w14:paraId="71D81F39" w14:textId="6DF58590" w:rsidR="00EF0A65" w:rsidRDefault="00AA0183" w:rsidP="00F25D76">
      <w:pPr>
        <w:pStyle w:val="MDPI31text"/>
        <w:ind w:left="0" w:firstLine="0"/>
        <w:rPr>
          <w:rFonts w:ascii="Times" w:hAnsi="Times"/>
          <w:b/>
          <w:bCs/>
          <w:color w:val="212121"/>
          <w:sz w:val="24"/>
          <w:szCs w:val="24"/>
        </w:rPr>
      </w:pPr>
      <w:r>
        <w:rPr>
          <w:rFonts w:ascii="Times" w:hAnsi="Times"/>
          <w:b/>
          <w:bCs/>
          <w:color w:val="212121"/>
          <w:sz w:val="24"/>
          <w:szCs w:val="24"/>
        </w:rPr>
        <w:t xml:space="preserve">4.2. </w:t>
      </w:r>
      <w:r w:rsidR="00EF0A65" w:rsidRPr="00EF0A65">
        <w:rPr>
          <w:rFonts w:ascii="Times" w:hAnsi="Times"/>
          <w:b/>
          <w:bCs/>
          <w:color w:val="212121"/>
          <w:sz w:val="24"/>
          <w:szCs w:val="24"/>
        </w:rPr>
        <w:t xml:space="preserve">Machine Learning and Artificial Intelligence revolution in </w:t>
      </w:r>
      <w:proofErr w:type="gramStart"/>
      <w:r w:rsidR="00EF0A65" w:rsidRPr="00EF0A65">
        <w:rPr>
          <w:rFonts w:ascii="Times" w:hAnsi="Times"/>
          <w:b/>
          <w:bCs/>
          <w:color w:val="212121"/>
          <w:sz w:val="24"/>
          <w:szCs w:val="24"/>
        </w:rPr>
        <w:t>Microscopic</w:t>
      </w:r>
      <w:proofErr w:type="gramEnd"/>
      <w:r w:rsidR="00EF0A65" w:rsidRPr="00EF0A65">
        <w:rPr>
          <w:rFonts w:ascii="Times" w:hAnsi="Times"/>
          <w:b/>
          <w:bCs/>
          <w:color w:val="212121"/>
          <w:sz w:val="24"/>
          <w:szCs w:val="24"/>
        </w:rPr>
        <w:t xml:space="preserve"> image of cells and tissues</w:t>
      </w:r>
    </w:p>
    <w:p w14:paraId="228298FC" w14:textId="77777777" w:rsidR="003D4574" w:rsidRPr="00EF0A65" w:rsidRDefault="003D4574" w:rsidP="00F25D76">
      <w:pPr>
        <w:pStyle w:val="MDPI31text"/>
        <w:ind w:left="0" w:firstLine="0"/>
        <w:rPr>
          <w:rFonts w:ascii="Times" w:hAnsi="Times"/>
          <w:b/>
          <w:bCs/>
          <w:color w:val="212121"/>
          <w:sz w:val="24"/>
          <w:szCs w:val="24"/>
        </w:rPr>
      </w:pPr>
    </w:p>
    <w:p w14:paraId="528D5A7F" w14:textId="228AB368" w:rsidR="00F25D76" w:rsidRPr="00F25D76" w:rsidRDefault="00F25D76" w:rsidP="00F25D76">
      <w:pPr>
        <w:pStyle w:val="MDPI31text"/>
        <w:ind w:left="0" w:firstLine="0"/>
        <w:rPr>
          <w:rFonts w:ascii="Times" w:hAnsi="Times"/>
          <w:color w:val="212121"/>
          <w:sz w:val="24"/>
          <w:szCs w:val="24"/>
        </w:rPr>
      </w:pPr>
      <w:r w:rsidRPr="00F25D76">
        <w:rPr>
          <w:rFonts w:ascii="Times" w:hAnsi="Times"/>
          <w:color w:val="212121"/>
          <w:sz w:val="24"/>
          <w:szCs w:val="24"/>
        </w:rPr>
        <w:t xml:space="preserve">Despite these advancements, cell identification and classification, particularly in the realms of histopathology and cell culture workflows, remain complex challenges. This is largely due to the continued reliance on manual microscopy techniques, which can be labor-intensive, time-consuming, and subject to inconsistencies, resulting in limited repeatability and potential inaccuracies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{"citationID":"kaeSgp7N","properties":{"formattedCitation":"[134,135]","plainCitation":"[134,135]","noteIndex":0},"citationItems":[{"id":5697,"uris":["http://zotero.org/users/9439317/items/3LUIY3P5"],"itemData":{"id":5697,"type":"article-journal","container-title":"Nature Medicine","DOI":"10.1038/s41591-018-0177-5","ISSN":"1078-8956, 1546-170X","issue":"10","journalAbbreviation":"Nat Med","language":"en","page":"1559-1567","source":"DOI.org (Crossref)","title":"Classification and mutation prediction from non–small cell lung cancer histopathology images using deep learning","URL":"https://www.nature.com/articles/s41591-018-0177-5","volume":"24","author":[{"family":"Coudray","given":"Nicolas"},{"family":"Ocampo","given":"Paolo Santiago"},{"family":"Sakellaropoulos","given":"Theodore"},{"family":"Narula","given":"Navneet"},{"family":"Snuderl","given":"Matija"},{"family":"Fenyö","given":"David"},{"family":"Moreira","given":"Andre L."},{"family":"Razavian","given":"Narges"},{"family":"Tsirigos","given":"Aristotelis"}],"accessed":{"date-parts":[["2024",3,13]]},"issued":{"date-parts":[["2018",10]]}}},{"id":6163,"uris":["http://zotero.org/users/9439317/items/E5SURQDT"],"itemData":{"id":6163,"type":"article-journal","language":"en","source":"Zotero","title":"Deep learning-aided analysis of 3D cell culture microscopic images to enhance the precision of the drug screening process: A use case for cervical cancer","author":[{"family":"Maylaa","given":"Tarek"}]}}],"schema":"https://github.com/citation-style-language/schema/raw/master/csl-citation.json"}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Pr>
          <w:rFonts w:ascii="Times" w:hAnsi="Times"/>
          <w:noProof/>
          <w:color w:val="212121"/>
          <w:sz w:val="24"/>
          <w:szCs w:val="24"/>
          <w:shd w:val="clear" w:color="auto" w:fill="FFFFFF"/>
        </w:rPr>
        <w:t>[134,135]</w:t>
      </w:r>
      <w:r w:rsidRPr="00D22AA7">
        <w:rPr>
          <w:rFonts w:ascii="Times" w:hAnsi="Times"/>
          <w:color w:val="212121"/>
          <w:sz w:val="24"/>
          <w:szCs w:val="24"/>
          <w:shd w:val="clear" w:color="auto" w:fill="FFFFFF"/>
        </w:rPr>
        <w:fldChar w:fldCharType="end"/>
      </w:r>
      <w:r w:rsidRPr="00D22AA7">
        <w:rPr>
          <w:rFonts w:ascii="Times" w:hAnsi="Times"/>
          <w:color w:val="212121"/>
          <w:sz w:val="24"/>
          <w:szCs w:val="24"/>
          <w:shd w:val="clear" w:color="auto" w:fill="FFFFFF"/>
        </w:rPr>
        <w:t>.</w:t>
      </w:r>
    </w:p>
    <w:p w14:paraId="13D59D6B" w14:textId="6E626F2C" w:rsidR="00F25D76" w:rsidRDefault="00F25D76" w:rsidP="00F25D76">
      <w:pPr>
        <w:pStyle w:val="MDPI31text"/>
        <w:ind w:left="0" w:firstLine="0"/>
        <w:rPr>
          <w:rFonts w:ascii="Times" w:hAnsi="Times"/>
          <w:color w:val="212121"/>
          <w:sz w:val="24"/>
          <w:szCs w:val="24"/>
        </w:rPr>
      </w:pPr>
      <w:r w:rsidRPr="00F25D76">
        <w:rPr>
          <w:rFonts w:ascii="Times" w:hAnsi="Times"/>
          <w:color w:val="212121"/>
          <w:sz w:val="24"/>
          <w:szCs w:val="24"/>
        </w:rPr>
        <w:t xml:space="preserve">In recent years, the incorporation of machine learning (ML), a subfield of artificial intelligence (AI), into microscopy imaging has revolutionized the way these challenges are approached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{"citationID":"Jp5XdLYC","properties":{"formattedCitation":"[136]","plainCitation":"[136]","noteIndex":0},"citationItems":[{"id":5830,"uris":["http://zotero.org/users/9439317/items/FEWYNFR7"],"itemData":{"id":5830,"type":"chapter","container-title":"Artificial Intelligence and Deep Learning in Pathology","page":"119-148","publisher":"Elsevier","title":"Applications of artificial intelligence for image enhancement in pathology","author":[{"family":"Abraham","given":"Tanishq"},{"family":"Todd","given":"Austin"},{"family":"Orringer","given":"Daniel A"},{"family":"Levenson","given":"Richard"}],"issued":{"date-parts":[["2021"]]}}}],"schema":"https://github.com/citation-style-language/schema/raw/master/csl-citation.json"}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Pr>
          <w:rFonts w:ascii="Times" w:hAnsi="Times"/>
          <w:noProof/>
          <w:color w:val="212121"/>
          <w:sz w:val="24"/>
          <w:szCs w:val="24"/>
          <w:shd w:val="clear" w:color="auto" w:fill="FFFFFF"/>
        </w:rPr>
        <w:t>[136]</w:t>
      </w:r>
      <w:r w:rsidRPr="00D22AA7">
        <w:rPr>
          <w:rFonts w:ascii="Times" w:hAnsi="Times"/>
          <w:color w:val="212121"/>
          <w:sz w:val="24"/>
          <w:szCs w:val="24"/>
          <w:shd w:val="clear" w:color="auto" w:fill="FFFFFF"/>
        </w:rPr>
        <w:fldChar w:fldCharType="end"/>
      </w:r>
      <w:r w:rsidRPr="00D22AA7">
        <w:rPr>
          <w:rFonts w:ascii="Times" w:hAnsi="Times"/>
          <w:color w:val="212121"/>
          <w:sz w:val="24"/>
          <w:szCs w:val="24"/>
          <w:shd w:val="clear" w:color="auto" w:fill="FFFFFF"/>
        </w:rPr>
        <w:t xml:space="preserve">. </w:t>
      </w:r>
      <w:r w:rsidRPr="00F25D76">
        <w:rPr>
          <w:rFonts w:ascii="Times" w:hAnsi="Times"/>
          <w:color w:val="212121"/>
          <w:sz w:val="24"/>
          <w:szCs w:val="24"/>
        </w:rPr>
        <w:t xml:space="preserve">Machine learning algorithms possess the ability to learn from large datasets, recognizing patterns and features without explicit programming, which significantly enhances the speed, precision, and reproducibility of image analysis processes. ML has proven especially beneficial for a wide range of tasks, such as automated cell counting, phenotype analysis, noise reduction in fluorescence microscopy, and addressing variations introduced by staining techniques, including immunohistochemistry (IHC), hematoxylin and eosin (H&amp;E), and fluorescence staining. For instance, machine learning excels in identifying key cellular features, accurately delineating irregular cell boundaries, and classifying different cell types, such as stromal, epithelial, or immune cells, based on intricate details of nuclear morphology and cytoplasmic characteristics. This </w:t>
      </w:r>
      <w:r w:rsidRPr="00F25D76">
        <w:rPr>
          <w:rFonts w:ascii="Times" w:hAnsi="Times"/>
          <w:color w:val="212121"/>
          <w:sz w:val="24"/>
          <w:szCs w:val="24"/>
        </w:rPr>
        <w:lastRenderedPageBreak/>
        <w:t>integration of ML in microscopy enhances the overall efficiency and effectiveness of cellular analysis, making it an essential advancement in the field</w:t>
      </w:r>
      <w:r w:rsidRPr="00D22AA7">
        <w:rPr>
          <w:rFonts w:ascii="Times" w:hAnsi="Times"/>
          <w:color w:val="212121"/>
          <w:sz w:val="24"/>
          <w:szCs w:val="24"/>
        </w:rPr>
        <w:t xml:space="preserve"> </w:t>
      </w:r>
      <w:r w:rsidRPr="00D22AA7">
        <w:rPr>
          <w:rFonts w:ascii="Times" w:hAnsi="Times"/>
          <w:color w:val="212121"/>
          <w:sz w:val="24"/>
          <w:szCs w:val="24"/>
          <w:shd w:val="clear" w:color="auto" w:fill="FFFFFF"/>
        </w:rPr>
        <w:fldChar w:fldCharType="begin"/>
      </w:r>
      <w:r w:rsidR="0056095D">
        <w:rPr>
          <w:rFonts w:ascii="Times" w:hAnsi="Times"/>
          <w:color w:val="212121"/>
          <w:sz w:val="24"/>
          <w:szCs w:val="24"/>
          <w:shd w:val="clear" w:color="auto" w:fill="FFFFFF"/>
        </w:rPr>
        <w:instrText xml:space="preserve"> ADDIN ZOTERO_ITEM CSL_CITATION {"citationID":"vgSnOJZg","properties":{"formattedCitation":"[137\\uc0\\u8211{}139]","plainCitation":"[137–139]","noteIndex":0},"citationItems":[{"id":5826,"uris":["http://zotero.org/users/9439317/items/3ZDBTSTP"],"itemData":{"id":5826,"type":"article-journal","container-title":"Journal of the European Academy of Dermatology and Venereology","ISSN":"0926-9959","issue":"3","journalAbbreviation":"Journal of the European Academy of Dermatology and Venereology","note":"publisher: Wiley Online Library","page":"605-614","title":"An open source pipeline for quantitative immunohistochemistry image analysis of inflammatory skin disease using artificial intelligence","volume":"37","author":[{"family":"Ding","given":"Yuchun"},{"family":"Dhawan","given":"Gaurav"},{"family":"Jones","given":"Claire"},{"family":"Ness","given":"Thomas"},{"family":"Nichols","given":"Esme"},{"family":"Krasnogor","given":"Natalio"},{"family":"Reynolds","given":"Nick J"}],"issued":{"date-parts":[["2023"]]}}},{"id":15855,"uris":["http://zotero.org/users/9439317/items/84P45LWH"],"itemData":{"id":15855,"type":"article-journal","abstract":"Abstract\n            High-content screening (HCS) uses microscopy images to generate phenotypic profiles of cell morphological data in high-dimensional feature space. While HCS provides detailed cytological information at single-cell resolution, these complex datasets are usually aggregated into summary statistics that do not leverage patterns of biological variability within cell populations. Here we present a broad-spectrum HCS analysis system that measures image-based cell features from 10 cellular compartments across multiple assay panels. We introduce quality control measures and statistical strategies to streamline and harmonize the data analysis workflow, including positional and plate effect detection, biological replicates analysis and feature reduction. We also demonstrate that the Wasserstein distance metric is superior over other measures to detect differences between cell feature distributions. With this workflow, we define per-dose phenotypic fingerprints for 65 mechanistically diverse compounds, provide phenotypic path visualizations for each compound and classify compounds into different activity groups.","container-title":"Communications Biology","DOI":"10.1038/s42003-022-04343-3","ISSN":"2399-3642","issue":"1","journalAbbreviation":"Commun Biol","language":"en","page":"1409","source":"DOI.org (Crossref)","title":"A statistical framework for high-content phenotypic profiling using cellular feature distributions","URL":"https://www.nature.com/articles/s42003-022-04343-3","volume":"5","author":[{"family":"Pearson","given":"Yanthe E."},{"family":"Kremb","given":"Stephan"},{"family":"Butterfoss","given":"Glenn L."},{"family":"Xie","given":"Xin"},{"family":"Fahs","given":"Hala"},{"family":"Gunsalus","given":"Kristin C."}],"accessed":{"date-parts":[["2024",11,26]]},"issued":{"date-parts":[["2022",12,22]]}}},{"id":5882,"uris":["http://zotero.org/users/9439317/items/MIK6VDST"],"itemData":{"id":5882,"type":"article-journal","abstract":"BACKGROUND: Pancreatic ductal adenocarcinoma (PDAC) is a formidable challenge for patients and clinicians.\nOBJECTIVE: To analyze the distribution of 31 different markers in tumor and stromal portions of the tumor microenvironment (TME) and identify immune cell populations to better understand how neoplastic, non-malignant structural, and immune cells, diversify the TME and inﬂuence PDAC progression.\nMETHODS: Whole slide imaging (WSI) and cyclic multiplexed-immunoﬂuorescence (MxIF) was used to collect 31 different markers over the course of nine distinctive imaging series of human PDAC samples. Image registration and machine learning algorithms were developed to largely automate an imaging analysis pipeline identifying distinct cell types in the TME.\nRESULTS: A random forest algorithm accurately predicted tumor and stromal-rich areas with 87% accuracy using 31 markers and 77% accuracy using only ﬁve markers. Top tumor-predictive markers guided downstream analyses to identify immune populations effectively invading into the tumor, including dendritic cells, CD4+ T cells, and multiple immunoregulatory subtypes.\nCONCLUSIONS: Immunoproﬁling of PDAC to identify differential distribution of immune cells in the TME is critical for understanding disease progression, response and/or resistance to treatment, and the development of new treatment strategies.","language":"en","source":"Zotero","title":"Machine learning analyses of highly-multiplexed immunoﬂuorescence identiﬁes distinct tumor and stromal cell populations in primary pancreatic tumors","author":[{"family":"Vance","given":"Krysten"},{"family":"Alitinok","given":"Alphan"},{"family":"Winfree","given":"Seth"},{"family":"Jensen-Smith","given":"Heather"},{"family":"Swanson","given":"Benjamin J"},{"family":"Grandgenett","given":"Paul M"},{"family":"Klute","given":"Kelsey A"},{"family":"Crichton","given":"Daniel J"},{"family":"Hollingsworth","given":"Michael A"}]}}],"schema":"https://github.com/citation-style-language/schema/raw/master/csl-citation.json"} </w:instrText>
      </w:r>
      <w:r w:rsidRPr="00D22AA7">
        <w:rPr>
          <w:rFonts w:ascii="Times" w:hAnsi="Times"/>
          <w:color w:val="212121"/>
          <w:sz w:val="24"/>
          <w:szCs w:val="24"/>
          <w:shd w:val="clear" w:color="auto" w:fill="FFFFFF"/>
        </w:rPr>
        <w:fldChar w:fldCharType="separate"/>
      </w:r>
      <w:r w:rsidR="0056095D" w:rsidRPr="0056095D">
        <w:rPr>
          <w:rFonts w:ascii="Times" w:hAnsi="Times"/>
          <w:sz w:val="24"/>
          <w:lang w:val="en-GB"/>
        </w:rPr>
        <w:t>[137–139]</w:t>
      </w:r>
      <w:r w:rsidRPr="00D22AA7">
        <w:rPr>
          <w:rFonts w:ascii="Times" w:hAnsi="Times"/>
          <w:color w:val="212121"/>
          <w:sz w:val="24"/>
          <w:szCs w:val="24"/>
          <w:shd w:val="clear" w:color="auto" w:fill="FFFFFF"/>
        </w:rPr>
        <w:fldChar w:fldCharType="end"/>
      </w:r>
      <w:r w:rsidR="00426A43">
        <w:rPr>
          <w:rFonts w:ascii="Times" w:hAnsi="Times"/>
          <w:color w:val="212121"/>
          <w:sz w:val="24"/>
          <w:szCs w:val="24"/>
          <w:shd w:val="clear" w:color="auto" w:fill="FFFFFF"/>
        </w:rPr>
        <w:t xml:space="preserve"> (figure 12)</w:t>
      </w:r>
      <w:r w:rsidRPr="00F25D76">
        <w:rPr>
          <w:rFonts w:ascii="Times" w:hAnsi="Times"/>
          <w:color w:val="212121"/>
          <w:sz w:val="24"/>
          <w:szCs w:val="24"/>
        </w:rPr>
        <w:t>.</w:t>
      </w:r>
    </w:p>
    <w:p w14:paraId="155D0558" w14:textId="2F3A792F" w:rsidR="007D4C4E" w:rsidRDefault="00A0238A" w:rsidP="00F25D76">
      <w:pPr>
        <w:pStyle w:val="MDPI31text"/>
        <w:ind w:left="0" w:firstLine="0"/>
      </w:pPr>
      <w:r>
        <w:t xml:space="preserve">   </w:t>
      </w:r>
      <w:r w:rsidR="007D4C4E">
        <w:fldChar w:fldCharType="begin"/>
      </w:r>
      <w:r w:rsidR="007D4C4E">
        <w:instrText xml:space="preserve"> INCLUDEPICTURE "https://www.mdpi.com/jimaging/jimaging-11-00059/article_deploy/html/images/jimaging-11-00059-g001.png" \* MERGEFORMATINET </w:instrText>
      </w:r>
      <w:r w:rsidR="007D4C4E">
        <w:fldChar w:fldCharType="separate"/>
      </w:r>
      <w:r w:rsidR="007D4C4E">
        <w:rPr>
          <w:noProof/>
        </w:rPr>
        <w:drawing>
          <wp:inline distT="0" distB="0" distL="0" distR="0" wp14:anchorId="6D20FC6F" wp14:editId="0C7B40F9">
            <wp:extent cx="5943600" cy="3249930"/>
            <wp:effectExtent l="0" t="0" r="0" b="1270"/>
            <wp:docPr id="467885073" name="Picture 15" descr="Jimaging 11 00059 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Jimaging 11 00059 g00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3249930"/>
                    </a:xfrm>
                    <a:prstGeom prst="rect">
                      <a:avLst/>
                    </a:prstGeom>
                    <a:noFill/>
                    <a:ln>
                      <a:noFill/>
                    </a:ln>
                  </pic:spPr>
                </pic:pic>
              </a:graphicData>
            </a:graphic>
          </wp:inline>
        </w:drawing>
      </w:r>
      <w:r w:rsidR="007D4C4E">
        <w:fldChar w:fldCharType="end"/>
      </w:r>
    </w:p>
    <w:p w14:paraId="41B3954E" w14:textId="5874540E" w:rsidR="007D4C4E" w:rsidRPr="00F25D76" w:rsidRDefault="007D4C4E" w:rsidP="00F25D76">
      <w:pPr>
        <w:pStyle w:val="MDPI31text"/>
        <w:ind w:left="0" w:firstLine="0"/>
        <w:rPr>
          <w:rFonts w:ascii="Times" w:hAnsi="Times"/>
          <w:color w:val="212121"/>
          <w:szCs w:val="20"/>
        </w:rPr>
      </w:pPr>
      <w:r w:rsidRPr="009E1465">
        <w:rPr>
          <w:rFonts w:ascii="Times" w:hAnsi="Times"/>
          <w:b/>
          <w:bCs/>
          <w:szCs w:val="20"/>
        </w:rPr>
        <w:t>Figure 12.</w:t>
      </w:r>
      <w:r w:rsidRPr="009E1465">
        <w:rPr>
          <w:rFonts w:ascii="Times" w:hAnsi="Times"/>
          <w:szCs w:val="20"/>
        </w:rPr>
        <w:t xml:space="preserve"> Conventional Machine Learning and Deep Learning Methods</w:t>
      </w:r>
      <w:r w:rsidR="00C763D9" w:rsidRPr="009E1465">
        <w:rPr>
          <w:rFonts w:ascii="Times" w:hAnsi="Times"/>
          <w:szCs w:val="20"/>
        </w:rPr>
        <w:t xml:space="preserve">. Adapted with permission </w:t>
      </w:r>
      <w:r w:rsidR="00C763D9" w:rsidRPr="009E1465">
        <w:rPr>
          <w:rFonts w:ascii="Times" w:hAnsi="Times"/>
          <w:szCs w:val="20"/>
        </w:rPr>
        <w:fldChar w:fldCharType="begin"/>
      </w:r>
      <w:r w:rsidR="0056095D">
        <w:rPr>
          <w:rFonts w:ascii="Times" w:hAnsi="Times"/>
          <w:szCs w:val="20"/>
        </w:rPr>
        <w:instrText xml:space="preserve"> ADDIN ZOTERO_ITEM CSL_CITATION {"citationID":"Fr3JaJat","properties":{"formattedCitation":"[140]","plainCitation":"[140]","noteIndex":0},"citationItems":[{"id":11141,"uris":["http://zotero.org/users/9439317/items/F7ZIZ68S"],"itemData":{"id":11141,"type":"article-journal","abstract":"Background and Objective: Deep learning techniques are powerful tools for image analysis. However, the lack of programming experience makes it difficult for novice users to apply this technology. This project aims to lower the barrier for clinical users to implement deep learning methods in microscopic image classification. Methods: In this study, an out-of-the-box software, AIMIC (artificial intelligence-based microscopy image classifier), was developed for users to apply deep learning technology in a code-free manner. The platform was equipped with state-of-the-art deep learning techniques and data preprocessing approaches. Furthermore, we evaluated the built-in networks on four benchmark microscopy image datasets to assist entry-level practitioners in selecting a suitable algorithm. Results: The entire deep learning pipeline, from training a new network to inferring unseen samples using the trained model, could be implemented on the proposed platform without the need for programming. In the evaluation experiments, the ResNeXt-50-32×4d outperformed other competitor algorithms in terms of average accuracy (96.83%) and average F1-score (96.82%). In addition, the MobileNet-V2 achieved a good balance between the performance (accuracy of 95.72%) and computational cost (inference time of 0.109s for identifying one sample). Conclusions: The proposed AI platform allows people without programming experience to use artificial intelligence methods in microscopy image analysis. Besides, the ResNeXt-50-32×4d is a preferable solution for microscopic image classification, and MobileNet-V2 is most likely to be an alternative selection for the scenario when computing resources are limited.","container-title":"Computer Methods and Programs in Biomedicine","DOI":"10.1016/j.cmpb.2022.107162","ISSN":"0169-2607","journalAbbreviation":"Computer Methods and Programs in Biomedicine","page":"107162","title":"AIMIC: Deep Learning for Microscopic Image Classification","URL":"https://www.sciencedirect.com/science/article/pii/S0169260722005430","volume":"226","author":[{"family":"Liu","given":"Rui"},{"family":"Dai","given":"Wei"},{"family":"Wu","given":"Tianyi"},{"family":"Wang","given":"Min"},{"family":"Wan","given":"Song"},{"family":"Liu","given":"Jun"}],"issued":{"date-parts":[["2022",11,1]]}}}],"schema":"https://github.com/citation-style-language/schema/raw/master/csl-citation.json"} </w:instrText>
      </w:r>
      <w:r w:rsidR="00C763D9" w:rsidRPr="009E1465">
        <w:rPr>
          <w:rFonts w:ascii="Times" w:hAnsi="Times"/>
          <w:szCs w:val="20"/>
        </w:rPr>
        <w:fldChar w:fldCharType="separate"/>
      </w:r>
      <w:r w:rsidR="0056095D">
        <w:rPr>
          <w:rFonts w:ascii="Times" w:hAnsi="Times"/>
          <w:noProof/>
          <w:szCs w:val="20"/>
        </w:rPr>
        <w:t>[140]</w:t>
      </w:r>
      <w:r w:rsidR="00C763D9" w:rsidRPr="009E1465">
        <w:rPr>
          <w:rFonts w:ascii="Times" w:hAnsi="Times"/>
          <w:szCs w:val="20"/>
        </w:rPr>
        <w:fldChar w:fldCharType="end"/>
      </w:r>
    </w:p>
    <w:p w14:paraId="605765EA" w14:textId="77777777" w:rsidR="00F25D76" w:rsidRPr="00D22AA7" w:rsidRDefault="00F25D76" w:rsidP="0DE242D6">
      <w:pPr>
        <w:pStyle w:val="MDPI31text"/>
        <w:ind w:left="0" w:firstLine="0"/>
        <w:rPr>
          <w:rFonts w:ascii="Times" w:hAnsi="Times"/>
          <w:color w:val="212121"/>
        </w:rPr>
      </w:pPr>
    </w:p>
    <w:p w14:paraId="2E0E0EE8" w14:textId="70BA3527" w:rsidR="0050642B" w:rsidRPr="00D22AA7" w:rsidRDefault="0050642B" w:rsidP="2C6AA39A">
      <w:pPr>
        <w:shd w:val="clear" w:color="auto" w:fill="FFFFFF" w:themeFill="background1"/>
        <w:ind w:firstLine="480"/>
        <w:jc w:val="both"/>
        <w:rPr>
          <w:rFonts w:ascii="Times" w:hAnsi="Times"/>
        </w:rPr>
      </w:pPr>
      <w:r w:rsidRPr="00D22AA7">
        <w:rPr>
          <w:rFonts w:ascii="Times" w:hAnsi="Times"/>
        </w:rPr>
        <w:t>The application of</w:t>
      </w:r>
      <w:r w:rsidR="3A4E7D6B" w:rsidRPr="00D22AA7">
        <w:rPr>
          <w:rFonts w:ascii="Times" w:hAnsi="Times"/>
        </w:rPr>
        <w:t xml:space="preserve"> </w:t>
      </w:r>
      <w:r w:rsidRPr="00D22AA7">
        <w:rPr>
          <w:rFonts w:ascii="Times" w:hAnsi="Times"/>
        </w:rPr>
        <w:t>AI</w:t>
      </w:r>
      <w:r w:rsidR="3E630C07" w:rsidRPr="00D22AA7">
        <w:rPr>
          <w:rFonts w:ascii="Times" w:hAnsi="Times"/>
        </w:rPr>
        <w:t xml:space="preserve"> </w:t>
      </w:r>
      <w:r w:rsidRPr="00D22AA7">
        <w:rPr>
          <w:rFonts w:ascii="Times" w:hAnsi="Times"/>
        </w:rPr>
        <w:t>and</w:t>
      </w:r>
      <w:r w:rsidR="41ABD598" w:rsidRPr="00D22AA7">
        <w:rPr>
          <w:rFonts w:ascii="Times" w:hAnsi="Times"/>
        </w:rPr>
        <w:t xml:space="preserve"> </w:t>
      </w:r>
      <w:r w:rsidRPr="00D22AA7">
        <w:rPr>
          <w:rFonts w:ascii="Times" w:hAnsi="Times"/>
        </w:rPr>
        <w:t>ML</w:t>
      </w:r>
      <w:r w:rsidR="50902F5C" w:rsidRPr="00D22AA7">
        <w:rPr>
          <w:rFonts w:ascii="Times" w:hAnsi="Times"/>
        </w:rPr>
        <w:t xml:space="preserve"> </w:t>
      </w:r>
      <w:r w:rsidRPr="00D22AA7">
        <w:rPr>
          <w:rFonts w:ascii="Times" w:hAnsi="Times"/>
        </w:rPr>
        <w:t xml:space="preserve">is </w:t>
      </w:r>
      <w:r w:rsidR="00F25D76" w:rsidRPr="00D22AA7">
        <w:rPr>
          <w:rFonts w:ascii="Times" w:hAnsi="Times"/>
        </w:rPr>
        <w:t>important in</w:t>
      </w:r>
      <w:r w:rsidRPr="00D22AA7">
        <w:rPr>
          <w:rFonts w:ascii="Times" w:hAnsi="Times"/>
        </w:rPr>
        <w:t xml:space="preserve"> the study of diseased tissues</w:t>
      </w:r>
      <w:r w:rsidR="00F25D76" w:rsidRPr="00D22AA7">
        <w:rPr>
          <w:rFonts w:ascii="Times" w:hAnsi="Times"/>
        </w:rPr>
        <w:t xml:space="preserve"> i.e., </w:t>
      </w:r>
      <w:r w:rsidRPr="00D22AA7">
        <w:rPr>
          <w:rFonts w:ascii="Times" w:hAnsi="Times"/>
        </w:rPr>
        <w:t>cancer cells, where cellular heterogeneity plays a critical role in understanding disease progression and therapeutic response</w:t>
      </w:r>
      <w:r w:rsidR="00254C27" w:rsidRPr="00D22AA7">
        <w:rPr>
          <w:rFonts w:ascii="Times" w:hAnsi="Times"/>
        </w:rPr>
        <w:t xml:space="preserve"> </w:t>
      </w:r>
      <w:r w:rsidR="00254C27" w:rsidRPr="00D22AA7">
        <w:rPr>
          <w:rFonts w:ascii="Times" w:hAnsi="Times"/>
        </w:rPr>
        <w:fldChar w:fldCharType="begin"/>
      </w:r>
      <w:r w:rsidR="0056095D">
        <w:rPr>
          <w:rFonts w:ascii="Times" w:hAnsi="Times"/>
        </w:rPr>
        <w:instrText xml:space="preserve"> ADDIN ZOTERO_ITEM CSL_CITATION {"citationID":"25cCvy8Z","properties":{"formattedCitation":"[141,142]","plainCitation":"[141,142]","noteIndex":0},"citationItems":[{"id":11130,"uris":["http://zotero.org/users/9439317/items/B4HPG23Q"],"itemData":{"id":11130,"type":"article-journal","container-title":"Expert Systems with Applications","ISSN":"0957-4174","journalAbbreviation":"Expert Systems with Applications","note":"publisher: Elsevier","page":"122983","title":"Paradigm shift from Artificial Neural Networks (ANNs) to deep Convolutional Neural Networks (DCNNs) in the field of medical image processing","author":[{"family":"Abut","given":"Serdar"},{"family":"Okut","given":"Hayrettin"},{"family":"Kallail","given":"K James"}],"issued":{"date-parts":[["2023"]]}}},{"id":6248,"uris":["http://zotero.org/users/9439317/items/C2CEYHPA"],"itemData":{"id":6248,"type":"article-journal","abstract":"In the last few years, the deep learning (DL) computing paradigm has been deemed the Gold Standard in the machine learning (ML) community. Moreover, it has gradually become the most widely used computational approach in the field of ML, thus achieving outstanding results on several complex cognitive tasks, matching or even beating those provided by human performance. One of the benefits of DL is the ability to learn massive amounts of data. The DL field has grown fast in the last few years and it has been extensively used to successfully address a wide range of traditional applications. More importantly, DL has outperformed well-known ML techniques in many domains, e.g., cybersecurity, natural language processing, bioinformatics, robotics and control, and medical information processing, among many others. Despite it has been contributed several works reviewing the State-of-the-Art on DL, all of them only tackled one aspect of the DL, which leads to an overall lack of knowledge about it. Therefore, in this contribution, we propose using a more holistic approach in order to provide a more suitable starting point from which to develop a full understanding of DL. Specifically, this review attempts to provide a more comprehensive survey of the most important aspects of DL and including those enhancements recently added to the field. In particular, this paper outlines the importance of DL, presents the types of DL techniques and networks. It then presents convolutional neural networks (CNNs) which the most utilized DL network type and describes the development of CNNs architectures together with their main features, e.g., starting with the AlexNet network and closing with the High-Resolution network (HR.Net). Finally, we further present the challenges and suggested solutions to help researchers understand the existing research gaps. It is followed by a list of the major DL applications. Computational tools including FPGA, GPU, and CPU are summarized along with a description of their influence on DL. The paper ends with the evolution matrix, benchmark datasets, and summary and conclusion.","container-title":"Journal of Big Data","DOI":"10.1186/s40537-021-00444-8","ISSN":"2196-1115","issue":"1","journalAbbreviation":"Journal of Big Data","page":"53","title":"Review of deep learning: concepts, CNN architectures, challenges, applications, future directions","URL":"https://doi.org/10.1186/s40537-021-00444-8","volume":"8","author":[{"family":"Alzubaidi","given":"Laith"},{"family":"Zhang","given":"Jinglan"},{"family":"Humaidi","given":"Amjad J."},{"family":"Al-Dujaili","given":"Ayad"},{"family":"Duan","given":"Ye"},{"family":"Al-Shamma","given":"Omran"},{"family":"Santamaría","given":"J."},{"family":"Fadhel","given":"Mohammed A."},{"family":"Al-Amidie","given":"Muthana"},{"family":"Farhan","given":"Laith"}],"issued":{"date-parts":[["2021",3,31]]}}}],"schema":"https://github.com/citation-style-language/schema/raw/master/csl-citation.json"} </w:instrText>
      </w:r>
      <w:r w:rsidR="00254C27" w:rsidRPr="00D22AA7">
        <w:rPr>
          <w:rFonts w:ascii="Times" w:hAnsi="Times"/>
        </w:rPr>
        <w:fldChar w:fldCharType="separate"/>
      </w:r>
      <w:r w:rsidR="0056095D">
        <w:rPr>
          <w:rFonts w:ascii="Times" w:hAnsi="Times"/>
          <w:noProof/>
        </w:rPr>
        <w:t>[141,142]</w:t>
      </w:r>
      <w:r w:rsidR="00254C27" w:rsidRPr="00D22AA7">
        <w:rPr>
          <w:rFonts w:ascii="Times" w:hAnsi="Times"/>
        </w:rPr>
        <w:fldChar w:fldCharType="end"/>
      </w:r>
      <w:r w:rsidRPr="00D22AA7">
        <w:rPr>
          <w:rFonts w:ascii="Times" w:hAnsi="Times"/>
        </w:rPr>
        <w:t>. ML models on large datasets, biologists can classify cells or tissues with high accuracy, enabling the differentiation between healthy and diseased tissues in histopathological samples</w:t>
      </w:r>
      <w:r w:rsidR="00254C27" w:rsidRPr="00D22AA7">
        <w:rPr>
          <w:rFonts w:ascii="Times" w:hAnsi="Times"/>
        </w:rPr>
        <w:t xml:space="preserve"> </w:t>
      </w:r>
      <w:r w:rsidR="00254C27" w:rsidRPr="00D22AA7">
        <w:rPr>
          <w:rFonts w:ascii="Times" w:hAnsi="Times"/>
        </w:rPr>
        <w:fldChar w:fldCharType="begin"/>
      </w:r>
      <w:r w:rsidR="0056095D">
        <w:rPr>
          <w:rFonts w:ascii="Times" w:hAnsi="Times"/>
        </w:rPr>
        <w:instrText xml:space="preserve"> ADDIN ZOTERO_ITEM CSL_CITATION {"citationID":"EpyLizaU","properties":{"formattedCitation":"[142]","plainCitation":"[142]","noteIndex":0},"citationItems":[{"id":6248,"uris":["http://zotero.org/users/9439317/items/C2CEYHPA"],"itemData":{"id":6248,"type":"article-journal","abstract":"In the last few years, the deep learning (DL) computing paradigm has been deemed the Gold Standard in the machine learning (ML) community. Moreover, it has gradually become the most widely used computational approach in the field of ML, thus achieving outstanding results on several complex cognitive tasks, matching or even beating those provided by human performance. One of the benefits of DL is the ability to learn massive amounts of data. The DL field has grown fast in the last few years and it has been extensively used to successfully address a wide range of traditional applications. More importantly, DL has outperformed well-known ML techniques in many domains, e.g., cybersecurity, natural language processing, bioinformatics, robotics and control, and medical information processing, among many others. Despite it has been contributed several works reviewing the State-of-the-Art on DL, all of them only tackled one aspect of the DL, which leads to an overall lack of knowledge about it. Therefore, in this contribution, we propose using a more holistic approach in order to provide a more suitable starting point from which to develop a full understanding of DL. Specifically, this review attempts to provide a more comprehensive survey of the most important aspects of DL and including those enhancements recently added to the field. In particular, this paper outlines the importance of DL, presents the types of DL techniques and networks. It then presents convolutional neural networks (CNNs) which the most utilized DL network type and describes the development of CNNs architectures together with their main features, e.g., starting with the AlexNet network and closing with the High-Resolution network (HR.Net). Finally, we further present the challenges and suggested solutions to help researchers understand the existing research gaps. It is followed by a list of the major DL applications. Computational tools including FPGA, GPU, and CPU are summarized along with a description of their influence on DL. The paper ends with the evolution matrix, benchmark datasets, and summary and conclusion.","container-title":"Journal of Big Data","DOI":"10.1186/s40537-021-00444-8","ISSN":"2196-1115","issue":"1","journalAbbreviation":"Journal of Big Data","page":"53","title":"Review of deep learning: concepts, CNN architectures, challenges, applications, future directions","URL":"https://doi.org/10.1186/s40537-021-00444-8","volume":"8","author":[{"family":"Alzubaidi","given":"Laith"},{"family":"Zhang","given":"Jinglan"},{"family":"Humaidi","given":"Amjad J."},{"family":"Al-Dujaili","given":"Ayad"},{"family":"Duan","given":"Ye"},{"family":"Al-Shamma","given":"Omran"},{"family":"Santamaría","given":"J."},{"family":"Fadhel","given":"Mohammed A."},{"family":"Al-Amidie","given":"Muthana"},{"family":"Farhan","given":"Laith"}],"issued":{"date-parts":[["2021",3,31]]}}}],"schema":"https://github.com/citation-style-language/schema/raw/master/csl-citation.json"} </w:instrText>
      </w:r>
      <w:r w:rsidR="00254C27" w:rsidRPr="00D22AA7">
        <w:rPr>
          <w:rFonts w:ascii="Times" w:hAnsi="Times"/>
        </w:rPr>
        <w:fldChar w:fldCharType="separate"/>
      </w:r>
      <w:r w:rsidR="0056095D">
        <w:rPr>
          <w:rFonts w:ascii="Times" w:hAnsi="Times"/>
          <w:noProof/>
        </w:rPr>
        <w:t>[142]</w:t>
      </w:r>
      <w:r w:rsidR="00254C27" w:rsidRPr="00D22AA7">
        <w:rPr>
          <w:rFonts w:ascii="Times" w:hAnsi="Times"/>
        </w:rPr>
        <w:fldChar w:fldCharType="end"/>
      </w:r>
      <w:r w:rsidRPr="00D22AA7">
        <w:rPr>
          <w:rFonts w:ascii="Times" w:hAnsi="Times"/>
        </w:rPr>
        <w:t xml:space="preserve">. These models can also identify subtle changes in cells subjected to drug treatments or uncover patterns that may be </w:t>
      </w:r>
      <w:r w:rsidR="3850684D" w:rsidRPr="00D22AA7">
        <w:rPr>
          <w:rFonts w:ascii="Times" w:hAnsi="Times"/>
        </w:rPr>
        <w:t>difficult for human to observe</w:t>
      </w:r>
      <w:r w:rsidR="00F25D76" w:rsidRPr="00D22AA7">
        <w:rPr>
          <w:rFonts w:ascii="Times" w:hAnsi="Times"/>
        </w:rPr>
        <w:t xml:space="preserve"> </w:t>
      </w:r>
      <w:r w:rsidR="00254C27" w:rsidRPr="00D22AA7">
        <w:rPr>
          <w:rFonts w:ascii="Times" w:hAnsi="Times"/>
        </w:rPr>
        <w:fldChar w:fldCharType="begin"/>
      </w:r>
      <w:r w:rsidR="0056095D">
        <w:rPr>
          <w:rFonts w:ascii="Times" w:hAnsi="Times"/>
        </w:rPr>
        <w:instrText xml:space="preserve"> ADDIN ZOTERO_ITEM CSL_CITATION {"citationID":"VDHqt03c","properties":{"formattedCitation":"[130,131,143,144]","plainCitation":"[130,131,143,144]","noteIndex":0},"citationItems":[{"id":15837,"uris":["http://zotero.org/users/9439317/items/75BPSRWJ"],"itemData":{"id":15837,"type":"article-journal","abstract":"Summary\nProteinaceous inclusions are associated with neurodegenerative diseases and cell models are often used to determine genetic and chemical modifiers of their formation. This protocol involves the usage of automated microscopy and machine learning-based image analysis to accurately quantify the levels of protein inclusion formation in cultured cells from fluorescence microscopy images. This protocol is highly scalable and can be applied to a few images or large datasets. For complete details on the use and execution of this protocol, please refer to McAlary et al. (2022).","container-title":"STAR Protocols","DOI":"10.1016/j.xpro.2022.101748","ISSN":"2666-1667","issue":"4","journalAbbreviation":"STAR Protocols","page":"101748","title":"Assessment of protein inclusions in cultured cells using automated image analysis","URL":"https://www.sciencedirect.com/science/article/pii/S2666166722006281","volume":"3","author":[{"family":"McAlary","given":"Luke"},{"family":"Shephard","given":"Victoria K."},{"family":"Sher","given":"Mine"},{"family":"Rice","given":"Lauren J."},{"family":"Yerbury","given":"Justin J."},{"family":"Cashman","given":"Neil R."},{"family":"Plotkin","given":"Steven S."}],"issued":{"date-parts":[["2022",12,16]]}}},{"id":6195,"uris":["http://zotero.org/users/9439317/items/64CHYS7A"],"itemData":{"id":6195,"type":"article-journal","abstract":"The evaluation of cell wellness is an important task for molecular biology research. This mainly comprises the assessment for morphology and viability of culturing cells. Annexin V-Propidium iodide counterstaining has been currently one of the common and easy methods to discriminate apoptotic and necrotic cell profiles. The method is operated by fluorescence-based detection of counterstain via laser beam-employed instruments including flow cytometer, fluorescence microscope and automated cell counter. The detection is primarily conducted based on the same principle; however the efficiency of instruments may vary. Here we evaluated the efficiency of those instruments for the clear-cut detection of cell death through various mammalian and microalgae cell lines. To the best of our knowledge, this is the first study revealing comparative analyses of apoptotic and necrotic cells in mammalian and microalgae cells using Annexin V-PI counterstain detected by flow cytometer, fluorescence microscope and automated cell counter. Fluorescence microscope and cell counter instruments were also tested and compared for the traditional trypan blue-based cell viability detection performance. For these, cell death was induced by UV-irradiation and/or bee venom for mammalian (pancreatic cancer, metastatic breast cancer and mouse fibroblasts) and microalgae cells (Chlorella vulgaris), respectfully. Findings postulated that automated cell counter and fluorescence microscopy revealed similar patterns for the detection by both counterstain and trypan blue in mammalian cells. Interestingly, flow cytometry did provide an accurate and significant detection for only one mammalian cell line when UV-treatment was followed by routine Annexin V-Propidium iodide counterstaining. Unlike, only flow cytometry revealed a significant change in the detection of death of microalgae cells by Annexin V-Propidium iodide method, but both Annexin and conventional trypan blue methods were not applicable for the automated cell counter and microscopic detections for microalgae cells. The related outputs propose that the obtaining reliable quantitation strongly depends on cell type and instruments used. These suggest the necessity of optimization and validation endeavors before any cell death detection initiative. The analytical outcomes present insights into detailed assessment of cell death detection of eukaryotic cells and provide a direction to researchers to consider.","container-title":"Journal of Fluorescence","DOI":"10.1007/s10895-018-2306-4","ISSN":"1573-4994","issue":"6","journalAbbreviation":"Journal of Fluorescence","page":"1393-1404","title":"The Detailed Comparison of Cell Death Detected by Annexin V-PI Counterstain Using Fluorescence Microscope, Flow Cytometry and Automated Cell Counter in Mammalian and Microalgae Cells","URL":"https://doi.org/10.1007/s10895-018-2306-4","volume":"28","author":[{"family":"Koç","given":"Emine"},{"family":"Çelik-Uzuner","given":"Selcen"},{"family":"Uzuner","given":"Uğur"},{"family":"Çakmak","given":"Ramazan"}],"issued":{"date-parts":[["2018",11,1]]}}},{"id":15947,"uris":["http://zotero.org/users/9439317/items/S9VUQJCT"],"itemData":{"id":15947,"type":"article-journal","abstract":"Electron microscopy (EM) enables high-resolution imaging of tissues and cells based on 2D and 3D imaging techniques. Due to the laborious and time-consuming nature of manual segmentation of large-scale EM datasets, automated segmentation approaches are crucial. This review focuses on the progress of deep learning-based segmentation techniques in large-scale cellular EM throughout the last six years, during which significant progress has been made in both semantic and instance segmentation. A detailed account is given for the key datasets that contributed to the proliferation of deep learning in 2D and 3D EM segmentation. The review covers supervised, unsupervised, and self-supervised learning methods and examines how these algorithms were adapted to the task of segmenting cellular and sub-cellular structures in EM images. The special challenges posed by such images, like heterogeneity and spatial complexity, and the network architectures that overcame some of them are described. Moreover, an overview of the evaluation measures used to benchmark EM datasets in various segmentation tasks is provided. Finally, an outlook of current trends and future prospects of EM segmentation is given, especially with large-scale models and unlabeled images to learn generic features across EM datasets.","container-title":"Medical Image Analysis","DOI":"10.1016/j.media.2023.102920","ISSN":"1361-8415","journalAbbreviation":"Medical Image Analysis","page":"102920","title":"Segmentation in large-scale cellular electron microscopy with deep learning: A literature survey","URL":"https://www.sciencedirect.com/science/article/pii/S1361841523001809","volume":"89","author":[{"family":"Aswath","given":"Anusha"},{"family":"Alsahaf","given":"Ahmad"},{"family":"Giepmans","given":"Ben N.G."},{"family":"Azzopardi","given":"George"}],"issued":{"date-parts":[["2023",10,1]]}}},{"id":5827,"uris":["http://zotero.org/users/9439317/items/IJF79NHH"],"itemData":{"id":5827,"type":"article-journal","container-title":"The American journal of pathology","ISSN":"0002-9440","issue":"10","journalAbbreviation":"The American journal of pathology","note":"publisher: Elsevier","page":"1693-1701","title":"Artificial intelligence and cellular segmentation in tissue microscopy images","volume":"191","author":[{"family":"Durkee","given":"Madeleine S"},{"family":"Abraham","given":"Rebecca"},{"family":"Clark","given":"Marcus R"},{"family":"Giger","given":"Maryellen L"}],"issued":{"date-parts":[["2021"]]}}}],"schema":"https://github.com/citation-style-language/schema/raw/master/csl-citation.json"} </w:instrText>
      </w:r>
      <w:r w:rsidR="00254C27" w:rsidRPr="00D22AA7">
        <w:rPr>
          <w:rFonts w:ascii="Times" w:hAnsi="Times"/>
        </w:rPr>
        <w:fldChar w:fldCharType="separate"/>
      </w:r>
      <w:r w:rsidR="0056095D">
        <w:rPr>
          <w:rFonts w:ascii="Times" w:hAnsi="Times"/>
          <w:noProof/>
        </w:rPr>
        <w:t>[130,131,143,144]</w:t>
      </w:r>
      <w:r w:rsidR="00254C27" w:rsidRPr="00D22AA7">
        <w:rPr>
          <w:rFonts w:ascii="Times" w:hAnsi="Times"/>
        </w:rPr>
        <w:fldChar w:fldCharType="end"/>
      </w:r>
      <w:r w:rsidRPr="00D22AA7">
        <w:rPr>
          <w:rFonts w:ascii="Times" w:hAnsi="Times"/>
        </w:rPr>
        <w:t>.</w:t>
      </w:r>
    </w:p>
    <w:p w14:paraId="27B7BD37" w14:textId="3A880A01" w:rsidR="00684FC9" w:rsidRDefault="0050642B" w:rsidP="00DD783C">
      <w:pPr>
        <w:shd w:val="clear" w:color="auto" w:fill="FFFFFF"/>
        <w:ind w:firstLine="480"/>
        <w:jc w:val="both"/>
        <w:rPr>
          <w:rFonts w:ascii="Times" w:hAnsi="Times"/>
          <w:szCs w:val="20"/>
        </w:rPr>
      </w:pPr>
      <w:r w:rsidRPr="00D22AA7">
        <w:rPr>
          <w:rFonts w:ascii="Times" w:hAnsi="Times"/>
          <w:szCs w:val="20"/>
        </w:rPr>
        <w:t>In high-content screening, ML is invaluable for analyzing the vast datasets produced by advanced imaging technologies. This capability allows researchers to detect subtle phenotypic changes in cells resulting from genetic modifications or environmental perturbations, which might otherwise go unnoticed</w:t>
      </w:r>
      <w:r w:rsidR="00C02568" w:rsidRPr="00D22AA7">
        <w:rPr>
          <w:rFonts w:ascii="Times" w:hAnsi="Times"/>
          <w:szCs w:val="20"/>
        </w:rPr>
        <w:t xml:space="preserve"> </w:t>
      </w:r>
      <w:r w:rsidR="00C02568" w:rsidRPr="00D22AA7">
        <w:rPr>
          <w:rFonts w:ascii="Times" w:hAnsi="Times"/>
          <w:szCs w:val="20"/>
        </w:rPr>
        <w:fldChar w:fldCharType="begin"/>
      </w:r>
      <w:r w:rsidR="0056095D">
        <w:rPr>
          <w:rFonts w:ascii="Times" w:hAnsi="Times"/>
          <w:szCs w:val="20"/>
        </w:rPr>
        <w:instrText xml:space="preserve"> ADDIN ZOTERO_ITEM CSL_CITATION {"citationID":"HeGTDYhp","properties":{"formattedCitation":"[145,146]","plainCitation":"[145,146]","noteIndex":0},"citationItems":[{"id":3456,"uris":["http://zotero.org/users/9439317/items/YVTCQMF5"],"itemData":{"id":3456,"type":"article-journal","abstract":"Proteins and their functional interactions form the backbone of the cellular machinery. Their connectivity network needs to be considered for the full understanding of biological phenomena, but the available information on protein-protein associations is incomplete and exhibits varying levels of annotation granularity and reliability. The STRING database aims to collect, score and integrate all publicly available sources of protein-protein interaction information, and to complement these with computational predictions. Its goal is to achieve a comprehensive and objective global network, including direct (physical) as well as indirect (functional) interactions. The latest version of STRING (11.0) more than doubles the number of organisms it covers, to 5090. The most important new feature is an option to upload entire, genome-wide datasets as input, allowing users to visualize subsets as interaction networks and to perform gene-set enrichment analysis on the entire input. For the enrichment analysis, STRING implements well-known classification systems such as Gene Ontology and KEGG, but also offers additional, new classification systems based on high-throughput text-mining as well as on a hierarchical clustering of the association network itself. The STRING resource is available online at https://string-db.org/.","container-title":"Nucleic Acids Research","DOI":"10.1093/NAR/GKY1131","issue":"D1","page":"D607-D613","title":"STRING v11: Protein-protein association networks with increased coverage, supporting functional discovery in genome-wide experimental datasets","volume":"47","author":[{"family":"Szklarczyk","given":"Damian"},{"family":"Gable","given":"Annika L."},{"family":"Lyon","given":"David"},{"family":"Junge","given":"Alexander"},{"family":"Wyder","given":"Stefan"},{"family":"Huerta-Cepas","given":"Jaime"},{"family":"Simonovic","given":"Milan"},{"family":"Doncheva","given":"Nadezhda T."},{"family":"Morris","given":"John H."},{"family":"Bork","given":"Peer"},{"family":"Jensen","given":"Lars J."},{"family":"Von Mering","given":"Christian"}],"accessed":{"date-parts":[["2021",10,18]]},"issued":{"date-parts":[["2019",1,8]]}}},{"id":5520,"uris":["http://zotero.org/users/9439317/items/MI33ZI3J"],"itemData":{"id":5520,"type":"article-journal","abstract":"Technical advances in imaging have increased their applicability to diagnosing conditions of the musculoskeletal system, especially in the postoperative setting, where traditionally metallic artifacts have hindered evaluation. Advances in computed tomography (CT), magnetic resonance (MR) imaging, ultrasound, and nuclear medicine have resulted in improved overall image quality. Speciﬁc modiﬁcations of imaging parameters, especially in CT and MRI, have improved the radiologist’s ability to diagnose potential hardware complications such as loosening and osteolysis. Sonography can evaluate the periprosthetic soft tissues and enables both diagnostic information and therapeutic treatment at the same sitting. Lastly, diagnostic scintigraphic applications such as positron emission tomography (PET) have increased speciﬁcity in diagnosing potential infection in the arthroplasty setting. This review discusses some of the current applications of CT, MRI, ultrasound, and nuclear medicine in evaluating the postoperative orthopedic patient, concentrating on the appropriate imaging evaluation for the painful arthroplasty patient.","container-title":"HSS Journal","DOI":"10.1007/s11420-005-0131-1","ISSN":"1556-3316, 1556-3324","issue":"1","journalAbbreviation":"HSS Jrnl","language":"en","page":"73-77","source":"DOI.org (Crossref)","title":"Musculoskeletal Imaging Update: Current Applications of Advanced Imaging Techniques to Evaluate the Early and Long-Term Complications of Patients with Orthopedic Implants","title-short":"Musculoskeletal Imaging Update","URL":"http://journals.sagepub.com/doi/10.1007/s11420-005-0131-1","volume":"2","author":[{"family":"Sofka","given":"Carolyn M."},{"family":"Potter","given":"Hollis G."},{"family":"Adler","given":"Ronald S."},{"family":"Pavlov","given":"Helene"}],"accessed":{"date-parts":[["2024",2,6]]},"issued":{"date-parts":[["2006",2]]}}}],"schema":"https://github.com/citation-style-language/schema/raw/master/csl-citation.json"} </w:instrText>
      </w:r>
      <w:r w:rsidR="00C02568" w:rsidRPr="00D22AA7">
        <w:rPr>
          <w:rFonts w:ascii="Times" w:hAnsi="Times"/>
          <w:szCs w:val="20"/>
        </w:rPr>
        <w:fldChar w:fldCharType="separate"/>
      </w:r>
      <w:r w:rsidR="0056095D">
        <w:rPr>
          <w:rFonts w:ascii="Times" w:hAnsi="Times"/>
          <w:noProof/>
          <w:szCs w:val="20"/>
        </w:rPr>
        <w:t>[145,146]</w:t>
      </w:r>
      <w:r w:rsidR="00C02568" w:rsidRPr="00D22AA7">
        <w:rPr>
          <w:rFonts w:ascii="Times" w:hAnsi="Times"/>
          <w:szCs w:val="20"/>
        </w:rPr>
        <w:fldChar w:fldCharType="end"/>
      </w:r>
      <w:r w:rsidRPr="00D22AA7">
        <w:rPr>
          <w:rFonts w:ascii="Times" w:hAnsi="Times"/>
          <w:szCs w:val="20"/>
        </w:rPr>
        <w:t>. The integration of AI and ML in this field offers numerous benefits, including enhanced accuracy, consistency, and reproducibility in data analysis</w:t>
      </w:r>
      <w:r w:rsidR="00C02568" w:rsidRPr="00D22AA7">
        <w:rPr>
          <w:rFonts w:ascii="Times" w:hAnsi="Times"/>
          <w:szCs w:val="20"/>
        </w:rPr>
        <w:t xml:space="preserve"> </w:t>
      </w:r>
      <w:r w:rsidR="00C02568" w:rsidRPr="00D22AA7">
        <w:rPr>
          <w:rFonts w:ascii="Times" w:hAnsi="Times"/>
          <w:szCs w:val="20"/>
        </w:rPr>
        <w:fldChar w:fldCharType="begin"/>
      </w:r>
      <w:r w:rsidR="0056095D">
        <w:rPr>
          <w:rFonts w:ascii="Times" w:hAnsi="Times"/>
          <w:szCs w:val="20"/>
        </w:rPr>
        <w:instrText xml:space="preserve"> ADDIN ZOTERO_ITEM CSL_CITATION {"citationID":"0SH83eH7","properties":{"formattedCitation":"[142,147,148]","plainCitation":"[142,147,148]","noteIndex":0},"citationItems":[{"id":6248,"uris":["http://zotero.org/users/9439317/items/C2CEYHPA"],"itemData":{"id":6248,"type":"article-journal","abstract":"In the last few years, the deep learning (DL) computing paradigm has been deemed the Gold Standard in the machine learning (ML) community. Moreover, it has gradually become the most widely used computational approach in the field of ML, thus achieving outstanding results on several complex cognitive tasks, matching or even beating those provided by human performance. One of the benefits of DL is the ability to learn massive amounts of data. The DL field has grown fast in the last few years and it has been extensively used to successfully address a wide range of traditional applications. More importantly, DL has outperformed well-known ML techniques in many domains, e.g., cybersecurity, natural language processing, bioinformatics, robotics and control, and medical information processing, among many others. Despite it has been contributed several works reviewing the State-of-the-Art on DL, all of them only tackled one aspect of the DL, which leads to an overall lack of knowledge about it. Therefore, in this contribution, we propose using a more holistic approach in order to provide a more suitable starting point from which to develop a full understanding of DL. Specifically, this review attempts to provide a more comprehensive survey of the most important aspects of DL and including those enhancements recently added to the field. In particular, this paper outlines the importance of DL, presents the types of DL techniques and networks. It then presents convolutional neural networks (CNNs) which the most utilized DL network type and describes the development of CNNs architectures together with their main features, e.g., starting with the AlexNet network and closing with the High-Resolution network (HR.Net). Finally, we further present the challenges and suggested solutions to help researchers understand the existing research gaps. It is followed by a list of the major DL applications. Computational tools including FPGA, GPU, and CPU are summarized along with a description of their influence on DL. The paper ends with the evolution matrix, benchmark datasets, and summary and conclusion.","container-title":"Journal of Big Data","DOI":"10.1186/s40537-021-00444-8","ISSN":"2196-1115","issue":"1","journalAbbreviation":"Journal of Big Data","page":"53","title":"Review of deep learning: concepts, CNN architectures, challenges, applications, future directions","URL":"https://doi.org/10.1186/s40537-021-00444-8","volume":"8","author":[{"family":"Alzubaidi","given":"Laith"},{"family":"Zhang","given":"Jinglan"},{"family":"Humaidi","given":"Amjad J."},{"family":"Al-Dujaili","given":"Ayad"},{"family":"Duan","given":"Ye"},{"family":"Al-Shamma","given":"Omran"},{"family":"Santamaría","given":"J."},{"family":"Fadhel","given":"Mohammed A."},{"family":"Al-Amidie","given":"Muthana"},{"family":"Farhan","given":"Laith"}],"issued":{"date-parts":[["2021",3,31]]}}},{"id":5889,"uris":["http://zotero.org/users/9439317/items/P59F8BQY"],"itemData":{"id":5889,"type":"article-journal","abstract":"The success of artificial intelligence and machine learning is an incentive to develop new algorithms to increase the rapidity and reliability of medical diagnosis. Here we compared different strategies aimed at processing microscope images used to detect anti-neutrophil cytoplasmic antibodies, an important vasculitis marker: (i) basic classifier methods (logistic regression, k-nearest neighbors and decision tree) were used to process custom-made indices derived from immunofluorescence images yielded by 137 sera. (ii) These methods were combined with dimensional reduction to analyze 1733 individual cell images. (iii) More complex models based on neural networks were used to analyze the same dataset. The efficiency of discriminating between positive and negative samples and different fluorescence patterns was quantified with Rand-type accuracy index, kappa index and ROC curve. It is concluded that basic models trained on a limited dataset allowed for positive/negative discrimination with an efficiency comparable to that obtained by conventional analysis performed by humans (0.84 kappa score). More extensive datasets and more sophisticated models may be required for efficient discrimination between fluorescence patterns generated by different auto-antibody species.","container-title":"International Journal of Molecular Sciences","DOI":"10.3390/ijms25063270","ISSN":"1422-0067","issue":"6","journalAbbreviation":"IJMS","language":"en","license":"https://creativecommons.org/licenses/by/4.0/","page":"3270","source":"DOI.org (Crossref)","title":"Comparison of the Capacity of Several Machine Learning Tools to Assist Immunofluorescence-Based Detection of Anti-Neutrophil Cytoplasmic Antibodies","URL":"https://www.mdpi.com/1422-0067/25/6/3270","volume":"25","author":[{"family":"Bertin","given":"Daniel"},{"family":"Bongrand","given":"Pierre"},{"family":"Bardin","given":"Nathalie"}],"accessed":{"date-parts":[["2024",5,20]]},"issued":{"date-parts":[["2024",3,13]]}}},{"id":10919,"uris":["http://zotero.org/users/9439317/items/S8BJSAKU"],"itemData":{"id":10919,"type":"article-journal","abstract":"Artificial intelligence (AI) advancements, especially deep learning, have significantly improved medical image processing and analysis in various tasks such as disease detection, classification, and anatomical structure segmentation. This work overviews fundamental concepts, state-of-the-art models, and publicly available datasets in the field of medical imaging. First, we introduce the types of learning problems commonly employed in medical image processing and then proceed to present an overview of commonly used deep learning methods, including convolutional neural networks (CNNs), recurrent neural networks (RNNs), and generative adversarial networks (GANs), with a focus on the image analysis task they are solving, including image classification, object detection/localization, segmentation, generation, and registration. Further, we highlight studies conducted in various application areas, encompassing neurology, brain imaging, retinal analysis, pulmonary imaging, digital pathology, breast imaging, cardiac imaging, bone analysis, abdominal imaging, and musculoskeletal imaging. The strengths and limitations of each method are carefully examined, and the paper identifies pertinent challenges that still require attention, such as the limited availability of annotated data, variability in medical images, and the interpretability issues. Finally, we discuss future research directions with a particular focus on developing explainable deep learning methods and integrating multi-modal data.","container-title":"Electronics","DOI":"10.3390/electronics12214411","ISSN":"2079-9292","issue":"21","title":"Machine Learning Empowering Personalized Medicine: A Comprehensive Review of Medical Image Analysis Methods","volume":"12","author":[{"family":"Galić","given":"Irena"},{"family":"Habijan","given":"Marija"},{"family":"Leventić","given":"Hrvoje"},{"family":"Romić","given":"Krešimir"}],"issued":{"date-parts":[["2023"]]}}}],"schema":"https://github.com/citation-style-language/schema/raw/master/csl-citation.json"} </w:instrText>
      </w:r>
      <w:r w:rsidR="00C02568" w:rsidRPr="00D22AA7">
        <w:rPr>
          <w:rFonts w:ascii="Times" w:hAnsi="Times"/>
          <w:szCs w:val="20"/>
        </w:rPr>
        <w:fldChar w:fldCharType="separate"/>
      </w:r>
      <w:r w:rsidR="0056095D">
        <w:rPr>
          <w:rFonts w:ascii="Times" w:hAnsi="Times"/>
          <w:noProof/>
          <w:szCs w:val="20"/>
        </w:rPr>
        <w:t>[142,147,148]</w:t>
      </w:r>
      <w:r w:rsidR="00C02568" w:rsidRPr="00D22AA7">
        <w:rPr>
          <w:rFonts w:ascii="Times" w:hAnsi="Times"/>
          <w:szCs w:val="20"/>
        </w:rPr>
        <w:fldChar w:fldCharType="end"/>
      </w:r>
      <w:r w:rsidRPr="00D22AA7">
        <w:rPr>
          <w:rFonts w:ascii="Times" w:hAnsi="Times"/>
          <w:szCs w:val="20"/>
        </w:rPr>
        <w:t>. Moreover, these technologies significantly improve time and cost efficiency by automating labor-intensive tasks and enabling real-time analysis. For instance, AI-driven tools can rapidly process and interpret complex imaging data, accelerating the discovery of novel biomarkers, therapeutic targets, and diagnostic patterns. By leveraging AI and ML, researchers can gain deeper insights into cellular behavior, disease mechanisms, and drug responses, ultimately advancing precision medicine and improving patient outcomes</w:t>
      </w:r>
      <w:r w:rsidR="00C02568" w:rsidRPr="00D22AA7">
        <w:rPr>
          <w:rFonts w:ascii="Times" w:hAnsi="Times"/>
          <w:szCs w:val="20"/>
        </w:rPr>
        <w:t xml:space="preserve"> </w:t>
      </w:r>
      <w:r w:rsidR="00C02568" w:rsidRPr="00D22AA7">
        <w:rPr>
          <w:rFonts w:ascii="Times" w:hAnsi="Times"/>
          <w:szCs w:val="20"/>
        </w:rPr>
        <w:fldChar w:fldCharType="begin"/>
      </w:r>
      <w:r w:rsidR="0056095D">
        <w:rPr>
          <w:rFonts w:ascii="Times" w:hAnsi="Times"/>
          <w:szCs w:val="20"/>
        </w:rPr>
        <w:instrText xml:space="preserve"> ADDIN ZOTERO_ITEM CSL_CITATION {"citationID":"EiUgvaES","properties":{"formattedCitation":"[135,149,150]","plainCitation":"[135,149,150]","noteIndex":0},"citationItems":[{"id":6163,"uris":["http://zotero.org/users/9439317/items/E5SURQDT"],"itemData":{"id":6163,"type":"article-journal","language":"en","source":"Zotero","title":"Deep learning-aided analysis of 3D cell culture microscopic images to enhance the precision of the drug screening process: A use case for cervical cancer","author":[{"family":"Maylaa","given":"Tarek"}]}},{"id":5901,"uris":["http://zotero.org/users/9439317/items/G7RUW6HV"],"itemData":{"id":5901,"type":"article-journal","ISSN":"0732-183X","note":"publisher: American Society of Clinical Oncology","title":"Artificial intelligence for streamlined immunofluorescence-based biomarker discovery in prostate cancer.","author":[{"family":"Calle","given":"Claire Marie","non-dropping-particle":"de la"},{"family":"Nguyen","given":"Hao Gia"},{"family":"Hosseini-Asl","given":"Ehsan"},{"family":"So","given":"Clarence"},{"family":"Socher","given":"Richard"},{"family":"Xiong","given":"Caiming"},{"family":"Xue","given":"Lingru"},{"family":"Carroll","given":"Peter"},{"family":"Cooperberg","given":"Matthew R"}],"issued":{"date-parts":[["2020"]]}}},{"id":10646,"uris":["http://zotero.org/users/9439317/items/N86P5I47"],"itemData":{"id":10646,"type":"article-journal","container-title":"Frontiers in Medicine","ISSN":"2296-858X","journalAbbreviation":"Frontiers in Medicine","page":"689954","title":"Advances in imaging modalities, artificial intelligence, and single cell biomarker analysis, and their applications in cytopathology","volume":"8","author":[{"family":"Lau","given":"Ryan P"},{"family":"Kim","given":"Teresa H"},{"family":"Rao","given":"Jianyu"}],"issued":{"date-parts":[["2021"]]}}}],"schema":"https://github.com/citation-style-language/schema/raw/master/csl-citation.json"} </w:instrText>
      </w:r>
      <w:r w:rsidR="00C02568" w:rsidRPr="00D22AA7">
        <w:rPr>
          <w:rFonts w:ascii="Times" w:hAnsi="Times"/>
          <w:szCs w:val="20"/>
        </w:rPr>
        <w:fldChar w:fldCharType="separate"/>
      </w:r>
      <w:r w:rsidR="0056095D">
        <w:rPr>
          <w:rFonts w:ascii="Times" w:hAnsi="Times"/>
          <w:noProof/>
          <w:szCs w:val="20"/>
        </w:rPr>
        <w:t>[135,149,150]</w:t>
      </w:r>
      <w:r w:rsidR="00C02568" w:rsidRPr="00D22AA7">
        <w:rPr>
          <w:rFonts w:ascii="Times" w:hAnsi="Times"/>
          <w:szCs w:val="20"/>
        </w:rPr>
        <w:fldChar w:fldCharType="end"/>
      </w:r>
      <w:r w:rsidRPr="00D22AA7">
        <w:rPr>
          <w:rFonts w:ascii="Times" w:hAnsi="Times"/>
          <w:szCs w:val="20"/>
        </w:rPr>
        <w:t>.</w:t>
      </w:r>
    </w:p>
    <w:p w14:paraId="6052BCB3" w14:textId="77777777" w:rsidR="00CF2514" w:rsidRDefault="00CF2514" w:rsidP="00DD783C">
      <w:pPr>
        <w:shd w:val="clear" w:color="auto" w:fill="FFFFFF"/>
        <w:ind w:firstLine="480"/>
        <w:jc w:val="both"/>
        <w:rPr>
          <w:rFonts w:ascii="Times" w:hAnsi="Times"/>
          <w:szCs w:val="20"/>
        </w:rPr>
      </w:pPr>
    </w:p>
    <w:p w14:paraId="00C72E0A" w14:textId="7A783EFB" w:rsidR="00AA0183" w:rsidRDefault="00AA0183" w:rsidP="00AA0183">
      <w:pPr>
        <w:shd w:val="clear" w:color="auto" w:fill="FFFFFF"/>
        <w:jc w:val="both"/>
        <w:rPr>
          <w:rFonts w:ascii="Times" w:hAnsi="Times"/>
          <w:b/>
          <w:bCs/>
          <w:szCs w:val="20"/>
        </w:rPr>
      </w:pPr>
      <w:r>
        <w:rPr>
          <w:rFonts w:ascii="Times" w:hAnsi="Times"/>
          <w:b/>
          <w:bCs/>
          <w:szCs w:val="20"/>
        </w:rPr>
        <w:t xml:space="preserve">4.3. </w:t>
      </w:r>
      <w:r w:rsidRPr="00AA0183">
        <w:rPr>
          <w:rFonts w:ascii="Times" w:hAnsi="Times"/>
          <w:b/>
          <w:bCs/>
          <w:szCs w:val="20"/>
        </w:rPr>
        <w:t>Reinforcement Learning</w:t>
      </w:r>
    </w:p>
    <w:p w14:paraId="57FAC199" w14:textId="77777777" w:rsidR="00CF2514" w:rsidRPr="00AA0183" w:rsidRDefault="00CF2514" w:rsidP="00AA0183">
      <w:pPr>
        <w:shd w:val="clear" w:color="auto" w:fill="FFFFFF"/>
        <w:jc w:val="both"/>
        <w:rPr>
          <w:rFonts w:ascii="Times" w:hAnsi="Times"/>
          <w:b/>
          <w:bCs/>
          <w:szCs w:val="20"/>
        </w:rPr>
      </w:pPr>
    </w:p>
    <w:p w14:paraId="5670B395" w14:textId="4C8DC668" w:rsidR="00684FC9" w:rsidRDefault="00684FC9" w:rsidP="00DD783C">
      <w:pPr>
        <w:shd w:val="clear" w:color="auto" w:fill="FFFFFF"/>
        <w:ind w:firstLine="480"/>
        <w:jc w:val="both"/>
        <w:rPr>
          <w:rFonts w:ascii="Times" w:hAnsi="Times"/>
          <w:szCs w:val="20"/>
        </w:rPr>
      </w:pPr>
      <w:r w:rsidRPr="00D22AA7">
        <w:rPr>
          <w:rFonts w:ascii="Times" w:hAnsi="Times"/>
          <w:szCs w:val="20"/>
        </w:rPr>
        <w:t>Reinforcement Learning (RL) is a branch of machine learning that focuses on training agents to make a sequence of decisions in an environment to maximize cumulative rewards over time. Unlike supervised learning, where the model learns from labeled data, RL employs a trial-and-</w:t>
      </w:r>
      <w:r w:rsidRPr="00D22AA7">
        <w:rPr>
          <w:rFonts w:ascii="Times" w:hAnsi="Times"/>
          <w:szCs w:val="20"/>
        </w:rPr>
        <w:lastRenderedPageBreak/>
        <w:t xml:space="preserve">error approach where an agent learns by interacting with the environment and receiving feedback in the form of rewards or penalties based on its actions. This feedback helps the agent update its knowledge, refine its decision-making policies, and optimize its behavior. The process is iterative, where the agent navigates through states and takes actions to transition to new states, with the aim of achieving a long-term goal </w:t>
      </w:r>
      <w:r w:rsidRPr="00D22AA7">
        <w:rPr>
          <w:rFonts w:ascii="Times" w:hAnsi="Times"/>
          <w:szCs w:val="20"/>
        </w:rPr>
        <w:fldChar w:fldCharType="begin"/>
      </w:r>
      <w:r w:rsidR="0056095D">
        <w:rPr>
          <w:rFonts w:ascii="Times" w:hAnsi="Times"/>
          <w:szCs w:val="20"/>
        </w:rPr>
        <w:instrText xml:space="preserve"> ADDIN ZOTERO_ITEM CSL_CITATION {"citationID":"8Wd6jfPb","properties":{"formattedCitation":"[151]","plainCitation":"[151]","noteIndex":0},"citationItems":[{"id":15806,"uris":["http://zotero.org/users/9439317/items/T28AWLKP"],"itemData":{"id":15806,"type":"article-journal","container-title":"arXiv preprint arXiv:1701.07274","journalAbbreviation":"arXiv preprint arXiv:1701.07274","title":"Deep reinforcement learning: An overview","author":[{"family":"Li","given":"Yuxi"}],"issued":{"date-parts":[["2017"]]}}}],"schema":"https://github.com/citation-style-language/schema/raw/master/csl-citation.json"} </w:instrText>
      </w:r>
      <w:r w:rsidRPr="00D22AA7">
        <w:rPr>
          <w:rFonts w:ascii="Times" w:hAnsi="Times"/>
          <w:szCs w:val="20"/>
        </w:rPr>
        <w:fldChar w:fldCharType="separate"/>
      </w:r>
      <w:r w:rsidR="0056095D">
        <w:rPr>
          <w:rFonts w:ascii="Times" w:hAnsi="Times"/>
          <w:noProof/>
          <w:szCs w:val="20"/>
        </w:rPr>
        <w:t>[151]</w:t>
      </w:r>
      <w:r w:rsidRPr="00D22AA7">
        <w:rPr>
          <w:rFonts w:ascii="Times" w:hAnsi="Times"/>
          <w:szCs w:val="20"/>
        </w:rPr>
        <w:fldChar w:fldCharType="end"/>
      </w:r>
      <w:r w:rsidRPr="00D22AA7">
        <w:rPr>
          <w:rFonts w:ascii="Times" w:hAnsi="Times"/>
          <w:szCs w:val="20"/>
        </w:rPr>
        <w:t xml:space="preserve">. Central to RL is the concept of the reward function, which quantifies the desirability of a particular state-action pair, and the policy, which dictates the agent's behavior in response to different states. The agent must balance exploration, where it tries new actions to discover potentially better outcomes, and exploitation, where it relies on known strategies that maximize reward. The core components of RL include the agent, environment, state, action, reward, and policy, which are combined into a framework known as the Markov Decision Process (MDP). In this framework, the agent's objective is to learn an optimal policy that will maximize the expected sum of future rewards, often modeled as the value function or Q-function. RL algorithms, such as Q-learning, Deep Q-Networks (DQN), and Proximal Policy Optimization (PPO), have been developed to efficiently solve various decision-making problems, leveraging both traditional tabular methods and advanced neural networks </w:t>
      </w:r>
      <w:r w:rsidRPr="00D22AA7">
        <w:rPr>
          <w:rFonts w:ascii="Times" w:hAnsi="Times"/>
          <w:szCs w:val="20"/>
        </w:rPr>
        <w:fldChar w:fldCharType="begin"/>
      </w:r>
      <w:r w:rsidR="0056095D">
        <w:rPr>
          <w:rFonts w:ascii="Times" w:hAnsi="Times"/>
          <w:szCs w:val="20"/>
        </w:rPr>
        <w:instrText xml:space="preserve"> ADDIN ZOTERO_ITEM CSL_CITATION {"citationID":"wMiKyJR8","properties":{"formattedCitation":"[152]","plainCitation":"[152]","noteIndex":0},"citationItems":[{"id":15807,"uris":["http://zotero.org/users/9439317/items/4KQQPJK7"],"itemData":{"id":15807,"type":"article-journal","container-title":"Australian Journal of Machine Learning Research &amp; Applications","ISSN":"2457-0982","issue":"2","journalAbbreviation":"Australian Journal of Machine Learning Research &amp; Applications","page":"239-249","title":"Recurrent Neural Networks-Architectures and Applications: Analyzing architectures and applications of recurrent neural networks (RNNs) for modeling sequential data and time-series prediction","volume":"3","author":[{"family":"Oluwafemi","given":"Ngozi"}],"issued":{"date-parts":[["2023"]]}}}],"schema":"https://github.com/citation-style-language/schema/raw/master/csl-citation.json"} </w:instrText>
      </w:r>
      <w:r w:rsidRPr="00D22AA7">
        <w:rPr>
          <w:rFonts w:ascii="Times" w:hAnsi="Times"/>
          <w:szCs w:val="20"/>
        </w:rPr>
        <w:fldChar w:fldCharType="separate"/>
      </w:r>
      <w:r w:rsidR="0056095D">
        <w:rPr>
          <w:rFonts w:ascii="Times" w:hAnsi="Times"/>
          <w:noProof/>
          <w:szCs w:val="20"/>
        </w:rPr>
        <w:t>[152]</w:t>
      </w:r>
      <w:r w:rsidRPr="00D22AA7">
        <w:rPr>
          <w:rFonts w:ascii="Times" w:hAnsi="Times"/>
          <w:szCs w:val="20"/>
        </w:rPr>
        <w:fldChar w:fldCharType="end"/>
      </w:r>
      <w:r w:rsidRPr="00D22AA7">
        <w:rPr>
          <w:rFonts w:ascii="Times" w:hAnsi="Times"/>
          <w:szCs w:val="20"/>
        </w:rPr>
        <w:t xml:space="preserve">. RL has shown great potential in diverse areas, from robotics, where it is used for teaching machines to perform tasks through trial and error, to healthcare, where it can optimize treatment strategies based on patient-specific data. Its ability to handle dynamic, uncertain environments and adapt to new challenges makes it an indispensable tool in modern artificial intelligence research, with applications ranging from autonomous driving and finance to personalized medicine and beyond </w:t>
      </w:r>
      <w:r w:rsidRPr="00D22AA7">
        <w:rPr>
          <w:rFonts w:ascii="Times" w:hAnsi="Times"/>
          <w:szCs w:val="20"/>
        </w:rPr>
        <w:fldChar w:fldCharType="begin"/>
      </w:r>
      <w:r w:rsidR="0056095D">
        <w:rPr>
          <w:rFonts w:ascii="Times" w:hAnsi="Times"/>
          <w:szCs w:val="20"/>
        </w:rPr>
        <w:instrText xml:space="preserve"> ADDIN ZOTERO_ITEM CSL_CITATION {"citationID":"5rJBjwQR","properties":{"formattedCitation":"[153]","plainCitation":"[153]","noteIndex":0},"citationItems":[{"id":15808,"uris":["http://zotero.org/users/9439317/items/ILDUMVUL"],"itemData":{"id":15808,"type":"book","ISBN":"0-262-01319-3","publisher":"MIT press","title":"Probabilistic graphical models: principles and techniques","author":[{"family":"Koller","given":"Daphne"},{"family":"Friedman","given":"Nir"}],"issued":{"date-parts":[["2009"]]}}}],"schema":"https://github.com/citation-style-language/schema/raw/master/csl-citation.json"} </w:instrText>
      </w:r>
      <w:r w:rsidRPr="00D22AA7">
        <w:rPr>
          <w:rFonts w:ascii="Times" w:hAnsi="Times"/>
          <w:szCs w:val="20"/>
        </w:rPr>
        <w:fldChar w:fldCharType="separate"/>
      </w:r>
      <w:r w:rsidR="0056095D">
        <w:rPr>
          <w:rFonts w:ascii="Times" w:hAnsi="Times"/>
          <w:noProof/>
          <w:szCs w:val="20"/>
        </w:rPr>
        <w:t>[153]</w:t>
      </w:r>
      <w:r w:rsidRPr="00D22AA7">
        <w:rPr>
          <w:rFonts w:ascii="Times" w:hAnsi="Times"/>
          <w:szCs w:val="20"/>
        </w:rPr>
        <w:fldChar w:fldCharType="end"/>
      </w:r>
      <w:r w:rsidRPr="00D22AA7">
        <w:rPr>
          <w:rFonts w:ascii="Times" w:hAnsi="Times"/>
          <w:szCs w:val="20"/>
        </w:rPr>
        <w:t>.</w:t>
      </w:r>
    </w:p>
    <w:p w14:paraId="7DFE671F" w14:textId="77777777" w:rsidR="00CF2514" w:rsidRDefault="00CF2514" w:rsidP="00DD783C">
      <w:pPr>
        <w:shd w:val="clear" w:color="auto" w:fill="FFFFFF"/>
        <w:ind w:firstLine="480"/>
        <w:jc w:val="both"/>
        <w:rPr>
          <w:rFonts w:ascii="Times" w:hAnsi="Times"/>
          <w:szCs w:val="20"/>
        </w:rPr>
      </w:pPr>
    </w:p>
    <w:p w14:paraId="2695F991" w14:textId="6293EF5D" w:rsidR="00CF2514" w:rsidRDefault="00AA0183" w:rsidP="00CF2514">
      <w:pPr>
        <w:shd w:val="clear" w:color="auto" w:fill="FFFFFF"/>
        <w:ind w:firstLine="480"/>
        <w:jc w:val="both"/>
        <w:rPr>
          <w:rFonts w:ascii="Times" w:hAnsi="Times"/>
          <w:b/>
          <w:bCs/>
          <w:szCs w:val="20"/>
        </w:rPr>
      </w:pPr>
      <w:r>
        <w:rPr>
          <w:rFonts w:ascii="Times" w:hAnsi="Times"/>
          <w:b/>
          <w:bCs/>
          <w:szCs w:val="20"/>
        </w:rPr>
        <w:t xml:space="preserve">4.4. </w:t>
      </w:r>
      <w:r w:rsidRPr="00AA0183">
        <w:rPr>
          <w:rFonts w:ascii="Times" w:hAnsi="Times"/>
          <w:b/>
          <w:bCs/>
          <w:szCs w:val="20"/>
        </w:rPr>
        <w:t>Evaluation matrics</w:t>
      </w:r>
    </w:p>
    <w:p w14:paraId="5E941DAC" w14:textId="77777777" w:rsidR="00CF2514" w:rsidRPr="00AA0183" w:rsidRDefault="00CF2514" w:rsidP="00CF2514">
      <w:pPr>
        <w:shd w:val="clear" w:color="auto" w:fill="FFFFFF"/>
        <w:ind w:firstLine="480"/>
        <w:jc w:val="both"/>
        <w:rPr>
          <w:rFonts w:ascii="Times" w:hAnsi="Times"/>
          <w:b/>
          <w:bCs/>
          <w:szCs w:val="20"/>
        </w:rPr>
      </w:pPr>
    </w:p>
    <w:p w14:paraId="720DBC4B" w14:textId="09838D41" w:rsidR="00684FC9" w:rsidRPr="00684FC9" w:rsidRDefault="00684FC9" w:rsidP="00684FC9">
      <w:pPr>
        <w:shd w:val="clear" w:color="auto" w:fill="FFFFFF"/>
        <w:ind w:firstLine="480"/>
        <w:jc w:val="both"/>
        <w:rPr>
          <w:rFonts w:ascii="Times" w:hAnsi="Times"/>
          <w:szCs w:val="20"/>
        </w:rPr>
      </w:pPr>
      <w:r w:rsidRPr="00684FC9">
        <w:rPr>
          <w:rFonts w:ascii="Times" w:hAnsi="Times"/>
          <w:szCs w:val="20"/>
        </w:rPr>
        <w:t>Artificial Intelligence (AI) has emerged as a transformative tool for automating image analysis, improving diagnostic accuracy, and accelerating research. AI techniques, particularly deep learning (DL) models, are applied to a variety of microscopy techniques, including brightfield, fluorescence, confocal, and electron microscopy, to analyze cellular structures, identify tissue abnormalities, and monitor changes in cellular morphology over time</w:t>
      </w:r>
      <w:r w:rsidRPr="00D22AA7">
        <w:rPr>
          <w:rFonts w:ascii="Times" w:hAnsi="Times"/>
          <w:szCs w:val="20"/>
        </w:rPr>
        <w:t xml:space="preserve"> </w:t>
      </w:r>
      <w:r w:rsidRPr="00D22AA7">
        <w:rPr>
          <w:rFonts w:ascii="Times" w:hAnsi="Times"/>
          <w:szCs w:val="20"/>
        </w:rPr>
        <w:fldChar w:fldCharType="begin"/>
      </w:r>
      <w:r w:rsidR="0056095D">
        <w:rPr>
          <w:rFonts w:ascii="Times" w:hAnsi="Times"/>
          <w:szCs w:val="20"/>
        </w:rPr>
        <w:instrText xml:space="preserve"> ADDIN ZOTERO_ITEM CSL_CITATION {"citationID":"qE7bz1b4","properties":{"formattedCitation":"[147,154]","plainCitation":"[147,154]","noteIndex":0},"citationItems":[{"id":5889,"uris":["http://zotero.org/users/9439317/items/P59F8BQY"],"itemData":{"id":5889,"type":"article-journal","abstract":"The success of artificial intelligence and machine learning is an incentive to develop new algorithms to increase the rapidity and reliability of medical diagnosis. Here we compared different strategies aimed at processing microscope images used to detect anti-neutrophil cytoplasmic antibodies, an important vasculitis marker: (i) basic classifier methods (logistic regression, k-nearest neighbors and decision tree) were used to process custom-made indices derived from immunofluorescence images yielded by 137 sera. (ii) These methods were combined with dimensional reduction to analyze 1733 individual cell images. (iii) More complex models based on neural networks were used to analyze the same dataset. The efficiency of discriminating between positive and negative samples and different fluorescence patterns was quantified with Rand-type accuracy index, kappa index and ROC curve. It is concluded that basic models trained on a limited dataset allowed for positive/negative discrimination with an efficiency comparable to that obtained by conventional analysis performed by humans (0.84 kappa score). More extensive datasets and more sophisticated models may be required for efficient discrimination between fluorescence patterns generated by different auto-antibody species.","container-title":"International Journal of Molecular Sciences","DOI":"10.3390/ijms25063270","ISSN":"1422-0067","issue":"6","journalAbbreviation":"IJMS","language":"en","license":"https://creativecommons.org/licenses/by/4.0/","page":"3270","source":"DOI.org (Crossref)","title":"Comparison of the Capacity of Several Machine Learning Tools to Assist Immunofluorescence-Based Detection of Anti-Neutrophil Cytoplasmic Antibodies","URL":"https://www.mdpi.com/1422-0067/25/6/3270","volume":"25","author":[{"family":"Bertin","given":"Daniel"},{"family":"Bongrand","given":"Pierre"},{"family":"Bardin","given":"Nathalie"}],"accessed":{"date-parts":[["2024",5,20]]},"issued":{"date-parts":[["2024",3,13]]}}},{"id":11129,"uris":["http://zotero.org/users/9439317/items/3Q8IZF88"],"itemData":{"id":11129,"type":"article-journal","abstract":"Deep learning (DL) is revolutionizing evidence-based decision-making techniques that can be applied across various sectors. Specifically, it possesses the ability to utilize two or more levels of non-linear feature transformation of the given data via representation learning in order to overcome limitations posed by large datasets. As a multidisciplinary field that is still in its nascent phase, articles that survey DL architectures encompassing the full scope of the field are rather limited. Thus, this paper comprehensively reviews the state-of-art DL modelling techniques and provides insights into their advantages and challenges. It was found that many of the models exhibit a highly domain-specific efficiency and could be trained by two or more methods. However, training DL models can be very time-consuming, expensive, and requires huge samples for better accuracy. Since DL is also susceptible to deception and misclassification and tends to get stuck on local minima, improved optimization of parameters is required to create more robust models. Regardless, DL has already been leading to groundbreaking results in the healthcare, education, security, commercial, industrial, as well as government sectors. Some models, like the convolutional neural network (CNN), generative adversarial networks (GAN), recurrent neural network (RNN), recursive neural networks, and autoencoders, are frequently used, while the potential of other models remains widely unexplored. Pertinently, hybrid conventional DL architectures have the capacity to overcome the challenges experienced by conventional models. Considering that capsule architectures may dominate future DL models, this work aimed to compile information for stakeholders involved in the development and use of DL models in the contemporary world.","container-title":"Artificial Intelligence Review","DOI":"10.1007/s10462-023-10466-8","ISSN":"1573-7462","issue":"11","journalAbbreviation":"Artificial Intelligence Review","page":"13521-13617","title":"Deep learning modelling techniques: current progress, applications, advantages, and challenges","URL":"https://doi.org/10.1007/s10462-023-10466-8","volume":"56","author":[{"family":"Ahmed","given":"Shams Forruque"},{"family":"Alam","given":"Md. Sakib Bin"},{"family":"Hassan","given":"Maruf"},{"family":"Rozbu","given":"Mahtabin Rodela"},{"family":"Ishtiak","given":"Taoseef"},{"family":"Rafa","given":"Nazifa"},{"family":"Mofijur","given":"M."},{"family":"Shawkat Ali","given":"A. B. M."},{"family":"Gandomi","given":"Amir H."}],"issued":{"date-parts":[["2023",11,1]]}}}],"schema":"https://github.com/citation-style-language/schema/raw/master/csl-citation.json"} </w:instrText>
      </w:r>
      <w:r w:rsidRPr="00D22AA7">
        <w:rPr>
          <w:rFonts w:ascii="Times" w:hAnsi="Times"/>
          <w:szCs w:val="20"/>
        </w:rPr>
        <w:fldChar w:fldCharType="separate"/>
      </w:r>
      <w:r w:rsidR="0056095D">
        <w:rPr>
          <w:rFonts w:ascii="Times" w:hAnsi="Times"/>
          <w:noProof/>
          <w:szCs w:val="20"/>
        </w:rPr>
        <w:t>[147,154]</w:t>
      </w:r>
      <w:r w:rsidRPr="00D22AA7">
        <w:rPr>
          <w:rFonts w:ascii="Times" w:hAnsi="Times"/>
          <w:szCs w:val="20"/>
        </w:rPr>
        <w:fldChar w:fldCharType="end"/>
      </w:r>
      <w:r w:rsidRPr="00684FC9">
        <w:rPr>
          <w:rFonts w:ascii="Times" w:hAnsi="Times"/>
          <w:szCs w:val="20"/>
        </w:rPr>
        <w:t xml:space="preserve">. These models are trained to detect and classify patterns such as cell shapes, tissue architecture, and the presence of specific biomarkers or lesions. The evaluation of AI </w:t>
      </w:r>
      <w:r w:rsidR="00F25D76" w:rsidRPr="00D22AA7">
        <w:rPr>
          <w:rFonts w:ascii="Times" w:hAnsi="Times"/>
          <w:szCs w:val="20"/>
        </w:rPr>
        <w:t>regarding</w:t>
      </w:r>
      <w:r w:rsidRPr="00684FC9">
        <w:rPr>
          <w:rFonts w:ascii="Times" w:hAnsi="Times"/>
          <w:szCs w:val="20"/>
        </w:rPr>
        <w:t xml:space="preserve"> analysis of microscopic images relies on various performance metrics to assess segmentation accuracy, classification performance, and the ability to generalize across diverse datasets.</w:t>
      </w:r>
      <w:r w:rsidRPr="00D22AA7">
        <w:rPr>
          <w:rFonts w:ascii="Times" w:hAnsi="Times"/>
          <w:szCs w:val="20"/>
        </w:rPr>
        <w:t xml:space="preserve"> </w:t>
      </w:r>
      <w:r w:rsidRPr="00684FC9">
        <w:rPr>
          <w:rFonts w:ascii="Times" w:hAnsi="Times"/>
          <w:szCs w:val="20"/>
        </w:rPr>
        <w:t>Key metrics commonly used in the evaluation of AI performance on microscopic images include accuracy, sensitivity, specificity, precision, recall, and F1-score, which quantify the model’s ability to correctly identify cell types or detect pathological features. However, in tasks such as image segmentation, where the model needs to delineate specific regions of interest, metrics like the Dice coefficient and Jaccard index are of particular importance. The Dice coefficient is widely used to assess the overlap between predicted and ground truth regions</w:t>
      </w:r>
      <w:r w:rsidRPr="00D22AA7">
        <w:rPr>
          <w:rFonts w:ascii="Times" w:hAnsi="Times"/>
          <w:szCs w:val="20"/>
        </w:rPr>
        <w:t xml:space="preserve"> </w:t>
      </w:r>
      <w:r w:rsidRPr="00D22AA7">
        <w:rPr>
          <w:rFonts w:ascii="Times" w:hAnsi="Times"/>
          <w:szCs w:val="20"/>
        </w:rPr>
        <w:fldChar w:fldCharType="begin"/>
      </w:r>
      <w:r w:rsidR="0056095D">
        <w:rPr>
          <w:rFonts w:ascii="Times" w:hAnsi="Times"/>
          <w:szCs w:val="20"/>
        </w:rPr>
        <w:instrText xml:space="preserve"> ADDIN ZOTERO_ITEM CSL_CITATION {"citationID":"8Vu5rRXe","properties":{"formattedCitation":"[155]","plainCitation":"[155]","noteIndex":0},"citationItems":[{"id":15980,"uris":["http://zotero.org/users/9439317/items/HICV2ZAV"],"itemData":{"id":15980,"type":"chapter","ISBN":"978-3-030-32244-1","note":"DOI: 10.1007/978-3-030-32245-8_11","page":"92-100","title":"Optimizing the Dice Score and Jaccard Index for Medical Image Segmentation: Theory and Practice","author":[{"family":"Bertels","given":"Jeroen"},{"family":"Eelbode","given":"Tom"},{"family":"Berman","given":"Maxim"},{"family":"Vandermeulen","given":"Dirk"},{"family":"Maes","given":"Frederik"},{"family":"Bisschops","given":"Raf"},{"family":"Blaschko","given":"Matthew"}],"issued":{"date-parts":[["2019",10,1]]}}}],"schema":"https://github.com/citation-style-language/schema/raw/master/csl-citation.json"} </w:instrText>
      </w:r>
      <w:r w:rsidRPr="00D22AA7">
        <w:rPr>
          <w:rFonts w:ascii="Times" w:hAnsi="Times"/>
          <w:szCs w:val="20"/>
        </w:rPr>
        <w:fldChar w:fldCharType="separate"/>
      </w:r>
      <w:r w:rsidR="0056095D">
        <w:rPr>
          <w:rFonts w:ascii="Times" w:hAnsi="Times"/>
          <w:noProof/>
          <w:szCs w:val="20"/>
        </w:rPr>
        <w:t>[155]</w:t>
      </w:r>
      <w:r w:rsidRPr="00D22AA7">
        <w:rPr>
          <w:rFonts w:ascii="Times" w:hAnsi="Times"/>
          <w:szCs w:val="20"/>
        </w:rPr>
        <w:fldChar w:fldCharType="end"/>
      </w:r>
      <w:r w:rsidRPr="00D22AA7">
        <w:rPr>
          <w:rFonts w:ascii="Times" w:hAnsi="Times"/>
          <w:szCs w:val="20"/>
        </w:rPr>
        <w:t>.</w:t>
      </w:r>
    </w:p>
    <w:p w14:paraId="1BD1E5A2" w14:textId="546D6D32" w:rsidR="00684FC9" w:rsidRPr="00684FC9" w:rsidRDefault="00684FC9" w:rsidP="00684FC9">
      <w:pPr>
        <w:shd w:val="clear" w:color="auto" w:fill="FFFFFF"/>
        <w:ind w:firstLine="480"/>
        <w:jc w:val="both"/>
        <w:rPr>
          <w:rFonts w:ascii="Times" w:hAnsi="Times"/>
          <w:szCs w:val="20"/>
        </w:rPr>
      </w:pPr>
      <w:r w:rsidRPr="00684FC9">
        <w:rPr>
          <w:rFonts w:ascii="Times" w:hAnsi="Times"/>
          <w:szCs w:val="20"/>
        </w:rPr>
        <w:t>This metric evaluates the similarity between the predicted and true regions, with higher values indicating better segmentation. Both the Dice coefficient and Jaccard index provide quantitative measures for evaluating how accurately the AI model identifies structures such as cell nuclei, cytoplasm, and tissue boundaries, which are crucial for analyzing tissue morphology and diagnosing diseases</w:t>
      </w:r>
      <w:r w:rsidRPr="00D22AA7">
        <w:rPr>
          <w:rFonts w:ascii="Times" w:hAnsi="Times"/>
          <w:szCs w:val="20"/>
        </w:rPr>
        <w:t xml:space="preserve"> </w:t>
      </w:r>
      <w:r w:rsidRPr="00D22AA7">
        <w:rPr>
          <w:rFonts w:ascii="Times" w:hAnsi="Times"/>
        </w:rPr>
        <w:fldChar w:fldCharType="begin"/>
      </w:r>
      <w:r w:rsidR="0056095D">
        <w:rPr>
          <w:rFonts w:ascii="Times" w:hAnsi="Times"/>
        </w:rPr>
        <w:instrText xml:space="preserve"> ADDIN ZOTERO_ITEM CSL_CITATION {"citationID":"TG6LuTfT","properties":{"formattedCitation":"[155]","plainCitation":"[155]","noteIndex":0},"citationItems":[{"id":15980,"uris":["http://zotero.org/users/9439317/items/HICV2ZAV"],"itemData":{"id":15980,"type":"chapter","ISBN":"978-3-030-32244-1","note":"DOI: 10.1007/978-3-030-32245-8_11","page":"92-100","title":"Optimizing the Dice Score and Jaccard Index for Medical Image Segmentation: Theory and Practice","author":[{"family":"Bertels","given":"Jeroen"},{"family":"Eelbode","given":"Tom"},{"family":"Berman","given":"Maxim"},{"family":"Vandermeulen","given":"Dirk"},{"family":"Maes","given":"Frederik"},{"family":"Bisschops","given":"Raf"},{"family":"Blaschko","given":"Matthew"}],"issued":{"date-parts":[["2019",10,1]]}}}],"schema":"https://github.com/citation-style-language/schema/raw/master/csl-citation.json"} </w:instrText>
      </w:r>
      <w:r w:rsidRPr="00D22AA7">
        <w:rPr>
          <w:rFonts w:ascii="Times" w:hAnsi="Times"/>
        </w:rPr>
        <w:fldChar w:fldCharType="separate"/>
      </w:r>
      <w:r w:rsidR="0056095D">
        <w:rPr>
          <w:rFonts w:ascii="Times" w:hAnsi="Times"/>
          <w:noProof/>
        </w:rPr>
        <w:t>[155]</w:t>
      </w:r>
      <w:r w:rsidRPr="00D22AA7">
        <w:rPr>
          <w:rFonts w:ascii="Times" w:hAnsi="Times"/>
        </w:rPr>
        <w:fldChar w:fldCharType="end"/>
      </w:r>
      <w:r w:rsidRPr="00684FC9">
        <w:rPr>
          <w:rFonts w:ascii="Times" w:hAnsi="Times"/>
          <w:szCs w:val="20"/>
        </w:rPr>
        <w:t>.</w:t>
      </w:r>
    </w:p>
    <w:p w14:paraId="5E632F5F" w14:textId="77777777" w:rsidR="00684FC9" w:rsidRPr="00684FC9" w:rsidRDefault="00684FC9" w:rsidP="00684FC9">
      <w:pPr>
        <w:shd w:val="clear" w:color="auto" w:fill="FFFFFF"/>
        <w:ind w:firstLine="480"/>
        <w:jc w:val="both"/>
        <w:rPr>
          <w:rFonts w:ascii="Times" w:hAnsi="Times"/>
          <w:szCs w:val="20"/>
        </w:rPr>
      </w:pPr>
      <w:r w:rsidRPr="00684FC9">
        <w:rPr>
          <w:rFonts w:ascii="Times" w:hAnsi="Times"/>
          <w:szCs w:val="20"/>
        </w:rPr>
        <w:t xml:space="preserve">In addition to these metrics, the mean squared error (MSE) and structural similarity index (SSIM) are used to evaluate the quality of reconstructed or denoised images in tasks such as image enhancement or noise reduction in microscopic images. For instance, AI models can be applied to </w:t>
      </w:r>
      <w:r w:rsidRPr="00684FC9">
        <w:rPr>
          <w:rFonts w:ascii="Times" w:hAnsi="Times"/>
          <w:szCs w:val="20"/>
        </w:rPr>
        <w:lastRenderedPageBreak/>
        <w:t>improve image clarity, enhancing the ability to distinguish fine cellular details. The pixel accuracy and boundary detection accuracy are also essential for tasks that require precise delineation of cellular structures or tissue layers.</w:t>
      </w:r>
    </w:p>
    <w:p w14:paraId="1E1D4035" w14:textId="77777777" w:rsidR="00684FC9" w:rsidRPr="00684FC9" w:rsidRDefault="00684FC9" w:rsidP="00684FC9">
      <w:pPr>
        <w:shd w:val="clear" w:color="auto" w:fill="FFFFFF"/>
        <w:ind w:firstLine="480"/>
        <w:jc w:val="both"/>
        <w:rPr>
          <w:rFonts w:ascii="Times" w:hAnsi="Times"/>
          <w:szCs w:val="20"/>
        </w:rPr>
      </w:pPr>
      <w:r w:rsidRPr="00684FC9">
        <w:rPr>
          <w:rFonts w:ascii="Times" w:hAnsi="Times"/>
          <w:szCs w:val="20"/>
        </w:rPr>
        <w:t>For more advanced evaluation, metrics like spatial localization accuracy can be employed in the context of cell tracking or tumor growth monitoring, where the model is required to track the movement of cells or accurately localize regions of interest over time. Additionally, cross-validation techniques, such as k-fold validation, ensure that AI models trained on microscopic images generalize well across different datasets and are not biased by overfitting to specific image characteristics.</w:t>
      </w:r>
    </w:p>
    <w:p w14:paraId="18A97E75" w14:textId="4683EACD" w:rsidR="00684FC9" w:rsidRPr="00D22AA7" w:rsidRDefault="00684FC9" w:rsidP="00DD783C">
      <w:pPr>
        <w:shd w:val="clear" w:color="auto" w:fill="FFFFFF"/>
        <w:ind w:firstLine="480"/>
        <w:jc w:val="both"/>
        <w:rPr>
          <w:rFonts w:ascii="Times" w:hAnsi="Times"/>
          <w:szCs w:val="20"/>
        </w:rPr>
      </w:pPr>
      <w:r w:rsidRPr="00684FC9">
        <w:rPr>
          <w:rFonts w:ascii="Times" w:hAnsi="Times"/>
          <w:szCs w:val="20"/>
        </w:rPr>
        <w:t>Ultimately, the use of AI in microscopic image analysis of cells and tissues, combined with the evaluation metrics discussed, leads to more efficient and reliable interpretation of cellular structures, aiding in the diagnosis and monitoring of diseases such as cancer, neurodegenerative disorders, and infections. The ability of AI to deliver consistent, reproducible results while handling large-scale, high-dimensional image data makes it a powerful tool in both clinical and research settings, driving improvements in patient outcomes and advancing our understanding of cellular biology</w:t>
      </w:r>
      <w:r w:rsidRPr="00D22AA7">
        <w:rPr>
          <w:rFonts w:ascii="Times" w:hAnsi="Times"/>
          <w:szCs w:val="20"/>
        </w:rPr>
        <w:t xml:space="preserve"> </w:t>
      </w:r>
      <w:r w:rsidRPr="00D22AA7">
        <w:rPr>
          <w:rFonts w:ascii="Times" w:hAnsi="Times"/>
          <w:szCs w:val="20"/>
        </w:rPr>
        <w:fldChar w:fldCharType="begin"/>
      </w:r>
      <w:r w:rsidR="0056095D">
        <w:rPr>
          <w:rFonts w:ascii="Times" w:hAnsi="Times"/>
          <w:szCs w:val="20"/>
        </w:rPr>
        <w:instrText xml:space="preserve"> ADDIN ZOTERO_ITEM CSL_CITATION {"citationID":"eMelD7CQ","properties":{"formattedCitation":"[156]","plainCitation":"[156]","noteIndex":0},"citationItems":[{"id":15998,"uris":["http://zotero.org/users/9439317/items/ZGUYNCZJ"],"itemData":{"id":15998,"type":"article-journal","abstract":"Abstract This research investigates advanced approaches in medical image analysis, specifically focusing on segmentation and classification techniques, as well as their integration into multi-task architectures for lung infections. This research begins by explaining key architectural models used in segmentation and classification tasks. The study extends to the enhancement of these architectures through attention modules and conditional random fields. Relevant datasets and evaluation metrics, incorporating discussions on loss functions are also reviewed. This review encompasses recent advancements in single-task and multi-task models, highlighting innovations in semi-supervised, self-supervised, few-shot, and zero-shot learning techniques. Empirical analysis is conducted on both single-task and multi-task architectures, predominantly utilizing the U-Net framework, and is applied across multiple datasets for segmentation and classification tasks. Results demonstrate the effectiveness of these models and provide insights into the strengths and limitations of different approaches. This research contributes to improved detection and diagnosis of lung infections by offering a comprehensive overview of current methodologies and their practical applications.","container-title":"IET Image Processing","DOI":"10.1049/ipr2.13246","ISSN":"1751-9659","issue":"13","journalAbbreviation":"IET Image Processing","note":"publisher: John Wiley &amp; Sons, Ltd","page":"3750-3800","title":"Advances in medical image analysis: A comprehensive survey of lung infection detection","URL":"https://doi.org/10.1049/ipr2.13246","volume":"18","author":[{"family":"Kordnoori","given":"Shirin"},{"family":"Sabeti","given":"Maliheh"},{"family":"Mostafaei","given":"Hamidreza"},{"family":"Seyed Agha Banihashemi","given":"Saeed"}],"accessed":{"date-parts":[["2025",2,13]]},"issued":{"date-parts":[["2024",11,1]]}}}],"schema":"https://github.com/citation-style-language/schema/raw/master/csl-citation.json"} </w:instrText>
      </w:r>
      <w:r w:rsidRPr="00D22AA7">
        <w:rPr>
          <w:rFonts w:ascii="Times" w:hAnsi="Times"/>
          <w:szCs w:val="20"/>
        </w:rPr>
        <w:fldChar w:fldCharType="separate"/>
      </w:r>
      <w:r w:rsidR="0056095D">
        <w:rPr>
          <w:rFonts w:ascii="Times" w:hAnsi="Times"/>
          <w:noProof/>
          <w:szCs w:val="20"/>
        </w:rPr>
        <w:t>[156]</w:t>
      </w:r>
      <w:r w:rsidRPr="00D22AA7">
        <w:rPr>
          <w:rFonts w:ascii="Times" w:hAnsi="Times"/>
          <w:szCs w:val="20"/>
        </w:rPr>
        <w:fldChar w:fldCharType="end"/>
      </w:r>
      <w:r w:rsidRPr="00684FC9">
        <w:rPr>
          <w:rFonts w:ascii="Times" w:hAnsi="Times"/>
          <w:szCs w:val="20"/>
        </w:rPr>
        <w:t>.</w:t>
      </w:r>
    </w:p>
    <w:p w14:paraId="392D8F39" w14:textId="77777777" w:rsidR="00DD783C" w:rsidRPr="00D22AA7" w:rsidRDefault="00DD783C" w:rsidP="00DD783C">
      <w:pPr>
        <w:shd w:val="clear" w:color="auto" w:fill="FFFFFF"/>
        <w:ind w:firstLine="480"/>
        <w:jc w:val="both"/>
        <w:rPr>
          <w:rFonts w:ascii="Times" w:hAnsi="Times"/>
          <w:szCs w:val="20"/>
        </w:rPr>
      </w:pPr>
    </w:p>
    <w:p w14:paraId="3E3463D6" w14:textId="6F67F033" w:rsidR="00E86AB5" w:rsidRDefault="0B13CCFC" w:rsidP="2C6AA39A">
      <w:pPr>
        <w:pStyle w:val="MDPI31text"/>
        <w:ind w:left="0" w:firstLine="0"/>
        <w:rPr>
          <w:rFonts w:ascii="Times" w:eastAsiaTheme="majorEastAsia" w:hAnsi="Times" w:cs="Open Sans"/>
          <w:b/>
          <w:bCs/>
          <w:sz w:val="24"/>
          <w:szCs w:val="24"/>
          <w:shd w:val="clear" w:color="auto" w:fill="FFFFFF"/>
        </w:rPr>
      </w:pPr>
      <w:r w:rsidRPr="00D22AA7">
        <w:rPr>
          <w:rFonts w:ascii="Times" w:eastAsiaTheme="majorEastAsia" w:hAnsi="Times" w:cs="Open Sans"/>
          <w:b/>
          <w:bCs/>
          <w:sz w:val="24"/>
          <w:szCs w:val="24"/>
          <w:shd w:val="clear" w:color="auto" w:fill="FFFFFF"/>
        </w:rPr>
        <w:t>4.</w:t>
      </w:r>
      <w:r w:rsidR="005D6C43">
        <w:rPr>
          <w:rFonts w:ascii="Times" w:eastAsiaTheme="majorEastAsia" w:hAnsi="Times" w:cs="Open Sans"/>
          <w:b/>
          <w:bCs/>
          <w:sz w:val="24"/>
          <w:szCs w:val="24"/>
          <w:shd w:val="clear" w:color="auto" w:fill="FFFFFF"/>
        </w:rPr>
        <w:t>5</w:t>
      </w:r>
      <w:r w:rsidR="00DD783C" w:rsidRPr="00D22AA7">
        <w:rPr>
          <w:rFonts w:ascii="Times" w:eastAsiaTheme="majorEastAsia" w:hAnsi="Times" w:cs="Open Sans"/>
          <w:b/>
          <w:bCs/>
          <w:sz w:val="24"/>
          <w:szCs w:val="24"/>
          <w:shd w:val="clear" w:color="auto" w:fill="FFFFFF"/>
        </w:rPr>
        <w:t>.</w:t>
      </w:r>
      <w:r w:rsidR="00E86AB5" w:rsidRPr="00D22AA7">
        <w:rPr>
          <w:rFonts w:ascii="Times" w:eastAsiaTheme="majorEastAsia" w:hAnsi="Times" w:cs="Open Sans"/>
          <w:b/>
          <w:bCs/>
          <w:i/>
          <w:iCs/>
          <w:sz w:val="24"/>
          <w:szCs w:val="24"/>
          <w:shd w:val="clear" w:color="auto" w:fill="FFFFFF"/>
        </w:rPr>
        <w:t xml:space="preserve"> </w:t>
      </w:r>
      <w:r w:rsidR="00E86AB5" w:rsidRPr="005D6C43">
        <w:rPr>
          <w:rFonts w:ascii="Times" w:eastAsiaTheme="majorEastAsia" w:hAnsi="Times" w:cs="Open Sans"/>
          <w:b/>
          <w:bCs/>
          <w:sz w:val="24"/>
          <w:szCs w:val="24"/>
          <w:shd w:val="clear" w:color="auto" w:fill="FFFFFF"/>
        </w:rPr>
        <w:t>I</w:t>
      </w:r>
      <w:r w:rsidR="00E86AB5" w:rsidRPr="00D22AA7">
        <w:rPr>
          <w:rFonts w:ascii="Times" w:eastAsiaTheme="majorEastAsia" w:hAnsi="Times" w:cs="Open Sans"/>
          <w:b/>
          <w:bCs/>
          <w:sz w:val="24"/>
          <w:szCs w:val="24"/>
          <w:shd w:val="clear" w:color="auto" w:fill="FFFFFF"/>
        </w:rPr>
        <w:t>ntroduction to Artificial Neural Networks</w:t>
      </w:r>
    </w:p>
    <w:p w14:paraId="532CD3CE" w14:textId="77777777" w:rsidR="00F2002C" w:rsidRPr="00D22AA7" w:rsidRDefault="00F2002C" w:rsidP="2C6AA39A">
      <w:pPr>
        <w:pStyle w:val="MDPI31text"/>
        <w:ind w:left="0" w:firstLine="0"/>
        <w:rPr>
          <w:rFonts w:ascii="Times" w:eastAsiaTheme="majorEastAsia" w:hAnsi="Times" w:cs="Open Sans"/>
          <w:b/>
          <w:bCs/>
          <w:i/>
          <w:iCs/>
          <w:sz w:val="24"/>
          <w:szCs w:val="24"/>
          <w:shd w:val="clear" w:color="auto" w:fill="FFFFFF"/>
        </w:rPr>
      </w:pPr>
    </w:p>
    <w:p w14:paraId="7AE6DD1C" w14:textId="166998E3" w:rsidR="00E86AB5" w:rsidRDefault="00E86AB5" w:rsidP="2C6AA39A">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t>Artificial Neural Networks (ANNs) are computational models inspired by the structure and functionality of the human brain. They consist of interconnected layers of nodes, or neurons, where each connection is assigned a weight that determines its influence</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{"citationID":"EenmXwag","properties":{"formattedCitation":"[141]","plainCitation":"[141]","noteIndex":0},"citationItems":[{"id":11130,"uris":["http://zotero.org/users/9439317/items/B4HPG23Q"],"itemData":{"id":11130,"type":"article-journal","container-title":"Expert Systems with Applications","ISSN":"0957-4174","journalAbbreviation":"Expert Systems with Applications","note":"publisher: Elsevier","page":"122983","title":"Paradigm shift from Artificial Neural Networks (ANNs) to deep Convolutional Neural Networks (DCNNs) in the field of medical image processing","author":[{"family":"Abut","given":"Serdar"},{"family":"Okut","given":"Hayrettin"},{"family":"Kallail","given":"K James"}],"issued":{"date-parts":[["2023"]]}}}],"schema":"https://github.com/citation-style-language/schema/raw/master/csl-citation.json"} </w:instrText>
      </w:r>
      <w:r w:rsidR="00DA34AB"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[141]</w:t>
      </w:r>
      <w:r w:rsidR="00DA34AB"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 xml:space="preserve">. The fundamental </w:t>
      </w:r>
      <w:r w:rsidR="00F25D76" w:rsidRPr="00D22AA7">
        <w:rPr>
          <w:rFonts w:ascii="Times" w:hAnsi="Times" w:cs="Open Sans"/>
          <w:sz w:val="24"/>
          <w:szCs w:val="24"/>
          <w:shd w:val="clear" w:color="auto" w:fill="FFFFFF"/>
        </w:rPr>
        <w:t xml:space="preserve">part </w:t>
      </w:r>
      <w:r w:rsidRPr="00D22AA7">
        <w:rPr>
          <w:rFonts w:ascii="Times" w:hAnsi="Times" w:cs="Open Sans"/>
          <w:sz w:val="24"/>
          <w:szCs w:val="24"/>
          <w:shd w:val="clear" w:color="auto" w:fill="FFFFFF"/>
        </w:rPr>
        <w:t xml:space="preserve">of an ANN </w:t>
      </w:r>
      <w:proofErr w:type="gramStart"/>
      <w:r w:rsidRPr="00D22AA7">
        <w:rPr>
          <w:rFonts w:ascii="Times" w:hAnsi="Times" w:cs="Open Sans"/>
          <w:sz w:val="24"/>
          <w:szCs w:val="24"/>
          <w:shd w:val="clear" w:color="auto" w:fill="FFFFFF"/>
        </w:rPr>
        <w:t>include</w:t>
      </w:r>
      <w:proofErr w:type="gramEnd"/>
      <w:r w:rsidRPr="00D22AA7">
        <w:rPr>
          <w:rFonts w:ascii="Times" w:hAnsi="Times" w:cs="Open Sans"/>
          <w:sz w:val="24"/>
          <w:szCs w:val="24"/>
          <w:shd w:val="clear" w:color="auto" w:fill="FFFFFF"/>
        </w:rPr>
        <w:t xml:space="preserve"> an </w:t>
      </w:r>
      <w:r w:rsidRPr="00D22AA7">
        <w:rPr>
          <w:rFonts w:ascii="Times" w:eastAsiaTheme="majorEastAsia" w:hAnsi="Times" w:cs="Open Sans"/>
          <w:sz w:val="24"/>
          <w:szCs w:val="24"/>
          <w:shd w:val="clear" w:color="auto" w:fill="FFFFFF"/>
        </w:rPr>
        <w:t>input layer</w:t>
      </w:r>
      <w:r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hidden layers</w:t>
      </w:r>
      <w:r w:rsidRPr="00D22AA7">
        <w:rPr>
          <w:rFonts w:ascii="Times" w:hAnsi="Times" w:cs="Open Sans"/>
          <w:sz w:val="24"/>
          <w:szCs w:val="24"/>
          <w:shd w:val="clear" w:color="auto" w:fill="FFFFFF"/>
        </w:rPr>
        <w:t xml:space="preserve">, and an </w:t>
      </w:r>
      <w:r w:rsidRPr="00D22AA7">
        <w:rPr>
          <w:rFonts w:ascii="Times" w:eastAsiaTheme="majorEastAsia" w:hAnsi="Times" w:cs="Open Sans"/>
          <w:sz w:val="24"/>
          <w:szCs w:val="24"/>
          <w:shd w:val="clear" w:color="auto" w:fill="FFFFFF"/>
        </w:rPr>
        <w:t>output layer</w:t>
      </w:r>
      <w:r w:rsidRPr="00D22AA7">
        <w:rPr>
          <w:rFonts w:ascii="Times" w:hAnsi="Times" w:cs="Open Sans"/>
          <w:sz w:val="24"/>
          <w:szCs w:val="24"/>
          <w:shd w:val="clear" w:color="auto" w:fill="FFFFFF"/>
        </w:rPr>
        <w:t xml:space="preserve">. </w:t>
      </w:r>
      <w:r w:rsidR="00F25D76" w:rsidRPr="00D22AA7">
        <w:rPr>
          <w:rFonts w:ascii="Times" w:hAnsi="Times" w:cs="Open Sans"/>
          <w:sz w:val="24"/>
          <w:szCs w:val="24"/>
          <w:shd w:val="clear" w:color="auto" w:fill="FFFFFF"/>
        </w:rPr>
        <w:t xml:space="preserve">So, </w:t>
      </w:r>
      <w:r w:rsidRPr="00D22AA7">
        <w:rPr>
          <w:rFonts w:ascii="Times" w:hAnsi="Times" w:cs="Open Sans"/>
          <w:sz w:val="24"/>
          <w:szCs w:val="24"/>
          <w:shd w:val="clear" w:color="auto" w:fill="FFFFFF"/>
        </w:rPr>
        <w:t xml:space="preserve">input layer </w:t>
      </w:r>
      <w:proofErr w:type="gramStart"/>
      <w:r w:rsidRPr="00D22AA7">
        <w:rPr>
          <w:rFonts w:ascii="Times" w:hAnsi="Times" w:cs="Open Sans"/>
          <w:sz w:val="24"/>
          <w:szCs w:val="24"/>
          <w:shd w:val="clear" w:color="auto" w:fill="FFFFFF"/>
        </w:rPr>
        <w:t>receives  data</w:t>
      </w:r>
      <w:proofErr w:type="gramEnd"/>
      <w:r w:rsidRPr="00D22AA7">
        <w:rPr>
          <w:rFonts w:ascii="Times" w:hAnsi="Times" w:cs="Open Sans"/>
          <w:sz w:val="24"/>
          <w:szCs w:val="24"/>
          <w:shd w:val="clear" w:color="auto" w:fill="FFFFFF"/>
        </w:rPr>
        <w:t xml:space="preserve">, which is then processed through the hidden layers using </w:t>
      </w:r>
      <w:r w:rsidRPr="00D22AA7">
        <w:rPr>
          <w:rFonts w:ascii="Times" w:eastAsiaTheme="majorEastAsia" w:hAnsi="Times" w:cs="Open Sans"/>
          <w:sz w:val="24"/>
          <w:szCs w:val="24"/>
          <w:shd w:val="clear" w:color="auto" w:fill="FFFFFF"/>
        </w:rPr>
        <w:t>activation functions</w:t>
      </w:r>
      <w:r w:rsidRPr="00D22AA7">
        <w:rPr>
          <w:rFonts w:ascii="Times" w:hAnsi="Times" w:cs="Open Sans"/>
          <w:sz w:val="24"/>
          <w:szCs w:val="24"/>
          <w:shd w:val="clear" w:color="auto" w:fill="FFFFFF"/>
        </w:rPr>
        <w:t xml:space="preserve"> that capture intricate patterns. The final output is generated in the output layer, which produces predictions or </w:t>
      </w:r>
      <w:r w:rsidR="003E140F">
        <w:rPr>
          <w:rFonts w:ascii="Times" w:hAnsi="Times" w:cs="Open Sans"/>
          <w:sz w:val="24"/>
          <w:szCs w:val="24"/>
          <w:shd w:val="clear" w:color="auto" w:fill="FFFFFF"/>
        </w:rPr>
        <w:t xml:space="preserve"> </w:t>
      </w:r>
      <w:r w:rsidRPr="00D22AA7">
        <w:rPr>
          <w:rFonts w:ascii="Times" w:hAnsi="Times" w:cs="Open Sans"/>
          <w:sz w:val="24"/>
          <w:szCs w:val="24"/>
          <w:shd w:val="clear" w:color="auto" w:fill="FFFFFF"/>
        </w:rPr>
        <w:t>classifications based on learned representations</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{"citationID":"cfC6tlTJ","properties":{"formattedCitation":"[157]","plainCitation":"[157]","noteIndex":0},"citationItems":[{"id":11128,"uris":["http://zotero.org/users/9439317/items/59IRKCNE"],"itemData":{"id":11128,"type":"article-journal","abstract":"This paper presents an emergence of an Artificial Neural Network (ANN) as a tool for analysis of different parameters of a system. An Artificial Neural Network (ANN) is an information-processing paradigm that is inspired by the way biological nervous systems such as brain, process information. ANN consists of multiple layers of simple processing elements called as neurons. The neuron performs two functions, namely, collection of inputs &amp; generation of an output. Use of ANN provides overview of the theory, learning rules, and applications of the most important neural network models, definitions and style of Computation. The mathematical model of network throws the light on the concept of inputs, weights, summing function, activation function &amp; outputs. Then ANN helps to decide the type of learning for adjustment of weights with change in parameters. Finally the analysis of a system is completed by ANN implementation &amp; ANN training &amp; prediction quality.","issue":"1","language":"en","source":"Zotero","title":"Introduction to Artificial Neural Network","volume":"2","author":[{"family":"Dongare","given":"A D"},{"family":"Kharde","given":"R R"},{"family":"Kachare","given":"Amit D"}],"issued":{"date-parts":[["2012"]]}}}],"schema":"https://github.com/citation-style-language/schema/raw/master/csl-citation.json"} </w:instrText>
      </w:r>
      <w:r w:rsidR="00DA34AB"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[157]</w:t>
      </w:r>
      <w:r w:rsidR="00DA34AB"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w:t>
      </w:r>
    </w:p>
    <w:p w14:paraId="2C1F89E7" w14:textId="77777777" w:rsidR="003E140F" w:rsidRDefault="003E140F" w:rsidP="2C6AA39A">
      <w:pPr>
        <w:pStyle w:val="MDPI31text"/>
        <w:ind w:left="0" w:firstLine="0"/>
        <w:rPr>
          <w:rFonts w:ascii="Times" w:hAnsi="Times" w:cs="Open Sans"/>
          <w:sz w:val="24"/>
          <w:szCs w:val="24"/>
          <w:shd w:val="clear" w:color="auto" w:fill="FFFFFF"/>
        </w:rPr>
      </w:pPr>
    </w:p>
    <w:p w14:paraId="7C1F5154" w14:textId="349186B3" w:rsidR="007D4C4E" w:rsidRDefault="003E140F" w:rsidP="2C6AA39A">
      <w:pPr>
        <w:pStyle w:val="MDPI31text"/>
        <w:ind w:left="0" w:firstLine="0"/>
      </w:pPr>
      <w:r>
        <w:t xml:space="preserve">                               </w:t>
      </w:r>
      <w:r w:rsidR="007D4C4E">
        <w:fldChar w:fldCharType="begin"/>
      </w:r>
      <w:r w:rsidR="007D4C4E">
        <w:instrText xml:space="preserve"> INCLUDEPICTURE "https://www.mdpi.com/jimaging/jimaging-11-00059/article_deploy/html/images/jimaging-11-00059-g002.png" \* MERGEFORMATINET </w:instrText>
      </w:r>
      <w:r w:rsidR="007D4C4E">
        <w:fldChar w:fldCharType="separate"/>
      </w:r>
      <w:r w:rsidR="007D4C4E">
        <w:rPr>
          <w:noProof/>
        </w:rPr>
        <w:drawing>
          <wp:inline distT="0" distB="0" distL="0" distR="0" wp14:anchorId="55130EB9" wp14:editId="6C321C99">
            <wp:extent cx="3921889" cy="3060833"/>
            <wp:effectExtent l="0" t="0" r="2540" b="0"/>
            <wp:docPr id="650353757" name="Picture 16" descr="Jimaging 11 00059 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Jimaging 11 00059 g00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64236" cy="3093882"/>
                    </a:xfrm>
                    <a:prstGeom prst="rect">
                      <a:avLst/>
                    </a:prstGeom>
                    <a:noFill/>
                    <a:ln>
                      <a:noFill/>
                    </a:ln>
                  </pic:spPr>
                </pic:pic>
              </a:graphicData>
            </a:graphic>
          </wp:inline>
        </w:drawing>
      </w:r>
      <w:r w:rsidR="007D4C4E">
        <w:fldChar w:fldCharType="end"/>
      </w:r>
    </w:p>
    <w:p w14:paraId="3647E128" w14:textId="2C983510" w:rsidR="007D4C4E" w:rsidRPr="009E1465" w:rsidRDefault="003E140F" w:rsidP="2C6AA39A">
      <w:pPr>
        <w:pStyle w:val="MDPI31text"/>
        <w:ind w:left="0" w:firstLine="0"/>
        <w:rPr>
          <w:rFonts w:ascii="Times" w:hAnsi="Times"/>
          <w:szCs w:val="20"/>
        </w:rPr>
      </w:pPr>
      <w:r w:rsidRPr="009E1465">
        <w:rPr>
          <w:rFonts w:ascii="Times" w:hAnsi="Times"/>
          <w:b/>
          <w:bCs/>
          <w:szCs w:val="20"/>
        </w:rPr>
        <w:t xml:space="preserve">                                            </w:t>
      </w:r>
      <w:r w:rsidR="007D4C4E" w:rsidRPr="009E1465">
        <w:rPr>
          <w:rFonts w:ascii="Times" w:hAnsi="Times"/>
          <w:b/>
          <w:bCs/>
          <w:szCs w:val="20"/>
        </w:rPr>
        <w:t>Figure 13.</w:t>
      </w:r>
      <w:r w:rsidR="007D4C4E" w:rsidRPr="009E1465">
        <w:rPr>
          <w:rFonts w:ascii="Times" w:hAnsi="Times"/>
          <w:szCs w:val="20"/>
        </w:rPr>
        <w:t xml:space="preserve"> The structure of deep learning models.</w:t>
      </w:r>
    </w:p>
    <w:p w14:paraId="1C8D67CE" w14:textId="77777777" w:rsidR="003E140F" w:rsidRPr="007D4C4E" w:rsidRDefault="003E140F" w:rsidP="2C6AA39A">
      <w:pPr>
        <w:pStyle w:val="MDPI31text"/>
        <w:ind w:left="0" w:firstLine="0"/>
        <w:rPr>
          <w:rFonts w:ascii="Times" w:hAnsi="Times" w:cs="Open Sans"/>
          <w:sz w:val="22"/>
          <w:shd w:val="clear" w:color="auto" w:fill="FFFFFF"/>
        </w:rPr>
      </w:pPr>
    </w:p>
    <w:p w14:paraId="259744E4" w14:textId="09E48511" w:rsidR="00E86AB5" w:rsidRDefault="00E86AB5" w:rsidP="0DE242D6">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lastRenderedPageBreak/>
        <w:t xml:space="preserve">Training ANNs involves optimizing several critical </w:t>
      </w:r>
      <w:r w:rsidRPr="00D22AA7">
        <w:rPr>
          <w:rFonts w:ascii="Times" w:eastAsiaTheme="majorEastAsia" w:hAnsi="Times" w:cs="Open Sans"/>
          <w:sz w:val="24"/>
          <w:szCs w:val="24"/>
          <w:shd w:val="clear" w:color="auto" w:fill="FFFFFF"/>
        </w:rPr>
        <w:t>hyperparameters</w:t>
      </w:r>
      <w:r w:rsidRPr="00D22AA7">
        <w:rPr>
          <w:rFonts w:ascii="Times" w:hAnsi="Times" w:cs="Open Sans"/>
          <w:sz w:val="24"/>
          <w:szCs w:val="24"/>
          <w:shd w:val="clear" w:color="auto" w:fill="FFFFFF"/>
        </w:rPr>
        <w:t xml:space="preserve">, including </w:t>
      </w:r>
      <w:r w:rsidRPr="00D22AA7">
        <w:rPr>
          <w:rFonts w:ascii="Times" w:eastAsiaTheme="majorEastAsia" w:hAnsi="Times" w:cs="Open Sans"/>
          <w:sz w:val="24"/>
          <w:szCs w:val="24"/>
          <w:shd w:val="clear" w:color="auto" w:fill="FFFFFF"/>
        </w:rPr>
        <w:t>batch size, loss function, and optimizer</w:t>
      </w:r>
      <w:r w:rsidRPr="00D22AA7">
        <w:rPr>
          <w:rFonts w:ascii="Times" w:hAnsi="Times" w:cs="Open Sans"/>
          <w:sz w:val="24"/>
          <w:szCs w:val="24"/>
          <w:shd w:val="clear" w:color="auto" w:fill="FFFFFF"/>
        </w:rPr>
        <w:t>, all of which significantly influence model performance and convergence.</w:t>
      </w:r>
      <w:r w:rsidR="00DA34AB"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Batch size</w:t>
      </w:r>
      <w:r w:rsidRPr="00D22AA7">
        <w:rPr>
          <w:rFonts w:ascii="Times" w:hAnsi="Times" w:cs="Open Sans"/>
          <w:sz w:val="24"/>
          <w:szCs w:val="24"/>
          <w:shd w:val="clear" w:color="auto" w:fill="FFFFFF"/>
        </w:rPr>
        <w:t xml:space="preserve"> refers to the number of training samples processed before updating the model’s weights</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{"citationID":"GDrLUNQ6","properties":{"formattedCitation":"[158]","plainCitation":"[158]","noteIndex":0},"citationItems":[{"id":15902,"uris":["http://zotero.org/users/9439317/items/TW6A3WHI"],"itemData":{"id":15902,"type":"paper-conference","event-title":"KES International Symposium on Agent and Multi-Agent Systems: Technologies and Applications","page":"221-232","publisher":"Springer","title":"Analysis of Batch Size in the Assessment of Bone Metastasis from Bone Scans in Various Convolutional Neural Networks","author":[{"family":"Magboo","given":"Vincent Peter C"},{"family":"Abu","given":"Patricia Angela R"}],"issued":{"date-parts":[["2023"]]}}}],"schema":"https://github.com/citation-style-language/schema/raw/master/csl-citation.json"} </w:instrText>
      </w:r>
      <w:r w:rsidR="00DA34AB"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[158]</w:t>
      </w:r>
      <w:r w:rsidR="00DA34AB"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 xml:space="preserve">. Smaller batch sizes introduce randomness in weight updates, helping the model escape local minima and improve generalization at the cost of stability. In contrast, larger batch sizes lead to more stable updates but may increase computational demand and risk overfitting. The ideal batch size, typically ranging from 16 to 256, depends on factors such as dataset size, model architecture, and available computational </w:t>
      </w:r>
      <w:proofErr w:type="gramStart"/>
      <w:r w:rsidRPr="00D22AA7">
        <w:rPr>
          <w:rFonts w:ascii="Times" w:hAnsi="Times" w:cs="Open Sans"/>
          <w:sz w:val="24"/>
          <w:szCs w:val="24"/>
          <w:shd w:val="clear" w:color="auto" w:fill="FFFFFF"/>
        </w:rPr>
        <w:t xml:space="preserve">resources </w:t>
      </w:r>
      <w:r w:rsidR="00DA34AB"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Loss</w:t>
      </w:r>
      <w:proofErr w:type="gramEnd"/>
      <w:r w:rsidRPr="00D22AA7">
        <w:rPr>
          <w:rFonts w:ascii="Times" w:eastAsiaTheme="majorEastAsia" w:hAnsi="Times" w:cs="Open Sans"/>
          <w:sz w:val="24"/>
          <w:szCs w:val="24"/>
          <w:shd w:val="clear" w:color="auto" w:fill="FFFFFF"/>
        </w:rPr>
        <w:t xml:space="preserve"> functions</w:t>
      </w:r>
      <w:r w:rsidRPr="00D22AA7">
        <w:rPr>
          <w:rFonts w:ascii="Times" w:hAnsi="Times" w:cs="Open Sans"/>
          <w:sz w:val="24"/>
          <w:szCs w:val="24"/>
          <w:shd w:val="clear" w:color="auto" w:fill="FFFFFF"/>
        </w:rPr>
        <w:t xml:space="preserve"> quantify the error between predicted and actual target values during training. For example, in </w:t>
      </w:r>
      <w:r w:rsidRPr="00D22AA7">
        <w:rPr>
          <w:rFonts w:ascii="Times" w:eastAsiaTheme="majorEastAsia" w:hAnsi="Times" w:cs="Open Sans"/>
          <w:sz w:val="24"/>
          <w:szCs w:val="24"/>
          <w:shd w:val="clear" w:color="auto" w:fill="FFFFFF"/>
        </w:rPr>
        <w:t>autoencoders</w:t>
      </w:r>
      <w:r w:rsidRPr="00D22AA7">
        <w:rPr>
          <w:rFonts w:ascii="Times" w:hAnsi="Times" w:cs="Open Sans"/>
          <w:sz w:val="24"/>
          <w:szCs w:val="24"/>
          <w:shd w:val="clear" w:color="auto" w:fill="FFFFFF"/>
        </w:rPr>
        <w:t xml:space="preserve">, commonly used for </w:t>
      </w:r>
      <w:r w:rsidRPr="00D22AA7">
        <w:rPr>
          <w:rFonts w:ascii="Times" w:eastAsiaTheme="majorEastAsia" w:hAnsi="Times" w:cs="Open Sans"/>
          <w:sz w:val="24"/>
          <w:szCs w:val="24"/>
          <w:shd w:val="clear" w:color="auto" w:fill="FFFFFF"/>
        </w:rPr>
        <w:t>dimensionality reduction and denoising</w:t>
      </w:r>
      <w:r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Mean Squared Error (MSE)</w:t>
      </w:r>
      <w:r w:rsidRPr="00D22AA7">
        <w:rPr>
          <w:rFonts w:ascii="Times" w:hAnsi="Times" w:cs="Open Sans"/>
          <w:sz w:val="24"/>
          <w:szCs w:val="24"/>
          <w:shd w:val="clear" w:color="auto" w:fill="FFFFFF"/>
        </w:rPr>
        <w:t xml:space="preserve"> is widely employed to minimize reconstruction loss</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{"citationID":"egl3UwZu","properties":{"formattedCitation":"[159]","plainCitation":"[159]","noteIndex":0},"citationItems":[{"id":15906,"uris":["http://zotero.org/users/9439317/items/SQFWPM54"],"itemData":{"id":15906,"type":"article-journal","abstract":"Autoencoders have become a hot researched topic in unsupervised learning due to their ability to learn data features and act as a dimensionality reduction method. With rapid evolution of autoencoder methods, there has yet to be a complete study that provides a full autoencoders roadmap for both stimulating technical improvements and orienting research newbies to autoencoders. In this paper, we present a comprehensive survey of autoencoders, starting with an explanation of the principle of conventional autoencoder and their primary development process. We then provide a taxonomy of autoencoders based on their structures and principles and thoroughly analyze and discuss the related models. Furthermore, we review the applications of autoencoders in various fields, including machine vision, natural language processing, complex network, recommender system, speech process, anomaly detection, and others. Lastly, we summarize the limitations of current autoencoder algorithms and discuss the future directions of the field.","container-title":"Artificial Intelligence Review","DOI":"10.1007/s10462-023-10662-6","ISSN":"1573-7462","issue":"2","journalAbbreviation":"Artificial Intelligence Review","page":"28","title":"Autoencoders and their applications in machine learning: a survey","URL":"https://doi.org/10.1007/s10462-023-10662-6","volume":"57","author":[{"family":"Berahmand","given":"Kamal"},{"family":"Daneshfar","given":"Fatemeh"},{"family":"Salehi","given":"Elaheh Sadat"},{"family":"Li","given":"Yuefeng"},{"family":"Xu","given":"Yue"}],"issued":{"date-parts":[["2024",2,3]]}}}],"schema":"https://github.com/citation-style-language/schema/raw/master/csl-citation.json"} </w:instrText>
      </w:r>
      <w:r w:rsidR="00DA34AB"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[159]</w:t>
      </w:r>
      <w:r w:rsidR="00DA34AB"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 xml:space="preserve">. For binary or sparse datasets, </w:t>
      </w:r>
      <w:r w:rsidRPr="00D22AA7">
        <w:rPr>
          <w:rFonts w:ascii="Times" w:eastAsiaTheme="majorEastAsia" w:hAnsi="Times" w:cs="Open Sans"/>
          <w:sz w:val="24"/>
          <w:szCs w:val="24"/>
          <w:shd w:val="clear" w:color="auto" w:fill="FFFFFF"/>
        </w:rPr>
        <w:t>Binary Cross-Entropy</w:t>
      </w:r>
      <w:r w:rsidRPr="00D22AA7">
        <w:rPr>
          <w:rFonts w:ascii="Times" w:hAnsi="Times" w:cs="Open Sans"/>
          <w:sz w:val="24"/>
          <w:szCs w:val="24"/>
          <w:shd w:val="clear" w:color="auto" w:fill="FFFFFF"/>
        </w:rPr>
        <w:t xml:space="preserve"> is preferred to optimize classification accuracy</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{"citationID":"DQv1Rlc5","properties":{"formattedCitation":"[160]","plainCitation":"[160]","noteIndex":0},"citationItems":[{"id":15904,"uris":["http://zotero.org/users/9439317/items/J7JRS4IV"],"itemData":{"id":15904,"type":"article-journal","abstract":"This paper discussed about a unique neural network approach stimulated by a technique that has reformed the field of computer vision: pixel-wise image classification, which we combine with binary cross entropy loss and pre training of the CNN (Convolutional Neural Network) as an auto encoder. The pixel-wise classification technique directly estimates the image source label for each timefrequency (T-F) bin in our image, thus eliminating common pre- and-post processing tasks. The proposed convolutional neural network is trained by using the binary mask as the target output label. The binary mask identifies the dominant image source in each T-F bin of the magnitude spectrogram of a mixture signal, by considering each T-F bin as a pixel with a multi-label (for each image source). Binary Cross Entropy is used as the training objective, so as to minimize the average probability error between the target and predicted label for each pixel. The Inception V3 architecture is used to further boost ImageNet classification accuracy. The results show that the proposed algorithm has the highest accuracy.","container-title":"International Journal of Advanced Trends in Computer Science and Engineering","DOI":"10.30534/ijatcse/2020/175942020","ISSN":"22783091","issue":"4","journalAbbreviation":"IJATCSE","language":"en","page":"5393-5397","source":"DOI.org (Crossref)","title":"Binary cross entropy with deep learning technique for Image classification","URL":"http://www.warse.org/IJATCSE/static/pdf/file/ijatcse175942020.pdf","volume":"9","author":[{"family":"Dr.A","given":".Usha Ruby"}],"accessed":{"date-parts":[["2025",1,21]]},"issued":{"date-parts":[["2020",8,25]]}}}],"schema":"https://github.com/citation-style-language/schema/raw/master/csl-citation.json"} </w:instrText>
      </w:r>
      <w:r w:rsidR="00DA34AB"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[160]</w:t>
      </w:r>
      <w:r w:rsidR="00DA34AB"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w:t>
      </w:r>
      <w:r w:rsidR="00DA34AB"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Optimizers</w:t>
      </w:r>
      <w:r w:rsidRPr="00D22AA7">
        <w:rPr>
          <w:rFonts w:ascii="Times" w:hAnsi="Times" w:cs="Open Sans"/>
          <w:sz w:val="24"/>
          <w:szCs w:val="24"/>
          <w:shd w:val="clear" w:color="auto" w:fill="FFFFFF"/>
        </w:rPr>
        <w:t xml:space="preserve"> adjust the network’s weights to minimize the loss function by computing gradients during </w:t>
      </w:r>
      <w:r w:rsidRPr="00D22AA7">
        <w:rPr>
          <w:rFonts w:ascii="Times" w:eastAsiaTheme="majorEastAsia" w:hAnsi="Times" w:cs="Open Sans"/>
          <w:sz w:val="24"/>
          <w:szCs w:val="24"/>
          <w:shd w:val="clear" w:color="auto" w:fill="FFFFFF"/>
        </w:rPr>
        <w:t>backpropagation</w:t>
      </w:r>
      <w:r w:rsidR="00DA34AB" w:rsidRPr="00D22AA7">
        <w:rPr>
          <w:rFonts w:ascii="Times" w:eastAsiaTheme="majorEastAsia" w:hAnsi="Times" w:cs="Open Sans"/>
          <w:sz w:val="24"/>
          <w:szCs w:val="24"/>
          <w:shd w:val="clear" w:color="auto" w:fill="FFFFFF"/>
        </w:rPr>
        <w:t xml:space="preserve"> </w:t>
      </w:r>
      <w:r w:rsidR="00DA34AB" w:rsidRPr="00D22AA7">
        <w:rPr>
          <w:rFonts w:ascii="Times" w:eastAsiaTheme="majorEastAsia" w:hAnsi="Times" w:cs="Open Sans"/>
          <w:sz w:val="24"/>
          <w:szCs w:val="24"/>
          <w:shd w:val="clear" w:color="auto" w:fill="FFFFFF"/>
        </w:rPr>
        <w:fldChar w:fldCharType="begin"/>
      </w:r>
      <w:r w:rsidR="0056095D">
        <w:rPr>
          <w:rFonts w:ascii="Times" w:eastAsiaTheme="majorEastAsia" w:hAnsi="Times" w:cs="Open Sans"/>
          <w:sz w:val="24"/>
          <w:szCs w:val="24"/>
          <w:shd w:val="clear" w:color="auto" w:fill="FFFFFF"/>
        </w:rPr>
        <w:instrText xml:space="preserve"> ADDIN ZOTERO_ITEM CSL_CITATION {"citationID":"Aq4DjgaU","properties":{"formattedCitation":"[161]","plainCitation":"[161]","noteIndex":0},"citationItems":[{"id":15983,"uris":["http://zotero.org/users/9439317/items/SJRP3SGE"],"itemData":{"id":15983,"type":"article-journal","abstract":"Optimization algorithms are used to improve model accuracy. The optimization process undergoes multiple cycles until convergence. A variety of optimization strategies have been developed to overcome the obstacles involved in the learning process. Some of these strategies have been considered in this study to learn more about their complexities. It is crucial to analyse and summarise optimization techniques methodically from a machine learning standpoint since this can provide direction for future work in both machine learning and optimization. The approaches under consideration include the Stochastic Gradient Descent (SGD), Stochastic Optimization Descent with Momentum, Rung Kutta, Adaptive Learning Rate, Root Mean Square Propagation, Adaptive Moment Estimation, Deep Ensembles, Feedback Alignment, Direct Feedback Alignment, Adfactor, AMSGrad, and Gravity. prove the ability of each optimizer applied to machine learning models. Firstly, tests on a skin cancer using the ISIC standard dataset for skin cancer detection were applied using three common optimizers (Adaptive Moment, SGD, and Root Mean Square Propagation) to explore the effect of the algorithms on the skin images. The optimal training results from the analysis indicate that the performance values are enhanced using the Adam optimizer, which achieved 97.30% accuracy. The second dataset is COVIDx CT images, and the results achieved are 99.07% accuracy based on the Adam optimizer. The result indicated that the utilisation of optimizers such as SGD and Adam improved the accuracy in training, testing, and validation stages.","container-title":"Multimedia Tools and Applications","DOI":"10.1007/s11042-022-13820-0","ISSN":"1380-7501, 1573-7721","issue":"11","journalAbbreviation":"Multimed Tools Appl","language":"en","page":"16591-16633","source":"DOI.org (Crossref)","title":"The effect of choosing optimizer algorithms to improve computer vision tasks: a comparative study","title-short":"The effect of choosing optimizer algorithms to improve computer vision tasks","URL":"https://link.springer.com/10.1007/s11042-022-13820-0","volume":"82","author":[{"family":"Hassan","given":"Esraa"},{"family":"Shams","given":"Mahmoud Y."},{"family":"Hikal","given":"Noha A."},{"family":"Elmougy","given":"Samir"}],"accessed":{"date-parts":[["2025",1,23]]},"issued":{"date-parts":[["2023",5]]}}}],"schema":"https://github.com/citation-style-language/schema/raw/master/csl-citation.json"} </w:instrText>
      </w:r>
      <w:r w:rsidR="00DA34AB" w:rsidRPr="00D22AA7">
        <w:rPr>
          <w:rFonts w:ascii="Times" w:eastAsiaTheme="majorEastAsia" w:hAnsi="Times" w:cs="Open Sans"/>
          <w:sz w:val="24"/>
          <w:szCs w:val="24"/>
          <w:shd w:val="clear" w:color="auto" w:fill="FFFFFF"/>
        </w:rPr>
        <w:fldChar w:fldCharType="separate"/>
      </w:r>
      <w:r w:rsidR="0056095D">
        <w:rPr>
          <w:rFonts w:ascii="Times" w:eastAsiaTheme="majorEastAsia" w:hAnsi="Times" w:cs="Open Sans"/>
          <w:noProof/>
          <w:sz w:val="24"/>
          <w:szCs w:val="24"/>
          <w:shd w:val="clear" w:color="auto" w:fill="FFFFFF"/>
        </w:rPr>
        <w:t>[161]</w:t>
      </w:r>
      <w:r w:rsidR="00DA34AB" w:rsidRPr="00D22AA7">
        <w:rPr>
          <w:rFonts w:ascii="Times" w:eastAsiaTheme="majorEastAsia" w:hAnsi="Times" w:cs="Open Sans"/>
          <w:sz w:val="24"/>
          <w:szCs w:val="24"/>
          <w:shd w:val="clear" w:color="auto" w:fill="FFFFFF"/>
        </w:rPr>
        <w:fldChar w:fldCharType="end"/>
      </w:r>
      <w:r w:rsidRPr="00D22AA7">
        <w:rPr>
          <w:rFonts w:ascii="Times" w:hAnsi="Times" w:cs="Open Sans"/>
          <w:sz w:val="24"/>
          <w:szCs w:val="24"/>
          <w:shd w:val="clear" w:color="auto" w:fill="FFFFFF"/>
        </w:rPr>
        <w:t xml:space="preserve">. Popular optimizers include </w:t>
      </w:r>
      <w:r w:rsidRPr="00D22AA7">
        <w:rPr>
          <w:rFonts w:ascii="Times" w:eastAsiaTheme="majorEastAsia" w:hAnsi="Times" w:cs="Open Sans"/>
          <w:sz w:val="24"/>
          <w:szCs w:val="24"/>
          <w:shd w:val="clear" w:color="auto" w:fill="FFFFFF"/>
        </w:rPr>
        <w:t>Stochastic Gradient Descent (SGD)</w:t>
      </w:r>
      <w:r w:rsidRPr="00D22AA7">
        <w:rPr>
          <w:rFonts w:ascii="Times" w:hAnsi="Times" w:cs="Open Sans"/>
          <w:sz w:val="24"/>
          <w:szCs w:val="24"/>
          <w:shd w:val="clear" w:color="auto" w:fill="FFFFFF"/>
        </w:rPr>
        <w:t xml:space="preserve">, which updates weights in small steps and introduces stochasticity for better generalization, and </w:t>
      </w:r>
      <w:r w:rsidRPr="00D22AA7">
        <w:rPr>
          <w:rFonts w:ascii="Times" w:eastAsiaTheme="majorEastAsia" w:hAnsi="Times" w:cs="Open Sans"/>
          <w:sz w:val="24"/>
          <w:szCs w:val="24"/>
          <w:shd w:val="clear" w:color="auto" w:fill="FFFFFF"/>
        </w:rPr>
        <w:t>Adam (Adaptive Moment Estimation)</w:t>
      </w:r>
      <w:r w:rsidRPr="00D22AA7">
        <w:rPr>
          <w:rFonts w:ascii="Times" w:hAnsi="Times" w:cs="Open Sans"/>
          <w:sz w:val="24"/>
          <w:szCs w:val="24"/>
          <w:shd w:val="clear" w:color="auto" w:fill="FFFFFF"/>
        </w:rPr>
        <w:t>, which adapts learning rates dynamically, leading to faster convergence, particularly in complex models</w:t>
      </w:r>
      <w:r w:rsidR="00DA34AB" w:rsidRPr="00D22AA7">
        <w:rPr>
          <w:rFonts w:ascii="Times" w:hAnsi="Times" w:cs="Open Sans"/>
          <w:sz w:val="24"/>
          <w:szCs w:val="24"/>
          <w:shd w:val="clear" w:color="auto" w:fill="FFFFFF"/>
        </w:rPr>
        <w:t xml:space="preserve"> </w:t>
      </w:r>
      <w:r w:rsidR="00DA34AB" w:rsidRPr="00D22AA7">
        <w:rPr>
          <w:rFonts w:ascii="Times" w:hAnsi="Times" w:cs="Open Sans"/>
          <w:sz w:val="24"/>
          <w:szCs w:val="24"/>
          <w:shd w:val="clear" w:color="auto" w:fill="FFFFFF"/>
        </w:rPr>
        <w:fldChar w:fldCharType="begin"/>
      </w:r>
      <w:r w:rsidR="00DA34AB" w:rsidRPr="00D22AA7">
        <w:rPr>
          <w:rFonts w:ascii="Times" w:hAnsi="Times" w:cs="Open Sans"/>
          <w:sz w:val="24"/>
          <w:szCs w:val="24"/>
          <w:shd w:val="clear" w:color="auto" w:fill="FFFFFF"/>
        </w:rPr>
        <w:instrText xml:space="preserve"> ADDIN ZOTERO_TEMP </w:instrText>
      </w:r>
      <w:r w:rsidR="00DA34AB" w:rsidRPr="00D22AA7">
        <w:rPr>
          <w:rFonts w:ascii="Times" w:hAnsi="Times" w:cs="Open Sans"/>
          <w:sz w:val="24"/>
          <w:szCs w:val="24"/>
          <w:shd w:val="clear" w:color="auto" w:fill="FFFFFF"/>
        </w:rPr>
        <w:fldChar w:fldCharType="separate"/>
      </w:r>
      <w:r w:rsidR="00F9650E" w:rsidRPr="00D22AA7">
        <w:rPr>
          <w:rFonts w:ascii="Times" w:hAnsi="Times" w:cs="Open Sans"/>
          <w:noProof/>
          <w:sz w:val="24"/>
          <w:szCs w:val="24"/>
          <w:shd w:val="clear" w:color="auto" w:fill="FFFFFF"/>
        </w:rPr>
        <w:t>[156]</w:t>
      </w:r>
      <w:r w:rsidR="00DA34AB" w:rsidRPr="00D22AA7">
        <w:rPr>
          <w:rFonts w:ascii="Times" w:hAnsi="Times" w:cs="Open Sans"/>
          <w:sz w:val="24"/>
          <w:szCs w:val="24"/>
          <w:shd w:val="clear" w:color="auto" w:fill="FFFFFF"/>
        </w:rPr>
        <w:fldChar w:fldCharType="end"/>
      </w:r>
      <w:r w:rsidR="00F9650E"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{"citationID":"lQ57Ilu4","properties":{"formattedCitation":"[141]","plainCitation":"[141]","noteIndex":0},"citationItems":[{"id":11130,"uris":["http://zotero.org/users/9439317/items/B4HPG23Q"],"itemData":{"id":11130,"type":"article-journal","container-title":"Expert Systems with Applications","ISSN":"0957-4174","journalAbbreviation":"Expert Systems with Applications","note":"publisher: Elsevier","page":"122983","title":"Paradigm shift from Artificial Neural Networks (ANNs) to deep Convolutional Neural Networks (DCNNs) in the field of medical image processing","author":[{"family":"Abut","given":"Serdar"},{"family":"Okut","given":"Hayrettin"},{"family":"Kallail","given":"K James"}],"issued":{"date-parts":[["2023"]]}}}],"schema":"https://github.com/citation-style-language/schema/raw/master/csl-citation.json"} </w:instrText>
      </w:r>
      <w:r w:rsidR="00F9650E"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[141]</w:t>
      </w:r>
      <w:r w:rsidR="00F9650E"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w:t>
      </w:r>
      <w:r w:rsidR="003E140F">
        <w:rPr>
          <w:rFonts w:ascii="Times" w:hAnsi="Times" w:cs="Open Sans"/>
          <w:sz w:val="24"/>
          <w:szCs w:val="24"/>
          <w:shd w:val="clear" w:color="auto" w:fill="FFFFFF"/>
        </w:rPr>
        <w:t xml:space="preserve"> </w:t>
      </w:r>
      <w:r w:rsidRPr="00D22AA7">
        <w:rPr>
          <w:rFonts w:ascii="Times" w:hAnsi="Times" w:cs="Open Sans"/>
          <w:sz w:val="24"/>
          <w:szCs w:val="24"/>
          <w:shd w:val="clear" w:color="auto" w:fill="FFFFFF"/>
        </w:rPr>
        <w:t xml:space="preserve">ANNs rely on </w:t>
      </w:r>
      <w:r w:rsidRPr="00D22AA7">
        <w:rPr>
          <w:rFonts w:ascii="Times" w:eastAsiaTheme="majorEastAsia" w:hAnsi="Times" w:cs="Open Sans"/>
          <w:sz w:val="24"/>
          <w:szCs w:val="24"/>
          <w:shd w:val="clear" w:color="auto" w:fill="FFFFFF"/>
        </w:rPr>
        <w:t>backpropagation</w:t>
      </w:r>
      <w:r w:rsidRPr="00D22AA7">
        <w:rPr>
          <w:rFonts w:ascii="Times" w:hAnsi="Times" w:cs="Open Sans"/>
          <w:sz w:val="24"/>
          <w:szCs w:val="24"/>
          <w:shd w:val="clear" w:color="auto" w:fill="FFFFFF"/>
        </w:rPr>
        <w:t xml:space="preserve"> to iteratively refine their weights based on prediction errors. This iterative learning process continues until the model achieves a desired accuracy level</w:t>
      </w:r>
      <w:r w:rsidR="00F9650E" w:rsidRPr="00D22AA7">
        <w:rPr>
          <w:rFonts w:ascii="Times" w:hAnsi="Times" w:cs="Open Sans"/>
          <w:sz w:val="24"/>
          <w:szCs w:val="24"/>
          <w:shd w:val="clear" w:color="auto" w:fill="FFFFFF"/>
        </w:rPr>
        <w:t xml:space="preserve"> </w:t>
      </w:r>
      <w:r w:rsidR="00F9650E"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{"citationID":"Y8oFAE0i","properties":{"formattedCitation":"[162]","plainCitation":"[162]","noteIndex":0},"citationItems":[{"id":11074,"uris":["http://zotero.org/users/9439317/items/YTUILBHG"],"itemData":{"id":11074,"type":"article-journal","abstract":"In the last few years, intensive research has been done to enhance artificial intelligence (AI) using optimization techniques. In this paper, we present an extensive review of artificial neural networks (ANNs) based optimization algorithm techniques with some of the famous optimization techniques, e.g., genetic algorithm (GA), particle swarm optimization (PSO), artificial bee colony (ABC), and backtracking search algorithm (BSA) and some modern developed techniques, e.g., the lightning search algorithm (LSA) and whale optimization algorithm (WOA), and many more. The entire set of such techniques is classified as algorithms based on a population where the initial population is randomly created. Input parameters are initialized within the specified range, and they can provide optimal solutions. This paper emphasizes enhancing the neural network via optimization algorithms by manipulating its tuned parameters or training parameters to obtain the best structure network pattern to dissolve the problems in the best way. This paper includes some results for improving the ANN performance by PSO, GA, ABC, and BSA optimization techniques, respectively, to search for optimal parameters, e.g., the number of neurons in the hidden layers and learning rate. The obtained neural net is used for solving energy management problems in the virtual power plant system.","container-title":"Electronics","DOI":"10.3390/electronics10212689","ISSN":"2079-9292","issue":"21","title":"Artificial Neural Networks Based Optimization Techniques: A Review","volume":"10","author":[{"family":"Abdolrasol","given":"Maher G. M."},{"family":"Hussain","given":"S. M. Suhail"},{"family":"Ustun","given":"Taha S."},{"family":"Sarker","given":"Mahidur R."},{"family":"Hannan","given":"Mahammad A."},{"family":"Mohamed","given":"Ramizi"},{"family":"Ali","given":"Jamal A."},{"family":"Mekhilef","given":"Saad"},{"family":"Milad","given":"Abdalrhman"}],"issued":{"date-parts":[["2021"]]}}}],"schema":"https://github.com/citation-style-language/schema/raw/master/csl-citation.json"} </w:instrText>
      </w:r>
      <w:r w:rsidR="00F9650E"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[162]</w:t>
      </w:r>
      <w:r w:rsidR="00F9650E" w:rsidRPr="00D22AA7">
        <w:rPr>
          <w:rFonts w:ascii="Times" w:hAnsi="Times" w:cs="Open Sans"/>
          <w:sz w:val="24"/>
          <w:szCs w:val="24"/>
          <w:shd w:val="clear" w:color="auto" w:fill="FFFFFF"/>
        </w:rPr>
        <w:fldChar w:fldCharType="end"/>
      </w:r>
      <w:r w:rsidR="00E62298">
        <w:rPr>
          <w:rFonts w:ascii="Times" w:hAnsi="Times" w:cs="Open Sans"/>
          <w:sz w:val="24"/>
          <w:szCs w:val="24"/>
          <w:shd w:val="clear" w:color="auto" w:fill="FFFFFF"/>
        </w:rPr>
        <w:t>.</w:t>
      </w:r>
    </w:p>
    <w:p w14:paraId="0D6C5A3B" w14:textId="77777777" w:rsidR="00E62298" w:rsidRPr="00D22AA7" w:rsidRDefault="00E62298" w:rsidP="0DE242D6">
      <w:pPr>
        <w:pStyle w:val="MDPI31text"/>
        <w:ind w:left="0" w:firstLine="0"/>
        <w:rPr>
          <w:rFonts w:ascii="Times" w:hAnsi="Times" w:cs="Open Sans"/>
          <w:sz w:val="24"/>
          <w:szCs w:val="24"/>
          <w:shd w:val="clear" w:color="auto" w:fill="FFFFFF"/>
        </w:rPr>
      </w:pPr>
    </w:p>
    <w:p w14:paraId="373AB226" w14:textId="44C952C1" w:rsidR="00E86AB5" w:rsidRDefault="7D87585F" w:rsidP="2C6AA39A">
      <w:pPr>
        <w:pStyle w:val="MDPI31text"/>
        <w:ind w:left="0" w:firstLine="0"/>
        <w:rPr>
          <w:rFonts w:ascii="Times" w:eastAsiaTheme="majorEastAsia" w:hAnsi="Times" w:cs="Open Sans"/>
          <w:b/>
          <w:bCs/>
          <w:sz w:val="24"/>
          <w:szCs w:val="24"/>
          <w:shd w:val="clear" w:color="auto" w:fill="FFFFFF"/>
        </w:rPr>
      </w:pPr>
      <w:r w:rsidRPr="00D22AA7">
        <w:rPr>
          <w:rFonts w:ascii="Times" w:eastAsiaTheme="majorEastAsia" w:hAnsi="Times" w:cs="Open Sans"/>
          <w:b/>
          <w:bCs/>
          <w:shd w:val="clear" w:color="auto" w:fill="FFFFFF"/>
        </w:rPr>
        <w:t>4</w:t>
      </w:r>
      <w:r w:rsidRPr="00D22AA7">
        <w:rPr>
          <w:rFonts w:ascii="Times" w:eastAsiaTheme="majorEastAsia" w:hAnsi="Times" w:cs="Open Sans"/>
          <w:b/>
          <w:bCs/>
          <w:sz w:val="24"/>
          <w:szCs w:val="24"/>
          <w:shd w:val="clear" w:color="auto" w:fill="FFFFFF"/>
        </w:rPr>
        <w:t>.</w:t>
      </w:r>
      <w:r w:rsidR="005D6C43">
        <w:rPr>
          <w:rFonts w:ascii="Times" w:eastAsiaTheme="majorEastAsia" w:hAnsi="Times" w:cs="Open Sans"/>
          <w:b/>
          <w:bCs/>
          <w:sz w:val="24"/>
          <w:szCs w:val="24"/>
          <w:shd w:val="clear" w:color="auto" w:fill="FFFFFF"/>
        </w:rPr>
        <w:t>6</w:t>
      </w:r>
      <w:r w:rsidR="00DD783C" w:rsidRPr="00D22AA7">
        <w:rPr>
          <w:rFonts w:ascii="Times" w:eastAsiaTheme="majorEastAsia" w:hAnsi="Times" w:cs="Open Sans"/>
          <w:b/>
          <w:bCs/>
          <w:sz w:val="24"/>
          <w:szCs w:val="24"/>
          <w:shd w:val="clear" w:color="auto" w:fill="FFFFFF"/>
        </w:rPr>
        <w:t xml:space="preserve">. </w:t>
      </w:r>
      <w:r w:rsidRPr="00D22AA7">
        <w:rPr>
          <w:rFonts w:ascii="Times" w:eastAsiaTheme="majorEastAsia" w:hAnsi="Times" w:cs="Open Sans"/>
          <w:b/>
          <w:bCs/>
          <w:sz w:val="24"/>
          <w:szCs w:val="24"/>
          <w:shd w:val="clear" w:color="auto" w:fill="FFFFFF"/>
        </w:rPr>
        <w:t xml:space="preserve"> </w:t>
      </w:r>
      <w:r w:rsidR="00E86AB5" w:rsidRPr="00D22AA7">
        <w:rPr>
          <w:rFonts w:ascii="Times" w:eastAsiaTheme="majorEastAsia" w:hAnsi="Times" w:cs="Open Sans"/>
          <w:b/>
          <w:bCs/>
          <w:sz w:val="24"/>
          <w:szCs w:val="24"/>
          <w:shd w:val="clear" w:color="auto" w:fill="FFFFFF"/>
        </w:rPr>
        <w:t>Convolutional Neural Networks (CNNs)</w:t>
      </w:r>
    </w:p>
    <w:p w14:paraId="557BEBDD" w14:textId="77777777" w:rsidR="00E62298" w:rsidRPr="00D22AA7" w:rsidRDefault="00E62298" w:rsidP="2C6AA39A">
      <w:pPr>
        <w:pStyle w:val="MDPI31text"/>
        <w:ind w:left="0" w:firstLine="0"/>
        <w:rPr>
          <w:rFonts w:ascii="Times" w:hAnsi="Times" w:cs="Open Sans"/>
          <w:b/>
          <w:bCs/>
          <w:sz w:val="24"/>
          <w:szCs w:val="24"/>
          <w:shd w:val="clear" w:color="auto" w:fill="FFFFFF"/>
        </w:rPr>
      </w:pPr>
    </w:p>
    <w:p w14:paraId="61D1350B" w14:textId="77777777" w:rsidR="00E86AB5" w:rsidRPr="00D22AA7" w:rsidRDefault="00E86AB5" w:rsidP="00E86AB5">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t xml:space="preserve">A specialized subset of ANNs, </w:t>
      </w:r>
      <w:r w:rsidRPr="00D22AA7">
        <w:rPr>
          <w:rFonts w:ascii="Times" w:eastAsiaTheme="majorEastAsia" w:hAnsi="Times" w:cs="Open Sans"/>
          <w:sz w:val="24"/>
          <w:szCs w:val="24"/>
          <w:shd w:val="clear" w:color="auto" w:fill="FFFFFF"/>
        </w:rPr>
        <w:t>Convolutional Neural Networks (CNNs)</w:t>
      </w:r>
      <w:r w:rsidRPr="00D22AA7">
        <w:rPr>
          <w:rFonts w:ascii="Times" w:hAnsi="Times" w:cs="Open Sans"/>
          <w:sz w:val="24"/>
          <w:szCs w:val="24"/>
          <w:shd w:val="clear" w:color="auto" w:fill="FFFFFF"/>
        </w:rPr>
        <w:t xml:space="preserve">, are designed to efficiently process </w:t>
      </w:r>
      <w:r w:rsidRPr="00D22AA7">
        <w:rPr>
          <w:rFonts w:ascii="Times" w:eastAsiaTheme="majorEastAsia" w:hAnsi="Times" w:cs="Open Sans"/>
          <w:sz w:val="24"/>
          <w:szCs w:val="24"/>
          <w:shd w:val="clear" w:color="auto" w:fill="FFFFFF"/>
        </w:rPr>
        <w:t>grid-structured data</w:t>
      </w:r>
      <w:r w:rsidRPr="00D22AA7">
        <w:rPr>
          <w:rFonts w:ascii="Times" w:hAnsi="Times" w:cs="Open Sans"/>
          <w:sz w:val="24"/>
          <w:szCs w:val="24"/>
          <w:shd w:val="clear" w:color="auto" w:fill="FFFFFF"/>
        </w:rPr>
        <w:t xml:space="preserve">, such as images. CNNs excel in </w:t>
      </w:r>
      <w:r w:rsidRPr="00D22AA7">
        <w:rPr>
          <w:rFonts w:ascii="Times" w:eastAsiaTheme="majorEastAsia" w:hAnsi="Times" w:cs="Open Sans"/>
          <w:sz w:val="24"/>
          <w:szCs w:val="24"/>
          <w:shd w:val="clear" w:color="auto" w:fill="FFFFFF"/>
        </w:rPr>
        <w:t>image recognition and classification</w:t>
      </w:r>
      <w:r w:rsidRPr="00D22AA7">
        <w:rPr>
          <w:rFonts w:ascii="Times" w:hAnsi="Times" w:cs="Open Sans"/>
          <w:sz w:val="24"/>
          <w:szCs w:val="24"/>
          <w:shd w:val="clear" w:color="auto" w:fill="FFFFFF"/>
        </w:rPr>
        <w:t xml:space="preserve"> by automatically learning </w:t>
      </w:r>
      <w:r w:rsidRPr="00D22AA7">
        <w:rPr>
          <w:rFonts w:ascii="Times" w:eastAsiaTheme="majorEastAsia" w:hAnsi="Times" w:cs="Open Sans"/>
          <w:sz w:val="24"/>
          <w:szCs w:val="24"/>
          <w:shd w:val="clear" w:color="auto" w:fill="FFFFFF"/>
        </w:rPr>
        <w:t>spatial hierarchies of features</w:t>
      </w:r>
      <w:r w:rsidRPr="00D22AA7">
        <w:rPr>
          <w:rFonts w:ascii="Times" w:hAnsi="Times" w:cs="Open Sans"/>
          <w:sz w:val="24"/>
          <w:szCs w:val="24"/>
          <w:shd w:val="clear" w:color="auto" w:fill="FFFFFF"/>
        </w:rPr>
        <w:t xml:space="preserve"> through multiple layers.</w:t>
      </w:r>
    </w:p>
    <w:p w14:paraId="2763B382" w14:textId="6B177C05" w:rsidR="00E86AB5" w:rsidRDefault="00E86AB5" w:rsidP="00E86AB5">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t>A typical CNN  consists of</w:t>
      </w:r>
      <w:r w:rsidR="04D2BF4C"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Conv layers</w:t>
      </w:r>
      <w:r w:rsidRPr="00D22AA7">
        <w:rPr>
          <w:rFonts w:ascii="Times" w:hAnsi="Times" w:cs="Open Sans"/>
          <w:sz w:val="24"/>
          <w:szCs w:val="24"/>
          <w:shd w:val="clear" w:color="auto" w:fill="FFFFFF"/>
        </w:rPr>
        <w:t xml:space="preserve"> that apply filters to</w:t>
      </w:r>
      <w:r w:rsidR="2C1B5706" w:rsidRPr="00D22AA7">
        <w:rPr>
          <w:rFonts w:ascii="Times" w:hAnsi="Times" w:cs="Open Sans"/>
          <w:sz w:val="24"/>
          <w:szCs w:val="24"/>
          <w:shd w:val="clear" w:color="auto" w:fill="FFFFFF"/>
        </w:rPr>
        <w:t xml:space="preserve"> the</w:t>
      </w:r>
      <w:r w:rsidRPr="00D22AA7">
        <w:rPr>
          <w:rFonts w:ascii="Times" w:hAnsi="Times" w:cs="Open Sans"/>
          <w:sz w:val="24"/>
          <w:szCs w:val="24"/>
          <w:shd w:val="clear" w:color="auto" w:fill="FFFFFF"/>
        </w:rPr>
        <w:t xml:space="preserve"> </w:t>
      </w:r>
      <w:proofErr w:type="spellStart"/>
      <w:r w:rsidRPr="00D22AA7">
        <w:rPr>
          <w:rFonts w:ascii="Times" w:hAnsi="Times" w:cs="Open Sans"/>
          <w:sz w:val="24"/>
          <w:szCs w:val="24"/>
          <w:shd w:val="clear" w:color="auto" w:fill="FFFFFF"/>
        </w:rPr>
        <w:t>in</w:t>
      </w:r>
      <w:r w:rsidR="25BEEEF9" w:rsidRPr="00D22AA7">
        <w:rPr>
          <w:rFonts w:ascii="Times" w:hAnsi="Times" w:cs="Open Sans"/>
          <w:sz w:val="24"/>
          <w:szCs w:val="24"/>
          <w:shd w:val="clear" w:color="auto" w:fill="FFFFFF"/>
        </w:rPr>
        <w:t>d</w:t>
      </w:r>
      <w:r w:rsidRPr="00D22AA7">
        <w:rPr>
          <w:rFonts w:ascii="Times" w:hAnsi="Times" w:cs="Open Sans"/>
          <w:sz w:val="24"/>
          <w:szCs w:val="24"/>
          <w:shd w:val="clear" w:color="auto" w:fill="FFFFFF"/>
        </w:rPr>
        <w:t>put</w:t>
      </w:r>
      <w:proofErr w:type="spellEnd"/>
      <w:r w:rsidRPr="00D22AA7">
        <w:rPr>
          <w:rFonts w:ascii="Times" w:hAnsi="Times" w:cs="Open Sans"/>
          <w:sz w:val="24"/>
          <w:szCs w:val="24"/>
          <w:shd w:val="clear" w:color="auto" w:fill="FFFFFF"/>
        </w:rPr>
        <w:t xml:space="preserve"> data, extracting meaningful patterns such as edges, textures, and shapes</w:t>
      </w:r>
      <w:r w:rsidR="00072EF0" w:rsidRPr="00D22AA7">
        <w:rPr>
          <w:rFonts w:ascii="Times" w:hAnsi="Times" w:cs="Open Sans"/>
          <w:sz w:val="24"/>
          <w:szCs w:val="24"/>
          <w:shd w:val="clear" w:color="auto" w:fill="FFFFFF"/>
        </w:rPr>
        <w:t xml:space="preserve"> </w:t>
      </w:r>
      <w:r w:rsidR="00072EF0"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geWeA0fu","properties":{"formattedCitation":"[163]","plainCitation":"[163]","noteIndex":0},"citationItems":[{"id":11079,"uris":["http://zotero.org/users/9439317/items/6ATBKZ3S"],"itemData":{"id":11079,"type":"article-journal","container-title":"Neurocomputing","ISSN":"0925-2312","journalAbbreviation":"Neurocomputing","note":"publisher: Elsevier","page":"112-119","title":"Impact of fully connected layers on performance of convolutional neural networks for image classification","volume":"378","author":[{"family":"Basha","given":"SH Shabbeer"},{"family":"Dubey","given":"Shiv Ram"},{"family":"Pulabaigari","given":"Viswanath"},{"family":"Mukherjee","given":"Snehasis"}],"issued":{"date-parts":[["2020"]]}}}],"schema":"https://github.com/citation-style-language/schema/raw/master/csl-citation.json"} </w:instrText>
      </w:r>
      <w:r w:rsidR="00072EF0"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[163]</w:t>
      </w:r>
      <w:r w:rsidR="00072EF0"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w:t>
      </w:r>
      <w:r w:rsidR="00072EF0"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Pooling layers</w:t>
      </w:r>
      <w:r w:rsidRPr="00D22AA7">
        <w:rPr>
          <w:rFonts w:ascii="Times" w:hAnsi="Times" w:cs="Open Sans"/>
          <w:sz w:val="24"/>
          <w:szCs w:val="24"/>
          <w:shd w:val="clear" w:color="auto" w:fill="FFFFFF"/>
        </w:rPr>
        <w:t xml:space="preserve"> that </w:t>
      </w:r>
      <w:proofErr w:type="spellStart"/>
      <w:r w:rsidRPr="00D22AA7">
        <w:rPr>
          <w:rFonts w:ascii="Times" w:hAnsi="Times" w:cs="Open Sans"/>
          <w:sz w:val="24"/>
          <w:szCs w:val="24"/>
          <w:shd w:val="clear" w:color="auto" w:fill="FFFFFF"/>
        </w:rPr>
        <w:t>downsample</w:t>
      </w:r>
      <w:proofErr w:type="spellEnd"/>
      <w:r w:rsidRPr="00D22AA7">
        <w:rPr>
          <w:rFonts w:ascii="Times" w:hAnsi="Times" w:cs="Open Sans"/>
          <w:sz w:val="24"/>
          <w:szCs w:val="24"/>
          <w:shd w:val="clear" w:color="auto" w:fill="FFFFFF"/>
        </w:rPr>
        <w:t xml:space="preserve"> feature maps, reducing computational complexity while preserving essential information. </w:t>
      </w:r>
      <w:r w:rsidRPr="00D22AA7">
        <w:rPr>
          <w:rFonts w:ascii="Times" w:eastAsiaTheme="majorEastAsia" w:hAnsi="Times" w:cs="Open Sans"/>
          <w:sz w:val="24"/>
          <w:szCs w:val="24"/>
          <w:shd w:val="clear" w:color="auto" w:fill="FFFFFF"/>
        </w:rPr>
        <w:t>Max pooling</w:t>
      </w:r>
      <w:r w:rsidRPr="00D22AA7">
        <w:rPr>
          <w:rFonts w:ascii="Times" w:hAnsi="Times" w:cs="Open Sans"/>
          <w:sz w:val="24"/>
          <w:szCs w:val="24"/>
          <w:shd w:val="clear" w:color="auto" w:fill="FFFFFF"/>
        </w:rPr>
        <w:t xml:space="preserve"> and </w:t>
      </w:r>
      <w:r w:rsidRPr="00D22AA7">
        <w:rPr>
          <w:rFonts w:ascii="Times" w:eastAsiaTheme="majorEastAsia" w:hAnsi="Times" w:cs="Open Sans"/>
          <w:sz w:val="24"/>
          <w:szCs w:val="24"/>
          <w:shd w:val="clear" w:color="auto" w:fill="FFFFFF"/>
        </w:rPr>
        <w:t>average pooling</w:t>
      </w:r>
      <w:r w:rsidRPr="00D22AA7">
        <w:rPr>
          <w:rFonts w:ascii="Times" w:hAnsi="Times" w:cs="Open Sans"/>
          <w:sz w:val="24"/>
          <w:szCs w:val="24"/>
          <w:shd w:val="clear" w:color="auto" w:fill="FFFFFF"/>
        </w:rPr>
        <w:t xml:space="preserve"> are commonly used techniques to enhance feature selection and control overfitting.</w:t>
      </w:r>
      <w:r w:rsidR="00072EF0"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Fully connected layers</w:t>
      </w:r>
      <w:r w:rsidRPr="00D22AA7">
        <w:rPr>
          <w:rFonts w:ascii="Times" w:hAnsi="Times" w:cs="Open Sans"/>
          <w:sz w:val="24"/>
          <w:szCs w:val="24"/>
          <w:shd w:val="clear" w:color="auto" w:fill="FFFFFF"/>
        </w:rPr>
        <w:t xml:space="preserve"> that integrate the extracted features to produce the final classification or prediction.</w:t>
      </w:r>
      <w:r w:rsidR="00072EF0" w:rsidRPr="00D22AA7">
        <w:rPr>
          <w:rFonts w:ascii="Times" w:hAnsi="Times" w:cs="Open Sans"/>
          <w:sz w:val="24"/>
          <w:szCs w:val="24"/>
          <w:shd w:val="clear" w:color="auto" w:fill="FFFFFF"/>
        </w:rPr>
        <w:t xml:space="preserve"> </w:t>
      </w:r>
      <w:r w:rsidRPr="00D22AA7">
        <w:rPr>
          <w:rFonts w:ascii="Times" w:hAnsi="Times" w:cs="Open Sans"/>
          <w:sz w:val="24"/>
          <w:szCs w:val="24"/>
          <w:shd w:val="clear" w:color="auto" w:fill="FFFFFF"/>
        </w:rPr>
        <w:t xml:space="preserve">CNNs have revolutionized various fields, including </w:t>
      </w:r>
      <w:r w:rsidRPr="00D22AA7">
        <w:rPr>
          <w:rFonts w:ascii="Times" w:eastAsiaTheme="majorEastAsia" w:hAnsi="Times" w:cs="Open Sans"/>
          <w:sz w:val="24"/>
          <w:szCs w:val="24"/>
          <w:shd w:val="clear" w:color="auto" w:fill="FFFFFF"/>
        </w:rPr>
        <w:t>medical imaging, autonomous driving, and facial recognition</w:t>
      </w:r>
      <w:r w:rsidRPr="00D22AA7">
        <w:rPr>
          <w:rFonts w:ascii="Times" w:hAnsi="Times" w:cs="Open Sans"/>
          <w:sz w:val="24"/>
          <w:szCs w:val="24"/>
          <w:shd w:val="clear" w:color="auto" w:fill="FFFFFF"/>
        </w:rPr>
        <w:t>, by enabling precise and automated image analysis</w:t>
      </w:r>
      <w:r w:rsidR="00072EF0" w:rsidRPr="00D22AA7">
        <w:rPr>
          <w:rFonts w:ascii="Times" w:hAnsi="Times" w:cs="Open Sans"/>
          <w:sz w:val="24"/>
          <w:szCs w:val="24"/>
          <w:shd w:val="clear" w:color="auto" w:fill="FFFFFF"/>
        </w:rPr>
        <w:t xml:space="preserve"> </w:t>
      </w:r>
      <w:r w:rsidR="00072EF0"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{"citationID":"tWfseBCQ","properties":{"formattedCitation":"[141]","plainCitation":"[141]","noteIndex":0},"citationItems":[{"id":11130,"uris":["http://zotero.org/users/9439317/items/B4HPG23Q"],"itemData":{"id":11130,"type":"article-journal","container-title":"Expert Systems with Applications","ISSN":"0957-4174","journalAbbreviation":"Expert Systems with Applications","note":"publisher: Elsevier","page":"122983","title":"Paradigm shift from Artificial Neural Networks (ANNs) to deep Convolutional Neural Networks (DCNNs) in the field of medical image processing","author":[{"family":"Abut","given":"Serdar"},{"family":"Okut","given":"Hayrettin"},{"family":"Kallail","given":"K James"}],"issued":{"date-parts":[["2023"]]}}}],"schema":"https://github.com/citation-style-language/schema/raw/master/csl-citation.json"} </w:instrText>
      </w:r>
      <w:r w:rsidR="00072EF0"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[141]</w:t>
      </w:r>
      <w:r w:rsidR="00072EF0" w:rsidRPr="00D22AA7">
        <w:rPr>
          <w:rFonts w:ascii="Times" w:hAnsi="Times" w:cs="Open Sans"/>
          <w:sz w:val="24"/>
          <w:szCs w:val="24"/>
          <w:shd w:val="clear" w:color="auto" w:fill="FFFFFF"/>
        </w:rPr>
        <w:fldChar w:fldCharType="end"/>
      </w:r>
      <w:r w:rsidR="00457B17">
        <w:rPr>
          <w:rFonts w:ascii="Times" w:hAnsi="Times" w:cs="Open Sans"/>
          <w:sz w:val="24"/>
          <w:szCs w:val="24"/>
          <w:shd w:val="clear" w:color="auto" w:fill="FFFFFF"/>
        </w:rPr>
        <w:t xml:space="preserve"> (figure 14)</w:t>
      </w:r>
      <w:r w:rsidRPr="00D22AA7">
        <w:rPr>
          <w:rFonts w:ascii="Times" w:hAnsi="Times" w:cs="Open Sans"/>
          <w:sz w:val="24"/>
          <w:szCs w:val="24"/>
          <w:shd w:val="clear" w:color="auto" w:fill="FFFFFF"/>
        </w:rPr>
        <w:t>.</w:t>
      </w:r>
    </w:p>
    <w:p w14:paraId="06DA070C" w14:textId="152FBD89" w:rsidR="007D4C4E" w:rsidRDefault="00A0238A" w:rsidP="00E86AB5">
      <w:pPr>
        <w:pStyle w:val="MDPI31text"/>
        <w:ind w:left="0" w:firstLine="0"/>
      </w:pPr>
      <w:r>
        <w:t xml:space="preserve">         </w:t>
      </w:r>
      <w:r w:rsidR="003E140F">
        <w:t xml:space="preserve">            </w:t>
      </w:r>
      <w:r w:rsidR="007D4C4E">
        <w:fldChar w:fldCharType="begin"/>
      </w:r>
      <w:r w:rsidR="007D4C4E">
        <w:instrText xml:space="preserve"> INCLUDEPICTURE "https://www.mdpi.com/jimaging/jimaging-11-00059/article_deploy/html/images/jimaging-11-00059-g003.png" \* MERGEFORMATINET </w:instrText>
      </w:r>
      <w:r w:rsidR="007D4C4E">
        <w:fldChar w:fldCharType="separate"/>
      </w:r>
      <w:r w:rsidR="007D4C4E">
        <w:rPr>
          <w:noProof/>
        </w:rPr>
        <w:drawing>
          <wp:inline distT="0" distB="0" distL="0" distR="0" wp14:anchorId="3B68B4A3" wp14:editId="2079EDAD">
            <wp:extent cx="4947385" cy="1660228"/>
            <wp:effectExtent l="0" t="0" r="0" b="3810"/>
            <wp:docPr id="290143302" name="Picture 17" descr="Jimaging 11 00059 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Jimaging 11 00059 g00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17929" cy="1683901"/>
                    </a:xfrm>
                    <a:prstGeom prst="rect">
                      <a:avLst/>
                    </a:prstGeom>
                    <a:noFill/>
                    <a:ln>
                      <a:noFill/>
                    </a:ln>
                  </pic:spPr>
                </pic:pic>
              </a:graphicData>
            </a:graphic>
          </wp:inline>
        </w:drawing>
      </w:r>
      <w:r w:rsidR="007D4C4E">
        <w:fldChar w:fldCharType="end"/>
      </w:r>
    </w:p>
    <w:p w14:paraId="7CA7519D" w14:textId="7FA0F779" w:rsidR="007D4C4E" w:rsidRDefault="007D4C4E" w:rsidP="00E86AB5">
      <w:pPr>
        <w:pStyle w:val="MDPI31text"/>
        <w:ind w:left="0" w:firstLine="0"/>
        <w:rPr>
          <w:rFonts w:ascii="Times" w:hAnsi="Times"/>
          <w:szCs w:val="20"/>
        </w:rPr>
      </w:pPr>
      <w:r w:rsidRPr="009E1465">
        <w:rPr>
          <w:rFonts w:ascii="Times" w:hAnsi="Times"/>
          <w:b/>
          <w:bCs/>
          <w:szCs w:val="20"/>
        </w:rPr>
        <w:t>Figure 14</w:t>
      </w:r>
      <w:r w:rsidRPr="009E1465">
        <w:rPr>
          <w:rFonts w:ascii="Times" w:hAnsi="Times"/>
          <w:szCs w:val="20"/>
        </w:rPr>
        <w:t>. CNN consists of multiple convolutional and pooling layers to process spatial information. The convolutional layer applies filters to extract essential features, while the pooling layer reduces feature size to improve computational efficiency. Finally, the fully connected layer utilizes the processed data to generate the final output prediction.</w:t>
      </w:r>
      <w:r w:rsidR="0055014A" w:rsidRPr="009E1465">
        <w:rPr>
          <w:rFonts w:ascii="Times" w:hAnsi="Times"/>
          <w:szCs w:val="20"/>
        </w:rPr>
        <w:t xml:space="preserve"> Reprinted from </w:t>
      </w:r>
      <w:r w:rsidR="0055014A" w:rsidRPr="009E1465">
        <w:rPr>
          <w:rFonts w:ascii="Times" w:hAnsi="Times"/>
          <w:szCs w:val="20"/>
        </w:rPr>
        <w:fldChar w:fldCharType="begin"/>
      </w:r>
      <w:r w:rsidR="0056095D">
        <w:rPr>
          <w:rFonts w:ascii="Times" w:hAnsi="Times"/>
          <w:szCs w:val="20"/>
        </w:rPr>
        <w:instrText xml:space="preserve"> ADDIN ZOTERO_ITEM CSL_CITATION {"citationID":"SNOqgfc0","properties":{"formattedCitation":"[164]","plainCitation":"[164]","noteIndex":0},"citationItems":[{"id":6262,"uris":["http://zotero.org/users/9439317/items/9X35BMZB"],"itemData":{"id":6262,"type":"article-journal","abstract":"Recombinant biopharmaceuticals including antigens, antibodies, hormones, cytokines, single-chain variable fragments, and peptides have been used as vaccines, diagnostics and therapeutics. Plant molecular pharming is a robust platform that uses plants as an expression system to produce simple and complex recombinant biopharmaceuticals on a large scale. Plant system has several advantages over other host systems such as humanized expression, glycosylation, scalability, reduced risk of human or animal pathogenic contaminants, rapid and cost-effective production. Despite many advantages, the expression of recombinant proteins in plant system is hindered by some factors such as non-human post-translational modifications, protein misfolding, conformation changes and instability. Artificial intelligence (AI) plays a vital role in various fields of biotechnology and in the aspect of plant molecular pharming, a significant increase in yield and stability can be achieved with the intervention of AI-based multi-approach to overcome the hindrance factors. Current limitations of plant-based recombinant biopharmaceutical production can be circumvented with the aid of synthetic biology tools and AI algorithms in plant-based glycan engineering for protein folding, stability, viability, catalytic activity and organelle targeting. The AI models, including but not limited to, neural network, support vector machines, linear regression, Gaussian process and regressor ensemble, work by predicting the training and experimental data sets to design and validate the protein structures thereby optimizing properties such as thermostability, catalytic activity, antibody affinity, and protein folding. This review focuses on, integrating systems engineering approaches and AI-based machine learning and deep learning algorithms in protein engineering and host engineering to augment protein production in plant systems to meet the ever-expanding therapeutics market.","container-title":"Frontiers in Plant Science","DOI":"10.3389/fpls.2023.1252166","ISSN":"1664-462X","journalAbbreviation":"Front. Plant Sci.","language":"en","page":"1252166","source":"DOI.org (Crossref)","title":"Artificial intelligence-driven systems engineering for next-generation plant-derived biopharmaceuticals","URL":"https://www.frontiersin.org/articles/10.3389/fpls.2023.1252166/full","volume":"14","author":[{"family":"Parthiban","given":"Subramanian"},{"family":"Vijeesh","given":"Thandarvalli"},{"family":"Gayathri","given":"Thashanamoorthi"},{"family":"Shanmugaraj","given":"Balamurugan"},{"family":"Sharma","given":"Ashutosh"},{"family":"Sathishkumar","given":"Ramalingam"}],"accessed":{"date-parts":[["2024",6,26]]},"issued":{"date-parts":[["2023",11,15]]}}}],"schema":"https://github.com/citation-style-language/schema/raw/master/csl-citation.json"} </w:instrText>
      </w:r>
      <w:r w:rsidR="0055014A" w:rsidRPr="009E1465">
        <w:rPr>
          <w:rFonts w:ascii="Times" w:hAnsi="Times"/>
          <w:szCs w:val="20"/>
        </w:rPr>
        <w:fldChar w:fldCharType="separate"/>
      </w:r>
      <w:r w:rsidR="0056095D">
        <w:rPr>
          <w:rFonts w:ascii="Times" w:hAnsi="Times"/>
          <w:noProof/>
          <w:szCs w:val="20"/>
        </w:rPr>
        <w:t>[164]</w:t>
      </w:r>
      <w:r w:rsidR="0055014A" w:rsidRPr="009E1465">
        <w:rPr>
          <w:rFonts w:ascii="Times" w:hAnsi="Times"/>
          <w:szCs w:val="20"/>
        </w:rPr>
        <w:fldChar w:fldCharType="end"/>
      </w:r>
      <w:r w:rsidR="00F2002C" w:rsidRPr="009E1465">
        <w:rPr>
          <w:rFonts w:ascii="Times" w:hAnsi="Times"/>
          <w:szCs w:val="20"/>
        </w:rPr>
        <w:t>.</w:t>
      </w:r>
    </w:p>
    <w:p w14:paraId="1B575A9D" w14:textId="77777777" w:rsidR="009E1465" w:rsidRPr="009E1465" w:rsidRDefault="009E1465" w:rsidP="00E86AB5">
      <w:pPr>
        <w:pStyle w:val="MDPI31text"/>
        <w:ind w:left="0" w:firstLine="0"/>
        <w:rPr>
          <w:rFonts w:ascii="Times" w:hAnsi="Times"/>
          <w:szCs w:val="20"/>
        </w:rPr>
      </w:pPr>
    </w:p>
    <w:p w14:paraId="109FEC0B" w14:textId="77777777" w:rsidR="00F2002C" w:rsidRDefault="00F2002C" w:rsidP="00E86AB5">
      <w:pPr>
        <w:pStyle w:val="MDPI31text"/>
        <w:ind w:left="0" w:firstLine="0"/>
        <w:rPr>
          <w:rFonts w:ascii="Times" w:hAnsi="Times"/>
          <w:sz w:val="22"/>
        </w:rPr>
      </w:pPr>
    </w:p>
    <w:p w14:paraId="036F310A" w14:textId="77777777" w:rsidR="00DC0A50" w:rsidRPr="007D4C4E" w:rsidRDefault="00DC0A50" w:rsidP="00E86AB5">
      <w:pPr>
        <w:pStyle w:val="MDPI31text"/>
        <w:ind w:left="0" w:firstLine="0"/>
        <w:rPr>
          <w:rFonts w:ascii="Times" w:hAnsi="Times" w:cs="Open Sans"/>
          <w:sz w:val="22"/>
          <w:shd w:val="clear" w:color="auto" w:fill="FFFFFF"/>
        </w:rPr>
      </w:pPr>
    </w:p>
    <w:p w14:paraId="36EA5420" w14:textId="7F76726B" w:rsidR="00E86AB5" w:rsidRDefault="6AA7BC41" w:rsidP="2C6AA39A">
      <w:pPr>
        <w:pStyle w:val="MDPI31text"/>
        <w:ind w:left="0" w:firstLine="0"/>
        <w:rPr>
          <w:rFonts w:ascii="Times" w:eastAsiaTheme="majorEastAsia" w:hAnsi="Times" w:cs="Open Sans"/>
          <w:b/>
          <w:bCs/>
          <w:sz w:val="24"/>
          <w:szCs w:val="24"/>
          <w:shd w:val="clear" w:color="auto" w:fill="FFFFFF"/>
        </w:rPr>
      </w:pPr>
      <w:r w:rsidRPr="00D22AA7">
        <w:rPr>
          <w:rFonts w:ascii="Times" w:eastAsiaTheme="majorEastAsia" w:hAnsi="Times" w:cs="Open Sans"/>
          <w:b/>
          <w:bCs/>
          <w:sz w:val="24"/>
          <w:szCs w:val="24"/>
          <w:shd w:val="clear" w:color="auto" w:fill="FFFFFF"/>
        </w:rPr>
        <w:lastRenderedPageBreak/>
        <w:t>4.</w:t>
      </w:r>
      <w:r w:rsidR="005D6C43">
        <w:rPr>
          <w:rFonts w:ascii="Times" w:eastAsiaTheme="majorEastAsia" w:hAnsi="Times" w:cs="Open Sans"/>
          <w:b/>
          <w:bCs/>
          <w:sz w:val="24"/>
          <w:szCs w:val="24"/>
          <w:shd w:val="clear" w:color="auto" w:fill="FFFFFF"/>
        </w:rPr>
        <w:t>7</w:t>
      </w:r>
      <w:r w:rsidRPr="00D22AA7">
        <w:rPr>
          <w:rFonts w:ascii="Times" w:eastAsiaTheme="majorEastAsia" w:hAnsi="Times" w:cs="Open Sans"/>
          <w:b/>
          <w:bCs/>
          <w:sz w:val="24"/>
          <w:szCs w:val="24"/>
          <w:shd w:val="clear" w:color="auto" w:fill="FFFFFF"/>
        </w:rPr>
        <w:t xml:space="preserve"> </w:t>
      </w:r>
      <w:r w:rsidR="00E86AB5" w:rsidRPr="00D22AA7">
        <w:rPr>
          <w:rFonts w:ascii="Times" w:eastAsiaTheme="majorEastAsia" w:hAnsi="Times" w:cs="Open Sans"/>
          <w:b/>
          <w:bCs/>
          <w:sz w:val="24"/>
          <w:szCs w:val="24"/>
          <w:shd w:val="clear" w:color="auto" w:fill="FFFFFF"/>
        </w:rPr>
        <w:t>Deep Convolutional Neural Networks (DCNNs)</w:t>
      </w:r>
    </w:p>
    <w:p w14:paraId="61D054A8" w14:textId="77777777" w:rsidR="00DC0A50" w:rsidRPr="00D22AA7" w:rsidRDefault="00DC0A50" w:rsidP="2C6AA39A">
      <w:pPr>
        <w:pStyle w:val="MDPI31text"/>
        <w:ind w:left="0" w:firstLine="0"/>
        <w:rPr>
          <w:rFonts w:ascii="Times" w:hAnsi="Times" w:cs="Open Sans"/>
          <w:b/>
          <w:bCs/>
          <w:sz w:val="24"/>
          <w:szCs w:val="24"/>
          <w:shd w:val="clear" w:color="auto" w:fill="FFFFFF"/>
        </w:rPr>
      </w:pPr>
    </w:p>
    <w:p w14:paraId="6FC58034" w14:textId="6A23D822" w:rsidR="007D4C4E" w:rsidRDefault="00E86AB5" w:rsidP="0DE242D6">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t xml:space="preserve">Deep Convolutional Neural Networks (DCNNs) extend CNN capabilities by incorporating multiple convolutional layers, leading to </w:t>
      </w:r>
      <w:r w:rsidRPr="00D22AA7">
        <w:rPr>
          <w:rFonts w:ascii="Times" w:eastAsiaTheme="majorEastAsia" w:hAnsi="Times" w:cs="Open Sans"/>
          <w:sz w:val="24"/>
          <w:szCs w:val="24"/>
          <w:shd w:val="clear" w:color="auto" w:fill="FFFFFF"/>
        </w:rPr>
        <w:t>deeper architectures</w:t>
      </w:r>
      <w:r w:rsidRPr="00D22AA7">
        <w:rPr>
          <w:rFonts w:ascii="Times" w:hAnsi="Times" w:cs="Open Sans"/>
          <w:sz w:val="24"/>
          <w:szCs w:val="24"/>
          <w:shd w:val="clear" w:color="auto" w:fill="FFFFFF"/>
        </w:rPr>
        <w:t xml:space="preserve"> capable of extracting progressively complex patterns.</w:t>
      </w:r>
      <w:r w:rsidR="00DD783C" w:rsidRPr="00D22AA7">
        <w:rPr>
          <w:rFonts w:ascii="Times" w:hAnsi="Times" w:cs="Open Sans"/>
          <w:sz w:val="24"/>
          <w:szCs w:val="24"/>
          <w:shd w:val="clear" w:color="auto" w:fill="FFFFFF"/>
        </w:rPr>
        <w:t xml:space="preserve"> </w:t>
      </w:r>
      <w:r w:rsidRPr="00D22AA7">
        <w:rPr>
          <w:rFonts w:ascii="Times" w:hAnsi="Times" w:cs="Open Sans"/>
          <w:sz w:val="24"/>
          <w:szCs w:val="24"/>
          <w:shd w:val="clear" w:color="auto" w:fill="FFFFFF"/>
        </w:rPr>
        <w:t xml:space="preserve">DCNNs are particularly effective in </w:t>
      </w:r>
      <w:r w:rsidRPr="00D22AA7">
        <w:rPr>
          <w:rFonts w:ascii="Times" w:eastAsiaTheme="majorEastAsia" w:hAnsi="Times" w:cs="Open Sans"/>
          <w:sz w:val="24"/>
          <w:szCs w:val="24"/>
          <w:shd w:val="clear" w:color="auto" w:fill="FFFFFF"/>
        </w:rPr>
        <w:t>image and video recognition</w:t>
      </w:r>
      <w:r w:rsidRPr="00D22AA7">
        <w:rPr>
          <w:rFonts w:ascii="Times" w:hAnsi="Times" w:cs="Open Sans"/>
          <w:sz w:val="24"/>
          <w:szCs w:val="24"/>
          <w:shd w:val="clear" w:color="auto" w:fill="FFFFFF"/>
        </w:rPr>
        <w:t>, as their hierarchical structure allows them to capture fine-grained details across multiple layers. Their architecture typically includes:</w:t>
      </w:r>
      <w:r w:rsidR="00DD783C"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Convolutional layers</w:t>
      </w:r>
      <w:r w:rsidRPr="00D22AA7">
        <w:rPr>
          <w:rFonts w:ascii="Times" w:hAnsi="Times" w:cs="Open Sans"/>
          <w:sz w:val="24"/>
          <w:szCs w:val="24"/>
          <w:shd w:val="clear" w:color="auto" w:fill="FFFFFF"/>
        </w:rPr>
        <w:t xml:space="preserve"> for feature extraction, detecting spatial patterns in input images</w:t>
      </w:r>
      <w:r w:rsidR="005C3610" w:rsidRPr="00D22AA7">
        <w:rPr>
          <w:rFonts w:ascii="Times" w:hAnsi="Times" w:cs="Open Sans"/>
          <w:sz w:val="24"/>
          <w:szCs w:val="24"/>
          <w:shd w:val="clear" w:color="auto" w:fill="FFFFFF"/>
        </w:rPr>
        <w:t xml:space="preserve"> </w:t>
      </w:r>
      <w:r w:rsidR="005C3610"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{"citationID":"FYjQp0t4","properties":{"formattedCitation":"[142]","plainCitation":"[142]","noteIndex":0},"citationItems":[{"id":6248,"uris":["http://zotero.org/users/9439317/items/C2CEYHPA"],"itemData":{"id":6248,"type":"article-journal","abstract":"In the last few years, the deep learning (DL) computing paradigm has been deemed the Gold Standard in the machine learning (ML) community. Moreover, it has gradually become the most widely used computational approach in the field of ML, thus achieving outstanding results on several complex cognitive tasks, matching or even beating those provided by human performance. One of the benefits of DL is the ability to learn massive amounts of data. The DL field has grown fast in the last few years and it has been extensively used to successfully address a wide range of traditional applications. More importantly, DL has outperformed well-known ML techniques in many domains, e.g., cybersecurity, natural language processing, bioinformatics, robotics and control, and medical information processing, among many others. Despite it has been contributed several works reviewing the State-of-the-Art on DL, all of them only tackled one aspect of the DL, which leads to an overall lack of knowledge about it. Therefore, in this contribution, we propose using a more holistic approach in order to provide a more suitable starting point from which to develop a full understanding of DL. Specifically, this review attempts to provide a more comprehensive survey of the most important aspects of DL and including those enhancements recently added to the field. In particular, this paper outlines the importance of DL, presents the types of DL techniques and networks. It then presents convolutional neural networks (CNNs) which the most utilized DL network type and describes the development of CNNs architectures together with their main features, e.g., starting with the AlexNet network and closing with the High-Resolution network (HR.Net). Finally, we further present the challenges and suggested solutions to help researchers understand the existing research gaps. It is followed by a list of the major DL applications. Computational tools including FPGA, GPU, and CPU are summarized along with a description of their influence on DL. The paper ends with the evolution matrix, benchmark datasets, and summary and conclusion.","container-title":"Journal of Big Data","DOI":"10.1186/s40537-021-00444-8","ISSN":"2196-1115","issue":"1","journalAbbreviation":"Journal of Big Data","page":"53","title":"Review of deep learning: concepts, CNN architectures, challenges, applications, future directions","URL":"https://doi.org/10.1186/s40537-021-00444-8","volume":"8","author":[{"family":"Alzubaidi","given":"Laith"},{"family":"Zhang","given":"Jinglan"},{"family":"Humaidi","given":"Amjad J."},{"family":"Al-Dujaili","given":"Ayad"},{"family":"Duan","given":"Ye"},{"family":"Al-Shamma","given":"Omran"},{"family":"Santamaría","given":"J."},{"family":"Fadhel","given":"Mohammed A."},{"family":"Al-Amidie","given":"Muthana"},{"family":"Farhan","given":"Laith"}],"issued":{"date-parts":[["2021",3,31]]}}}],"schema":"https://github.com/citation-style-language/schema/raw/master/csl-citation.json"} </w:instrText>
      </w:r>
      <w:r w:rsidR="005C3610"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[142]</w:t>
      </w:r>
      <w:r w:rsidR="005C3610" w:rsidRPr="00D22AA7">
        <w:rPr>
          <w:rFonts w:ascii="Times" w:hAnsi="Times" w:cs="Open Sans"/>
          <w:sz w:val="24"/>
          <w:szCs w:val="24"/>
          <w:shd w:val="clear" w:color="auto" w:fill="FFFFFF"/>
        </w:rPr>
        <w:fldChar w:fldCharType="end"/>
      </w:r>
      <w:r w:rsidRPr="00D22AA7">
        <w:rPr>
          <w:rFonts w:ascii="Times" w:hAnsi="Times" w:cs="Open Sans"/>
          <w:sz w:val="24"/>
          <w:szCs w:val="24"/>
          <w:shd w:val="clear" w:color="auto" w:fill="FFFFFF"/>
        </w:rPr>
        <w:t>.</w:t>
      </w:r>
      <w:r w:rsidR="00DD783C"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Pooling layers</w:t>
      </w:r>
      <w:r w:rsidRPr="00D22AA7">
        <w:rPr>
          <w:rFonts w:ascii="Times" w:hAnsi="Times" w:cs="Open Sans"/>
          <w:sz w:val="24"/>
          <w:szCs w:val="24"/>
          <w:shd w:val="clear" w:color="auto" w:fill="FFFFFF"/>
        </w:rPr>
        <w:t xml:space="preserve"> to reduce dimensionality, making the model more robust to slight variations and distortions. </w:t>
      </w:r>
      <w:r w:rsidRPr="00D22AA7">
        <w:rPr>
          <w:rFonts w:ascii="Times" w:eastAsiaTheme="majorEastAsia" w:hAnsi="Times" w:cs="Open Sans"/>
          <w:sz w:val="24"/>
          <w:szCs w:val="24"/>
          <w:shd w:val="clear" w:color="auto" w:fill="FFFFFF"/>
        </w:rPr>
        <w:t>Max pooling</w:t>
      </w:r>
      <w:r w:rsidRPr="00D22AA7">
        <w:rPr>
          <w:rFonts w:ascii="Times" w:hAnsi="Times" w:cs="Open Sans"/>
          <w:sz w:val="24"/>
          <w:szCs w:val="24"/>
          <w:shd w:val="clear" w:color="auto" w:fill="FFFFFF"/>
        </w:rPr>
        <w:t xml:space="preserve"> and </w:t>
      </w:r>
      <w:r w:rsidRPr="00D22AA7">
        <w:rPr>
          <w:rFonts w:ascii="Times" w:eastAsiaTheme="majorEastAsia" w:hAnsi="Times" w:cs="Open Sans"/>
          <w:sz w:val="24"/>
          <w:szCs w:val="24"/>
          <w:shd w:val="clear" w:color="auto" w:fill="FFFFFF"/>
        </w:rPr>
        <w:t>average pooling</w:t>
      </w:r>
      <w:r w:rsidRPr="00D22AA7">
        <w:rPr>
          <w:rFonts w:ascii="Times" w:hAnsi="Times" w:cs="Open Sans"/>
          <w:sz w:val="24"/>
          <w:szCs w:val="24"/>
          <w:shd w:val="clear" w:color="auto" w:fill="FFFFFF"/>
        </w:rPr>
        <w:t xml:space="preserve"> help maintain essential features while minimizing overfitting.</w:t>
      </w:r>
      <w:r w:rsidR="00DD783C" w:rsidRPr="00D22AA7">
        <w:rPr>
          <w:rFonts w:ascii="Times" w:hAnsi="Times" w:cs="Open Sans"/>
          <w:sz w:val="24"/>
          <w:szCs w:val="24"/>
          <w:shd w:val="clear" w:color="auto" w:fill="FFFFFF"/>
        </w:rPr>
        <w:t xml:space="preserve"> </w:t>
      </w:r>
      <w:r w:rsidRPr="00D22AA7">
        <w:rPr>
          <w:rFonts w:ascii="Times" w:eastAsiaTheme="majorEastAsia" w:hAnsi="Times" w:cs="Open Sans"/>
          <w:sz w:val="24"/>
          <w:szCs w:val="24"/>
          <w:shd w:val="clear" w:color="auto" w:fill="FFFFFF"/>
        </w:rPr>
        <w:t>Fully connected layers</w:t>
      </w:r>
      <w:r w:rsidRPr="00D22AA7">
        <w:rPr>
          <w:rFonts w:ascii="Times" w:hAnsi="Times" w:cs="Open Sans"/>
          <w:sz w:val="24"/>
          <w:szCs w:val="24"/>
          <w:shd w:val="clear" w:color="auto" w:fill="FFFFFF"/>
        </w:rPr>
        <w:t xml:space="preserve"> that consolidate learned features and enable final decision-making</w:t>
      </w:r>
      <w:r w:rsidR="005C3610" w:rsidRPr="00D22AA7">
        <w:rPr>
          <w:rFonts w:ascii="Times" w:hAnsi="Times" w:cs="Open Sans"/>
          <w:sz w:val="24"/>
          <w:szCs w:val="24"/>
          <w:shd w:val="clear" w:color="auto" w:fill="FFFFFF"/>
        </w:rPr>
        <w:t xml:space="preserve"> </w:t>
      </w:r>
      <w:r w:rsidR="005C3610" w:rsidRPr="00D22AA7">
        <w:rPr>
          <w:rFonts w:ascii="Times" w:hAnsi="Times" w:cs="Open Sans"/>
          <w:sz w:val="24"/>
          <w:szCs w:val="24"/>
          <w:shd w:val="clear" w:color="auto" w:fill="FFFFFF"/>
        </w:rPr>
        <w:fldChar w:fldCharType="begin"/>
      </w:r>
      <w:r w:rsidR="0056095D">
        <w:rPr>
          <w:rFonts w:ascii="Times" w:hAnsi="Times" w:cs="Open Sans"/>
          <w:sz w:val="24"/>
          <w:szCs w:val="24"/>
          <w:shd w:val="clear" w:color="auto" w:fill="FFFFFF"/>
        </w:rPr>
        <w:instrText xml:space="preserve"> ADDIN ZOTERO_ITEM CSL_CITATION {"citationID":"6A5ImhHh","properties":{"formattedCitation":"[163]","plainCitation":"[163]","noteIndex":0},"citationItems":[{"id":11079,"uris":["http://zotero.org/users/9439317/items/6ATBKZ3S"],"itemData":{"id":11079,"type":"article-journal","container-title":"Neurocomputing","ISSN":"0925-2312","journalAbbreviation":"Neurocomputing","note":"publisher: Elsevier","page":"112-119","title":"Impact of fully connected layers on performance of convolutional neural networks for image classification","volume":"378","author":[{"family":"Basha","given":"SH Shabbeer"},{"family":"Dubey","given":"Shiv Ram"},{"family":"Pulabaigari","given":"Viswanath"},{"family":"Mukherjee","given":"Snehasis"}],"issued":{"date-parts":[["2020"]]}}}],"schema":"https://github.com/citation-style-language/schema/raw/master/csl-citation.json"} </w:instrText>
      </w:r>
      <w:r w:rsidR="005C3610" w:rsidRPr="00D22AA7">
        <w:rPr>
          <w:rFonts w:ascii="Times" w:hAnsi="Times" w:cs="Open Sans"/>
          <w:sz w:val="24"/>
          <w:szCs w:val="24"/>
          <w:shd w:val="clear" w:color="auto" w:fill="FFFFFF"/>
        </w:rPr>
        <w:fldChar w:fldCharType="separate"/>
      </w:r>
      <w:r w:rsidR="0056095D">
        <w:rPr>
          <w:rFonts w:ascii="Times" w:hAnsi="Times" w:cs="Open Sans"/>
          <w:noProof/>
          <w:sz w:val="24"/>
          <w:szCs w:val="24"/>
          <w:shd w:val="clear" w:color="auto" w:fill="FFFFFF"/>
        </w:rPr>
        <w:t>[163]</w:t>
      </w:r>
      <w:r w:rsidR="005C3610" w:rsidRPr="00D22AA7">
        <w:rPr>
          <w:rFonts w:ascii="Times" w:hAnsi="Times" w:cs="Open Sans"/>
          <w:sz w:val="24"/>
          <w:szCs w:val="24"/>
          <w:shd w:val="clear" w:color="auto" w:fill="FFFFFF"/>
        </w:rPr>
        <w:fldChar w:fldCharType="end"/>
      </w:r>
      <w:r w:rsidR="00457B17">
        <w:rPr>
          <w:rFonts w:ascii="Times" w:hAnsi="Times" w:cs="Open Sans"/>
          <w:sz w:val="24"/>
          <w:szCs w:val="24"/>
          <w:shd w:val="clear" w:color="auto" w:fill="FFFFFF"/>
        </w:rPr>
        <w:t xml:space="preserve"> (figure 15)</w:t>
      </w:r>
      <w:r w:rsidRPr="00D22AA7">
        <w:rPr>
          <w:rFonts w:ascii="Times" w:hAnsi="Times" w:cs="Open Sans"/>
          <w:sz w:val="24"/>
          <w:szCs w:val="24"/>
          <w:shd w:val="clear" w:color="auto" w:fill="FFFFFF"/>
        </w:rPr>
        <w:t>.</w:t>
      </w:r>
      <w:r w:rsidR="00DD783C" w:rsidRPr="00D22AA7">
        <w:rPr>
          <w:rFonts w:ascii="Times" w:hAnsi="Times" w:cs="Open Sans"/>
          <w:sz w:val="24"/>
          <w:szCs w:val="24"/>
          <w:shd w:val="clear" w:color="auto" w:fill="FFFFFF"/>
        </w:rPr>
        <w:t xml:space="preserve"> </w:t>
      </w:r>
    </w:p>
    <w:p w14:paraId="66A12013" w14:textId="77777777" w:rsidR="00A0238A" w:rsidRDefault="00A0238A" w:rsidP="0DE242D6">
      <w:pPr>
        <w:pStyle w:val="MDPI31text"/>
        <w:ind w:left="0" w:firstLine="0"/>
        <w:rPr>
          <w:rFonts w:ascii="Times" w:hAnsi="Times" w:cs="Open Sans"/>
          <w:sz w:val="24"/>
          <w:szCs w:val="24"/>
          <w:shd w:val="clear" w:color="auto" w:fill="FFFFFF"/>
        </w:rPr>
      </w:pPr>
    </w:p>
    <w:p w14:paraId="3B5F783E" w14:textId="4E9F8B52" w:rsidR="007D4C4E" w:rsidRDefault="00A0238A" w:rsidP="0DE242D6">
      <w:pPr>
        <w:pStyle w:val="MDPI31text"/>
        <w:ind w:left="0" w:firstLine="0"/>
      </w:pPr>
      <w:r>
        <w:t xml:space="preserve">                                </w:t>
      </w:r>
      <w:r w:rsidR="007D4C4E">
        <w:fldChar w:fldCharType="begin"/>
      </w:r>
      <w:r w:rsidR="007D4C4E">
        <w:instrText xml:space="preserve"> INCLUDEPICTURE "https://www.mdpi.com/jimaging/jimaging-11-00059/article_deploy/html/images/jimaging-11-00059-g004.png" \* MERGEFORMATINET </w:instrText>
      </w:r>
      <w:r w:rsidR="007D4C4E">
        <w:fldChar w:fldCharType="separate"/>
      </w:r>
      <w:r w:rsidR="007D4C4E">
        <w:rPr>
          <w:noProof/>
        </w:rPr>
        <w:drawing>
          <wp:inline distT="0" distB="0" distL="0" distR="0" wp14:anchorId="6512EAD3" wp14:editId="08437F5E">
            <wp:extent cx="4138863" cy="2208720"/>
            <wp:effectExtent l="0" t="0" r="1905" b="1270"/>
            <wp:docPr id="390384804" name="Picture 18" descr="Jimaging 11 00059 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Jimaging 11 00059 g00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69093" cy="2224852"/>
                    </a:xfrm>
                    <a:prstGeom prst="rect">
                      <a:avLst/>
                    </a:prstGeom>
                    <a:noFill/>
                    <a:ln>
                      <a:noFill/>
                    </a:ln>
                  </pic:spPr>
                </pic:pic>
              </a:graphicData>
            </a:graphic>
          </wp:inline>
        </w:drawing>
      </w:r>
      <w:r w:rsidR="007D4C4E">
        <w:fldChar w:fldCharType="end"/>
      </w:r>
    </w:p>
    <w:p w14:paraId="5E725D4A" w14:textId="60A308CA" w:rsidR="007D4C4E" w:rsidRDefault="007D4C4E" w:rsidP="0DE242D6">
      <w:pPr>
        <w:pStyle w:val="MDPI31text"/>
        <w:ind w:left="0" w:firstLine="0"/>
        <w:rPr>
          <w:rFonts w:ascii="Times" w:hAnsi="Times"/>
          <w:szCs w:val="20"/>
        </w:rPr>
      </w:pPr>
      <w:r w:rsidRPr="009E1465">
        <w:rPr>
          <w:rFonts w:ascii="Times" w:hAnsi="Times"/>
          <w:b/>
          <w:bCs/>
          <w:szCs w:val="20"/>
        </w:rPr>
        <w:t>Figure 15.</w:t>
      </w:r>
      <w:r w:rsidRPr="009E1465">
        <w:rPr>
          <w:rFonts w:ascii="Times" w:hAnsi="Times"/>
          <w:szCs w:val="20"/>
        </w:rPr>
        <w:t xml:space="preserve">  The classification process in deep CNNs (Convolutional Neural Networks) begins with an input image analyzed using convolutional filters that detect patterns within small receptive fields, generating feature maps</w:t>
      </w:r>
      <w:r w:rsidR="0055014A" w:rsidRPr="009E1465">
        <w:rPr>
          <w:rFonts w:ascii="Times" w:hAnsi="Times"/>
          <w:szCs w:val="20"/>
        </w:rPr>
        <w:t xml:space="preserve">. From </w:t>
      </w:r>
      <w:r w:rsidR="0055014A" w:rsidRPr="009E1465">
        <w:rPr>
          <w:rFonts w:ascii="Times" w:hAnsi="Times"/>
          <w:szCs w:val="20"/>
        </w:rPr>
        <w:fldChar w:fldCharType="begin"/>
      </w:r>
      <w:r w:rsidR="0056095D">
        <w:rPr>
          <w:rFonts w:ascii="Times" w:hAnsi="Times"/>
          <w:szCs w:val="20"/>
        </w:rPr>
        <w:instrText xml:space="preserve"> ADDIN ZOTERO_ITEM CSL_CITATION {"citationID":"MZnOhh5O","properties":{"formattedCitation":"[165]","plainCitation":"[165]","noteIndex":0},"citationItems":[{"id":6351,"uris":["http://zotero.org/users/9439317/items/UMTVZ8E2"],"itemData":{"id":6351,"type":"article-journal","abstract":"The fast progress in research and development of multifunctional, distributed sensor networks has brought challenges in processing data from a large number of sensors. Using deep learning methods such as convolutional neural networks (CNN), it is possible to build smarter systems to forecasting future situations as well as precisely classify large amounts of data from sensors. Multi-sensor data from atmospheric pollutants measurements that involves five criteria, with the underlying analytic model unknown, need to be categorized, so do the Diabetic Retinopathy (DR) fundus images dataset. In this work, we created automatic classifiers based on a deep convolutional neural network (CNN) with two models, a simpler feedforward model with dual modules and an Inception Resnet v2 model, and various structural tweaks for classifying the data from the two tasks. For segregating multi-sensor data, we trained a deep CNN-based classifier on an image dataset extracted from the data by a novel image generating method. We created two deepened and one reductive feedforward network for DR phase classification. The validation accuracies and visualization results show that increasing deep CNN structure depth or kernels number in convolutional layers will not indefinitely improve the classification quality and that a more sophisticated model does not necessarily achieve higher performance when training datasets are quantitatively limited, while increasing training image resolution can induce higher classification accuracies for trained CNNs. The methodology aims at providing support for devising classification networks powering intelligent sensors.","container-title":"Sensors","DOI":"10.3390/s19163584","ISSN":"1424-8220","issue":"16","title":"Study of the Application of Deep Convolutional Neural Networks (CNNs) in Processing Sensor Data and Biomedical Images","volume":"19","author":[{"family":"Hu","given":"Weijun"},{"family":"Zhang","given":"Yan"},{"family":"Li","given":"Lijie"}],"issued":{"date-parts":[["2019"]]}}}],"schema":"https://github.com/citation-style-language/schema/raw/master/csl-citation.json"} </w:instrText>
      </w:r>
      <w:r w:rsidR="0055014A" w:rsidRPr="009E1465">
        <w:rPr>
          <w:rFonts w:ascii="Times" w:hAnsi="Times"/>
          <w:szCs w:val="20"/>
        </w:rPr>
        <w:fldChar w:fldCharType="separate"/>
      </w:r>
      <w:r w:rsidR="0056095D">
        <w:rPr>
          <w:rFonts w:ascii="Times" w:hAnsi="Times"/>
          <w:noProof/>
          <w:szCs w:val="20"/>
        </w:rPr>
        <w:t>[165]</w:t>
      </w:r>
      <w:r w:rsidR="0055014A" w:rsidRPr="009E1465">
        <w:rPr>
          <w:rFonts w:ascii="Times" w:hAnsi="Times"/>
          <w:szCs w:val="20"/>
        </w:rPr>
        <w:fldChar w:fldCharType="end"/>
      </w:r>
    </w:p>
    <w:p w14:paraId="3078F185" w14:textId="77777777" w:rsidR="00A0238A" w:rsidRPr="009E1465" w:rsidRDefault="00A0238A" w:rsidP="0DE242D6">
      <w:pPr>
        <w:pStyle w:val="MDPI31text"/>
        <w:ind w:left="0" w:firstLine="0"/>
        <w:rPr>
          <w:rFonts w:ascii="Times" w:hAnsi="Times"/>
          <w:szCs w:val="20"/>
        </w:rPr>
      </w:pPr>
    </w:p>
    <w:p w14:paraId="54283D9C" w14:textId="110B5034" w:rsidR="00E86AB5" w:rsidRPr="00D22AA7" w:rsidRDefault="00E86AB5" w:rsidP="0DE242D6">
      <w:pPr>
        <w:pStyle w:val="MDPI31text"/>
        <w:ind w:left="0" w:firstLine="0"/>
        <w:rPr>
          <w:rFonts w:ascii="Times" w:hAnsi="Times" w:cs="Open Sans"/>
          <w:sz w:val="24"/>
          <w:szCs w:val="24"/>
          <w:shd w:val="clear" w:color="auto" w:fill="FFFFFF"/>
        </w:rPr>
      </w:pPr>
      <w:r w:rsidRPr="00D22AA7">
        <w:rPr>
          <w:rFonts w:ascii="Times" w:hAnsi="Times" w:cs="Open Sans"/>
          <w:sz w:val="24"/>
          <w:szCs w:val="24"/>
          <w:shd w:val="clear" w:color="auto" w:fill="FFFFFF"/>
        </w:rPr>
        <w:t xml:space="preserve">By leveraging deep learning, DCNNs have significantly enhanced </w:t>
      </w:r>
      <w:r w:rsidRPr="00D22AA7">
        <w:rPr>
          <w:rFonts w:ascii="Times" w:eastAsiaTheme="majorEastAsia" w:hAnsi="Times" w:cs="Open Sans"/>
          <w:sz w:val="24"/>
          <w:szCs w:val="24"/>
          <w:shd w:val="clear" w:color="auto" w:fill="FFFFFF"/>
        </w:rPr>
        <w:t>object detection, medical diagnostics, and real-time image processing</w:t>
      </w:r>
      <w:r w:rsidRPr="00D22AA7">
        <w:rPr>
          <w:rFonts w:ascii="Times" w:hAnsi="Times" w:cs="Open Sans"/>
          <w:sz w:val="24"/>
          <w:szCs w:val="24"/>
          <w:shd w:val="clear" w:color="auto" w:fill="FFFFFF"/>
        </w:rPr>
        <w:t>, proving indispensable in modern AI-driven applications.</w:t>
      </w:r>
      <w:r w:rsidR="00DD783C" w:rsidRPr="00D22AA7">
        <w:rPr>
          <w:rFonts w:ascii="Times" w:hAnsi="Times" w:cs="Open Sans"/>
          <w:sz w:val="24"/>
          <w:szCs w:val="24"/>
          <w:shd w:val="clear" w:color="auto" w:fill="FFFFFF"/>
        </w:rPr>
        <w:t xml:space="preserve"> </w:t>
      </w:r>
      <w:r w:rsidRPr="00D22AA7">
        <w:rPr>
          <w:rFonts w:ascii="Times" w:hAnsi="Times"/>
          <w:sz w:val="24"/>
          <w:szCs w:val="24"/>
          <w:lang w:eastAsia="en-GB"/>
        </w:rPr>
        <w:t>Deep Convolutional Neural Networks (DCNNs) represent an advanced evolution of Convolutional Neural Networks (CNNs), incorporating multiple convolutional layers to form deep architectures. These networks excel in handling complex data patterns, making them highly effective for tasks such as image and video recognition. By leveraging hierarchical feature learning, DCNNs progressively extract intricate patterns from raw input data, allowing for more precise and detailed representations</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f6P3qfe0","properties":{"formattedCitation":"[166]","plainCitation":"[166]","noteIndex":0},"citationItems":[{"id":11136,"uris":["http://zotero.org/users/9439317/items/TCY248SW"],"itemData":{"id":11136,"type":"article-journal","container-title":"Neurocomputing","ISSN":"0925-2312","journalAbbreviation":"Neurocomputing","note":"publisher: Elsevier","page":"152-161","title":"Autonomous deep learning: A genetic DCNN designer for image classification","volume":"379","author":[{"family":"Ma","given":"Benteng"},{"family":"Li","given":"Xiang"},{"family":"Xia","given":"Yong"},{"family":"Zhang","given":"Yanning"}],"issued":{"date-parts":[["2020"]]}}}],"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[166]</w:t>
      </w:r>
      <w:r w:rsidR="005C3610" w:rsidRPr="00D22AA7">
        <w:rPr>
          <w:rFonts w:ascii="Times" w:hAnsi="Times"/>
          <w:sz w:val="24"/>
          <w:szCs w:val="24"/>
          <w:lang w:eastAsia="en-GB"/>
        </w:rPr>
        <w:fldChar w:fldCharType="end"/>
      </w:r>
      <w:r w:rsidRPr="00D22AA7">
        <w:rPr>
          <w:rFonts w:ascii="Times" w:hAnsi="Times"/>
          <w:sz w:val="24"/>
          <w:szCs w:val="24"/>
          <w:lang w:eastAsia="en-GB"/>
        </w:rPr>
        <w:t>.</w:t>
      </w:r>
      <w:r w:rsidR="00DD783C" w:rsidRPr="00D22AA7">
        <w:rPr>
          <w:rFonts w:ascii="Times" w:hAnsi="Times" w:cs="Open Sans"/>
          <w:sz w:val="24"/>
          <w:szCs w:val="24"/>
          <w:shd w:val="clear" w:color="auto" w:fill="FFFFFF"/>
        </w:rPr>
        <w:t xml:space="preserve"> </w:t>
      </w:r>
      <w:r w:rsidRPr="00D22AA7">
        <w:rPr>
          <w:rFonts w:ascii="Times" w:hAnsi="Times"/>
          <w:sz w:val="24"/>
          <w:szCs w:val="24"/>
          <w:lang w:eastAsia="en-GB"/>
        </w:rPr>
        <w:t>DCNNs consist of three primary types of layers:</w:t>
      </w:r>
      <w:r w:rsidR="00DD783C" w:rsidRPr="00D22AA7">
        <w:rPr>
          <w:rFonts w:ascii="Times" w:hAnsi="Times" w:cs="Open Sans"/>
          <w:sz w:val="24"/>
          <w:szCs w:val="24"/>
          <w:shd w:val="clear" w:color="auto" w:fill="FFFFFF"/>
        </w:rPr>
        <w:t xml:space="preserve"> </w:t>
      </w:r>
      <w:r w:rsidRPr="00D22AA7">
        <w:rPr>
          <w:rFonts w:ascii="Times" w:hAnsi="Times"/>
          <w:sz w:val="24"/>
          <w:szCs w:val="24"/>
          <w:lang w:eastAsia="en-GB"/>
        </w:rPr>
        <w:t>Convolutional Layers: These layers apply filters to input data, generating feature maps that capture essential patterns such as edges, textures, and shapes. As the depth of the network increases, these layers progressively detect higher-level features, enhancing the model's ability to recognize intricate spatial relationships</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{"citationID":"BfzhcLy4","properties":{"formattedCitation":"[167]","plainCitation":"[167]","noteIndex":0},"citationItems":[{"id":15647,"uris":["http://zotero.org/users/9439317/items/6QHDM67P"],"itemData":{"id":15647,"type":"article-journal","container-title":"arXiv preprint arXiv:1703.08710","journalAbbreviation":"arXiv preprint arXiv:1703.08710","title":"Lo, and Yoshua Bengio. 2017. Count-ception: Counting by Fully Convolutional Redundant Counting. CoRR abs/1703.08710 (2017)","author":[{"family":"Cohen","given":"Joseph Paul"},{"family":"Henry","given":"Z"}]}}],"schema":"https://github.com/citation-style-language/schema/raw/master/csl-citation.json"}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[167]</w:t>
      </w:r>
      <w:r w:rsidR="005C3610" w:rsidRPr="00D22AA7">
        <w:rPr>
          <w:rFonts w:ascii="Times" w:hAnsi="Times"/>
          <w:sz w:val="24"/>
          <w:szCs w:val="24"/>
          <w:lang w:eastAsia="en-GB"/>
        </w:rPr>
        <w:fldChar w:fldCharType="end"/>
      </w:r>
      <w:r w:rsidRPr="00D22AA7">
        <w:rPr>
          <w:rFonts w:ascii="Times" w:hAnsi="Times"/>
          <w:sz w:val="24"/>
          <w:szCs w:val="24"/>
          <w:lang w:eastAsia="en-GB"/>
        </w:rPr>
        <w:t>.</w:t>
      </w:r>
    </w:p>
    <w:p w14:paraId="26D07A4A" w14:textId="77777777"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 xml:space="preserve">Pooling Layers: Techniques like max pooling and average pooling are used to </w:t>
      </w:r>
      <w:proofErr w:type="spellStart"/>
      <w:r w:rsidRPr="00D22AA7">
        <w:rPr>
          <w:rFonts w:ascii="Times" w:hAnsi="Times"/>
          <w:sz w:val="24"/>
          <w:szCs w:val="24"/>
          <w:lang w:eastAsia="en-GB"/>
        </w:rPr>
        <w:t>downsample</w:t>
      </w:r>
      <w:proofErr w:type="spellEnd"/>
      <w:r w:rsidRPr="00D22AA7">
        <w:rPr>
          <w:rFonts w:ascii="Times" w:hAnsi="Times"/>
          <w:sz w:val="24"/>
          <w:szCs w:val="24"/>
          <w:lang w:eastAsia="en-GB"/>
        </w:rPr>
        <w:t xml:space="preserve"> feature maps, reducing computational complexity while preserving critical information. Pooling also enhances translation invariance, making the network more robust to variations in input images.</w:t>
      </w:r>
    </w:p>
    <w:p w14:paraId="6A45247D" w14:textId="6D85409D"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Fully Connected Layers: After feature extraction, these layers integrate the learned information to produce final classifications or predictions.</w:t>
      </w:r>
      <w:r w:rsidR="00DD783C" w:rsidRPr="00D22AA7">
        <w:rPr>
          <w:rFonts w:ascii="Times" w:hAnsi="Times"/>
          <w:sz w:val="24"/>
          <w:szCs w:val="24"/>
          <w:lang w:eastAsia="en-GB"/>
        </w:rPr>
        <w:t xml:space="preserve"> </w:t>
      </w:r>
      <w:r w:rsidRPr="00D22AA7">
        <w:rPr>
          <w:rFonts w:ascii="Times" w:hAnsi="Times"/>
          <w:sz w:val="24"/>
          <w:szCs w:val="24"/>
          <w:lang w:eastAsia="en-GB"/>
        </w:rPr>
        <w:t xml:space="preserve">By stacking multiple convolutional and pooling layers, DCNNs build deep feature hierarchies, enabling them to automatically extract, refine, and classify patterns with remarkable accuracy. Their ability to generalize across different image and video </w:t>
      </w:r>
      <w:r w:rsidRPr="00D22AA7">
        <w:rPr>
          <w:rFonts w:ascii="Times" w:hAnsi="Times"/>
          <w:sz w:val="24"/>
          <w:szCs w:val="24"/>
          <w:lang w:eastAsia="en-GB"/>
        </w:rPr>
        <w:lastRenderedPageBreak/>
        <w:t>datasets has led to groundbreaking advancements in fields such as medical imaging, autonomous systems, and real-time object detection</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{"citationID":"99k8t0iM","properties":{"formattedCitation":"[168]","plainCitation":"[168]","noteIndex":0},"citationItems":[{"id":10899,"uris":["http://zotero.org/users/9439317/items/D6DDQL6P"],"itemData":{"id":10899,"type":"article-journal","container-title":"arXiv preprint arXiv:1703.08710","journalAbbreviation":"arXiv preprint arXiv:1703.08710","title":"Lo, and Yoshua Bengio. 2017. Count-ception: Counting by Fully Convolutional Redundant Counting. CoRR abs/1703.08710 (2017)","author":[{"family":"Cohen","given":"Joseph Paul"},{"family":"Henry","given":"Z"}]}}],"schema":"https://github.com/citation-style-language/schema/raw/master/csl-citation.json"}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[168]</w:t>
      </w:r>
      <w:r w:rsidR="005C3610" w:rsidRPr="00D22AA7">
        <w:rPr>
          <w:rFonts w:ascii="Times" w:hAnsi="Times"/>
          <w:sz w:val="24"/>
          <w:szCs w:val="24"/>
          <w:lang w:eastAsia="en-GB"/>
        </w:rPr>
        <w:fldChar w:fldCharType="end"/>
      </w:r>
      <w:r w:rsidRPr="00D22AA7">
        <w:rPr>
          <w:rFonts w:ascii="Times" w:hAnsi="Times"/>
          <w:sz w:val="24"/>
          <w:szCs w:val="24"/>
          <w:lang w:eastAsia="en-GB"/>
        </w:rPr>
        <w:t>.</w:t>
      </w:r>
    </w:p>
    <w:p w14:paraId="0EC559EC" w14:textId="77777777" w:rsidR="00386CA0" w:rsidRPr="00D22AA7" w:rsidRDefault="00386CA0">
      <w:pPr>
        <w:pStyle w:val="MDPI31text"/>
        <w:rPr>
          <w:rFonts w:ascii="Times" w:hAnsi="Times"/>
          <w:szCs w:val="20"/>
          <w:lang w:eastAsia="en-GB"/>
        </w:rPr>
      </w:pPr>
    </w:p>
    <w:p w14:paraId="685BCBAA" w14:textId="6BE3BCD8" w:rsidR="00E86AB5" w:rsidRPr="00D22AA7" w:rsidRDefault="00E86AB5" w:rsidP="0DE242D6">
      <w:pPr>
        <w:pStyle w:val="MDPI31text"/>
        <w:ind w:left="0" w:firstLine="0"/>
        <w:jc w:val="left"/>
        <w:rPr>
          <w:rFonts w:ascii="Times" w:hAnsi="Times"/>
          <w:sz w:val="24"/>
          <w:szCs w:val="24"/>
          <w:lang w:eastAsia="en-GB"/>
        </w:rPr>
      </w:pPr>
      <w:r w:rsidRPr="00D22AA7">
        <w:rPr>
          <w:rFonts w:ascii="Times" w:hAnsi="Times"/>
          <w:sz w:val="24"/>
          <w:szCs w:val="24"/>
          <w:lang w:eastAsia="en-GB"/>
        </w:rPr>
        <w:t>As the depth of neural networks increases, Deep Convolutional Neural Networks (DCNNs) become increasingly adept at capturing complex and abstract features, enabling them to excel in recognizing intricate patterns and objects within images. The fully connected layers at the end of the network synthesize these learned features to perform final classification or regression tasks. This layered architecture allows DCNNs to achieve remarkable accuracy in tasks such as image classification, object detection, and semantic segmentation, making them indispensable in modern computer vision.</w:t>
      </w:r>
    </w:p>
    <w:p w14:paraId="24A12D0C" w14:textId="6B354A35"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DCNNs have transformed numerous fields, including medical imaging, autonomous driving, and facial recognition, often surpassing human-level accuracy in these domains</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{"citationID":"Ip6Mpw4Z","properties":{"formattedCitation":"[169]","plainCitation":"[169]","noteIndex":0},"citationItems":[{"id":11131,"uris":["http://zotero.org/users/9439317/items/UPC6EUVH"],"itemData":{"id":11131,"type":"article-journal","container-title":"Computers in Biology and Medicine","ISSN":"0010-4825","journalAbbreviation":"Computers in Biology and Medicine","note":"publisher: Elsevier","page":"104245","title":"A framework for breast cancer classification using multi-DCNNs","volume":"131","author":[{"family":"Ragab","given":"Dina A"},{"family":"Attallah","given":"Omneya"},{"family":"Sharkas","given":"Maha"},{"family":"Ren","given":"Jinchang"},{"family":"Marshall","given":"Stephen"}],"issued":{"date-parts":[["2021"]]}}}],"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[169]</w:t>
      </w:r>
      <w:r w:rsidR="005C3610" w:rsidRPr="00D22AA7">
        <w:rPr>
          <w:rFonts w:ascii="Times" w:hAnsi="Times"/>
          <w:sz w:val="24"/>
          <w:szCs w:val="24"/>
          <w:lang w:eastAsia="en-GB"/>
        </w:rPr>
        <w:fldChar w:fldCharType="end"/>
      </w:r>
      <w:r w:rsidRPr="00D22AA7">
        <w:rPr>
          <w:rFonts w:ascii="Times" w:hAnsi="Times"/>
          <w:sz w:val="24"/>
          <w:szCs w:val="24"/>
          <w:lang w:eastAsia="en-GB"/>
        </w:rPr>
        <w:t>. They are widely employed to develop systems capable of identifying objects in images and videos with exceptional precision. However, despite their power, DCNNs face challenges such as the need for extensive datasets, high computational requirements, and the complexity of interpreting learned features. Despite these hurdles, ongoing advancements in network architectures, optimization techniques, and computational resources continue to propel the evolution and success of DCNNs across diverse applications</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{"citationID":"yYf3hdjG","properties":{"formattedCitation":"[170]","plainCitation":"[170]","noteIndex":0},"citationItems":[{"id":11137,"uris":["http://zotero.org/users/9439317/items/LZM3XRPI"],"itemData":{"id":11137,"type":"article-journal","container-title":"ISPRS Journal of Photogrammetry and Remote Sensing","ISSN":"0924-2716","journalAbbreviation":"ISPRS Journal of Photogrammetry and Remote Sensing","note":"publisher: Elsevier","page":"309-322","title":"Aerial image semantic segmentation using DCNN predicted distance maps","volume":"161","author":[{"family":"Chai","given":"Dengfeng"},{"family":"Newsam","given":"Shawn"},{"family":"Huang","given":"Jingfeng"}],"issued":{"date-parts":[["2020"]]}}}],"schema":"https://github.com/citation-style-language/schema/raw/master/csl-citation.json"}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[170]</w:t>
      </w:r>
      <w:r w:rsidR="005C3610" w:rsidRPr="00D22AA7">
        <w:rPr>
          <w:rFonts w:ascii="Times" w:hAnsi="Times"/>
          <w:sz w:val="24"/>
          <w:szCs w:val="24"/>
          <w:lang w:eastAsia="en-GB"/>
        </w:rPr>
        <w:fldChar w:fldCharType="end"/>
      </w:r>
      <w:r w:rsidRPr="00D22AA7">
        <w:rPr>
          <w:rFonts w:ascii="Times" w:hAnsi="Times"/>
          <w:sz w:val="24"/>
          <w:szCs w:val="24"/>
          <w:lang w:eastAsia="en-GB"/>
        </w:rPr>
        <w:t>.</w:t>
      </w:r>
    </w:p>
    <w:p w14:paraId="5649FB9A" w14:textId="003BE6C9"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A compelling example of DCNNs in action is their application in binary classification tasks within cell biology. For instance, a recent study developed a DCNN to classify human-induced pluripotent stem cell-derived endothelial cells (</w:t>
      </w:r>
      <w:proofErr w:type="spellStart"/>
      <w:r w:rsidRPr="00D22AA7">
        <w:rPr>
          <w:rFonts w:ascii="Times" w:hAnsi="Times"/>
          <w:sz w:val="24"/>
          <w:szCs w:val="24"/>
          <w:lang w:eastAsia="en-GB"/>
        </w:rPr>
        <w:t>hiPSC</w:t>
      </w:r>
      <w:proofErr w:type="spellEnd"/>
      <w:r w:rsidRPr="00D22AA7">
        <w:rPr>
          <w:rFonts w:ascii="Times" w:hAnsi="Times"/>
          <w:sz w:val="24"/>
          <w:szCs w:val="24"/>
          <w:lang w:eastAsia="en-GB"/>
        </w:rPr>
        <w:t>-derived ECs) using photomicrographs</w:t>
      </w:r>
      <w:r w:rsidR="005C3610" w:rsidRPr="00D22AA7">
        <w:rPr>
          <w:rFonts w:ascii="Times" w:hAnsi="Times"/>
          <w:sz w:val="24"/>
          <w:szCs w:val="24"/>
          <w:lang w:eastAsia="en-GB"/>
        </w:rPr>
        <w:t xml:space="preserve"> </w:t>
      </w:r>
      <w:r w:rsidR="005C361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{"citationID":"zc2fQxND","properties":{"formattedCitation":"[171]","plainCitation":"[171]","noteIndex":0},"citationItems":[{"id":15973,"uris":["http://zotero.org/users/9439317/items/SP9PJ2VX"],"itemData":{"id":15973,"type":"article-journal","abstract":"Deep learning is a very powerful analytic tool to recognize the patterns in data to make appropriate predictions. It has tremendous potential in data analyses, particularly for cell biology domain, caused by the growing scale and inherent complexity of biological data. The core purpose of this research work is to design, implement, and calibrate an efficient deep convolutional neural network (DCNN) architecture in the context of binary-class classification problem. This diversified network is developed to precisely identify human induced pluripotent stem cell-derived endothelial cells (hiPSC-derived EC) based on photomicrograph. The proposed architecture is cerebrally developed with numerous convolutional modules, multiple kernel sizes, various pooling layers, activation functions and strides, nevertheless fewer trainable parameters to strengthen the network and enhance its performance. The proposed feature fusion framework is compared with the classifier fusion approach in terms of Matthews’s correlation coefficient (MCC), training time, inference time, number of layers, number of parameters, graphics processing unit (GPU) memory utilization, and floating-point operations (FLOPS). Specifically, it achieves 94.6% sensitivity, 94.5% specificity, and 94.7% precision. Induced pluripotent stem cell (iPS) dataset is also introduced in this research work that has 16278 images which are labelled by three independent and experienced human experts of cell biology domain to facilitate future research. Experimental results show that the proposed framework offers an innovative and attainable algorithm for accelerating and systematizing the classification task along with saving time and effort.","container-title":"Engineering Applications of Artificial Intelligence","DOI":"10.1016/j.engappai.2024.109573","ISSN":"0952-1976","journalAbbreviation":"Engineering Applications of Artificial Intelligence","page":"109573","title":"An end-to-end deep convolutional neural network-based data-driven fusion framework for identification of human induced pluripotent stem cell-derived endothelial cells in photomicrographs","URL":"https://www.sciencedirect.com/science/article/pii/S0952197624017317","volume":"139","author":[{"family":"Iqbal","given":"Imran"},{"family":"Ullah","given":"Imran"},{"family":"Peng","given":"Tingying"},{"family":"Wang","given":"Weiwei"},{"family":"Ma","given":"Nan"}],"issued":{"date-parts":[["2025",1,1]]}}}],"schema":"https://github.com/citation-style-language/schema/raw/master/csl-citation.json"} </w:instrText>
      </w:r>
      <w:r w:rsidR="005C3610" w:rsidRPr="00D22AA7">
        <w:rPr>
          <w:rFonts w:ascii="Times" w:hAnsi="Times"/>
          <w:sz w:val="24"/>
          <w:szCs w:val="24"/>
          <w:lang w:eastAsia="en-GB"/>
        </w:rPr>
        <w:fldChar w:fldCharType="separate"/>
      </w:r>
      <w:r w:rsidR="0056095D">
        <w:rPr>
          <w:rFonts w:ascii="Times" w:hAnsi="Times"/>
          <w:noProof/>
          <w:sz w:val="24"/>
          <w:szCs w:val="24"/>
          <w:lang w:eastAsia="en-GB"/>
        </w:rPr>
        <w:t>[171]</w:t>
      </w:r>
      <w:r w:rsidR="005C3610" w:rsidRPr="00D22AA7">
        <w:rPr>
          <w:rFonts w:ascii="Times" w:hAnsi="Times"/>
          <w:sz w:val="24"/>
          <w:szCs w:val="24"/>
          <w:lang w:eastAsia="en-GB"/>
        </w:rPr>
        <w:fldChar w:fldCharType="end"/>
      </w:r>
      <w:r w:rsidRPr="00D22AA7">
        <w:rPr>
          <w:rFonts w:ascii="Times" w:hAnsi="Times"/>
          <w:sz w:val="24"/>
          <w:szCs w:val="24"/>
          <w:lang w:eastAsia="en-GB"/>
        </w:rPr>
        <w:t>. The network incorporated a variety of convolutional modules, kernel sizes, pooling layers, and activation functions, achieving high performance with minimal trainable parameters</w:t>
      </w:r>
      <w:r w:rsidR="00D90011" w:rsidRPr="00D22AA7">
        <w:rPr>
          <w:rFonts w:ascii="Times" w:hAnsi="Times"/>
          <w:sz w:val="24"/>
          <w:szCs w:val="24"/>
          <w:lang w:eastAsia="en-GB"/>
        </w:rPr>
        <w:t xml:space="preserve"> </w:t>
      </w:r>
      <w:r w:rsidR="00D90011"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{"citationID":"tcT2aTdh","properties":{"formattedCitation":"[158]","plainCitation":"[158]","noteIndex":0},"citationItems":[{"id":15902,"uris":["http://zotero.org/users/9439317/items/TW6A3WHI"],"itemData":{"id":15902,"type":"paper-conference","event-title":"KES International Symposium on Agent and Multi-Agent Systems: Technologies and Applications","page":"221-232","publisher":"Springer","title":"Analysis of Batch Size in the Assessment of Bone Metastasis from Bone Scans in Various Convolutional Neural Networks","author":[{"family":"Magboo","given":"Vincent Peter C"},{"family":"Abu","given":"Patricia Angela R"}],"issued":{"date-parts":[["2023"]]}}}],"schema":"https://github.com/citation-style-language/schema/raw/master/csl-citation.json"} </w:instrText>
      </w:r>
      <w:r w:rsidR="00D90011" w:rsidRPr="00D22AA7">
        <w:rPr>
          <w:rFonts w:ascii="Times" w:hAnsi="Times"/>
          <w:sz w:val="24"/>
          <w:szCs w:val="24"/>
          <w:lang w:eastAsia="en-GB"/>
        </w:rPr>
        <w:fldChar w:fldCharType="separate"/>
      </w:r>
      <w:r w:rsidR="0056095D">
        <w:rPr>
          <w:rFonts w:ascii="Times" w:hAnsi="Times"/>
          <w:noProof/>
          <w:sz w:val="24"/>
          <w:szCs w:val="24"/>
          <w:lang w:eastAsia="en-GB"/>
        </w:rPr>
        <w:t>[158]</w:t>
      </w:r>
      <w:r w:rsidR="00D90011" w:rsidRPr="00D22AA7">
        <w:rPr>
          <w:rFonts w:ascii="Times" w:hAnsi="Times"/>
          <w:sz w:val="24"/>
          <w:szCs w:val="24"/>
          <w:lang w:eastAsia="en-GB"/>
        </w:rPr>
        <w:fldChar w:fldCharType="end"/>
      </w:r>
      <w:r w:rsidRPr="00D22AA7">
        <w:rPr>
          <w:rFonts w:ascii="Times" w:hAnsi="Times"/>
          <w:sz w:val="24"/>
          <w:szCs w:val="24"/>
          <w:lang w:eastAsia="en-GB"/>
        </w:rPr>
        <w:t xml:space="preserve">. </w:t>
      </w:r>
    </w:p>
    <w:p w14:paraId="702FB82A" w14:textId="77777777"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 xml:space="preserve">The widespread adoption of deep learning in imaging sciences can be traced back to the success of </w:t>
      </w:r>
      <w:proofErr w:type="spellStart"/>
      <w:r w:rsidRPr="00D22AA7">
        <w:rPr>
          <w:rFonts w:ascii="Times" w:hAnsi="Times"/>
          <w:sz w:val="24"/>
          <w:szCs w:val="24"/>
          <w:lang w:eastAsia="en-GB"/>
        </w:rPr>
        <w:t>AlexNet</w:t>
      </w:r>
      <w:proofErr w:type="spellEnd"/>
      <w:r w:rsidRPr="00D22AA7">
        <w:rPr>
          <w:rFonts w:ascii="Times" w:hAnsi="Times"/>
          <w:sz w:val="24"/>
          <w:szCs w:val="24"/>
          <w:lang w:eastAsia="en-GB"/>
        </w:rPr>
        <w:t xml:space="preserve">, a DCNN that achieved a 15% error rate in the ImageNet Large Scale Visual Recognition Challenge, outperforming its competitors by nearly 10%. This breakthrough highlighted the potential of deep learning in medical imaging, leading to a surge in research exploring DCNNs for biological image analysis. Following </w:t>
      </w:r>
      <w:proofErr w:type="spellStart"/>
      <w:r w:rsidRPr="00D22AA7">
        <w:rPr>
          <w:rFonts w:ascii="Times" w:hAnsi="Times"/>
          <w:sz w:val="24"/>
          <w:szCs w:val="24"/>
          <w:lang w:eastAsia="en-GB"/>
        </w:rPr>
        <w:t>AlexNet’s</w:t>
      </w:r>
      <w:proofErr w:type="spellEnd"/>
      <w:r w:rsidRPr="00D22AA7">
        <w:rPr>
          <w:rFonts w:ascii="Times" w:hAnsi="Times"/>
          <w:sz w:val="24"/>
          <w:szCs w:val="24"/>
          <w:lang w:eastAsia="en-GB"/>
        </w:rPr>
        <w:t xml:space="preserve"> success, numerous DCNN architectures have been developed for specialized applications, such as cell segmentation in microscopy and lesion detection in magnetic resonance imaging. Unlike traditional methods reliant on human-defined equations, DCNNs can identify patterns in raw visual data, even if these patterns are not immediately interpretable by humans. These patterns, however, are critical for achieving reliable and accurate results in image classification and segmentation tasks.</w:t>
      </w:r>
    </w:p>
    <w:p w14:paraId="71B905F0" w14:textId="5FA1AD04"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 xml:space="preserve">Another notable architecture is the </w:t>
      </w:r>
      <w:proofErr w:type="spellStart"/>
      <w:r w:rsidRPr="00D22AA7">
        <w:rPr>
          <w:rFonts w:ascii="Times" w:hAnsi="Times"/>
          <w:sz w:val="24"/>
          <w:szCs w:val="24"/>
          <w:lang w:eastAsia="en-GB"/>
        </w:rPr>
        <w:t>Keypoint</w:t>
      </w:r>
      <w:proofErr w:type="spellEnd"/>
      <w:r w:rsidRPr="00D22AA7">
        <w:rPr>
          <w:rFonts w:ascii="Times" w:hAnsi="Times"/>
          <w:sz w:val="24"/>
          <w:szCs w:val="24"/>
          <w:lang w:eastAsia="en-GB"/>
        </w:rPr>
        <w:t xml:space="preserve"> Graph Network (KG Network), which uses ResNet34-based feature extraction to identify key points that discretize the input image. These key points are processed to extract bounding boxes for cells or nuclei, which are then used to generate masks. Unlike U-Net, the KG Network provides object-by-object segmentation but requires more forwarding time and a longer training duration—approximately four hours on the same GPU used for U-Net. This study employed a </w:t>
      </w:r>
      <w:proofErr w:type="spellStart"/>
      <w:r w:rsidRPr="00D22AA7">
        <w:rPr>
          <w:rFonts w:ascii="Times" w:hAnsi="Times"/>
          <w:sz w:val="24"/>
          <w:szCs w:val="24"/>
          <w:lang w:eastAsia="en-GB"/>
        </w:rPr>
        <w:t>PyTorch</w:t>
      </w:r>
      <w:proofErr w:type="spellEnd"/>
      <w:r w:rsidRPr="00D22AA7">
        <w:rPr>
          <w:rFonts w:ascii="Times" w:hAnsi="Times"/>
          <w:sz w:val="24"/>
          <w:szCs w:val="24"/>
          <w:lang w:eastAsia="en-GB"/>
        </w:rPr>
        <w:t xml:space="preserve"> implementation of the KG Network</w:t>
      </w:r>
      <w:r w:rsidR="009A6C0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{"citationID":"VEPcvzIY","properties":{"formattedCitation":"[172]","plainCitation":"[172]","noteIndex":0},"citationItems":[{"id":6167,"uris":["http://zotero.org/users/9439317/items/LKZWQERH"],"itemData":{"id":6167,"type":"article-journal","container-title":"IEEE Access","DOI":"10.1109/ACCESS.2019.2896920","ISSN":"2169-3536","journalAbbreviation":"IEEE Access","page":"21420-21428","title":"RIC-Unet: An Improved Neural Network Based on Unet for Nuclei Segmentation in Histology Images","volume":"7","author":[{"literal":"Z. Zeng"},{"literal":"W. Xie"},{"literal":"Y. Zhang"},{"literal":"Y. Lu"}],"issued":{"date-parts":[["2019"]]}}}],"schema":"https://github.com/citation-style-language/schema/raw/master/csl-citation.json"} </w:instrText>
      </w:r>
      <w:r w:rsidR="009A6C00" w:rsidRPr="00D22AA7">
        <w:rPr>
          <w:rFonts w:ascii="Times" w:hAnsi="Times"/>
          <w:sz w:val="24"/>
          <w:szCs w:val="24"/>
          <w:lang w:eastAsia="en-GB"/>
        </w:rPr>
        <w:fldChar w:fldCharType="separate"/>
      </w:r>
      <w:r w:rsidR="0056095D">
        <w:rPr>
          <w:rFonts w:ascii="Times" w:hAnsi="Times"/>
          <w:noProof/>
          <w:sz w:val="24"/>
          <w:szCs w:val="24"/>
          <w:lang w:eastAsia="en-GB"/>
        </w:rPr>
        <w:t>[172]</w:t>
      </w:r>
      <w:r w:rsidR="009A6C00" w:rsidRPr="00D22AA7">
        <w:rPr>
          <w:rFonts w:ascii="Times" w:hAnsi="Times"/>
          <w:sz w:val="24"/>
          <w:szCs w:val="24"/>
          <w:lang w:eastAsia="en-GB"/>
        </w:rPr>
        <w:fldChar w:fldCharType="end"/>
      </w:r>
      <w:r w:rsidR="009A6C00" w:rsidRPr="00D22AA7">
        <w:rPr>
          <w:rFonts w:ascii="Times" w:hAnsi="Times"/>
          <w:sz w:val="24"/>
          <w:szCs w:val="24"/>
          <w:lang w:eastAsia="en-GB"/>
        </w:rPr>
        <w:t>.</w:t>
      </w:r>
    </w:p>
    <w:p w14:paraId="6225AA91" w14:textId="7E4EA256" w:rsidR="00E86AB5" w:rsidRPr="00D22AA7"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Mask R-CNN, another powerful architecture, utilizes region-based CNNs to extract detailed masks for cells and nuclei. While it offers high precision, it demands more forwarding time and substantial VRAM for training compared to U-Net and the KG Network</w:t>
      </w:r>
      <w:r w:rsidR="007D7917" w:rsidRPr="00D22AA7">
        <w:rPr>
          <w:rFonts w:ascii="Times" w:hAnsi="Times"/>
          <w:sz w:val="24"/>
          <w:szCs w:val="24"/>
          <w:lang w:eastAsia="en-GB"/>
        </w:rPr>
        <w:t xml:space="preserve"> </w:t>
      </w:r>
      <w:r w:rsidR="009A6C00"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{"citationID":"u1zxa7aW","properties":{"formattedCitation":"[173]","plainCitation":"[173]","noteIndex":0},"citationItems":[{"id":6258,"uris":["http://zotero.org/users/9439317/items/7QHLN6UK"],"itemData":{"id":6258,"type":"article-journal","container-title":"Current Directions in Biomedical Engineering","DOI":"10.1515/cdbme-2023-1084","journalAbbreviation":"Current Directions in Biomedical Engineering","page":"335-338","title":"Mask R-CNN Outperforms U-Net in Instance Segmentation for Overlapping Cells","volume":"9","author":[{"family":"Rettenberger","given":"Luca"},{"family":"Münke","given":"Friedrich"},{"family":"Bruch","given":"Roman"},{"family":"Reischl","given":"Markus"}],"issued":{"date-parts":[["2023",9,20]]}}}],"schema":"https://github.com/citation-style-language/schema/raw/master/csl-citation.json"} </w:instrText>
      </w:r>
      <w:r w:rsidR="009A6C00" w:rsidRPr="00D22AA7">
        <w:rPr>
          <w:rFonts w:ascii="Times" w:hAnsi="Times"/>
          <w:sz w:val="24"/>
          <w:szCs w:val="24"/>
          <w:lang w:eastAsia="en-GB"/>
        </w:rPr>
        <w:fldChar w:fldCharType="separate"/>
      </w:r>
      <w:r w:rsidR="0056095D">
        <w:rPr>
          <w:rFonts w:ascii="Times" w:hAnsi="Times"/>
          <w:noProof/>
          <w:sz w:val="24"/>
          <w:szCs w:val="24"/>
          <w:lang w:eastAsia="en-GB"/>
        </w:rPr>
        <w:t>[173]</w:t>
      </w:r>
      <w:r w:rsidR="009A6C00" w:rsidRPr="00D22AA7">
        <w:rPr>
          <w:rFonts w:ascii="Times" w:hAnsi="Times"/>
          <w:sz w:val="24"/>
          <w:szCs w:val="24"/>
          <w:lang w:eastAsia="en-GB"/>
        </w:rPr>
        <w:fldChar w:fldCharType="end"/>
      </w:r>
      <w:r w:rsidRPr="00D22AA7">
        <w:rPr>
          <w:rFonts w:ascii="Times" w:hAnsi="Times"/>
          <w:sz w:val="24"/>
          <w:szCs w:val="24"/>
          <w:lang w:eastAsia="en-GB"/>
        </w:rPr>
        <w:t>.</w:t>
      </w:r>
    </w:p>
    <w:p w14:paraId="5A0D698C" w14:textId="77777777" w:rsidR="00E86AB5" w:rsidRDefault="00E86AB5" w:rsidP="0DE242D6">
      <w:pPr>
        <w:pStyle w:val="MDPI31text"/>
        <w:ind w:left="0" w:firstLine="0"/>
        <w:rPr>
          <w:rFonts w:ascii="Times" w:hAnsi="Times"/>
          <w:sz w:val="24"/>
          <w:szCs w:val="24"/>
          <w:lang w:eastAsia="en-GB"/>
        </w:rPr>
      </w:pPr>
      <w:r w:rsidRPr="00D22AA7">
        <w:rPr>
          <w:rFonts w:ascii="Times" w:hAnsi="Times"/>
          <w:sz w:val="24"/>
          <w:szCs w:val="24"/>
          <w:lang w:eastAsia="en-GB"/>
        </w:rPr>
        <w:t>In summary, DCNNs have revolutionized image analysis across various domains, driven by their ability to learn complex features and deliver high accuracy. Despite challenges such as computational demands and interpretability, continuous advancements in architecture and technology are expanding their capabilities and applications. From binary classification in cell biology to semantic segmentation in medical imaging, DCNNs are paving the way for innovative solutions that enhance efficiency, accuracy, and scalability in research and industry.</w:t>
      </w:r>
    </w:p>
    <w:p w14:paraId="5DDEF6D6" w14:textId="77777777" w:rsidR="00DE2F15" w:rsidRDefault="00DE2F15" w:rsidP="0DE242D6">
      <w:pPr>
        <w:pStyle w:val="MDPI31text"/>
        <w:ind w:left="0" w:firstLine="0"/>
        <w:rPr>
          <w:rFonts w:ascii="Times" w:hAnsi="Times"/>
          <w:sz w:val="24"/>
          <w:szCs w:val="24"/>
          <w:lang w:eastAsia="en-GB"/>
        </w:rPr>
      </w:pPr>
    </w:p>
    <w:p w14:paraId="009BD871" w14:textId="77777777" w:rsidR="00DE2F15" w:rsidRDefault="00DE2F15" w:rsidP="0DE242D6">
      <w:pPr>
        <w:pStyle w:val="MDPI31text"/>
        <w:ind w:left="0" w:firstLine="0"/>
        <w:rPr>
          <w:rFonts w:ascii="Times" w:hAnsi="Times"/>
          <w:sz w:val="24"/>
          <w:szCs w:val="24"/>
          <w:lang w:eastAsia="en-GB"/>
        </w:rPr>
      </w:pPr>
    </w:p>
    <w:p w14:paraId="0A3E904F" w14:textId="77777777" w:rsidR="00DE2F15" w:rsidRDefault="00DE2F15" w:rsidP="0DE242D6">
      <w:pPr>
        <w:pStyle w:val="MDPI31text"/>
        <w:ind w:left="0" w:firstLine="0"/>
        <w:rPr>
          <w:rFonts w:ascii="Times" w:hAnsi="Times"/>
          <w:sz w:val="24"/>
          <w:szCs w:val="24"/>
          <w:lang w:eastAsia="en-GB"/>
        </w:rPr>
      </w:pPr>
    </w:p>
    <w:p w14:paraId="633361C9" w14:textId="77777777" w:rsidR="00DC0A50" w:rsidRPr="00D22AA7" w:rsidRDefault="00DC0A50" w:rsidP="0DE242D6">
      <w:pPr>
        <w:pStyle w:val="MDPI31text"/>
        <w:ind w:left="0" w:firstLine="0"/>
        <w:rPr>
          <w:rFonts w:ascii="Times" w:hAnsi="Times"/>
          <w:sz w:val="24"/>
          <w:szCs w:val="24"/>
          <w:lang w:eastAsia="en-GB"/>
        </w:rPr>
      </w:pPr>
    </w:p>
    <w:p w14:paraId="0EE96F3A" w14:textId="661D6304" w:rsidR="001F124B" w:rsidRPr="00D22AA7" w:rsidRDefault="00DD783C" w:rsidP="007D7917">
      <w:pPr>
        <w:pStyle w:val="MDPI31text"/>
        <w:ind w:left="0" w:firstLine="0"/>
        <w:rPr>
          <w:rFonts w:ascii="Times" w:hAnsi="Times"/>
          <w:b/>
          <w:bCs/>
          <w:sz w:val="24"/>
          <w:szCs w:val="24"/>
          <w:lang w:eastAsia="en-GB"/>
        </w:rPr>
      </w:pPr>
      <w:r w:rsidRPr="00D22AA7">
        <w:rPr>
          <w:rFonts w:ascii="Times" w:hAnsi="Times"/>
          <w:b/>
          <w:bCs/>
          <w:sz w:val="24"/>
          <w:szCs w:val="24"/>
          <w:lang w:eastAsia="en-GB"/>
        </w:rPr>
        <w:t>4.</w:t>
      </w:r>
      <w:r w:rsidR="000C0153">
        <w:rPr>
          <w:rFonts w:ascii="Times" w:hAnsi="Times"/>
          <w:b/>
          <w:bCs/>
          <w:sz w:val="24"/>
          <w:szCs w:val="24"/>
          <w:lang w:eastAsia="en-GB"/>
        </w:rPr>
        <w:t>8</w:t>
      </w:r>
      <w:r w:rsidRPr="00D22AA7">
        <w:rPr>
          <w:rFonts w:ascii="Times" w:hAnsi="Times"/>
          <w:b/>
          <w:bCs/>
          <w:sz w:val="24"/>
          <w:szCs w:val="24"/>
          <w:lang w:eastAsia="en-GB"/>
        </w:rPr>
        <w:t xml:space="preserve">. </w:t>
      </w:r>
      <w:r w:rsidR="001F124B" w:rsidRPr="00D22AA7">
        <w:rPr>
          <w:rFonts w:ascii="Times" w:hAnsi="Times"/>
          <w:b/>
          <w:bCs/>
          <w:sz w:val="24"/>
          <w:szCs w:val="24"/>
          <w:lang w:eastAsia="en-GB"/>
        </w:rPr>
        <w:t>Introduction of Generative Adversarial Networks</w:t>
      </w:r>
    </w:p>
    <w:p w14:paraId="09C7130D" w14:textId="77777777" w:rsidR="007D7917" w:rsidRPr="00D22AA7" w:rsidRDefault="007D7917" w:rsidP="2C6AA39A">
      <w:pPr>
        <w:pStyle w:val="MDPI31text"/>
        <w:ind w:left="1440"/>
        <w:rPr>
          <w:rFonts w:ascii="Times" w:hAnsi="Times"/>
          <w:b/>
          <w:bCs/>
          <w:i/>
          <w:iCs/>
          <w:sz w:val="24"/>
          <w:szCs w:val="24"/>
          <w:lang w:eastAsia="en-GB"/>
        </w:rPr>
      </w:pPr>
    </w:p>
    <w:p w14:paraId="2499DE6A" w14:textId="77777777"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A Generative Adversarial Network (GAN) is a class of machine learning models that consists of two neural networks, a generator and a discriminator, which are trained simultaneously in a competitive setting. GANs are primarily used for generating synthetic data, such as images, that are indistinguishable from real data. The architecture is based on a game-theory framework, where the generator tries to produce realistic-looking data, while the discriminator attempts to distinguish between real and generated data. Over time, both networks improve their performance through this adversarial process, resulting in a generator capable of creating highly realistic synthetic data.</w:t>
      </w:r>
    </w:p>
    <w:p w14:paraId="3DF64C18" w14:textId="3F6BA01B"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The generator in a GAN is responsible for generating synthetic data, such as images, that resemble the real data from a given distribution. It takes in random noise (a latent vector) and transforms it into data samples, like images of faces, landscapes, or medical images, depending on the task. The generator's goal is to produce data that is indistinguishable from real data, which it achieves by learning the underlying patterns in the training dataset</w:t>
      </w:r>
      <w:r w:rsidRPr="00D22AA7">
        <w:rPr>
          <w:rFonts w:ascii="Times" w:hAnsi="Times"/>
          <w:sz w:val="24"/>
          <w:szCs w:val="24"/>
        </w:rPr>
        <w:t xml:space="preserve"> </w:t>
      </w:r>
    </w:p>
    <w:p w14:paraId="2CD2086A" w14:textId="77777777"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The discriminator, on the other hand, is a binary classifier that tries to distinguish between real data (from the true distribution) and fake data (generated by the generator). It outputs a probability score indicating how likely a given data sample is real. The discriminator’s objective is to correctly identify whether the input data is real or generated.</w:t>
      </w:r>
    </w:p>
    <w:p w14:paraId="1099A03B" w14:textId="3EBFE89C"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During training, the generator and discriminator are in a constant "game" with each other. The generator aims to fool the discriminator into classifying its fake data as real, while the discriminator strives to correctly identify the authenticity of the data. This dynamic continues through multiple iterations, with both networks improving their performance over time. The process is guided by a loss function for both networks, typically the binary cross-entropy loss, where the generator minimizes the likelihood of the discriminator correctly identifying its fakes, and the discriminator maximizes its ability to classify data correctly</w:t>
      </w:r>
      <w:r w:rsidRPr="00D22AA7">
        <w:rPr>
          <w:rFonts w:ascii="Times" w:hAnsi="Times"/>
          <w:sz w:val="24"/>
          <w:szCs w:val="24"/>
        </w:rPr>
        <w:t xml:space="preserve"> </w:t>
      </w:r>
      <w:r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{"citationID":"JmufIV0J","properties":{"formattedCitation":"[154]","plainCitation":"[154]","noteIndex":0},"citationItems":[{"id":11129,"uris":["http://zotero.org/users/9439317/items/3Q8IZF88"],"itemData":{"id":11129,"type":"article-journal","abstract":"Deep learning (DL) is revolutionizing evidence-based decision-making techniques that can be applied across various sectors. Specifically, it possesses the ability to utilize two or more levels of non-linear feature transformation of the given data via representation learning in order to overcome limitations posed by large datasets. As a multidisciplinary field that is still in its nascent phase, articles that survey DL architectures encompassing the full scope of the field are rather limited. Thus, this paper comprehensively reviews the state-of-art DL modelling techniques and provides insights into their advantages and challenges. It was found that many of the models exhibit a highly domain-specific efficiency and could be trained by two or more methods. However, training DL models can be very time-consuming, expensive, and requires huge samples for better accuracy. Since DL is also susceptible to deception and misclassification and tends to get stuck on local minima, improved optimization of parameters is required to create more robust models. Regardless, DL has already been leading to groundbreaking results in the healthcare, education, security, commercial, industrial, as well as government sectors. Some models, like the convolutional neural network (CNN), generative adversarial networks (GAN), recurrent neural network (RNN), recursive neural networks, and autoencoders, are frequently used, while the potential of other models remains widely unexplored. Pertinently, hybrid conventional DL architectures have the capacity to overcome the challenges experienced by conventional models. Considering that capsule architectures may dominate future DL models, this work aimed to compile information for stakeholders involved in the development and use of DL models in the contemporary world.","container-title":"Artificial Intelligence Review","DOI":"10.1007/s10462-023-10466-8","ISSN":"1573-7462","issue":"11","journalAbbreviation":"Artificial Intelligence Review","page":"13521-13617","title":"Deep learning modelling techniques: current progress, applications, advantages, and challenges","URL":"https://doi.org/10.1007/s10462-023-10466-8","volume":"56","author":[{"family":"Ahmed","given":"Shams Forruque"},{"family":"Alam","given":"Md. Sakib Bin"},{"family":"Hassan","given":"Maruf"},{"family":"Rozbu","given":"Mahtabin Rodela"},{"family":"Ishtiak","given":"Taoseef"},{"family":"Rafa","given":"Nazifa"},{"family":"Mofijur","given":"M."},{"family":"Shawkat Ali","given":"A. B. M."},{"family":"Gandomi","given":"Amir H."}],"issued":{"date-parts":[["2023",11,1]]}}}],"schema":"https://github.com/citation-style-language/schema/raw/master/csl-citation.json"} </w:instrText>
      </w:r>
      <w:r w:rsidRPr="00D22AA7">
        <w:rPr>
          <w:rFonts w:ascii="Times" w:hAnsi="Times"/>
          <w:sz w:val="24"/>
          <w:szCs w:val="24"/>
          <w:lang w:eastAsia="en-GB"/>
        </w:rPr>
        <w:fldChar w:fldCharType="separate"/>
      </w:r>
      <w:r w:rsidR="0056095D">
        <w:rPr>
          <w:rFonts w:ascii="Times" w:hAnsi="Times"/>
          <w:noProof/>
          <w:sz w:val="24"/>
          <w:szCs w:val="24"/>
          <w:lang w:eastAsia="en-GB"/>
        </w:rPr>
        <w:t>[154]</w:t>
      </w:r>
      <w:r w:rsidRPr="00D22AA7">
        <w:rPr>
          <w:rFonts w:ascii="Times" w:hAnsi="Times"/>
          <w:sz w:val="24"/>
          <w:szCs w:val="24"/>
          <w:lang w:eastAsia="en-GB"/>
        </w:rPr>
        <w:fldChar w:fldCharType="end"/>
      </w:r>
      <w:r w:rsidRPr="007D7917">
        <w:rPr>
          <w:rFonts w:ascii="Times" w:hAnsi="Times"/>
          <w:sz w:val="24"/>
          <w:szCs w:val="24"/>
        </w:rPr>
        <w:t>.</w:t>
      </w:r>
    </w:p>
    <w:p w14:paraId="70A4A31D" w14:textId="76ABC008" w:rsidR="007D7917" w:rsidRPr="007D7917" w:rsidRDefault="007D7917" w:rsidP="007D7917">
      <w:pPr>
        <w:pStyle w:val="MDPI31text"/>
        <w:ind w:left="0" w:firstLine="0"/>
        <w:rPr>
          <w:rFonts w:ascii="Times" w:hAnsi="Times"/>
          <w:sz w:val="18"/>
          <w:szCs w:val="18"/>
        </w:rPr>
      </w:pPr>
      <w:r w:rsidRPr="007D7917">
        <w:rPr>
          <w:rFonts w:ascii="Times" w:hAnsi="Times"/>
          <w:sz w:val="24"/>
          <w:szCs w:val="24"/>
        </w:rPr>
        <w:t>The training process of GANs involves a back-and-forth optimization between the two networks. Initially, the generator produces poor-quality data that the discriminator can easily identify as fake. However, as the generator improves, the discriminator becomes more adept at detecting subtle differences between real and fake data, leading to a situation where both networks achieve high performance. The ideal outcome is when the generator creates data so realistic that the discriminator cannot reliably tell the difference between real and generated samples. This process is often referred to as minimax game, where the generator is trying to minimize the discriminator's ability to classify data correctly, and the discriminator is maximizing its ability to correctly classify the data</w:t>
      </w:r>
      <w:r w:rsidRPr="00D22AA7">
        <w:rPr>
          <w:rFonts w:ascii="Times" w:hAnsi="Times"/>
          <w:sz w:val="24"/>
          <w:szCs w:val="24"/>
        </w:rPr>
        <w:t xml:space="preserve"> </w:t>
      </w:r>
      <w:r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{"citationID":"qLg1vbTX","properties":{"formattedCitation":"[174]","plainCitation":"[174]","noteIndex":0},"citationItems":[{"id":15908,"uris":["http://zotero.org/users/9439317/items/B7H7FMKH"],"itemData":{"id":15908,"type":"article-journal","container-title":"Advances in neural information processing systems","journalAbbreviation":"Advances in neural information processing systems","title":"Generative adversarial nets","volume":"27","author":[{"family":"Goodfellow","given":"Ian"},{"family":"Pouget-Abadie","given":"Jean"},{"family":"Mirza","given":"Mehdi"},{"family":"Xu","given":"Bing"},{"family":"Warde-Farley","given":"David"},{"family":"Ozair","given":"Sherjil"},{"family":"Courville","given":"Aaron"},{"family":"Bengio","given":"Yoshua"}],"issued":{"date-parts":[["2014"]]}}}],"schema":"https://github.com/citation-style-language/schema/raw/master/csl-citation.json"} </w:instrText>
      </w:r>
      <w:r w:rsidRPr="00D22AA7">
        <w:rPr>
          <w:rFonts w:ascii="Times" w:hAnsi="Times"/>
          <w:sz w:val="24"/>
          <w:szCs w:val="24"/>
          <w:lang w:eastAsia="en-GB"/>
        </w:rPr>
        <w:fldChar w:fldCharType="separate"/>
      </w:r>
      <w:r w:rsidR="0056095D">
        <w:rPr>
          <w:rFonts w:ascii="Times" w:hAnsi="Times"/>
          <w:noProof/>
          <w:sz w:val="24"/>
          <w:szCs w:val="24"/>
          <w:lang w:eastAsia="en-GB"/>
        </w:rPr>
        <w:t>[174]</w:t>
      </w:r>
      <w:r w:rsidRPr="00D22AA7">
        <w:rPr>
          <w:rFonts w:ascii="Times" w:hAnsi="Times"/>
          <w:sz w:val="24"/>
          <w:szCs w:val="24"/>
          <w:lang w:eastAsia="en-GB"/>
        </w:rPr>
        <w:fldChar w:fldCharType="end"/>
      </w:r>
      <w:r w:rsidRPr="007D7917">
        <w:rPr>
          <w:rFonts w:ascii="Times" w:hAnsi="Times"/>
          <w:sz w:val="18"/>
          <w:szCs w:val="18"/>
        </w:rPr>
        <w:t>.</w:t>
      </w:r>
    </w:p>
    <w:p w14:paraId="77128BC3" w14:textId="73290B8E"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GANs have found numerous applications across various domains, including image synthesis, style transfer, super-resolution, and data augmentation. In the field of biomedical imaging, GANs have been applied to generate high-quality synthetic medical images, such as MRI scans, CT scans, or histopathological slides, for training AI models when annotated data is scarce. They can also be used for tasks like image denoising, image-to-image translation, and super-resolution, where low-quality or noisy medical images can be enhanced to improve the accuracy of diagnosis. Additionally, GANs have been used in the generation of synthetic patient data for research purposes, ensuring that sensitive patient data can remain private while still enabling robust machine learning model training</w:t>
      </w:r>
      <w:r w:rsidRPr="00D22AA7">
        <w:rPr>
          <w:rFonts w:ascii="Times" w:hAnsi="Times"/>
          <w:sz w:val="24"/>
          <w:szCs w:val="24"/>
        </w:rPr>
        <w:t xml:space="preserve"> </w:t>
      </w:r>
      <w:r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pHzZLNGd","properties":{"formattedCitation":"[174\\uc0\\u8211{}176]","plainCitation":"[174–176]","noteIndex":0},"citationItems":[{"id":15923,"uris":["http://zotero.org/users/9439317/items/NHCGGLUN"],"itemData":{"id":15923,"type":"article-journal","note":"publisher: Tilburg University","title":"Conditional Generative Deep Learning models to predict fluorescence microscopy images from transmitted light images","author":[{"family":"Bos","given":"Jelle"}],"issued":{"date-parts":[["2021"]]}}},{"id":15922,"uris":["http://zotero.org/users/9439317/items/K9KQQC8C"],"itemData":{"id":15922,"type":"article-journal","container-title":"Computers in Biology and Medicine","ISSN":"0010-4825","journalAbbreviation":"Computers in Biology and Medicine","note":"publisher: Elsevier","page":"105382","title":"Generative adversarial networks in medical image augmentation: a review","volume":"144","author":[{"family":"Chen","given":"Yizhou"},{"family":"Yang","given":"Xu-Hua"},{"family":"Wei","given":"Zihan"},{"family":"Heidari","given":"Ali Asghar"},{"family":"Zheng","given":"Nenggan"},{"family":"Li","given":"Zhicheng"},{"family":"Chen","given":"Huiling"},{"family":"Hu","given":"Haigen"},{"family":"Zhou","given":"Qianwei"},{"family":"Guan","given":"Qiu"}],"issued":{"date-parts":[["2022"]]}}},{"id":15908,"uris":["http://zotero.org/users/9439317/items/B7H7FMKH"],"itemData":{"id":15908,"type":"article-journal","container-title":"Advances in neural information processing systems","journalAbbreviation":"Advances in neural information processing systems","title":"Generative adversarial nets","volume":"27","author":[{"family":"Goodfellow","given":"Ian"},{"family":"Pouget-Abadie","given":"Jean"},{"family":"Mirza","given":"Mehdi"},{"family":"Xu","given":"Bing"},{"family":"Warde-Farley","given":"David"},{"family":"Ozair","given":"Sherjil"},{"family":"Courville","given":"Aaron"},{"family":"Bengio","given":"Yoshua"}],"issued":{"date-parts":[["2014"]]}}}],"schema":"https://github.com/citation-style-language/schema/raw/master/csl-citation.json"} </w:instrText>
      </w:r>
      <w:r w:rsidRPr="00D22AA7">
        <w:rPr>
          <w:rFonts w:ascii="Times" w:hAnsi="Times"/>
          <w:sz w:val="24"/>
          <w:szCs w:val="24"/>
          <w:lang w:eastAsia="en-GB"/>
        </w:rPr>
        <w:fldChar w:fldCharType="separate"/>
      </w:r>
      <w:r w:rsidR="0056095D" w:rsidRPr="0056095D">
        <w:rPr>
          <w:rFonts w:ascii="Times" w:hAnsi="Times"/>
          <w:sz w:val="24"/>
          <w:lang w:val="en-GB"/>
        </w:rPr>
        <w:t>[174–176]</w:t>
      </w:r>
      <w:r w:rsidRPr="00D22AA7">
        <w:rPr>
          <w:rFonts w:ascii="Times" w:hAnsi="Times"/>
          <w:sz w:val="24"/>
          <w:szCs w:val="24"/>
          <w:lang w:eastAsia="en-GB"/>
        </w:rPr>
        <w:fldChar w:fldCharType="end"/>
      </w:r>
      <w:r w:rsidRPr="007D7917">
        <w:rPr>
          <w:rFonts w:ascii="Times" w:hAnsi="Times"/>
          <w:sz w:val="24"/>
          <w:szCs w:val="24"/>
        </w:rPr>
        <w:t>.</w:t>
      </w:r>
    </w:p>
    <w:p w14:paraId="1D88BE30" w14:textId="74E1A67F"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 xml:space="preserve">Moreover, variants of GANs, such as Conditional GANs (cGANs) and CycleGANs, have been developed to handle specific tasks. Conditional GANs allow for the generation of data based on specific conditions or labels (e.g., generating a particular type of image given a label), while </w:t>
      </w:r>
      <w:r w:rsidRPr="007D7917">
        <w:rPr>
          <w:rFonts w:ascii="Times" w:hAnsi="Times"/>
          <w:sz w:val="24"/>
          <w:szCs w:val="24"/>
        </w:rPr>
        <w:lastRenderedPageBreak/>
        <w:t>CycleGANs enable image-to-image translation without requiring paired datasets, making them ideal for tasks like converting MRI scans from one modality to another</w:t>
      </w:r>
      <w:r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wzp7jNRv","properties":{"formattedCitation":"[177]","plainCitation":"[177]","noteIndex":0},"citationItems":[{"id":15933,"uris":["http://zotero.org/users/9439317/items/5W9R8VNT"],"itemData":{"id":15933,"type":"article-journal","container-title":"bioRxiv","journalAbbreviation":"bioRxiv","note":"publisher: Cold Spring Harbor Laboratory","page":"2023-08","title":"Generative adversarial networks in cell microscopy for image augmentation. A systematic review","author":[{"family":"Lesmes-Leon","given":"Duway Nicolas"},{"family":"Dengel","given":"Andreas"},{"family":"Ahmed","given":"Sheraz"}],"issued":{"date-parts":[["2023"]]}}}],"schema":"https://github.com/citation-style-language/schema/raw/master/csl-citation.json"} </w:instrText>
      </w:r>
      <w:r w:rsidRPr="00D22AA7">
        <w:rPr>
          <w:rFonts w:ascii="Times" w:hAnsi="Times"/>
          <w:sz w:val="24"/>
          <w:szCs w:val="24"/>
          <w:lang w:eastAsia="en-GB"/>
        </w:rPr>
        <w:fldChar w:fldCharType="separate"/>
      </w:r>
      <w:r w:rsidR="0056095D">
        <w:rPr>
          <w:rFonts w:ascii="Times" w:hAnsi="Times"/>
          <w:noProof/>
          <w:sz w:val="24"/>
          <w:szCs w:val="24"/>
          <w:lang w:eastAsia="en-GB"/>
        </w:rPr>
        <w:t>[177]</w:t>
      </w:r>
      <w:r w:rsidRPr="00D22AA7">
        <w:rPr>
          <w:rFonts w:ascii="Times" w:hAnsi="Times"/>
          <w:sz w:val="24"/>
          <w:szCs w:val="24"/>
          <w:lang w:eastAsia="en-GB"/>
        </w:rPr>
        <w:fldChar w:fldCharType="end"/>
      </w:r>
      <w:r w:rsidRPr="007D7917">
        <w:rPr>
          <w:rFonts w:ascii="Times" w:hAnsi="Times"/>
          <w:sz w:val="24"/>
          <w:szCs w:val="24"/>
        </w:rPr>
        <w:t>.</w:t>
      </w:r>
    </w:p>
    <w:p w14:paraId="21F50524" w14:textId="104FFC6F" w:rsidR="007D7917" w:rsidRPr="007D7917" w:rsidRDefault="007D7917" w:rsidP="007D7917">
      <w:pPr>
        <w:pStyle w:val="MDPI31text"/>
        <w:ind w:left="0" w:firstLine="0"/>
        <w:rPr>
          <w:rFonts w:ascii="Times" w:hAnsi="Times"/>
          <w:sz w:val="24"/>
          <w:szCs w:val="24"/>
        </w:rPr>
      </w:pPr>
      <w:r w:rsidRPr="007D7917">
        <w:rPr>
          <w:rFonts w:ascii="Times" w:hAnsi="Times"/>
          <w:sz w:val="24"/>
          <w:szCs w:val="24"/>
        </w:rPr>
        <w:t>In conclusion, GANs are a powerful tool in machine learning for generating realistic synthetic data and improving tasks that involve image generation, enhancement, and transformation. Their ability to generate high-quality, realistic data has made them a valuable asset in fields like computer vision, medical imaging, and data augmentation, where they help overcome the challenges of limited or biased datasets and contribute to advancements in AI-based applications</w:t>
      </w:r>
      <w:r w:rsidRPr="00D22AA7">
        <w:rPr>
          <w:rFonts w:ascii="Times" w:hAnsi="Times"/>
          <w:sz w:val="24"/>
          <w:szCs w:val="24"/>
        </w:rPr>
        <w:t xml:space="preserve"> </w:t>
      </w:r>
      <w:r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{"citationID":"EPGZknn3","properties":{"formattedCitation":"[178]","plainCitation":"[178]","noteIndex":0},"citationItems":[{"id":15919,"uris":["http://zotero.org/users/9439317/items/7R8V5D8A"],"itemData":{"id":15919,"type":"article-journal","container-title":"Computers and Electronics in Agriculture","ISSN":"0168-1699","journalAbbreviation":"Computers and Electronics in Agriculture","note":"publisher: Elsevier","page":"107208","title":"Generative adversarial networks (GANs) for image augmentation in agriculture: A systematic review","volume":"200","author":[{"family":"Lu","given":"Yuzhen"},{"family":"Chen","given":"Dong"},{"family":"Olaniyi","given":"Ebenezer"},{"family":"Huang","given":"Yanbo"}],"issued":{"date-parts":[["2022"]]}}}],"schema":"https://github.com/citation-style-language/schema/raw/master/csl-citation.json"} </w:instrText>
      </w:r>
      <w:r w:rsidRPr="00D22AA7">
        <w:rPr>
          <w:rFonts w:ascii="Times" w:hAnsi="Times"/>
          <w:sz w:val="24"/>
          <w:szCs w:val="24"/>
          <w:lang w:eastAsia="en-GB"/>
        </w:rPr>
        <w:fldChar w:fldCharType="separate"/>
      </w:r>
      <w:r w:rsidR="0056095D">
        <w:rPr>
          <w:rFonts w:ascii="Times" w:hAnsi="Times"/>
          <w:noProof/>
          <w:sz w:val="24"/>
          <w:szCs w:val="24"/>
          <w:lang w:eastAsia="en-GB"/>
        </w:rPr>
        <w:t>[178]</w:t>
      </w:r>
      <w:r w:rsidRPr="00D22AA7">
        <w:rPr>
          <w:rFonts w:ascii="Times" w:hAnsi="Times"/>
          <w:sz w:val="24"/>
          <w:szCs w:val="24"/>
          <w:lang w:eastAsia="en-GB"/>
        </w:rPr>
        <w:fldChar w:fldCharType="end"/>
      </w:r>
      <w:r w:rsidRPr="007D7917">
        <w:rPr>
          <w:rFonts w:ascii="Times" w:hAnsi="Times"/>
          <w:sz w:val="24"/>
          <w:szCs w:val="24"/>
        </w:rPr>
        <w:t>.</w:t>
      </w:r>
    </w:p>
    <w:p w14:paraId="70B00011" w14:textId="77777777" w:rsidR="007D7917" w:rsidRPr="00D22AA7" w:rsidRDefault="007D7917" w:rsidP="2C6AA39A">
      <w:pPr>
        <w:pStyle w:val="MDPI31text"/>
        <w:ind w:left="1440"/>
        <w:rPr>
          <w:rFonts w:ascii="Times" w:hAnsi="Times"/>
          <w:b/>
          <w:bCs/>
          <w:i/>
          <w:iCs/>
          <w:sz w:val="18"/>
          <w:szCs w:val="18"/>
          <w:lang w:eastAsia="en-GB"/>
        </w:rPr>
      </w:pPr>
    </w:p>
    <w:p w14:paraId="2C5CD046" w14:textId="6D323A82" w:rsidR="001F124B" w:rsidRDefault="34195F66" w:rsidP="2C6AA39A">
      <w:pPr>
        <w:pStyle w:val="MDPI31text"/>
        <w:ind w:left="0" w:firstLine="0"/>
        <w:rPr>
          <w:rFonts w:ascii="Times" w:hAnsi="Times"/>
          <w:b/>
          <w:bCs/>
          <w:sz w:val="24"/>
          <w:szCs w:val="24"/>
          <w:lang w:eastAsia="en-GB"/>
        </w:rPr>
      </w:pPr>
      <w:r w:rsidRPr="00D22AA7">
        <w:rPr>
          <w:rFonts w:ascii="Times" w:hAnsi="Times"/>
          <w:b/>
          <w:bCs/>
          <w:sz w:val="24"/>
          <w:szCs w:val="24"/>
          <w:lang w:eastAsia="en-GB"/>
        </w:rPr>
        <w:t>4.</w:t>
      </w:r>
      <w:r w:rsidR="00082A92">
        <w:rPr>
          <w:rFonts w:ascii="Times" w:hAnsi="Times"/>
          <w:b/>
          <w:bCs/>
          <w:sz w:val="24"/>
          <w:szCs w:val="24"/>
          <w:lang w:eastAsia="en-GB"/>
        </w:rPr>
        <w:t>9</w:t>
      </w:r>
      <w:r w:rsidRPr="00D22AA7">
        <w:rPr>
          <w:rFonts w:ascii="Times" w:hAnsi="Times"/>
          <w:b/>
          <w:bCs/>
          <w:sz w:val="24"/>
          <w:szCs w:val="24"/>
          <w:lang w:eastAsia="en-GB"/>
        </w:rPr>
        <w:t xml:space="preserve"> </w:t>
      </w:r>
      <w:r w:rsidR="001F124B" w:rsidRPr="00D22AA7">
        <w:rPr>
          <w:rFonts w:ascii="Times" w:hAnsi="Times"/>
          <w:b/>
          <w:bCs/>
          <w:sz w:val="24"/>
          <w:szCs w:val="24"/>
          <w:lang w:eastAsia="en-GB"/>
        </w:rPr>
        <w:t>Introduction of Vision Transformers</w:t>
      </w:r>
    </w:p>
    <w:p w14:paraId="0ECFA518" w14:textId="77777777" w:rsidR="00DC0A50" w:rsidRPr="00D22AA7" w:rsidRDefault="00DC0A50" w:rsidP="2C6AA39A">
      <w:pPr>
        <w:pStyle w:val="MDPI31text"/>
        <w:ind w:left="0" w:firstLine="0"/>
        <w:rPr>
          <w:rFonts w:ascii="Times" w:hAnsi="Times"/>
          <w:b/>
          <w:bCs/>
          <w:sz w:val="24"/>
          <w:szCs w:val="24"/>
          <w:lang w:eastAsia="en-GB"/>
        </w:rPr>
      </w:pPr>
    </w:p>
    <w:p w14:paraId="725B85B6" w14:textId="7F2090FB" w:rsidR="001F124B" w:rsidRPr="00D22AA7" w:rsidRDefault="001F124B" w:rsidP="2C6AA39A">
      <w:pPr>
        <w:pStyle w:val="MDPI31text"/>
        <w:ind w:left="0" w:firstLine="0"/>
        <w:rPr>
          <w:rFonts w:ascii="Times" w:hAnsi="Times"/>
          <w:sz w:val="24"/>
          <w:szCs w:val="24"/>
          <w:lang w:eastAsia="en-GB"/>
        </w:rPr>
      </w:pPr>
      <w:r w:rsidRPr="00D22AA7">
        <w:rPr>
          <w:rFonts w:ascii="Times" w:hAnsi="Times"/>
          <w:sz w:val="24"/>
          <w:szCs w:val="24"/>
          <w:lang w:eastAsia="en-GB"/>
        </w:rPr>
        <w:t>Vision Transformers (</w:t>
      </w:r>
      <w:proofErr w:type="spellStart"/>
      <w:r w:rsidRPr="00D22AA7">
        <w:rPr>
          <w:rFonts w:ascii="Times" w:hAnsi="Times"/>
          <w:sz w:val="24"/>
          <w:szCs w:val="24"/>
          <w:lang w:eastAsia="en-GB"/>
        </w:rPr>
        <w:t>ViTs</w:t>
      </w:r>
      <w:proofErr w:type="spellEnd"/>
      <w:r w:rsidRPr="00D22AA7">
        <w:rPr>
          <w:rFonts w:ascii="Times" w:hAnsi="Times"/>
          <w:sz w:val="24"/>
          <w:szCs w:val="24"/>
          <w:lang w:eastAsia="en-GB"/>
        </w:rPr>
        <w:t>) represent a transformative shift in computer vision, extending the success of transformer models from natural language processing (NLP) to image analysis tasks</w:t>
      </w:r>
      <w:r w:rsidR="00CA4987" w:rsidRPr="00D22AA7">
        <w:rPr>
          <w:rFonts w:ascii="Times" w:hAnsi="Times"/>
          <w:sz w:val="24"/>
          <w:szCs w:val="24"/>
          <w:lang w:eastAsia="en-GB"/>
        </w:rPr>
        <w:t xml:space="preserve"> </w:t>
      </w:r>
      <w:r w:rsidR="00F6178D"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{"citationID":"i3A657U9","properties":{"formattedCitation":"[179]","plainCitation":"[179]","noteIndex":0},"citationItems":[{"id":15897,"uris":["http://zotero.org/users/9439317/items/2KZMM8TX"],"itemData":{"id":15897,"type":"article","abstract":"Nuclei detection and segmentation in hematoxylin and eosin-stained (H&amp;E) tissue images are important clinical tasks and crucial for a wide range of applications. However, it is a challenging task due to nuclei variances in staining and size, overlapping boundaries, and nuclei clustering. While convolutional neural networks have been extensively used for this task, we explore the potential of Transformer-based networks in this domain. Therefore, we introduce a new method for automated instance segmentation of cell nuclei in digitized tissue samples using a deep learning architecture based on Vision Transformer called CellViT. CellViT is trained and evaluated on the PanNuke dataset, which is one of the most challenging nuclei instance segmentation datasets, consisting of nearly 200,000 annotated Nuclei into 5 clinically important classes in 19 tissue types. We demonstrate the superiority of large-scale in-domain and out-of-domain pre-trained Vision Transformers by leveraging the recently published Segment Anything Model and a ViT-encoder pre-trained on 104 million histological image patches - achieving state-of-the-art nuclei detection and instance segmentation performance on the PanNuke dataset with a mean panoptic quality of 0.50 and an F1-detection score of 0.83. The code is publicly available at https://github.com/TIO-IKIM/CellViT.","DOI":"10.48550/arXiv.2306.15350","language":"en","note":"arXiv:2306.15350 [eess]","number":"arXiv:2306.15350","publisher":"arXiv","source":"arXiv.org","title":"CellViT: Vision Transformers for Precise Cell Segmentation and Classification","title-short":"CellViT","URL":"http://arxiv.org/abs/2306.15350","author":[{"family":"Hörst","given":"Fabian"},{"family":"Rempe","given":"Moritz"},{"family":"Heine","given":"Lukas"},{"family":"Seibold","given":"Constantin"},{"family":"Keyl","given":"Julius"},{"family":"Baldini","given":"Giulia"},{"family":"Ugurel","given":"Selma"},{"family":"Siveke","given":"Jens"},{"family":"Grünwald","given":"Barbara"},{"family":"Egger","given":"Jan"},{"family":"Kleesiek","given":"Jens"}],"accessed":{"date-parts":[["2025",1,21]]},"issued":{"date-parts":[["2023",10,6]]}}}],"schema":"https://github.com/citation-style-language/schema/raw/master/csl-citation.json"} </w:instrText>
      </w:r>
      <w:r w:rsidR="00F6178D" w:rsidRPr="00D22AA7">
        <w:rPr>
          <w:rFonts w:ascii="Times" w:hAnsi="Times"/>
          <w:sz w:val="24"/>
          <w:szCs w:val="24"/>
          <w:lang w:eastAsia="en-GB"/>
        </w:rPr>
        <w:fldChar w:fldCharType="separate"/>
      </w:r>
      <w:r w:rsidR="0056095D">
        <w:rPr>
          <w:rFonts w:ascii="Times" w:hAnsi="Times"/>
          <w:noProof/>
          <w:sz w:val="24"/>
          <w:szCs w:val="24"/>
          <w:lang w:eastAsia="en-GB"/>
        </w:rPr>
        <w:t>[179]</w:t>
      </w:r>
      <w:r w:rsidR="00F6178D" w:rsidRPr="00D22AA7">
        <w:rPr>
          <w:rFonts w:ascii="Times" w:hAnsi="Times"/>
          <w:sz w:val="24"/>
          <w:szCs w:val="24"/>
          <w:lang w:eastAsia="en-GB"/>
        </w:rPr>
        <w:fldChar w:fldCharType="end"/>
      </w:r>
      <w:r w:rsidRPr="00D22AA7">
        <w:rPr>
          <w:rFonts w:ascii="Times" w:hAnsi="Times"/>
          <w:sz w:val="24"/>
          <w:szCs w:val="24"/>
          <w:lang w:eastAsia="en-GB"/>
        </w:rPr>
        <w:t>.</w:t>
      </w:r>
      <w:r w:rsidR="00CA4987" w:rsidRPr="00D22AA7">
        <w:rPr>
          <w:rFonts w:ascii="Times" w:hAnsi="Times"/>
          <w:sz w:val="24"/>
          <w:szCs w:val="24"/>
          <w:lang w:eastAsia="en-GB"/>
        </w:rPr>
        <w:t xml:space="preserve"> </w:t>
      </w:r>
      <w:proofErr w:type="spellStart"/>
      <w:r w:rsidRPr="00D22AA7">
        <w:rPr>
          <w:rFonts w:ascii="Times" w:hAnsi="Times"/>
          <w:sz w:val="24"/>
          <w:szCs w:val="24"/>
          <w:lang w:eastAsia="en-GB"/>
        </w:rPr>
        <w:t>ViTs</w:t>
      </w:r>
      <w:proofErr w:type="spellEnd"/>
      <w:r w:rsidRPr="00D22AA7">
        <w:rPr>
          <w:rFonts w:ascii="Times" w:hAnsi="Times"/>
          <w:sz w:val="24"/>
          <w:szCs w:val="24"/>
          <w:lang w:eastAsia="en-GB"/>
        </w:rPr>
        <w:t xml:space="preserve"> have demonstrated remarkable performance in tasks such as image segmentation, classification, and feature extraction, often surpassing the capabilities of conventional CNNs. Their ability to model global relationships within an image allows for more accurate and robust analysis of microscopic data, where fine details and spatial relationships are critical. For example, </w:t>
      </w:r>
      <w:proofErr w:type="spellStart"/>
      <w:r w:rsidRPr="00D22AA7">
        <w:rPr>
          <w:rFonts w:ascii="Times" w:hAnsi="Times"/>
          <w:sz w:val="24"/>
          <w:szCs w:val="24"/>
          <w:lang w:eastAsia="en-GB"/>
        </w:rPr>
        <w:t>ViTs</w:t>
      </w:r>
      <w:proofErr w:type="spellEnd"/>
      <w:r w:rsidRPr="00D22AA7">
        <w:rPr>
          <w:rFonts w:ascii="Times" w:hAnsi="Times"/>
          <w:sz w:val="24"/>
          <w:szCs w:val="24"/>
          <w:lang w:eastAsia="en-GB"/>
        </w:rPr>
        <w:t xml:space="preserve"> can be integrated with architectures like U-Net to enhance segmentation accuracy in microscopic images, enabling precise identification of cellular and tissue structures</w:t>
      </w:r>
      <w:r w:rsidR="00F6178D"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{"citationID":"uszmz52x","properties":{"formattedCitation":"[128]","plainCitation":"[128]","noteIndex":0},"citationItems":[{"id":6187,"uris":["http://zotero.org/users/9439317/items/IMPZSYKP"],"itemData":{"id":6187,"type":"article-journal","abstract":"Abstract The clinical translations of drugs and nanomedicines depend on coherent pharmaceutical research based on biologically accurate screening approaches. Since establishing the 2D in vitro cell culture method, the scientific community has improved cell-based drug screening assays and models. Those advances result in more informative biochemical assays and the development of 3D multicellular models to describe the biological complexity better and enhance the simulation of the in vivo microenvironment. Despite the overall dominance of conventional 2D and 3D cell macroscopic culture methods, they present physicochemical and operational challenges that impair the scale-up of drug screening by not allowing a high parallelization, multidrug combination, and high-throughput screening. Their combination and complementarity with microfluidic platforms enable the development of microfluidics-based cell culture platforms with unequivocal advantages in drug screening and cell therapies. Thus, this review presents an updated and consolidated view of cell culture miniaturization's physical, chemical, and operational considerations in the pharmaceutical research scenario. It clarifies advances in the field using gradient-based microfluidics, droplet-based microfluidics, printed-based microfluidics, digital-based microfluidics, SlipChip, and paper-based microfluidics. Finally, it presents a comparative analysis of the performance of cell-based methods in life research and development to achieve increased precision in the drug screening process.","container-title":"Advanced Healthcare Materials","DOI":"10.1002/adhm.202202936","ISSN":"2192-2640","issue":"18","journalAbbreviation":"Advanced Healthcare Materials","note":"publisher: John Wiley &amp; Sons, Ltd","page":"2202936","title":"Recent Advances on Cell Culture Platforms for In Vitro Drug Screening and Cell Therapies: From Conventional to Microfluidic Strategies","URL":"https://doi.org/10.1002/adhm.202202936","volume":"12","author":[{"family":"Cardoso","given":"Beatriz D."},{"family":"Castanheira","given":"Elisabete M. S."},{"family":"Lanceros-Méndez","given":"Senentxu"},{"family":"Cardoso","given":"Vanessa F."}],"accessed":{"date-parts":[["2024",6,24]]},"issued":{"date-parts":[["2023",7,1]]}}}],"schema":"https://github.com/citation-style-language/schema/raw/master/csl-citation.json"} </w:instrText>
      </w:r>
      <w:r w:rsidR="00F6178D" w:rsidRPr="00D22AA7">
        <w:rPr>
          <w:rFonts w:ascii="Times" w:hAnsi="Times"/>
          <w:sz w:val="24"/>
          <w:szCs w:val="24"/>
          <w:lang w:eastAsia="en-GB"/>
        </w:rPr>
        <w:fldChar w:fldCharType="separate"/>
      </w:r>
      <w:r w:rsidR="0056095D">
        <w:rPr>
          <w:rFonts w:ascii="Times" w:hAnsi="Times"/>
          <w:noProof/>
          <w:sz w:val="24"/>
          <w:szCs w:val="24"/>
          <w:lang w:eastAsia="en-GB"/>
        </w:rPr>
        <w:t>[128]</w:t>
      </w:r>
      <w:r w:rsidR="00F6178D" w:rsidRPr="00D22AA7">
        <w:rPr>
          <w:rFonts w:ascii="Times" w:hAnsi="Times"/>
          <w:sz w:val="24"/>
          <w:szCs w:val="24"/>
          <w:lang w:eastAsia="en-GB"/>
        </w:rPr>
        <w:fldChar w:fldCharType="end"/>
      </w:r>
      <w:r w:rsidRPr="00D22AA7">
        <w:rPr>
          <w:rFonts w:ascii="Times" w:hAnsi="Times"/>
          <w:sz w:val="24"/>
          <w:szCs w:val="24"/>
          <w:lang w:eastAsia="en-GB"/>
        </w:rPr>
        <w:t>.</w:t>
      </w:r>
    </w:p>
    <w:p w14:paraId="3C259453" w14:textId="22E4169B" w:rsidR="001F124B" w:rsidRPr="00D22AA7" w:rsidRDefault="001F124B" w:rsidP="2C6AA39A">
      <w:pPr>
        <w:pStyle w:val="MDPI31text"/>
        <w:ind w:left="0" w:firstLine="0"/>
        <w:rPr>
          <w:rFonts w:ascii="Times" w:hAnsi="Times"/>
          <w:sz w:val="24"/>
          <w:szCs w:val="24"/>
          <w:lang w:eastAsia="en-GB"/>
        </w:rPr>
      </w:pPr>
      <w:r w:rsidRPr="00D22AA7">
        <w:rPr>
          <w:rFonts w:ascii="Times" w:hAnsi="Times"/>
          <w:sz w:val="24"/>
          <w:szCs w:val="24"/>
          <w:lang w:eastAsia="en-GB"/>
        </w:rPr>
        <w:t xml:space="preserve">The architecture of </w:t>
      </w:r>
      <w:proofErr w:type="spellStart"/>
      <w:proofErr w:type="gramStart"/>
      <w:r w:rsidRPr="00D22AA7">
        <w:rPr>
          <w:rFonts w:ascii="Times" w:hAnsi="Times"/>
          <w:sz w:val="24"/>
          <w:szCs w:val="24"/>
          <w:lang w:eastAsia="en-GB"/>
        </w:rPr>
        <w:t>ViTs</w:t>
      </w:r>
      <w:proofErr w:type="spellEnd"/>
      <w:r w:rsidR="00F6178D" w:rsidRPr="00D22AA7">
        <w:rPr>
          <w:rFonts w:ascii="Times" w:hAnsi="Times"/>
          <w:sz w:val="24"/>
          <w:szCs w:val="24"/>
          <w:lang w:eastAsia="en-GB"/>
        </w:rPr>
        <w:t xml:space="preserve"> </w:t>
      </w:r>
      <w:r w:rsidRPr="00D22AA7">
        <w:rPr>
          <w:rFonts w:ascii="Times" w:hAnsi="Times"/>
          <w:sz w:val="24"/>
          <w:szCs w:val="24"/>
          <w:lang w:eastAsia="en-GB"/>
        </w:rPr>
        <w:t xml:space="preserve"> involves</w:t>
      </w:r>
      <w:proofErr w:type="gramEnd"/>
      <w:r w:rsidRPr="00D22AA7">
        <w:rPr>
          <w:rFonts w:ascii="Times" w:hAnsi="Times"/>
          <w:sz w:val="24"/>
          <w:szCs w:val="24"/>
          <w:lang w:eastAsia="en-GB"/>
        </w:rPr>
        <w:t xml:space="preserve"> dividing an image into fixed-size patches, which are then flattened and processed by a transformer encoder. This encoder uses self-attention mechanisms to weigh the importance of different patches, capturing both local and global features. The resulting representations are then used for downstream tasks such as classification or segmentation</w:t>
      </w:r>
      <w:r w:rsidR="00F6178D" w:rsidRPr="00D22AA7">
        <w:rPr>
          <w:rFonts w:ascii="Times" w:hAnsi="Times"/>
          <w:sz w:val="24"/>
          <w:szCs w:val="24"/>
          <w:lang w:eastAsia="en-GB"/>
        </w:rPr>
        <w:t xml:space="preserve"> </w:t>
      </w:r>
      <w:r w:rsidR="00F6178D"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{"citationID":"9d1ejGWF","properties":{"formattedCitation":"[180]","plainCitation":"[180]","noteIndex":0},"citationItems":[{"id":15945,"uris":["http://zotero.org/users/9439317/items/SNAYEEP4"],"itemData":{"id":15945,"type":"article-journal","container-title":"ACM computing surveys (CSUR)","ISSN":"0360-0300","issue":"10s","journalAbbreviation":"ACM computing surveys (CSUR)","note":"publisher: ACM New York, NY","page":"1-41","title":"Transformers in vision: A survey","volume":"54","author":[{"family":"Khan","given":"Salman"},{"family":"Naseer","given":"Muzammal"},{"family":"Hayat","given":"Munawar"},{"family":"Zamir","given":"Syed Waqas"},{"family":"Khan","given":"Fahad Shahbaz"},{"family":"Shah","given":"Mubarak"}],"issued":{"date-parts":[["2022"]]}}}],"schema":"https://github.com/citation-style-language/schema/raw/master/csl-citation.json"} </w:instrText>
      </w:r>
      <w:r w:rsidR="00F6178D" w:rsidRPr="00D22AA7">
        <w:rPr>
          <w:rFonts w:ascii="Times" w:hAnsi="Times"/>
          <w:sz w:val="24"/>
          <w:szCs w:val="24"/>
          <w:lang w:eastAsia="en-GB"/>
        </w:rPr>
        <w:fldChar w:fldCharType="separate"/>
      </w:r>
      <w:r w:rsidR="0056095D">
        <w:rPr>
          <w:rFonts w:ascii="Times" w:hAnsi="Times"/>
          <w:noProof/>
          <w:sz w:val="24"/>
          <w:szCs w:val="24"/>
          <w:lang w:eastAsia="en-GB"/>
        </w:rPr>
        <w:t>[180]</w:t>
      </w:r>
      <w:r w:rsidR="00F6178D" w:rsidRPr="00D22AA7">
        <w:rPr>
          <w:rFonts w:ascii="Times" w:hAnsi="Times"/>
          <w:sz w:val="24"/>
          <w:szCs w:val="24"/>
          <w:lang w:eastAsia="en-GB"/>
        </w:rPr>
        <w:fldChar w:fldCharType="end"/>
      </w:r>
      <w:r w:rsidR="00137313">
        <w:rPr>
          <w:rFonts w:ascii="Times" w:hAnsi="Times"/>
          <w:sz w:val="24"/>
          <w:szCs w:val="24"/>
          <w:lang w:eastAsia="en-GB"/>
        </w:rPr>
        <w:t xml:space="preserve"> (figure 16)</w:t>
      </w:r>
      <w:r w:rsidRPr="00D22AA7">
        <w:rPr>
          <w:rFonts w:ascii="Times" w:hAnsi="Times"/>
          <w:sz w:val="24"/>
          <w:szCs w:val="24"/>
          <w:lang w:eastAsia="en-GB"/>
        </w:rPr>
        <w:t>.</w:t>
      </w:r>
    </w:p>
    <w:p w14:paraId="08B7FBB6" w14:textId="52EF2051" w:rsidR="001F124B" w:rsidRDefault="001F124B" w:rsidP="2C6AA39A">
      <w:pPr>
        <w:pStyle w:val="MDPI31text"/>
        <w:ind w:left="0" w:firstLine="0"/>
        <w:rPr>
          <w:rFonts w:ascii="Times" w:hAnsi="Times"/>
          <w:sz w:val="24"/>
          <w:szCs w:val="24"/>
          <w:lang w:eastAsia="en-GB"/>
        </w:rPr>
      </w:pPr>
      <w:r w:rsidRPr="00D22AA7">
        <w:rPr>
          <w:rFonts w:ascii="Times" w:hAnsi="Times"/>
          <w:sz w:val="24"/>
          <w:szCs w:val="24"/>
          <w:lang w:eastAsia="en-GB"/>
        </w:rPr>
        <w:t xml:space="preserve">The application of </w:t>
      </w:r>
      <w:proofErr w:type="spellStart"/>
      <w:r w:rsidRPr="00D22AA7">
        <w:rPr>
          <w:rFonts w:ascii="Times" w:hAnsi="Times"/>
          <w:sz w:val="24"/>
          <w:szCs w:val="24"/>
          <w:lang w:eastAsia="en-GB"/>
        </w:rPr>
        <w:t>ViTs</w:t>
      </w:r>
      <w:proofErr w:type="spellEnd"/>
      <w:r w:rsidRPr="00D22AA7">
        <w:rPr>
          <w:rFonts w:ascii="Times" w:hAnsi="Times"/>
          <w:sz w:val="24"/>
          <w:szCs w:val="24"/>
          <w:lang w:eastAsia="en-GB"/>
        </w:rPr>
        <w:t xml:space="preserve"> in microscopic image analysis holds significant </w:t>
      </w:r>
      <w:r w:rsidR="00DE2F15">
        <w:rPr>
          <w:rFonts w:ascii="Times" w:hAnsi="Times"/>
          <w:sz w:val="24"/>
          <w:szCs w:val="24"/>
          <w:lang w:eastAsia="en-GB"/>
        </w:rPr>
        <w:t>importance</w:t>
      </w:r>
      <w:r w:rsidRPr="00D22AA7">
        <w:rPr>
          <w:rFonts w:ascii="Times" w:hAnsi="Times"/>
          <w:sz w:val="24"/>
          <w:szCs w:val="24"/>
          <w:lang w:eastAsia="en-GB"/>
        </w:rPr>
        <w:t xml:space="preserve"> for advancing research in fields such as cellular biology, histopathology, and medical diagnostics. By providing a more comprehensive understanding of image data through global context modeling, </w:t>
      </w:r>
      <w:proofErr w:type="spellStart"/>
      <w:r w:rsidRPr="00D22AA7">
        <w:rPr>
          <w:rFonts w:ascii="Times" w:hAnsi="Times"/>
          <w:sz w:val="24"/>
          <w:szCs w:val="24"/>
          <w:lang w:eastAsia="en-GB"/>
        </w:rPr>
        <w:t>ViTs</w:t>
      </w:r>
      <w:proofErr w:type="spellEnd"/>
      <w:r w:rsidRPr="00D22AA7">
        <w:rPr>
          <w:rFonts w:ascii="Times" w:hAnsi="Times"/>
          <w:sz w:val="24"/>
          <w:szCs w:val="24"/>
          <w:lang w:eastAsia="en-GB"/>
        </w:rPr>
        <w:t xml:space="preserve"> </w:t>
      </w:r>
      <w:r w:rsidR="00DE2F15">
        <w:rPr>
          <w:rFonts w:ascii="Times" w:hAnsi="Times"/>
          <w:sz w:val="24"/>
          <w:szCs w:val="24"/>
          <w:lang w:eastAsia="en-GB"/>
        </w:rPr>
        <w:t>work</w:t>
      </w:r>
      <w:r w:rsidRPr="00D22AA7">
        <w:rPr>
          <w:rFonts w:ascii="Times" w:hAnsi="Times"/>
          <w:sz w:val="24"/>
          <w:szCs w:val="24"/>
          <w:lang w:eastAsia="en-GB"/>
        </w:rPr>
        <w:t xml:space="preserve"> to enhance the accuracy and efficiency of image-based analyses. However, challenges such as computational complexity and the need for large-scale training datasets remain areas of active research</w:t>
      </w:r>
      <w:r w:rsidR="00F6178D" w:rsidRPr="00D22AA7">
        <w:rPr>
          <w:rFonts w:ascii="Times" w:hAnsi="Times"/>
          <w:sz w:val="24"/>
          <w:szCs w:val="24"/>
          <w:lang w:eastAsia="en-GB"/>
        </w:rPr>
        <w:t xml:space="preserve"> </w:t>
      </w:r>
      <w:r w:rsidR="00F6178D" w:rsidRPr="00D22AA7">
        <w:rPr>
          <w:rFonts w:ascii="Times" w:hAnsi="Times"/>
          <w:sz w:val="24"/>
          <w:szCs w:val="24"/>
          <w:lang w:eastAsia="en-GB"/>
        </w:rPr>
        <w:fldChar w:fldCharType="begin"/>
      </w:r>
      <w:r w:rsidR="0056095D">
        <w:rPr>
          <w:rFonts w:ascii="Times" w:hAnsi="Times"/>
          <w:sz w:val="24"/>
          <w:szCs w:val="24"/>
          <w:lang w:eastAsia="en-GB"/>
        </w:rPr>
        <w:instrText xml:space="preserve"> ADDIN ZOTERO_ITEM CSL_CITATION {"citationID":"92mO2FjW","properties":{"formattedCitation":"[181]","plainCitation":"[181]","noteIndex":0},"citationItems":[{"id":15941,"uris":["http://zotero.org/users/9439317/items/7JMWJY35"],"itemData":{"id":15941,"type":"article-journal","container-title":"Engineering Applications of Artificial Intelligence","ISSN":"0952-1976","journalAbbreviation":"Engineering Applications of Artificial Intelligence","note":"publisher: Elsevier","page":"106126","title":"Vision Transformers in medical computer vision—A contemplative retrospection","volume":"122","author":[{"family":"Parvaiz","given":"Arshi"},{"family":"Khalid","given":"Muhammad Anwaar"},{"family":"Zafar","given":"Rukhsana"},{"family":"Ameer","given":"Huma"},{"family":"Ali","given":"Muhammad"},{"family":"Fraz","given":"Muhammad Moazam"}],"issued":{"date-parts":[["2023"]]}}}],"schema":"https://github.com/citation-style-language/schema/raw/master/csl-citation.json"} </w:instrText>
      </w:r>
      <w:r w:rsidR="00F6178D" w:rsidRPr="00D22AA7">
        <w:rPr>
          <w:rFonts w:ascii="Times" w:hAnsi="Times"/>
          <w:sz w:val="24"/>
          <w:szCs w:val="24"/>
          <w:lang w:eastAsia="en-GB"/>
        </w:rPr>
        <w:fldChar w:fldCharType="separate"/>
      </w:r>
      <w:r w:rsidR="0056095D">
        <w:rPr>
          <w:rFonts w:ascii="Times" w:hAnsi="Times"/>
          <w:noProof/>
          <w:sz w:val="24"/>
          <w:szCs w:val="24"/>
          <w:lang w:eastAsia="en-GB"/>
        </w:rPr>
        <w:t>[181]</w:t>
      </w:r>
      <w:r w:rsidR="00F6178D" w:rsidRPr="00D22AA7">
        <w:rPr>
          <w:rFonts w:ascii="Times" w:hAnsi="Times"/>
          <w:sz w:val="24"/>
          <w:szCs w:val="24"/>
          <w:lang w:eastAsia="en-GB"/>
        </w:rPr>
        <w:fldChar w:fldCharType="end"/>
      </w:r>
      <w:r w:rsidR="00137313">
        <w:rPr>
          <w:rFonts w:ascii="Times" w:hAnsi="Times"/>
          <w:sz w:val="24"/>
          <w:szCs w:val="24"/>
          <w:lang w:eastAsia="en-GB"/>
        </w:rPr>
        <w:t xml:space="preserve"> </w:t>
      </w:r>
      <w:r w:rsidRPr="00D22AA7">
        <w:rPr>
          <w:rFonts w:ascii="Times" w:hAnsi="Times"/>
          <w:sz w:val="24"/>
          <w:szCs w:val="24"/>
          <w:lang w:eastAsia="en-GB"/>
        </w:rPr>
        <w:t>.</w:t>
      </w:r>
    </w:p>
    <w:p w14:paraId="71449C06" w14:textId="6A81B653" w:rsidR="007D4C4E" w:rsidRDefault="00DC0A50" w:rsidP="2C6AA39A">
      <w:pPr>
        <w:pStyle w:val="MDPI31text"/>
        <w:ind w:left="0" w:firstLine="0"/>
      </w:pPr>
      <w:r>
        <w:t xml:space="preserve">                              </w:t>
      </w:r>
      <w:r w:rsidR="007D4C4E">
        <w:fldChar w:fldCharType="begin"/>
      </w:r>
      <w:r w:rsidR="007D4C4E">
        <w:instrText xml:space="preserve"> INCLUDEPICTURE "https://www.mdpi.com/jimaging/jimaging-11-00059/article_deploy/html/images/jimaging-11-00059-g005.png" \* MERGEFORMATINET </w:instrText>
      </w:r>
      <w:r w:rsidR="007D4C4E">
        <w:fldChar w:fldCharType="separate"/>
      </w:r>
      <w:r w:rsidR="007D4C4E">
        <w:rPr>
          <w:noProof/>
        </w:rPr>
        <w:drawing>
          <wp:inline distT="0" distB="0" distL="0" distR="0" wp14:anchorId="51B26E59" wp14:editId="041DDA11">
            <wp:extent cx="3994484" cy="2688168"/>
            <wp:effectExtent l="0" t="0" r="6350" b="4445"/>
            <wp:docPr id="852134576" name="Picture 19" descr="Jimaging 11 00059 g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Jimaging 11 00059 g00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25462" cy="2709015"/>
                    </a:xfrm>
                    <a:prstGeom prst="rect">
                      <a:avLst/>
                    </a:prstGeom>
                    <a:noFill/>
                    <a:ln>
                      <a:noFill/>
                    </a:ln>
                  </pic:spPr>
                </pic:pic>
              </a:graphicData>
            </a:graphic>
          </wp:inline>
        </w:drawing>
      </w:r>
      <w:r w:rsidR="007D4C4E">
        <w:fldChar w:fldCharType="end"/>
      </w:r>
    </w:p>
    <w:p w14:paraId="79C4A33A" w14:textId="7192D29A" w:rsidR="007D4C4E" w:rsidRPr="009E1465" w:rsidRDefault="007D4C4E" w:rsidP="2C6AA39A">
      <w:pPr>
        <w:pStyle w:val="MDPI31text"/>
        <w:ind w:left="0" w:firstLine="0"/>
        <w:rPr>
          <w:rFonts w:ascii="Times" w:hAnsi="Times"/>
          <w:szCs w:val="20"/>
          <w:lang w:eastAsia="en-GB"/>
        </w:rPr>
      </w:pPr>
      <w:r w:rsidRPr="009E1465">
        <w:rPr>
          <w:rFonts w:ascii="Times" w:hAnsi="Times"/>
          <w:b/>
          <w:bCs/>
          <w:szCs w:val="20"/>
        </w:rPr>
        <w:t>Figure 16.</w:t>
      </w:r>
      <w:r w:rsidRPr="009E1465">
        <w:rPr>
          <w:rFonts w:ascii="Times" w:hAnsi="Times"/>
          <w:szCs w:val="20"/>
        </w:rPr>
        <w:t xml:space="preserve"> The diagram illustrates the Vision Transformer (ViT) architecture used for image analysis.</w:t>
      </w:r>
      <w:r w:rsidR="0055014A" w:rsidRPr="009E1465">
        <w:rPr>
          <w:rFonts w:ascii="Times" w:hAnsi="Times"/>
          <w:szCs w:val="20"/>
        </w:rPr>
        <w:t xml:space="preserve"> Reprinted from </w:t>
      </w:r>
      <w:r w:rsidR="0055014A" w:rsidRPr="009E1465">
        <w:rPr>
          <w:rFonts w:ascii="Times" w:hAnsi="Times"/>
          <w:szCs w:val="20"/>
        </w:rPr>
        <w:fldChar w:fldCharType="begin"/>
      </w:r>
      <w:r w:rsidR="0056095D">
        <w:rPr>
          <w:rFonts w:ascii="Times" w:hAnsi="Times"/>
          <w:szCs w:val="20"/>
        </w:rPr>
        <w:instrText xml:space="preserve"> ADDIN ZOTERO_ITEM CSL_CITATION {"citationID":"MPh8XtMe","properties":{"formattedCitation":"[182]","plainCitation":"[182]","noteIndex":0},"citationItems":[{"id":15894,"uris":["http://zotero.org/users/9439317/items/39H9XXMR"],"itemData":{"id":15894,"type":"article-journal","abstract":"Maintenance and safety inspection of trains is a critical element of providing a safe and reliable train service. Checking for the presence of bolts is an essential part of train inspection, which is currently, typically carried out during visual inspections. There is an opportunity to automate bolt inspection using machine vision with edge devices. One particular challenge is the implementation of such inspection mechanisms on edge devices, which necessitates using lighter models to ensure efficiency. Traditional methods have often fallen short of the required object detection performance, thus demonstrating the need for a more advanced approach. To address this challenge, researchers have been exploring the use of deep learning algorithms and computer vision techniques to improve the accuracy and reliability of bolt detection on edge devices. High precision in identifying absent bolts in train components is essential to avoid potential mishaps and system malfunctions. This paper presents “BoltVision”, a comparative analysis of three cutting-edge machine learning models: convolutional neural networks (CNNs), vision transformers (ViTs), and compact convolutional transformers (CCTs). This study illustrates the superior assessment capabilities of these models and discusses their effectiveness in addressing the prevalent issue of edge devices. Results show that BoltVision, utilising a pre-trained ViT base, achieves a remarkable 93% accuracy in classifying missing bolts. These results underscore the potential of BoltVision in tackling specific safety inspection challenges for trains and highlight its effectiveness when deployed on edge devices characterised by constrained computational resources. This attests to the pivotal role of transformer-based architectures in revolutionising predictive maintenance and safety assurance within the rail transportation industry.","container-title":"Machines","DOI":"10.3390/machines12020093","ISSN":"2075-1702","issue":"2","title":"BoltVision: A Comparative Analysis of CNN, CCT, and ViT in Achieving High Accuracy for Missing Bolt Classification in Train Components","volume":"12","author":[{"family":"Alif","given":"Mujadded A."},{"family":"Hussain","given":"Muhammad"},{"family":"Tucker","given":"Gareth"},{"family":"Iwnicki","given":"Simon"}],"issued":{"date-parts":[["2024"]]}}}],"schema":"https://github.com/citation-style-language/schema/raw/master/csl-citation.json"} </w:instrText>
      </w:r>
      <w:r w:rsidR="0055014A" w:rsidRPr="009E1465">
        <w:rPr>
          <w:rFonts w:ascii="Times" w:hAnsi="Times"/>
          <w:szCs w:val="20"/>
        </w:rPr>
        <w:fldChar w:fldCharType="separate"/>
      </w:r>
      <w:r w:rsidR="0056095D">
        <w:rPr>
          <w:rFonts w:ascii="Times" w:hAnsi="Times"/>
          <w:noProof/>
          <w:szCs w:val="20"/>
        </w:rPr>
        <w:t>[182]</w:t>
      </w:r>
      <w:r w:rsidR="0055014A" w:rsidRPr="009E1465">
        <w:rPr>
          <w:rFonts w:ascii="Times" w:hAnsi="Times"/>
          <w:szCs w:val="20"/>
        </w:rPr>
        <w:fldChar w:fldCharType="end"/>
      </w:r>
      <w:r w:rsidR="0055014A" w:rsidRPr="009E1465">
        <w:rPr>
          <w:rFonts w:ascii="Times" w:hAnsi="Times"/>
          <w:szCs w:val="20"/>
        </w:rPr>
        <w:t>.</w:t>
      </w:r>
    </w:p>
    <w:p w14:paraId="3BABE91F" w14:textId="15403A81" w:rsidR="00386CA0" w:rsidRPr="00D22AA7" w:rsidRDefault="00386CA0" w:rsidP="2C6AA39A">
      <w:pPr>
        <w:pStyle w:val="MDPI31text"/>
        <w:ind w:left="1440" w:firstLine="0"/>
        <w:rPr>
          <w:rFonts w:ascii="Times" w:hAnsi="Times"/>
          <w:b/>
          <w:bCs/>
        </w:rPr>
      </w:pPr>
    </w:p>
    <w:p w14:paraId="4D1B0CDF" w14:textId="0ACA3EE8" w:rsidR="00386CA0" w:rsidRPr="00D22AA7" w:rsidRDefault="00386CA0" w:rsidP="2C6AA39A">
      <w:pPr>
        <w:pStyle w:val="MDPI31text"/>
        <w:rPr>
          <w:rFonts w:ascii="Times" w:hAnsi="Times"/>
        </w:rPr>
      </w:pPr>
    </w:p>
    <w:p w14:paraId="6F4DD43F" w14:textId="0DC316D8" w:rsidR="004C08C2" w:rsidRPr="00D22AA7" w:rsidRDefault="00CA4987" w:rsidP="2C6AA39A">
      <w:pPr>
        <w:pStyle w:val="MDPI31text"/>
        <w:ind w:left="0" w:firstLine="0"/>
        <w:rPr>
          <w:rFonts w:ascii="Times" w:hAnsi="Times"/>
          <w:sz w:val="24"/>
          <w:szCs w:val="24"/>
        </w:rPr>
      </w:pPr>
      <w:r w:rsidRPr="00D22AA7">
        <w:rPr>
          <w:rFonts w:ascii="Times" w:hAnsi="Times"/>
          <w:sz w:val="24"/>
          <w:szCs w:val="24"/>
        </w:rPr>
        <w:lastRenderedPageBreak/>
        <w:t xml:space="preserve">The analysis of cell or tissue images presents a range of unique challenges, primarily due to the inherent complexity of biological samples. Factors such as high levels of heterogeneity, where individual cells or tissue regions display significant variation, contribute to the difficulty of accurate interpretation. Additionally, overlapping structures within the images can </w:t>
      </w:r>
      <w:r w:rsidR="0033421A">
        <w:rPr>
          <w:rFonts w:ascii="Times" w:hAnsi="Times"/>
          <w:sz w:val="24"/>
          <w:szCs w:val="24"/>
        </w:rPr>
        <w:t xml:space="preserve">hnder </w:t>
      </w:r>
      <w:r w:rsidRPr="00D22AA7">
        <w:rPr>
          <w:rFonts w:ascii="Times" w:hAnsi="Times"/>
          <w:sz w:val="24"/>
          <w:szCs w:val="24"/>
        </w:rPr>
        <w:t xml:space="preserve">important details, making it harder to distinguish between different biological components. Furthermore, biological features often exist at multiple scales, requiring advanced techniques to capture fine details at both cellular and tissue levels. These complexities </w:t>
      </w:r>
      <w:r w:rsidR="0033421A">
        <w:rPr>
          <w:rFonts w:ascii="Times" w:hAnsi="Times"/>
          <w:sz w:val="24"/>
          <w:szCs w:val="24"/>
        </w:rPr>
        <w:t xml:space="preserve">have importance </w:t>
      </w:r>
      <w:proofErr w:type="gramStart"/>
      <w:r w:rsidR="0033421A">
        <w:rPr>
          <w:rFonts w:ascii="Times" w:hAnsi="Times"/>
          <w:sz w:val="24"/>
          <w:szCs w:val="24"/>
        </w:rPr>
        <w:t xml:space="preserve">for </w:t>
      </w:r>
      <w:r w:rsidRPr="00D22AA7">
        <w:rPr>
          <w:rFonts w:ascii="Times" w:hAnsi="Times"/>
          <w:sz w:val="24"/>
          <w:szCs w:val="24"/>
        </w:rPr>
        <w:t xml:space="preserve"> the</w:t>
      </w:r>
      <w:proofErr w:type="gramEnd"/>
      <w:r w:rsidRPr="00D22AA7">
        <w:rPr>
          <w:rFonts w:ascii="Times" w:hAnsi="Times"/>
          <w:sz w:val="24"/>
          <w:szCs w:val="24"/>
        </w:rPr>
        <w:t xml:space="preserve"> development of sophisticated image analysis methods capable of addressing these issues to ensure precise and reliable results in biological research and diagnostics.</w:t>
      </w:r>
      <w:r w:rsidR="003B55C6" w:rsidRPr="00D22AA7">
        <w:rPr>
          <w:rFonts w:ascii="Times" w:hAnsi="Times"/>
          <w:sz w:val="24"/>
          <w:szCs w:val="24"/>
        </w:rPr>
        <w:t>Traditional methods often face difficulties in addressing these complexities. However, image transformers provide a revolutionary approach by analyzing entire image patches at once</w:t>
      </w:r>
      <w:r w:rsidR="0033421A">
        <w:rPr>
          <w:rFonts w:ascii="Times" w:hAnsi="Times"/>
          <w:sz w:val="24"/>
          <w:szCs w:val="24"/>
        </w:rPr>
        <w:t xml:space="preserve">, </w:t>
      </w:r>
      <w:r w:rsidR="003B55C6" w:rsidRPr="00D22AA7">
        <w:rPr>
          <w:rFonts w:ascii="Times" w:hAnsi="Times"/>
          <w:sz w:val="24"/>
          <w:szCs w:val="24"/>
        </w:rPr>
        <w:t xml:space="preserve">allows transformers to capture spatial relationships, detect subtle morphological patterns, and accurately delineate cellular boundaries with remarkable precision. For example, they are highly effective at segmenting complex cellular components, distinguishing overlapping structures, and identifying fine morphological changes in tissues—essential elements in </w:t>
      </w:r>
      <w:r w:rsidR="00B85298">
        <w:rPr>
          <w:rFonts w:ascii="Times" w:hAnsi="Times"/>
          <w:sz w:val="24"/>
          <w:szCs w:val="24"/>
        </w:rPr>
        <w:t xml:space="preserve">supporting </w:t>
      </w:r>
      <w:r w:rsidR="003B55C6" w:rsidRPr="00D22AA7">
        <w:rPr>
          <w:rFonts w:ascii="Times" w:hAnsi="Times"/>
          <w:sz w:val="24"/>
          <w:szCs w:val="24"/>
        </w:rPr>
        <w:t>disease diagnosis and biological research.</w:t>
      </w:r>
    </w:p>
    <w:p w14:paraId="3ADA7D0A" w14:textId="77777777"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One of the standout advantages of image transformers in microscopy is their ability to scale efficiently for large datasets, which is crucial for applications like high-content screening, single-cell analysis, and large-scale biomedical research. By leveraging self-attention mechanisms, transformers process high-resolution images while preserving fine details, making them invaluable for tasks such as cell type classification, subcellular structure identification, and phenotype prediction.</w:t>
      </w:r>
    </w:p>
    <w:p w14:paraId="6AFBAF96" w14:textId="35CC1E12"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 xml:space="preserve">Additionally, hybrid models that integrate CNNs with transformers have demonstrated superior performance by combining the localized feature extraction of CNNs with the global context modeling of transformers. This synergy </w:t>
      </w:r>
      <w:r w:rsidR="00F53B0C">
        <w:rPr>
          <w:rFonts w:ascii="Times" w:hAnsi="Times"/>
          <w:sz w:val="24"/>
          <w:szCs w:val="24"/>
        </w:rPr>
        <w:t>increases</w:t>
      </w:r>
      <w:r w:rsidRPr="00D22AA7">
        <w:rPr>
          <w:rFonts w:ascii="Times" w:hAnsi="Times"/>
          <w:sz w:val="24"/>
          <w:szCs w:val="24"/>
        </w:rPr>
        <w:t xml:space="preserve"> the accuracy and robustness of microscopic image analysis, making it a powerful tool for automated cell and tissue characterization.</w:t>
      </w:r>
    </w:p>
    <w:p w14:paraId="1C0A566F" w14:textId="77777777"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Transformers are also reshaping the field of image reconstruction and enhancement, addressing common challenges in microscopy such as image noise, low resolution, and inconsistent contrast. Denoising transformers effectively remove noise from fluorescence microscopy images, while super-resolution transformers enhance image clarity, revealing intricate cellular structures that might otherwise remain obscured.</w:t>
      </w:r>
    </w:p>
    <w:p w14:paraId="53A29CDE" w14:textId="77777777"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Beyond image processing, transformers play a pivotal role in multimodal analysis, integrating data from multiple imaging techniques—such as fluorescence and phase-contrast microscopy—to provide a more holistic view of biological processes. This capability is particularly beneficial for applications in disease modeling, drug discovery, and personalized medicine.</w:t>
      </w:r>
    </w:p>
    <w:p w14:paraId="6DD3FE99" w14:textId="77777777"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 xml:space="preserve">Despite their immense potential, the application of image transformers in microscopic imaging remains an emerging field, with ongoing research focused on overcoming challenges such as computational complexity and the need for </w:t>
      </w:r>
      <w:proofErr w:type="gramStart"/>
      <w:r w:rsidRPr="00D22AA7">
        <w:rPr>
          <w:rFonts w:ascii="Times" w:hAnsi="Times"/>
          <w:sz w:val="24"/>
          <w:szCs w:val="24"/>
        </w:rPr>
        <w:t>large annotated</w:t>
      </w:r>
      <w:proofErr w:type="gramEnd"/>
      <w:r w:rsidRPr="00D22AA7">
        <w:rPr>
          <w:rFonts w:ascii="Times" w:hAnsi="Times"/>
          <w:sz w:val="24"/>
          <w:szCs w:val="24"/>
        </w:rPr>
        <w:t xml:space="preserve"> datasets. However, their ability to extract intricate spatial relationships, analyze vast datasets, and enhance image quality positions them as a revolutionary tool in cellular and tissue-level research.</w:t>
      </w:r>
    </w:p>
    <w:p w14:paraId="78DB2F23" w14:textId="28818DEF" w:rsidR="001F124B" w:rsidRPr="00D22AA7" w:rsidRDefault="001F124B" w:rsidP="2C6AA39A">
      <w:pPr>
        <w:pStyle w:val="MDPI31text"/>
        <w:ind w:left="0" w:firstLine="0"/>
        <w:rPr>
          <w:rFonts w:ascii="Times" w:hAnsi="Times"/>
          <w:sz w:val="24"/>
          <w:szCs w:val="24"/>
        </w:rPr>
      </w:pPr>
      <w:r w:rsidRPr="00D22AA7">
        <w:rPr>
          <w:rFonts w:ascii="Times" w:hAnsi="Times"/>
          <w:sz w:val="24"/>
          <w:szCs w:val="24"/>
        </w:rPr>
        <w:t>From precision diagnostics to advanced drug discovery, image transformers are set to redefine how researchers visualize, analyze, and interpret microscopic images</w:t>
      </w:r>
      <w:r w:rsidR="00154D15" w:rsidRPr="00D22AA7">
        <w:rPr>
          <w:rFonts w:ascii="Times" w:hAnsi="Times"/>
          <w:sz w:val="24"/>
          <w:szCs w:val="24"/>
        </w:rPr>
        <w:t xml:space="preserve">. </w:t>
      </w:r>
      <w:r w:rsidRPr="00D22AA7">
        <w:rPr>
          <w:rFonts w:ascii="Times" w:hAnsi="Times"/>
          <w:sz w:val="24"/>
          <w:szCs w:val="24"/>
        </w:rPr>
        <w:t>As technology continues to evolve, these AI-driven models will play a crucial role in accelerating biomedical discoveries and transforming healthcare applications</w:t>
      </w:r>
    </w:p>
    <w:p w14:paraId="2F2FFEE7" w14:textId="77777777" w:rsidR="00386CA0" w:rsidRPr="00D22AA7" w:rsidRDefault="00386CA0" w:rsidP="3F226BC9">
      <w:pPr>
        <w:pStyle w:val="MDPI31text"/>
        <w:ind w:left="0" w:firstLine="0"/>
        <w:rPr>
          <w:rFonts w:ascii="Times" w:hAnsi="Times"/>
          <w:highlight w:val="yellow"/>
        </w:rPr>
      </w:pPr>
    </w:p>
    <w:p w14:paraId="0ADFCAFD" w14:textId="10188575" w:rsidR="00386CA0" w:rsidRPr="00D22AA7" w:rsidRDefault="00386CA0" w:rsidP="2C6AA39A">
      <w:pPr>
        <w:pStyle w:val="MDPI31text"/>
        <w:ind w:left="1080" w:firstLine="0"/>
        <w:rPr>
          <w:rFonts w:ascii="Times" w:hAnsi="Times"/>
          <w:b/>
          <w:bCs/>
          <w:sz w:val="36"/>
          <w:szCs w:val="36"/>
          <w:highlight w:val="yellow"/>
        </w:rPr>
      </w:pPr>
    </w:p>
    <w:p w14:paraId="7279944C" w14:textId="0C831409" w:rsidR="00386CA0" w:rsidRPr="00D22AA7" w:rsidRDefault="00386CA0" w:rsidP="0DE242D6">
      <w:pPr>
        <w:pStyle w:val="MDPI31text"/>
        <w:ind w:left="1080" w:firstLine="0"/>
        <w:rPr>
          <w:rFonts w:ascii="Times" w:hAnsi="Times"/>
          <w:b/>
          <w:bCs/>
          <w:sz w:val="36"/>
          <w:szCs w:val="36"/>
        </w:rPr>
      </w:pPr>
    </w:p>
    <w:p w14:paraId="18C13433" w14:textId="573A3B60" w:rsidR="00386CA0" w:rsidRPr="00D22AA7" w:rsidRDefault="00386CA0" w:rsidP="0DE242D6">
      <w:pPr>
        <w:pStyle w:val="MDPI31text"/>
        <w:ind w:left="1080" w:firstLine="0"/>
        <w:rPr>
          <w:rFonts w:ascii="Times" w:hAnsi="Times"/>
          <w:b/>
          <w:bCs/>
          <w:sz w:val="36"/>
          <w:szCs w:val="36"/>
        </w:rPr>
      </w:pPr>
    </w:p>
    <w:p w14:paraId="6154C84E" w14:textId="19349BE3" w:rsidR="00386CA0" w:rsidRPr="00D22AA7" w:rsidRDefault="00386CA0" w:rsidP="0DE242D6">
      <w:pPr>
        <w:pStyle w:val="MDPI31text"/>
        <w:ind w:left="1080" w:firstLine="0"/>
        <w:rPr>
          <w:rFonts w:ascii="Times" w:hAnsi="Times"/>
          <w:b/>
          <w:bCs/>
          <w:sz w:val="36"/>
          <w:szCs w:val="36"/>
        </w:rPr>
      </w:pPr>
    </w:p>
    <w:p w14:paraId="428AA724" w14:textId="0975CCCD" w:rsidR="00386CA0" w:rsidRPr="00D22AA7" w:rsidRDefault="00386CA0" w:rsidP="000D0F01">
      <w:pPr>
        <w:pStyle w:val="MDPI31text"/>
        <w:ind w:left="0" w:firstLine="0"/>
        <w:rPr>
          <w:rFonts w:ascii="Times" w:hAnsi="Times"/>
          <w:b/>
          <w:bCs/>
          <w:sz w:val="36"/>
          <w:szCs w:val="36"/>
        </w:rPr>
      </w:pPr>
    </w:p>
    <w:p w14:paraId="15C1D753" w14:textId="559D53E2" w:rsidR="00EF4AB1" w:rsidRDefault="66779EFB" w:rsidP="0DE242D6">
      <w:pPr>
        <w:pStyle w:val="MDPI31text"/>
        <w:ind w:left="0" w:firstLine="0"/>
        <w:rPr>
          <w:rFonts w:ascii="Times" w:hAnsi="Times"/>
          <w:b/>
          <w:bCs/>
          <w:sz w:val="40"/>
          <w:szCs w:val="40"/>
        </w:rPr>
      </w:pPr>
      <w:r w:rsidRPr="00D22AA7">
        <w:rPr>
          <w:rFonts w:ascii="Times" w:hAnsi="Times"/>
          <w:b/>
          <w:bCs/>
          <w:sz w:val="40"/>
          <w:szCs w:val="40"/>
        </w:rPr>
        <w:t xml:space="preserve">Chapter 5  </w:t>
      </w:r>
    </w:p>
    <w:p w14:paraId="47BBDFCA" w14:textId="77777777" w:rsidR="00EF4AB1" w:rsidRDefault="00EF4AB1" w:rsidP="0DE242D6">
      <w:pPr>
        <w:pStyle w:val="MDPI31text"/>
        <w:ind w:left="0" w:firstLine="0"/>
        <w:rPr>
          <w:rFonts w:ascii="Times" w:hAnsi="Times"/>
          <w:b/>
          <w:bCs/>
          <w:sz w:val="40"/>
          <w:szCs w:val="40"/>
        </w:rPr>
      </w:pPr>
    </w:p>
    <w:p w14:paraId="5F52C360" w14:textId="486E3A35" w:rsidR="00386CA0" w:rsidRDefault="66779EFB" w:rsidP="0DE242D6">
      <w:pPr>
        <w:pStyle w:val="MDPI31text"/>
        <w:ind w:left="0" w:firstLine="0"/>
        <w:rPr>
          <w:rFonts w:ascii="Times" w:hAnsi="Times" w:cs="Arial"/>
          <w:b/>
          <w:bCs/>
          <w:sz w:val="40"/>
          <w:szCs w:val="40"/>
        </w:rPr>
      </w:pPr>
      <w:r w:rsidRPr="00D22AA7">
        <w:rPr>
          <w:rFonts w:ascii="Times" w:hAnsi="Times" w:cs="Arial"/>
          <w:b/>
          <w:bCs/>
          <w:sz w:val="40"/>
          <w:szCs w:val="40"/>
        </w:rPr>
        <w:t>Radiomics Analysis in Magnetic Resonance Imaging to detect tumors</w:t>
      </w:r>
    </w:p>
    <w:p w14:paraId="644F342F" w14:textId="77777777" w:rsidR="00D34773" w:rsidRPr="00D22AA7" w:rsidRDefault="00D34773" w:rsidP="0DE242D6">
      <w:pPr>
        <w:pStyle w:val="MDPI31text"/>
        <w:ind w:left="0" w:firstLine="0"/>
        <w:rPr>
          <w:rFonts w:ascii="Times" w:hAnsi="Times"/>
          <w:b/>
          <w:bCs/>
          <w:sz w:val="40"/>
          <w:szCs w:val="40"/>
        </w:rPr>
      </w:pPr>
    </w:p>
    <w:p w14:paraId="051E2374" w14:textId="07770E8D" w:rsidR="00386CA0" w:rsidRPr="00D22AA7" w:rsidRDefault="6D563725" w:rsidP="00D34773">
      <w:pPr>
        <w:pStyle w:val="BodyText"/>
        <w:jc w:val="both"/>
        <w:rPr>
          <w:rFonts w:ascii="Times" w:hAnsi="Times"/>
          <w:b/>
          <w:bCs/>
          <w:color w:val="242424"/>
        </w:rPr>
      </w:pPr>
      <w:r w:rsidRPr="00D22AA7">
        <w:rPr>
          <w:rFonts w:ascii="Times" w:hAnsi="Times"/>
        </w:rPr>
        <w:t>Prostate cancer (</w:t>
      </w:r>
      <w:proofErr w:type="spellStart"/>
      <w:r w:rsidRPr="00D22AA7">
        <w:rPr>
          <w:rFonts w:ascii="Times" w:hAnsi="Times"/>
        </w:rPr>
        <w:t>PCa</w:t>
      </w:r>
      <w:proofErr w:type="spellEnd"/>
      <w:r w:rsidRPr="00D22AA7">
        <w:rPr>
          <w:rFonts w:ascii="Times" w:hAnsi="Times"/>
        </w:rPr>
        <w:t>) and bladder cancer (</w:t>
      </w:r>
      <w:proofErr w:type="spellStart"/>
      <w:r w:rsidRPr="00D22AA7">
        <w:rPr>
          <w:rFonts w:ascii="Times" w:hAnsi="Times"/>
        </w:rPr>
        <w:t>BCa</w:t>
      </w:r>
      <w:proofErr w:type="spellEnd"/>
      <w:r w:rsidRPr="00D22AA7">
        <w:rPr>
          <w:rFonts w:ascii="Times" w:hAnsi="Times"/>
        </w:rPr>
        <w:t xml:space="preserve">) rank among the </w:t>
      </w:r>
      <w:r w:rsidR="00B1296B" w:rsidRPr="00D22AA7">
        <w:rPr>
          <w:rFonts w:ascii="Times" w:hAnsi="Times"/>
        </w:rPr>
        <w:t>most diagnosed</w:t>
      </w:r>
      <w:r w:rsidRPr="00D22AA7">
        <w:rPr>
          <w:rFonts w:ascii="Times" w:hAnsi="Times"/>
        </w:rPr>
        <w:t xml:space="preserve"> cancers globally, representing a major public health concern. </w:t>
      </w:r>
      <w:r w:rsidR="00B1296B">
        <w:rPr>
          <w:rFonts w:ascii="Times" w:hAnsi="Times"/>
        </w:rPr>
        <w:t>B</w:t>
      </w:r>
      <w:r w:rsidRPr="00D22AA7">
        <w:rPr>
          <w:rFonts w:ascii="Times" w:hAnsi="Times"/>
        </w:rPr>
        <w:t xml:space="preserve">oth </w:t>
      </w:r>
      <w:proofErr w:type="spellStart"/>
      <w:r w:rsidRPr="00D22AA7">
        <w:rPr>
          <w:rFonts w:ascii="Times" w:hAnsi="Times"/>
        </w:rPr>
        <w:t>PCa</w:t>
      </w:r>
      <w:proofErr w:type="spellEnd"/>
      <w:r w:rsidRPr="00D22AA7">
        <w:rPr>
          <w:rFonts w:ascii="Times" w:hAnsi="Times"/>
        </w:rPr>
        <w:t xml:space="preserve"> and </w:t>
      </w:r>
      <w:proofErr w:type="spellStart"/>
      <w:r w:rsidRPr="00D22AA7">
        <w:rPr>
          <w:rFonts w:ascii="Times" w:hAnsi="Times"/>
        </w:rPr>
        <w:t>BCa</w:t>
      </w:r>
      <w:proofErr w:type="spellEnd"/>
      <w:r w:rsidRPr="00D22AA7">
        <w:rPr>
          <w:rFonts w:ascii="Times" w:hAnsi="Times"/>
        </w:rPr>
        <w:t xml:space="preserve"> contribute to high death rates and considerable healthcare expenses, they highlight the urgent need for more effective prevention, early detection, and treatment strategies to reduce their impact on public health. The rising prevalence of these cancers calls for increased research and innovative therapeutic approaches to improve outcomes and alleviate the </w:t>
      </w:r>
      <w:r w:rsidR="00B1296B">
        <w:rPr>
          <w:rFonts w:ascii="Times" w:hAnsi="Times"/>
        </w:rPr>
        <w:t>burden</w:t>
      </w:r>
      <w:r w:rsidRPr="00D22AA7">
        <w:rPr>
          <w:rFonts w:ascii="Times" w:hAnsi="Times"/>
        </w:rPr>
        <w:t xml:space="preserve"> on healthcare</w:t>
      </w:r>
      <w:r w:rsidR="00B1296B">
        <w:rPr>
          <w:rFonts w:ascii="Times" w:hAnsi="Times"/>
        </w:rPr>
        <w:t xml:space="preserve"> finance</w:t>
      </w:r>
      <w:r w:rsidRPr="00D22AA7">
        <w:rPr>
          <w:rFonts w:ascii="Times" w:hAnsi="Times"/>
        </w:rPr>
        <w:t>.</w:t>
      </w:r>
      <w:r w:rsidRPr="00D22AA7">
        <w:rPr>
          <w:rFonts w:ascii="Times" w:hAnsi="Times" w:cs="Arial"/>
          <w:color w:val="000000" w:themeColor="text1"/>
        </w:rPr>
        <w:t xml:space="preserve"> </w:t>
      </w:r>
      <w:r w:rsidR="66779EFB" w:rsidRPr="00D22AA7">
        <w:rPr>
          <w:rFonts w:ascii="Times" w:hAnsi="Times" w:cs="Arial"/>
          <w:color w:val="000000" w:themeColor="text1"/>
        </w:rPr>
        <w:t xml:space="preserve">These cancers </w:t>
      </w:r>
      <w:r w:rsidR="00B1296B">
        <w:rPr>
          <w:rFonts w:ascii="Times" w:hAnsi="Times" w:cs="Arial"/>
          <w:color w:val="000000" w:themeColor="text1"/>
        </w:rPr>
        <w:t>require</w:t>
      </w:r>
      <w:r w:rsidR="66779EFB" w:rsidRPr="00D22AA7">
        <w:rPr>
          <w:rFonts w:ascii="Times" w:hAnsi="Times" w:cs="Arial"/>
          <w:color w:val="000000" w:themeColor="text1"/>
        </w:rPr>
        <w:t xml:space="preserve"> early and accurate detection to enhance patient outcomes, reduce disease burden, and optimize treatment strategies</w:t>
      </w:r>
      <w:r w:rsidR="4400C97C" w:rsidRPr="00D22AA7">
        <w:rPr>
          <w:rFonts w:ascii="Times" w:hAnsi="Times" w:cs="Arial"/>
          <w:color w:val="000000" w:themeColor="text1"/>
        </w:rPr>
        <w:t xml:space="preserve"> </w:t>
      </w:r>
      <w:r w:rsidR="00D45672" w:rsidRPr="00D22AA7">
        <w:rPr>
          <w:rFonts w:ascii="Times" w:hAnsi="Times" w:cs="Arial"/>
          <w:color w:val="000000" w:themeColor="text1"/>
        </w:rPr>
        <w:fldChar w:fldCharType="begin"/>
      </w:r>
      <w:r w:rsidR="0056095D">
        <w:rPr>
          <w:rFonts w:ascii="Times" w:hAnsi="Times" w:cs="Arial"/>
          <w:color w:val="000000" w:themeColor="text1"/>
        </w:rPr>
        <w:instrText xml:space="preserve"> ADDIN ZOTERO_ITEM CSL_CITATION {"citationID":"2FnKhcTS","properties":{"formattedCitation":"[183]","plainCitation":"[183]","noteIndex":0},"citationItems":[{"id":16005,"uris":["http://zotero.org/users/9439317/items/5R98SPGH"],"itemData":{"id":16005,"type":"article-journal","abstract":"Context\nDue to high recurrence rates, intensive surveillance strategies, and expensive treatment costs, the management of bladder cancer contributes significantly to medical costs.\nObjective\nTo provide a concise evaluation of contemporary cost-related challenges in the care of patients with bladder cancer. An emphasis is placed on the initial diagnosis of bladder cancer and therapy considerations for both non–muscle-invasive bladder cancer (NMIBC) and more advanced disease.\nEvidence acquisition\nA systematic review of the literature was performed using Medline (1966 to February 2011). Medical Subject Headings (MeSH) terms for search criteria included “bladder cancer, neoplasms” OR “carcinoma, transitional cell” AND all cost-related MeSH search terms. Studies evaluating the costs associated with of various diagnostic or treatment approaches were reviewed.\nEvidence synthesis\nRoutine use of perioperative chemotherapy following complete transurethral resection of bladder tumor has been estimated to provide a cost savings. Routine office-based fulguration of small low-grade recurrences could decrease costs. Another potential important target for decreasing variation and cost lies in risk-modified surveillance strategies after initial bladder tumor removal to reduce the cost associated with frequent cystoscopic and radiographic procedures. Optimizing postoperative care after radical cystectomy has the potential to decrease length of stay and perioperative morbidity with substantial decreases in perioperative care expenses. The gemcitabine-cisplatin regimen has been estimated to result in a modest increase in cost effectiveness over methotrexate, vinblastine, doxorubicin, and cisplatin. Additional costs of therapies need to be balanced with effectiveness, and there are significant gaps in knowledge regarding optimal surveillance and treatment of both early and advanced bladder cancer.\nConclusions\nRegardless of disease severity, improvements in the efficiency of bladder cancer care to limit unnecessary interventions and optimize effective cancer treatment can reduce overall health care costs. Two scenarios where economic and comparative-effectiveness research is limited but would be most beneficial are (1) the management of NMIBC patients where excessive costs are due to vigilant surveillance strategies and (2) in patients with metastatic disease due to the enormous cost associated with late-stage and end-of-life care.","container-title":"European Urology","DOI":"10.1016/j.eururo.2014.01.006","ISSN":"0302-2838","issue":"2","journalAbbreviation":"European Urology","page":"253-262","title":"The Economics of Bladder Cancer: Costs and Considerations of Caring for This Disease","URL":"https://www.sciencedirect.com/science/article/pii/S0302283814000189","volume":"66","author":[{"family":"Svatek","given":"Robert S."},{"family":"Hollenbeck","given":"Brent K."},{"family":"Holmäng","given":"Sten"},{"family":"Lee","given":"Richard"},{"family":"Kim","given":"Simon P."},{"family":"Stenzl","given":"Arnulf"},{"family":"Lotan","given":"Yair"}],"issued":{"date-parts":[["2014",8,1]]}}}],"schema":"https://github.com/citation-style-language/schema/raw/master/csl-citation.json"} </w:instrText>
      </w:r>
      <w:r w:rsidR="00D45672" w:rsidRPr="00D22AA7">
        <w:rPr>
          <w:rFonts w:ascii="Times" w:hAnsi="Times" w:cs="Arial"/>
          <w:color w:val="000000" w:themeColor="text1"/>
        </w:rPr>
        <w:fldChar w:fldCharType="separate"/>
      </w:r>
      <w:r w:rsidR="0056095D">
        <w:rPr>
          <w:rFonts w:ascii="Times" w:hAnsi="Times" w:cs="Arial"/>
          <w:noProof/>
          <w:color w:val="000000" w:themeColor="text1"/>
        </w:rPr>
        <w:t>[183]</w:t>
      </w:r>
      <w:r w:rsidR="00D45672" w:rsidRPr="00D22AA7">
        <w:rPr>
          <w:rFonts w:ascii="Times" w:hAnsi="Times" w:cs="Arial"/>
          <w:color w:val="000000" w:themeColor="text1"/>
        </w:rPr>
        <w:fldChar w:fldCharType="end"/>
      </w:r>
      <w:r w:rsidR="66779EFB" w:rsidRPr="00D22AA7">
        <w:rPr>
          <w:rFonts w:ascii="Times" w:hAnsi="Times" w:cs="Arial"/>
          <w:color w:val="000000" w:themeColor="text1"/>
        </w:rPr>
        <w:t>. Over the past few decades, advancements in imaging technologies have significantly transformed the field of oncology, providing clinicians with improved methods for detecting, characterizing, and monitoring tumors. Multiparametric MRI (</w:t>
      </w:r>
      <w:proofErr w:type="spellStart"/>
      <w:r w:rsidR="66779EFB" w:rsidRPr="00D22AA7">
        <w:rPr>
          <w:rFonts w:ascii="Times" w:hAnsi="Times" w:cs="Arial"/>
          <w:color w:val="000000" w:themeColor="text1"/>
        </w:rPr>
        <w:t>mpMRI</w:t>
      </w:r>
      <w:proofErr w:type="spellEnd"/>
      <w:r w:rsidR="66779EFB" w:rsidRPr="00D22AA7">
        <w:rPr>
          <w:rFonts w:ascii="Times" w:hAnsi="Times" w:cs="Arial"/>
          <w:color w:val="000000" w:themeColor="text1"/>
        </w:rPr>
        <w:t xml:space="preserve">) has emerged as a critical imaging modality in the diagnosis and characterization of </w:t>
      </w:r>
      <w:proofErr w:type="spellStart"/>
      <w:r w:rsidR="66779EFB" w:rsidRPr="00D22AA7">
        <w:rPr>
          <w:rFonts w:ascii="Times" w:hAnsi="Times" w:cs="Arial"/>
          <w:color w:val="000000" w:themeColor="text1"/>
        </w:rPr>
        <w:t>PCa</w:t>
      </w:r>
      <w:proofErr w:type="spellEnd"/>
      <w:r w:rsidR="66779EFB" w:rsidRPr="00D22AA7">
        <w:rPr>
          <w:rFonts w:ascii="Times" w:hAnsi="Times" w:cs="Arial"/>
          <w:color w:val="000000" w:themeColor="text1"/>
        </w:rPr>
        <w:t>, as it integrates anatomical and functional imaging sequences to provide a more comprehensive evaluation of the prostate gland</w:t>
      </w:r>
      <w:r w:rsidR="4400C97C" w:rsidRPr="00D22AA7">
        <w:rPr>
          <w:rFonts w:ascii="Times" w:hAnsi="Times" w:cs="Arial"/>
          <w:color w:val="000000" w:themeColor="text1"/>
        </w:rPr>
        <w:t xml:space="preserve"> </w:t>
      </w:r>
      <w:r w:rsidR="00D45672" w:rsidRPr="00D22AA7">
        <w:rPr>
          <w:rFonts w:ascii="Times" w:hAnsi="Times" w:cs="Arial"/>
          <w:color w:val="000000" w:themeColor="text1"/>
        </w:rPr>
        <w:fldChar w:fldCharType="begin"/>
      </w:r>
      <w:r w:rsidR="0056095D">
        <w:rPr>
          <w:rFonts w:ascii="Times" w:hAnsi="Times" w:cs="Arial"/>
          <w:color w:val="000000" w:themeColor="text1"/>
        </w:rPr>
        <w:instrText xml:space="preserve"> ADDIN ZOTERO_ITEM CSL_CITATION {"citationID":"B5HydfOe","properties":{"formattedCitation":"[184]","plainCitation":"[184]","noteIndex":0},"citationItems":[{"id":16006,"uris":["http://zotero.org/users/9439317/items/ZHXL4PSP"],"itemData":{"id":16006,"type":"article-journal","container-title":"European urology","ISSN":"0302-2838","issue":"3","journalAbbreviation":"European urology","note":"publisher: Elsevier","page":"466-477","title":"Predicting recurrence and progression in individual patients with stage Ta T1 bladder cancer using EORTC risk tables: a combined analysis of 2596 patients from seven EORTC trials","volume":"49","author":[{"family":"Sylvester","given":"Richard J"},{"family":"Van Der Meijden","given":"Adrian PM"},{"family":"Oosterlinck","given":"Willem"},{"family":"Witjes","given":"J Alfred"},{"family":"Bouffioux","given":"Christian"},{"family":"Denis","given":"Louis"},{"family":"Newling","given":"Donald WW"},{"family":"Kurth","given":"Karlheinz"}],"issued":{"date-parts":[["2006"]]}}}],"schema":"https://github.com/citation-style-language/schema/raw/master/csl-citation.json"} </w:instrText>
      </w:r>
      <w:r w:rsidR="00D45672" w:rsidRPr="00D22AA7">
        <w:rPr>
          <w:rFonts w:ascii="Times" w:hAnsi="Times" w:cs="Arial"/>
          <w:color w:val="000000" w:themeColor="text1"/>
        </w:rPr>
        <w:fldChar w:fldCharType="separate"/>
      </w:r>
      <w:r w:rsidR="0056095D">
        <w:rPr>
          <w:rFonts w:ascii="Times" w:hAnsi="Times" w:cs="Arial"/>
          <w:noProof/>
          <w:color w:val="000000" w:themeColor="text1"/>
        </w:rPr>
        <w:t>[184]</w:t>
      </w:r>
      <w:r w:rsidR="00D45672" w:rsidRPr="00D22AA7">
        <w:rPr>
          <w:rFonts w:ascii="Times" w:hAnsi="Times" w:cs="Arial"/>
          <w:color w:val="000000" w:themeColor="text1"/>
        </w:rPr>
        <w:fldChar w:fldCharType="end"/>
      </w:r>
      <w:r w:rsidR="66779EFB" w:rsidRPr="00D22AA7">
        <w:rPr>
          <w:rFonts w:ascii="Times" w:hAnsi="Times" w:cs="Arial"/>
          <w:color w:val="000000" w:themeColor="text1"/>
        </w:rPr>
        <w:t xml:space="preserve">. Similarly, MRI has demonstrated substantial advantages in the staging of </w:t>
      </w:r>
      <w:proofErr w:type="spellStart"/>
      <w:r w:rsidR="66779EFB" w:rsidRPr="00D22AA7">
        <w:rPr>
          <w:rFonts w:ascii="Times" w:hAnsi="Times" w:cs="Arial"/>
          <w:color w:val="000000" w:themeColor="text1"/>
        </w:rPr>
        <w:t>BCa</w:t>
      </w:r>
      <w:proofErr w:type="spellEnd"/>
      <w:r w:rsidR="66779EFB" w:rsidRPr="00D22AA7">
        <w:rPr>
          <w:rFonts w:ascii="Times" w:hAnsi="Times" w:cs="Arial"/>
          <w:color w:val="000000" w:themeColor="text1"/>
        </w:rPr>
        <w:t>, particularly in local T staging, due to its superior soft tissue contrast resolution, which allows for more precise differentiation of tumor infiltration within the bladder wall and surrounding structures</w:t>
      </w:r>
      <w:r w:rsidR="1FD4B837" w:rsidRPr="00D22AA7">
        <w:rPr>
          <w:rFonts w:ascii="Times" w:hAnsi="Times" w:cs="Arial"/>
          <w:color w:val="000000" w:themeColor="text1"/>
        </w:rPr>
        <w:t xml:space="preserve"> </w:t>
      </w:r>
      <w:r w:rsidR="00D45672" w:rsidRPr="00D22AA7">
        <w:rPr>
          <w:rFonts w:ascii="Times" w:hAnsi="Times" w:cs="Arial"/>
          <w:color w:val="000000" w:themeColor="text1"/>
        </w:rPr>
        <w:fldChar w:fldCharType="begin"/>
      </w:r>
      <w:r w:rsidR="0056095D">
        <w:rPr>
          <w:rFonts w:ascii="Times" w:hAnsi="Times" w:cs="Arial"/>
          <w:color w:val="000000" w:themeColor="text1"/>
        </w:rPr>
        <w:instrText xml:space="preserve"> ADDIN ZOTERO_ITEM CSL_CITATION {"citationID":"k2dQgUkx","properties":{"formattedCitation":"[185,186]","plainCitation":"[185,186]","noteIndex":0},"citationItems":[{"id":16000,"uris":["http://zotero.org/users/9439317/items/HB7I2AWJ"],"itemData":{"id":16000,"type":"article-journal","abstract":"Prostate cancer is the second most common cancer in men worldwide. The clinical behaviour of prostate cancer ranges from low-grade indolent tumours that never develop into clinically significant disease to aggressive, invasive tumours that may progress rapidly to metastatic disease and death. Therefore, there is an urgent clinical need to detect high-grade cancers and to differentiate them from the indolent, slow-growing tumours. Conventional methods of cancer detection—such as levels of prostate-specific antigen (PSA) in serum, digital rectal examination, and random biopsies—are limited in their sensitivity, specificity, or both. The combination of conventional anatomical MRI and functional magnet resonance sequences—known as multiparametric MRI (mp-MRI)—is emerging as an accurate tool for identifying clinically relevant tumours owing to its ability to localize them. In this Review, we discuss the value of mpMRI in localized and metastatic prostate cancer, highlighting its role in the detection, staging, and treatment planning of prostate cancer.","container-title":"Nature Reviews Clinical Oncology","DOI":"10.1038/nrclinonc.2014.69","ISSN":"1759-4774, 1759-4782","issue":"6","journalAbbreviation":"Nat Rev Clin Oncol","language":"en","page":"346-353","source":"DOI.org (Crossref)","title":"Multiparametric MRI in prostate cancer management","URL":"https://www.nature.com/articles/nrclinonc.2014.69","volume":"11","author":[{"family":"Johnson","given":"Linda M."},{"family":"Turkbey","given":"Baris"},{"family":"Figg","given":"William D."},{"family":"Choyke","given":"Peter L."}],"accessed":{"date-parts":[["2025",2,14]]},"issued":{"date-parts":[["2014",6]]}}},{"id":16007,"uris":["http://zotero.org/users/9439317/items/BA65IT6S"],"itemData":{"id":16007,"type":"article-journal","container-title":"European urology","ISSN":"0302-2838","issue":"1","journalAbbreviation":"European urology","note":"publisher: Elsevier","page":"93-105","title":"The 2016 WHO classification of tumours of the urinary system and male genital organs—part A: renal, penile, and testicular tumours","volume":"70","author":[{"family":"Moch","given":"Holger"},{"family":"Cubilla","given":"Antonio L"},{"family":"Humphrey","given":"Peter A"},{"family":"Reuter","given":"Victor E"},{"family":"Ulbright","given":"Thomas M"}],"issued":{"date-parts":[["2016"]]}}}],"schema":"https://github.com/citation-style-language/schema/raw/master/csl-citation.json"} </w:instrText>
      </w:r>
      <w:r w:rsidR="00D45672" w:rsidRPr="00D22AA7">
        <w:rPr>
          <w:rFonts w:ascii="Times" w:hAnsi="Times" w:cs="Arial"/>
          <w:color w:val="000000" w:themeColor="text1"/>
        </w:rPr>
        <w:fldChar w:fldCharType="separate"/>
      </w:r>
      <w:r w:rsidR="0056095D">
        <w:rPr>
          <w:rFonts w:ascii="Times" w:hAnsi="Times" w:cs="Arial"/>
          <w:noProof/>
          <w:color w:val="000000" w:themeColor="text1"/>
        </w:rPr>
        <w:t>[185,186]</w:t>
      </w:r>
      <w:r w:rsidR="00D45672" w:rsidRPr="00D22AA7">
        <w:rPr>
          <w:rFonts w:ascii="Times" w:hAnsi="Times" w:cs="Arial"/>
          <w:color w:val="000000" w:themeColor="text1"/>
        </w:rPr>
        <w:fldChar w:fldCharType="end"/>
      </w:r>
      <w:r w:rsidR="66779EFB" w:rsidRPr="00D22AA7">
        <w:rPr>
          <w:rFonts w:ascii="Times" w:hAnsi="Times" w:cs="Arial"/>
          <w:color w:val="000000" w:themeColor="text1"/>
        </w:rPr>
        <w:t>.</w:t>
      </w:r>
    </w:p>
    <w:p w14:paraId="7042C9FE" w14:textId="177A820F" w:rsidR="00386CA0" w:rsidRPr="00D22AA7" w:rsidRDefault="09EEFB43" w:rsidP="00D34773">
      <w:pPr>
        <w:pStyle w:val="BodyText"/>
        <w:jc w:val="both"/>
        <w:rPr>
          <w:rFonts w:ascii="Times" w:hAnsi="Times"/>
          <w:color w:val="242424"/>
        </w:rPr>
      </w:pPr>
      <w:r w:rsidRPr="00D22AA7">
        <w:rPr>
          <w:rFonts w:ascii="Times" w:hAnsi="Times"/>
        </w:rPr>
        <w:t>Multiparametric MRI (</w:t>
      </w:r>
      <w:proofErr w:type="spellStart"/>
      <w:r w:rsidRPr="00D22AA7">
        <w:rPr>
          <w:rFonts w:ascii="Times" w:hAnsi="Times"/>
        </w:rPr>
        <w:t>mpMRI</w:t>
      </w:r>
      <w:proofErr w:type="spellEnd"/>
      <w:r w:rsidRPr="00D22AA7">
        <w:rPr>
          <w:rFonts w:ascii="Times" w:hAnsi="Times"/>
        </w:rPr>
        <w:t>) has proven to be an extremely effective tool for detecting prostate cancer (</w:t>
      </w:r>
      <w:proofErr w:type="spellStart"/>
      <w:r w:rsidRPr="00D22AA7">
        <w:rPr>
          <w:rFonts w:ascii="Times" w:hAnsi="Times"/>
        </w:rPr>
        <w:t>PCa</w:t>
      </w:r>
      <w:proofErr w:type="spellEnd"/>
      <w:r w:rsidRPr="00D22AA7">
        <w:rPr>
          <w:rFonts w:ascii="Times" w:hAnsi="Times"/>
        </w:rPr>
        <w:t>)</w:t>
      </w:r>
      <w:r w:rsidR="074FBF04" w:rsidRPr="00D22AA7">
        <w:rPr>
          <w:rFonts w:ascii="Times" w:hAnsi="Times"/>
        </w:rPr>
        <w:t xml:space="preserve">. </w:t>
      </w:r>
      <w:r w:rsidRPr="00D22AA7">
        <w:rPr>
          <w:rFonts w:ascii="Times" w:hAnsi="Times"/>
        </w:rPr>
        <w:t xml:space="preserve">To standardize the interpretation of MRI results, the Prostate Imaging Reporting and Data System (PI-RADS) Version 2 was developed. T. By providing a consistent and reliable method for assessing </w:t>
      </w:r>
      <w:proofErr w:type="spellStart"/>
      <w:r w:rsidRPr="00D22AA7">
        <w:rPr>
          <w:rFonts w:ascii="Times" w:hAnsi="Times"/>
        </w:rPr>
        <w:t>PCa</w:t>
      </w:r>
      <w:proofErr w:type="spellEnd"/>
      <w:r w:rsidRPr="00D22AA7">
        <w:rPr>
          <w:rFonts w:ascii="Times" w:hAnsi="Times"/>
        </w:rPr>
        <w:t xml:space="preserve"> on MRI, PI-RADS enhances diagnostic accuracy, aiding in more informed clinical decision-making.</w:t>
      </w:r>
      <w:r w:rsidRPr="00D22AA7">
        <w:rPr>
          <w:rFonts w:ascii="Times" w:hAnsi="Times"/>
          <w:color w:val="242424"/>
        </w:rPr>
        <w:t xml:space="preserve"> </w:t>
      </w:r>
      <w:r w:rsidR="66779EFB" w:rsidRPr="00D22AA7">
        <w:rPr>
          <w:rFonts w:ascii="Times" w:hAnsi="Times"/>
          <w:color w:val="242424"/>
        </w:rPr>
        <w:t xml:space="preserve">With the continuous increase in imaging data volume per patient, the need for sophisticated computational methods to process and analyze these images has grown exponentially. One of the most promising approaches in this regard is radiomics, an innovative field that applies advanced data-characterization algorithms to extract and analyze vast amounts of quantitative features from radiographic medical images. Radiomics has demonstrated remarkable potential in improving diagnostic accuracy, prognostic assessment, and predictive modeling across multiple cancer types, including both </w:t>
      </w:r>
      <w:proofErr w:type="spellStart"/>
      <w:r w:rsidR="66779EFB" w:rsidRPr="00D22AA7">
        <w:rPr>
          <w:rFonts w:ascii="Times" w:hAnsi="Times"/>
          <w:color w:val="242424"/>
        </w:rPr>
        <w:t>PCa</w:t>
      </w:r>
      <w:proofErr w:type="spellEnd"/>
      <w:r w:rsidR="66779EFB" w:rsidRPr="00D22AA7">
        <w:rPr>
          <w:rFonts w:ascii="Times" w:hAnsi="Times"/>
          <w:color w:val="242424"/>
        </w:rPr>
        <w:t xml:space="preserve"> and </w:t>
      </w:r>
      <w:proofErr w:type="spellStart"/>
      <w:r w:rsidR="66779EFB" w:rsidRPr="00D22AA7">
        <w:rPr>
          <w:rFonts w:ascii="Times" w:hAnsi="Times"/>
          <w:color w:val="242424"/>
        </w:rPr>
        <w:t>BCa</w:t>
      </w:r>
      <w:proofErr w:type="spellEnd"/>
      <w:r w:rsidR="1FD4B837" w:rsidRPr="00D22AA7">
        <w:rPr>
          <w:rFonts w:ascii="Times" w:hAnsi="Times"/>
          <w:color w:val="242424"/>
        </w:rPr>
        <w:t xml:space="preserve"> </w:t>
      </w:r>
      <w:r w:rsidR="00D45672" w:rsidRPr="00D22AA7">
        <w:rPr>
          <w:rFonts w:ascii="Times" w:hAnsi="Times"/>
          <w:color w:val="242424"/>
        </w:rPr>
        <w:fldChar w:fldCharType="begin"/>
      </w:r>
      <w:r w:rsidR="0056095D">
        <w:rPr>
          <w:rFonts w:ascii="Times" w:hAnsi="Times"/>
          <w:color w:val="242424"/>
        </w:rPr>
        <w:instrText xml:space="preserve"> ADDIN ZOTERO_ITEM CSL_CITATION {"citationID":"uwRVocB3","properties":{"formattedCitation":"[8,185,187]","plainCitation":"[8,185,187]","noteIndex":0},"citationItems":[{"id":16000,"uris":["http://zotero.org/users/9439317/items/HB7I2AWJ"],"itemData":{"id":16000,"type":"article-journal","abstract":"Prostate cancer is the second most common cancer in men worldwide. The clinical behaviour of prostate cancer ranges from low-grade indolent tumours that never develop into clinically significant disease to aggressive, invasive tumours that may progress rapidly to metastatic disease and death. Therefore, there is an urgent clinical need to detect high-grade cancers and to differentiate them from the indolent, slow-growing tumours. Conventional methods of cancer detection—such as levels of prostate-specific antigen (PSA) in serum, digital rectal examination, and random biopsies—are limited in their sensitivity, specificity, or both. The combination of conventional anatomical MRI and functional magnet resonance sequences—known as multiparametric MRI (mp-MRI)—is emerging as an accurate tool for identifying clinically relevant tumours owing to its ability to localize them. In this Review, we discuss the value of mpMRI in localized and metastatic prostate cancer, highlighting its role in the detection, staging, and treatment planning of prostate cancer.","container-title":"Nature Reviews Clinical Oncology","DOI":"10.1038/nrclinonc.2014.69","ISSN":"1759-4774, 1759-4782","issue":"6","journalAbbreviation":"Nat Rev Clin Oncol","language":"en","page":"346-353","source":"DOI.org (Crossref)","title":"Multiparametric MRI in prostate cancer management","URL":"https://www.nature.com/articles/nrclinonc.2014.69","volume":"11","author":[{"family":"Johnson","given":"Linda M."},{"family":"Turkbey","given":"Baris"},{"family":"Figg","given":"William D."},{"family":"Choyke","given":"Peter L."}],"accessed":{"date-parts":[["2025",2,14]]},"issued":{"date-parts":[["2014",6]]}}},{"id":16001,"uris":["http://zotero.org/users/9439317/items/RQ7YHBLN"],"itemData":{"id":16001,"type":"article-journal","abstract":"Background The diagnosis of prostate cancer has long been plagued by the absence of an imaging tool that reliably detects and localises significant tumours. Recent evidence suggests that multi-parametric MRI could improve the accuracy of diagnostic assessment in prostate cancer. This review serves as a background to a recent USANZ position statement. It aims to provide an overview of MRI techniques and to critically review the published literature on the clinical application of MRI in prostate cancer. Technical Aspects The combination of anatomical (T2-weighted) MRI with at least two of the three functional MRI parameters ? which include diffusion-weighted imaging, dynamic contrast-enhanced imaging and spectroscopy ? will detect greater than 90% of significant (moderate to high risk) tumours; however MRI is less reliable at detecting tumours that are small (&lt;0.5?cc), low grade (Gleason score 6) or in the transitional zone. The higher anatomical resolution provided by 3-Tesla magnets and endorectal coils may improve the accuracy, particularly in primary tumour staging. Screening The use of mpMRI to determine which men with an elevated PSA should undergo biopsy is currently the subject of two large clinical trials in Australia. MRI should be used with caution in this setting and then only in centres with established uro-radiological expertise and quality control mechanisms in place. There is sufficient evidence to justify using MRI to determine the need for repeat biopsy and to guide areas in which to focus repeat biopsy. Image-Directed Biopsy MRI-directed biopsy is an exciting concept supported by promising early results, but none of the three proposed techniques have so far been proven superior to standard biopsy protocols. Further evidence of superior accuracy and core-efficiency over standard biopsy is required, before their costs and complexities in use can be justified. Treatment Selection and Planning When used for primary-tumour staging (T-staging), MRI has limited sensitivity for T3 disease, but its specificity of greater than 95% may be useful in men with intermediate-high risk disease to identify those with advanced T3 disease not suitable for nerve sparing or for surgery at all. MRI appears to be of value in planning dosimetry in men undergoing radiotherapy, and in guiding selection for and monitoring on active surveillance.","container-title":"BJU International","DOI":"10.1111/bju.12381","ISSN":"1464-4096","issue":"S2","journalAbbreviation":"BJU International","note":"publisher: John Wiley &amp; Sons, Ltd","page":"6-20","title":"The role of magnetic resonance imaging in the diagnosis and management of prostate cancer","URL":"https://doi.org/10.1111/bju.12381","volume":"112","author":[{"family":"Thompson","given":"James"},{"family":"Lawrentschuk","given":"Nathan"},{"family":"Frydenberg","given":"Mark"},{"family":"Thompson","given":"Les"},{"family":"Stricker","given":"Phillip"},{"literal":"USANZ"}],"accessed":{"date-parts":[["2025",2,14]]},"issued":{"date-parts":[["2013",11,1]]}}},{"id":5812,"uris":["http://zotero.org/users/9439317/items/H88HPF8J"],"itemData":{"id":5812,"type":"paper-conference","abstract":"Aim of this study was to evaluate the performance of MRI radiomics analysis in distinguishing low-grade (LG) versus high-grade (HG) bladder lesions and non-muscle-invasive bladder cancer (NMIBC) versus muscle-invasive bladder cancer (MIBC). We proposed a computational statistical analysis model that is standardized and reproducible, and identified predictive and prognostic models to facilitate the process of making medical decisions. Sixteen patients with bladder lesions and preoperative mpMRI were included for a total of 35 bladder lesions. Lesions were manually segmented from T2-weighted sequences. PyRadiomics software was used to extract radiomics features and a total of 120 radiomics features were obtained from each lesions. An operator-independent statistical system was adopted for the selection and reduction of the characteristics, while discriminant analysis was used for the construction of the predictive model. The performance in the discrimination between LG and HG lesions, with an AUROC of 0.84 (95% C.I. between 0.71 and 0.98), sensitivity of 65.6%, specificity of 81.5%, with p</w:instrText>
      </w:r>
      <w:r w:rsidR="0056095D">
        <w:rPr>
          <w:color w:val="242424"/>
        </w:rPr>
        <w:instrText> </w:instrText>
      </w:r>
      <w:r w:rsidR="0056095D">
        <w:rPr>
          <w:rFonts w:ascii="Times" w:hAnsi="Times"/>
          <w:color w:val="242424"/>
        </w:rPr>
        <w:instrText>&lt;</w:instrText>
      </w:r>
      <w:r w:rsidR="0056095D">
        <w:rPr>
          <w:color w:val="242424"/>
        </w:rPr>
        <w:instrText> </w:instrText>
      </w:r>
      <w:r w:rsidR="0056095D">
        <w:rPr>
          <w:rFonts w:ascii="Times" w:hAnsi="Times"/>
          <w:color w:val="242424"/>
        </w:rPr>
        <w:instrText xml:space="preserve">0.001. The performance in the discrimination between NMIBC and MIBC, with an AUROC of 0.7 (95% C.I. between 0.11 and 1), sensitivity of 100%, specificity of 86.7%, with p-value of 0.0031. Our results demonstrate the valuable contribution of radiomics analysis in improving the characterization and differentiation of bladder lesions, both in terms of differentiating LG from HG lesions and discriminating NMIBC from MIBC.","container-title":"Image Analysis and Processing - ICIAP 2023 Workshops","event-place":"Cham","ISBN":"978-3-031-51026-7","page":"93-103","publisher":"Springer Nature Switzerland","publisher-place":"Cham","title":"Grading and Staging of Bladder Tumors Using Radiomics Analysis in Magnetic Resonance Imaging","author":[{"family":"Benfante","given":"Viviana"},{"family":"Salvaggio","given":"Giuseppe"},{"family":"Ali","given":"Muhammad"},{"family":"Cutaia","given":"Giuseppe"},{"family":"Salvaggio","given":"Leonardo"},{"family":"Salerno","given":"Sergio"},{"family":"Busè","given":"Gabriele"},{"family":"Tulone","given":"Gabriele"},{"family":"Pavan","given":"Nicola"},{"family":"Di Raimondo","given":"Domenico"},{"family":"Tuttolomondo","given":"Antonino"},{"family":"Simonato","given":"Alchiede"},{"family":"Comelli","given":"Albert"}],"editor":[{"family":"Foresti","given":"Gian Luca"},{"family":"Fusiello","given":"Andrea"},{"family":"Hancock","given":"Edwin"}],"issued":{"date-parts":[["2024"]]}}}],"schema":"https://github.com/citation-style-language/schema/raw/master/csl-citation.json"} </w:instrText>
      </w:r>
      <w:r w:rsidR="00D45672" w:rsidRPr="00D22AA7">
        <w:rPr>
          <w:rFonts w:ascii="Times" w:hAnsi="Times"/>
          <w:color w:val="242424"/>
        </w:rPr>
        <w:fldChar w:fldCharType="separate"/>
      </w:r>
      <w:r w:rsidR="0056095D">
        <w:rPr>
          <w:rFonts w:ascii="Times" w:hAnsi="Times"/>
          <w:noProof/>
          <w:color w:val="242424"/>
        </w:rPr>
        <w:t>[8,185,187]</w:t>
      </w:r>
      <w:r w:rsidR="00D45672" w:rsidRPr="00D22AA7">
        <w:rPr>
          <w:rFonts w:ascii="Times" w:hAnsi="Times"/>
          <w:color w:val="242424"/>
        </w:rPr>
        <w:fldChar w:fldCharType="end"/>
      </w:r>
      <w:r w:rsidR="66779EFB" w:rsidRPr="00D22AA7">
        <w:rPr>
          <w:rFonts w:ascii="Times" w:hAnsi="Times"/>
          <w:color w:val="242424"/>
        </w:rPr>
        <w:t>.</w:t>
      </w:r>
    </w:p>
    <w:p w14:paraId="4D4BFF99" w14:textId="1BCD4177" w:rsidR="00386CA0" w:rsidRPr="00D22AA7" w:rsidRDefault="66779EFB" w:rsidP="00D34773">
      <w:pPr>
        <w:pStyle w:val="BodyText"/>
        <w:jc w:val="both"/>
        <w:rPr>
          <w:rFonts w:ascii="Times" w:hAnsi="Times"/>
          <w:color w:val="242424"/>
        </w:rPr>
      </w:pPr>
      <w:r w:rsidRPr="00D22AA7">
        <w:rPr>
          <w:rFonts w:ascii="Times" w:hAnsi="Times"/>
          <w:color w:val="242424"/>
        </w:rPr>
        <w:t xml:space="preserve">The core principle of radiomics </w:t>
      </w:r>
      <w:r w:rsidR="00B1296B">
        <w:rPr>
          <w:rFonts w:ascii="Times" w:hAnsi="Times"/>
          <w:color w:val="242424"/>
        </w:rPr>
        <w:t>relies</w:t>
      </w:r>
      <w:r w:rsidRPr="00D22AA7">
        <w:rPr>
          <w:rFonts w:ascii="Times" w:hAnsi="Times"/>
          <w:color w:val="242424"/>
        </w:rPr>
        <w:t xml:space="preserve"> in its ability to convert standard medical images into high-dimensional, mineable data that can reveal intricate tumor characteristics and patterns that may be </w:t>
      </w:r>
      <w:r w:rsidR="00B1296B">
        <w:rPr>
          <w:rFonts w:ascii="Times" w:hAnsi="Times"/>
          <w:color w:val="242424"/>
        </w:rPr>
        <w:t>unobservable</w:t>
      </w:r>
      <w:r w:rsidRPr="00D22AA7">
        <w:rPr>
          <w:rFonts w:ascii="Times" w:hAnsi="Times"/>
          <w:color w:val="242424"/>
        </w:rPr>
        <w:t xml:space="preserve"> to the human eye. In the context of </w:t>
      </w:r>
      <w:proofErr w:type="spellStart"/>
      <w:r w:rsidRPr="00D22AA7">
        <w:rPr>
          <w:rFonts w:ascii="Times" w:hAnsi="Times"/>
          <w:color w:val="242424"/>
        </w:rPr>
        <w:t>PCa</w:t>
      </w:r>
      <w:proofErr w:type="spellEnd"/>
      <w:r w:rsidRPr="00D22AA7">
        <w:rPr>
          <w:rFonts w:ascii="Times" w:hAnsi="Times"/>
          <w:color w:val="242424"/>
        </w:rPr>
        <w:t>, radiomics-driven analysis of MR</w:t>
      </w:r>
      <w:r w:rsidR="5B6AB721" w:rsidRPr="00D22AA7">
        <w:rPr>
          <w:rFonts w:ascii="Times" w:hAnsi="Times"/>
          <w:color w:val="242424"/>
        </w:rPr>
        <w:t>I</w:t>
      </w:r>
      <w:r w:rsidRPr="00D22AA7">
        <w:rPr>
          <w:rFonts w:ascii="Times" w:hAnsi="Times"/>
          <w:color w:val="242424"/>
        </w:rPr>
        <w:t xml:space="preserve"> has gained </w:t>
      </w:r>
      <w:r w:rsidR="00B1296B">
        <w:rPr>
          <w:rFonts w:ascii="Times" w:hAnsi="Times"/>
          <w:color w:val="242424"/>
        </w:rPr>
        <w:t xml:space="preserve">significance attention due </w:t>
      </w:r>
      <w:proofErr w:type="gramStart"/>
      <w:r w:rsidR="00B1296B">
        <w:rPr>
          <w:rFonts w:ascii="Times" w:hAnsi="Times"/>
          <w:color w:val="242424"/>
        </w:rPr>
        <w:t xml:space="preserve">to </w:t>
      </w:r>
      <w:r w:rsidRPr="00D22AA7">
        <w:rPr>
          <w:rFonts w:ascii="Times" w:hAnsi="Times"/>
          <w:color w:val="242424"/>
        </w:rPr>
        <w:t xml:space="preserve"> non</w:t>
      </w:r>
      <w:proofErr w:type="gramEnd"/>
      <w:r w:rsidRPr="00D22AA7">
        <w:rPr>
          <w:rFonts w:ascii="Times" w:hAnsi="Times"/>
          <w:color w:val="242424"/>
        </w:rPr>
        <w:t xml:space="preserve">-invasive technique for enhancing diagnostic precision and distinguishing between benign and malignant prostate tissues. Through the extraction of detailed imaging biomarkers, radiomics can provide additional insights into tumor heterogeneity, aggressiveness, and potential treatment response, thereby refining clinical decision-making processes. Similarly, in </w:t>
      </w:r>
      <w:proofErr w:type="spellStart"/>
      <w:r w:rsidRPr="00D22AA7">
        <w:rPr>
          <w:rFonts w:ascii="Times" w:hAnsi="Times"/>
          <w:color w:val="242424"/>
        </w:rPr>
        <w:t>BCa</w:t>
      </w:r>
      <w:proofErr w:type="spellEnd"/>
      <w:r w:rsidRPr="00D22AA7">
        <w:rPr>
          <w:rFonts w:ascii="Times" w:hAnsi="Times"/>
          <w:color w:val="242424"/>
        </w:rPr>
        <w:t xml:space="preserve">, radiomics has been extensively investigated for its ability to </w:t>
      </w:r>
      <w:proofErr w:type="gramStart"/>
      <w:r w:rsidR="00B85298">
        <w:rPr>
          <w:rFonts w:ascii="Times" w:hAnsi="Times"/>
          <w:color w:val="242424"/>
        </w:rPr>
        <w:t xml:space="preserve">support </w:t>
      </w:r>
      <w:r w:rsidRPr="00D22AA7">
        <w:rPr>
          <w:rFonts w:ascii="Times" w:hAnsi="Times"/>
          <w:color w:val="242424"/>
        </w:rPr>
        <w:t xml:space="preserve"> </w:t>
      </w:r>
      <w:r w:rsidRPr="00D22AA7">
        <w:rPr>
          <w:rFonts w:ascii="Times" w:hAnsi="Times"/>
          <w:color w:val="242424"/>
        </w:rPr>
        <w:lastRenderedPageBreak/>
        <w:t>differential</w:t>
      </w:r>
      <w:proofErr w:type="gramEnd"/>
      <w:r w:rsidRPr="00D22AA7">
        <w:rPr>
          <w:rFonts w:ascii="Times" w:hAnsi="Times"/>
          <w:color w:val="242424"/>
        </w:rPr>
        <w:t xml:space="preserve"> diagnosis, assess tumor aggressiveness, and predict patient responses to therapy. MRI-based radiomics has demonstrated particular value in differentiating between low-grade (LG) and high-grade (HG) bladder lesions, distinguishing  non-muscle-invasive bladder cancer (NMIBC) and muscle-invasive bladder cancer (MIBC)</w:t>
      </w:r>
      <w:r w:rsidR="4400C97C" w:rsidRPr="00D22AA7">
        <w:rPr>
          <w:rFonts w:ascii="Times" w:hAnsi="Times"/>
          <w:color w:val="242424"/>
        </w:rPr>
        <w:t xml:space="preserve"> </w:t>
      </w:r>
      <w:r w:rsidR="00D45672" w:rsidRPr="00D22AA7">
        <w:rPr>
          <w:rFonts w:ascii="Times" w:hAnsi="Times"/>
          <w:color w:val="242424"/>
        </w:rPr>
        <w:fldChar w:fldCharType="begin"/>
      </w:r>
      <w:r w:rsidR="0056095D">
        <w:rPr>
          <w:rFonts w:ascii="Times" w:hAnsi="Times"/>
          <w:color w:val="242424"/>
        </w:rPr>
        <w:instrText xml:space="preserve"> ADDIN ZOTERO_ITEM CSL_CITATION {"citationID":"i1OxYCN7","properties":{"formattedCitation":"[183,186,188,189]","plainCitation":"[183,186,188,189]","noteIndex":0},"citationItems":[{"id":16005,"uris":["http://zotero.org/users/9439317/items/5R98SPGH"],"itemData":{"id":16005,"type":"article-journal","abstract":"Context\nDue to high recurrence rates, intensive surveillance strategies, and expensive treatment costs, the management of bladder cancer contributes significantly to medical costs.\nObjective\nTo provide a concise evaluation of contemporary cost-related challenges in the care of patients with bladder cancer. An emphasis is placed on the initial diagnosis of bladder cancer and therapy considerations for both non–muscle-invasive bladder cancer (NMIBC) and more advanced disease.\nEvidence acquisition\nA systematic review of the literature was performed using Medline (1966 to February 2011). Medical Subject Headings (MeSH) terms for search criteria included “bladder cancer, neoplasms” OR “carcinoma, transitional cell” AND all cost-related MeSH search terms. Studies evaluating the costs associated with of various diagnostic or treatment approaches were reviewed.\nEvidence synthesis\nRoutine use of perioperative chemotherapy following complete transurethral resection of bladder tumor has been estimated to provide a cost savings. Routine office-based fulguration of small low-grade recurrences could decrease costs. Another potential important target for decreasing variation and cost lies in risk-modified surveillance strategies after initial bladder tumor removal to reduce the cost associated with frequent cystoscopic and radiographic procedures. Optimizing postoperative care after radical cystectomy has the potential to decrease length of stay and perioperative morbidity with substantial decreases in perioperative care expenses. The gemcitabine-cisplatin regimen has been estimated to result in a modest increase in cost effectiveness over methotrexate, vinblastine, doxorubicin, and cisplatin. Additional costs of therapies need to be balanced with effectiveness, and there are significant gaps in knowledge regarding optimal surveillance and treatment of both early and advanced bladder cancer.\nConclusions\nRegardless of disease severity, improvements in the efficiency of bladder cancer care to limit unnecessary interventions and optimize effective cancer treatment can reduce overall health care costs. Two scenarios where economic and comparative-effectiveness research is limited but would be most beneficial are (1) the management of NMIBC patients where excessive costs are due to vigilant surveillance strategies and (2) in patients with metastatic disease due to the enormous cost associated with late-stage and end-of-life care.","container-title":"European Urology","DOI":"10.1016/j.eururo.2014.01.006","ISSN":"0302-2838","issue":"2","journalAbbreviation":"European Urology","page":"253-262","title":"The Economics of Bladder Cancer: Costs and Considerations of Caring for This Disease","URL":"https://www.sciencedirect.com/science/article/pii/S0302283814000189","volume":"66","author":[{"family":"Svatek","given":"Robert S."},{"family":"Hollenbeck","given":"Brent K."},{"family":"Holmäng","given":"Sten"},{"family":"Lee","given":"Richard"},{"family":"Kim","given":"Simon P."},{"family":"Stenzl","given":"Arnulf"},{"family":"Lotan","given":"Yair"}],"issued":{"date-parts":[["2014",8,1]]}}},{"id":16007,"uris":["http://zotero.org/users/9439317/items/BA65IT6S"],"itemData":{"id":16007,"type":"article-journal","container-title":"European urology","ISSN":"0302-2838","issue":"1","journalAbbreviation":"European urology","note":"publisher: Elsevier","page":"93-105","title":"The 2016 WHO classification of tumours of the urinary system and male genital organs—part A: renal, penile, and testicular tumours","volume":"70","author":[{"family":"Moch","given":"Holger"},{"family":"Cubilla","given":"Antonio L"},{"family":"Humphrey","given":"Peter A"},{"family":"Reuter","given":"Victor E"},{"family":"Ulbright","given":"Thomas M"}],"issued":{"date-parts":[["2016"]]}}},{"id":16002,"uris":["http://zotero.org/users/9439317/items/I68H4YMN"],"itemData":{"id":16002,"type":"article-journal","abstract":"Multiparametric prostate magnetic resonance imaging (mpMRI) is widely used as a triage test for men at a risk of prostate cancer. However, the traditional role of mpMRI was confined to prostate cancer staging. Radiomics is the quantitative extraction and analysis of minable data from medical images; it is emerging as a promising tool to detect and categorize prostate lesions. In this paper we review the role of radiomics applied to prostate mpMRI in detection and localization of prostate cancer, prediction of Gleason score and PI-RADS classification, prediction of extracapsular extension and of biochemical recurrence. We also provide a future perspective of artificial intelligence (machine learning and deep learning) applied to the field of prostate cancer.","container-title":"Journal of Imaging","DOI":"10.3390/jimaging7020034","ISSN":"2313-433X","issue":"2","title":"Radiomics and Prostate MRI: Current Role and Future Applications","volume":"7","author":[{"family":"Cutaia","given":"Giuseppe"},{"family":"La Tona","given":"Giuseppe"},{"family":"Comelli","given":"Albert"},{"family":"Vernuccio","given":"Federica"},{"family":"Agnello","given":"Francesco"},{"family":"Gagliardo","given":"Cesare"},{"family":"Salvaggio","given":"Leonardo"},{"family":"Quartuccio","given":"Natale"},{"family":"Sturiale","given":"Letterio"},{"family":"Stefano","given":"Alessandro"},{"family":"Calamia","given":"Mauro"},{"family":"Arnone","given":"Gaspare"},{"family":"Midiri","given":"Massimo"},{"family":"Salvaggio","given":"Giuseppe"}],"issued":{"date-parts":[["2021"]]}}},{"id":16003,"uris":["http://zotero.org/users/9439317/items/6PW9L8NQ"],"itemData":{"id":16003,"type":"article-journal","abstract":"Radiomics holds great promise in the field of cancer management. However, the clinical application of radiomics has been hampered by uncertainty about the robustness of the features extracted from the images. Previous studies have reported that radiomics features are sensitive to changes in voxel size resampling and interpolation, image perturbation, or slice thickness. This study aims to observe the variability of positron emission tomography (PET) radiomics features under the impact of co-registration with magnetic resonance imaging (MRI) using the difference percentage coefficient, and the Spearman’s correlation coefficient for three groups of images: (i) original PET, (ii) PET after co-registration with T1-weighted MRI and (iii) PET after co-registration with FLAIR MRI. Specifically, seventeen patients with brain cancers undergoing [11C]-Methionine PET were considered. Successively, PET images were co-registered with MRI sequences and 107 features were extracted for each mentioned group of images. The variability analysis revealed that shape features, first-order features and two subgroups of higher-order features possessed a good robustness, unlike the remaining groups of features, which showed large differences in the difference percentage coefficient. Furthermore, using the Spearman’s correlation coefficient, approximately 40% of the selected features differed from the three mentioned groups of images. This is an important consideration for users conducting radiomics studies with image co-registration constraints to avoid errors in cancer diagnosis, prognosis, and clinical outcome prediction.","container-title":"Applied Sciences","DOI":"10.3390/app112110170","ISSN":"2076-3417","issue":"21","title":"Robustness of PET Radiomics Features: Impact of Co-Registration with MRI","volume":"11","author":[{"family":"Stefano","given":"Alessandro"},{"family":"Leal","given":"Antonio"},{"family":"Richiusa","given":"Selene"},{"family":"Trang","given":"Phan"},{"family":"Comelli","given":"Albert"},{"family":"Benfante","given":"Viviana"},{"family":"Cosentino","given":"Sebastiano"},{"family":"Sabini","given":"Maria G."},{"family":"Tuttolomondo","given":"Antonino"},{"family":"Altieri","given":"Roberto"},{"family":"Certo","given":"Francesco"},{"family":"Barbagallo","given":"Giuseppe M."},{"family":"Ippolito","given":"Massimo"},{"family":"Russo","given":"Giorgio"}],"issued":{"date-parts":[["2021"]]}}}],"schema":"https://github.com/citation-style-language/schema/raw/master/csl-citation.json"} </w:instrText>
      </w:r>
      <w:r w:rsidR="00D45672" w:rsidRPr="00D22AA7">
        <w:rPr>
          <w:rFonts w:ascii="Times" w:hAnsi="Times"/>
          <w:color w:val="242424"/>
        </w:rPr>
        <w:fldChar w:fldCharType="separate"/>
      </w:r>
      <w:r w:rsidR="0056095D">
        <w:rPr>
          <w:rFonts w:ascii="Times" w:hAnsi="Times"/>
          <w:noProof/>
          <w:color w:val="242424"/>
        </w:rPr>
        <w:t>[183,186,188,189]</w:t>
      </w:r>
      <w:r w:rsidR="00D45672" w:rsidRPr="00D22AA7">
        <w:rPr>
          <w:rFonts w:ascii="Times" w:hAnsi="Times"/>
          <w:color w:val="242424"/>
        </w:rPr>
        <w:fldChar w:fldCharType="end"/>
      </w:r>
      <w:r w:rsidRPr="00D22AA7">
        <w:rPr>
          <w:rFonts w:ascii="Times" w:hAnsi="Times"/>
          <w:color w:val="242424"/>
        </w:rPr>
        <w:t>.</w:t>
      </w:r>
    </w:p>
    <w:p w14:paraId="779960D4" w14:textId="23BCF00F" w:rsidR="00386CA0" w:rsidRPr="00D22AA7" w:rsidRDefault="66779EFB" w:rsidP="00D34773">
      <w:pPr>
        <w:pStyle w:val="BodyText"/>
        <w:jc w:val="both"/>
        <w:rPr>
          <w:rFonts w:ascii="Times" w:hAnsi="Times"/>
          <w:color w:val="242424"/>
        </w:rPr>
      </w:pPr>
      <w:r w:rsidRPr="00D22AA7">
        <w:rPr>
          <w:rFonts w:ascii="Times" w:hAnsi="Times"/>
          <w:color w:val="242424"/>
        </w:rPr>
        <w:t xml:space="preserve">Given the immense potential of radiomics in enhancing the precision of cancer diagnostics and treatment personalization, this study aims to explore the application of MRI radiomics analysis in the detection and characterization of PCa and BCa. By leveraging the advanced computational capabilities of radiomics, this research seeks to identify novel imaging biomarkers and </w:t>
      </w:r>
      <w:r w:rsidR="03596831" w:rsidRPr="00D22AA7">
        <w:rPr>
          <w:rFonts w:ascii="Times" w:hAnsi="Times"/>
          <w:color w:val="242424"/>
        </w:rPr>
        <w:t>unseen</w:t>
      </w:r>
      <w:r w:rsidRPr="00D22AA7">
        <w:rPr>
          <w:rFonts w:ascii="Times" w:hAnsi="Times"/>
          <w:color w:val="242424"/>
        </w:rPr>
        <w:t xml:space="preserve"> patterns </w:t>
      </w:r>
      <w:r w:rsidR="031B4F40" w:rsidRPr="00D22AA7">
        <w:rPr>
          <w:rFonts w:ascii="Times" w:hAnsi="Times"/>
          <w:color w:val="242424"/>
        </w:rPr>
        <w:t xml:space="preserve">in </w:t>
      </w:r>
      <w:r w:rsidRPr="00D22AA7">
        <w:rPr>
          <w:rFonts w:ascii="Times" w:hAnsi="Times"/>
          <w:color w:val="242424"/>
        </w:rPr>
        <w:t xml:space="preserve">MR </w:t>
      </w:r>
      <w:proofErr w:type="gramStart"/>
      <w:r w:rsidRPr="00D22AA7">
        <w:rPr>
          <w:rFonts w:ascii="Times" w:hAnsi="Times"/>
          <w:color w:val="242424"/>
        </w:rPr>
        <w:t>images  to</w:t>
      </w:r>
      <w:proofErr w:type="gramEnd"/>
      <w:r w:rsidRPr="00D22AA7">
        <w:rPr>
          <w:rFonts w:ascii="Times" w:hAnsi="Times"/>
          <w:color w:val="242424"/>
        </w:rPr>
        <w:t xml:space="preserve"> improved early detection, better patient stratification, and more tailored therapeutic interventions. Furthermore, the integration of radiomics into clinical practice holds the promise of revolutionizing oncology by facilitating non-invasive, image-based tumor characterization, thereby reducing the need for invasive biopsy procedures while ensuring a more comprehensive understanding of tumor behavior</w:t>
      </w:r>
      <w:r w:rsidR="00540D58" w:rsidRPr="00D22AA7">
        <w:rPr>
          <w:rFonts w:ascii="Times" w:hAnsi="Times"/>
          <w:color w:val="242424"/>
        </w:rPr>
        <w:t xml:space="preserve"> </w:t>
      </w:r>
      <w:r w:rsidR="00D45672" w:rsidRPr="00D22AA7">
        <w:rPr>
          <w:rFonts w:ascii="Times" w:hAnsi="Times"/>
          <w:color w:val="242424"/>
        </w:rPr>
        <w:fldChar w:fldCharType="begin"/>
      </w:r>
      <w:r w:rsidR="0056095D">
        <w:rPr>
          <w:rFonts w:ascii="Times" w:hAnsi="Times"/>
          <w:color w:val="242424"/>
        </w:rPr>
        <w:instrText xml:space="preserve"> ADDIN ZOTERO_ITEM CSL_CITATION {"citationID":"PmS4BG4o","properties":{"formattedCitation":"[190\\uc0\\u8211{}193]","plainCitation":"[190–193]","noteIndex":0},"citationItems":[{"id":16004,"uris":["http://zotero.org/users/9439317/items/NYUPQAUR"],"itemData":{"id":16004,"type":"article-journal","container-title":"Nature Communications","title":"Decoding tumour phenotype by noninvasive imaging using a quantitative radiomics approach","URL":"https://api.semanticscholar.org/CorpusID:215779155","volume":"5","author":[{"family":"Aerts","given":"Hugo J. W. L."},{"family":"Velazquez","given":"Emmanuel Rios"},{"family":"Leijenaar","given":"Ralph T. H."},{"family":"Parmar","given":"Chintan"},{"family":"Grossmann","given":"Patrick"},{"family":"Cavalho","given":"Sara"},{"family":"Bussink","given":"Johan"},{"family":"Monshouwer","given":"René"},{"family":"Haibe-Kains","given":"Benjamin"},{"family":"Rietveld","given":"Derek H. F."},{"family":"Hoebers","given":"Frank J. P."},{"family":"Rietbergen","given":"Michelle M."},{"family":"Leemans","given":"C. René"},{"family":"Dekker","given":"Andre"},{"family":"Quackenbush","given":"John"},{"family":"Gillies","given":"Robert James"},{"family":"Lambin","given":"Philippe"}],"issued":{"date-parts":[["2014"]]}}},{"id":4752,"uris":["http://zotero.org/users/9439317/items/2ZXSQGGZ"],"itemData":{"id":4752,"type":"article-journal","abstract":"The 64Cu-labeled chelator was analyzed in vivo by positron emission tomography (PET) imaging to evaluate its biodistribution in a murine model at different acquisition times. For this purpose, nine 6-week-old female Balb/C nude strain mice underwent micro-PET imaging at three different time points after 64Cu-labeled chelator injection. Speciﬁcally, the mice were divided into group 1 (acquisition 1 h after [64Cu] chelator administration, n = 3 mice), group 2 (acquisition 4 h after [64Cu]chelator administration, n = 3 mice), and group 3 (acquisition 24 h after [64Cu] chelator administration, n = 3 mice). Successively, all PET studies were segmented by means of registration with a standard template space (3D whole-body Digimouse atlas), and 108 radiomics features were extracted from seven organs (namely, heart, bladder, stomach, liver, spleen, kidney, and lung) to investigate possible changes over time in [64Cu]chelator biodistribution. The one-way analysis of variance and post hoc Tukey Honestly Signiﬁcant Difference test revealed that, while heart, stomach, spleen, kidney, and lung districts showed a very low percentage of radiomics features with signiﬁcant variations (p-value &lt; 0.05) among the three groups of mice, a large number of features (greater than 60% and 50%, respectively) that varied signiﬁcantly between groups were observed in bladder and liver, indicating a different in vivo uptake of the 64Cu-labeled chelator over time. The proposed methodology may improve the method of calculating the [64Cu]chelator biodistribution and open the way towards a decision support system in the ﬁeld of new radiopharmaceuticals used in preclinical imaging trials.","container-title":"Journal of Imaging","DOI":"10.3390/jimaging8040092","ISSN":"2313-433X","issue":"4","journalAbbreviation":"J. Imaging","language":"en","page":"92","source":"DOI.org (Crossref)","title":"A New Preclinical Decision Support System Based on PET Radiomics: A Preliminary Study on the Evaluation of an Innovative 64Cu-Labeled Chelator in Mouse Models","title-short":"A New Preclinical Decision Support System Based on PET Radiomics","URL":"https://www.mdpi.com/2313-433X/8/4/92","volume":"8","author":[{"family":"Benfante","given":"Viviana"},{"family":"Stefano","given":"Alessandro"},{"family":"Comelli","given":"Albert"},{"family":"Giaccone","given":"Paolo"},{"family":"Cammarata","given":"Francesco Paolo"},{"family":"Richiusa","given":"Selene"},{"family":"Scopelliti","given":"Fabrizio"},{"family":"Pometti","given":"Marco"},{"family":"Ficarra","given":"Milene"},{"family":"Cosentino","given":"Sebastiano"},{"family":"Lunardon","given":"Marcello"},{"family":"Mastrotto","given":"Francesca"},{"family":"Andrighetto","given":"Alberto"},{"family":"Tuttolomondo","given":"Antonino"},{"family":"Parenti","given":"Rosalba"},{"family":"Ippolito","given":"Massimo"},{"family":"Russo","given":"Giorgio"}],"accessed":{"date-parts":[["2023",7,11]]},"issued":{"date-parts":[["2022",3,30]]}}},{"id":16018,"uris":["http://zotero.org/users/9439317/items/PL5WXRCH"],"itemData":{"id":16018,"type":"article-journal","container-title":"Abdominal Radiology","ISSN":"2366-004X","journalAbbreviation":"Abdominal Radiology","note":"publisher: Springer","page":"3843-3857","title":"Preoperative imaging for locoregional staging of bladder cancer","volume":"44","author":[{"family":"Mirmomen","given":"S Mojdeh"},{"family":"Shinagare","given":"Atul B"},{"family":"Williams","given":"Kristin E"},{"family":"Silverman","given":"Stuart G"},{"family":"Malayeri","given":"Ashkan A"}],"issued":{"date-parts":[["2019"]]}}},{"id":16017,"uris":["http://zotero.org/users/9439317/items/N92F27W2"],"itemData":{"id":16017,"type":"article-journal","container-title":"European radiology","ISSN":"0938-7994","journalAbbreviation":"European radiology","note":"publisher: Springer","page":"4816-4827","title":"Elaboration of a multisequence MRI-based radiomics signature for the preoperative prediction of the muscle-invasive status of bladder cancer: a double-center study","volume":"30","author":[{"family":"Wang","given":"Huanjun"},{"family":"Xu","given":"Xiaopan"},{"family":"Zhang","given":"Xi"},{"family":"Liu","given":"Yang"},{"family":"Ouyang","given":"Longyuan"},{"family":"Du","given":"Peng"},{"family":"Li","given":"Shurong"},{"family":"Tian","given":"Qiang"},{"family":"Ling","given":"Jian"},{"family":"Guo","given":"Yan"}],"issued":{"date-parts":[["2020"]]}}}],"schema":"https://github.com/citation-style-language/schema/raw/master/csl-citation.json"} </w:instrText>
      </w:r>
      <w:r w:rsidR="00D45672" w:rsidRPr="00D22AA7">
        <w:rPr>
          <w:rFonts w:ascii="Times" w:hAnsi="Times"/>
          <w:color w:val="242424"/>
        </w:rPr>
        <w:fldChar w:fldCharType="separate"/>
      </w:r>
      <w:r w:rsidR="0056095D" w:rsidRPr="0056095D">
        <w:rPr>
          <w:rFonts w:ascii="Times" w:hAnsi="Times"/>
          <w:color w:val="000000"/>
          <w:lang w:val="en-GB"/>
        </w:rPr>
        <w:t>[190–193]</w:t>
      </w:r>
      <w:r w:rsidR="00D45672" w:rsidRPr="00D22AA7">
        <w:rPr>
          <w:rFonts w:ascii="Times" w:hAnsi="Times"/>
          <w:color w:val="242424"/>
        </w:rPr>
        <w:fldChar w:fldCharType="end"/>
      </w:r>
      <w:r w:rsidRPr="00D22AA7">
        <w:rPr>
          <w:rFonts w:ascii="Times" w:hAnsi="Times"/>
          <w:color w:val="242424"/>
        </w:rPr>
        <w:t>.</w:t>
      </w:r>
    </w:p>
    <w:p w14:paraId="166B45B6" w14:textId="53E6520E" w:rsidR="00386CA0" w:rsidRDefault="00DD783C" w:rsidP="0DE242D6">
      <w:pPr>
        <w:pStyle w:val="MDPI31text"/>
        <w:ind w:left="0" w:firstLine="0"/>
        <w:rPr>
          <w:rFonts w:ascii="Times" w:hAnsi="Times" w:cs="Arial"/>
          <w:b/>
          <w:bCs/>
          <w:sz w:val="24"/>
          <w:szCs w:val="24"/>
        </w:rPr>
      </w:pPr>
      <w:r w:rsidRPr="00D22AA7">
        <w:rPr>
          <w:rFonts w:ascii="Times" w:hAnsi="Times" w:cs="Arial"/>
          <w:b/>
          <w:bCs/>
          <w:sz w:val="24"/>
          <w:szCs w:val="24"/>
        </w:rPr>
        <w:t xml:space="preserve">5.1. </w:t>
      </w:r>
      <w:r w:rsidR="00D45672" w:rsidRPr="00D22AA7">
        <w:rPr>
          <w:rFonts w:ascii="Times" w:hAnsi="Times" w:cs="Arial"/>
          <w:b/>
          <w:bCs/>
          <w:sz w:val="24"/>
          <w:szCs w:val="24"/>
        </w:rPr>
        <w:t>Prostate cancer detection methodology</w:t>
      </w:r>
    </w:p>
    <w:p w14:paraId="3EA875A5" w14:textId="77777777" w:rsidR="007C33F9" w:rsidRPr="00D22AA7" w:rsidRDefault="007C33F9" w:rsidP="0DE242D6">
      <w:pPr>
        <w:pStyle w:val="MDPI31text"/>
        <w:ind w:left="0" w:firstLine="0"/>
        <w:rPr>
          <w:rFonts w:ascii="Times" w:hAnsi="Times"/>
          <w:sz w:val="24"/>
          <w:szCs w:val="24"/>
        </w:rPr>
      </w:pPr>
    </w:p>
    <w:p w14:paraId="362DF45A" w14:textId="68A2980E" w:rsidR="00386CA0" w:rsidRPr="00D22AA7" w:rsidRDefault="00DD783C" w:rsidP="0DE242D6">
      <w:pPr>
        <w:pStyle w:val="MDPI31text"/>
        <w:ind w:left="0" w:firstLine="0"/>
        <w:rPr>
          <w:rFonts w:ascii="Times" w:hAnsi="Times" w:cs="Arial"/>
          <w:b/>
          <w:bCs/>
          <w:sz w:val="24"/>
          <w:szCs w:val="24"/>
        </w:rPr>
      </w:pPr>
      <w:r w:rsidRPr="00D22AA7">
        <w:rPr>
          <w:rFonts w:ascii="Times" w:hAnsi="Times" w:cs="Arial"/>
          <w:b/>
          <w:bCs/>
          <w:sz w:val="24"/>
          <w:szCs w:val="24"/>
        </w:rPr>
        <w:t xml:space="preserve">5.1.1. </w:t>
      </w:r>
      <w:r w:rsidR="66779EFB" w:rsidRPr="00D22AA7">
        <w:rPr>
          <w:rFonts w:ascii="Times" w:hAnsi="Times" w:cs="Arial"/>
          <w:b/>
          <w:bCs/>
          <w:sz w:val="24"/>
          <w:szCs w:val="24"/>
        </w:rPr>
        <w:t xml:space="preserve">Materials and Methods </w:t>
      </w:r>
    </w:p>
    <w:p w14:paraId="04159F68" w14:textId="305B1A4C" w:rsidR="69DEB41D" w:rsidRPr="00D22AA7" w:rsidRDefault="69DEB41D" w:rsidP="00464466">
      <w:pPr>
        <w:spacing w:before="240" w:after="240"/>
        <w:jc w:val="both"/>
        <w:rPr>
          <w:rFonts w:ascii="Times" w:hAnsi="Times"/>
        </w:rPr>
      </w:pPr>
      <w:proofErr w:type="gramStart"/>
      <w:r w:rsidRPr="00D22AA7">
        <w:rPr>
          <w:rFonts w:ascii="Times" w:hAnsi="Times"/>
        </w:rPr>
        <w:t>Between  2019</w:t>
      </w:r>
      <w:proofErr w:type="gramEnd"/>
      <w:r w:rsidRPr="00D22AA7">
        <w:rPr>
          <w:rFonts w:ascii="Times" w:hAnsi="Times"/>
        </w:rPr>
        <w:t xml:space="preserve"> and 2020, a total of 503 individuals underwent multiparametric MRI (</w:t>
      </w:r>
      <w:proofErr w:type="spellStart"/>
      <w:r w:rsidRPr="00D22AA7">
        <w:rPr>
          <w:rFonts w:ascii="Times" w:hAnsi="Times"/>
        </w:rPr>
        <w:t>mpMRI</w:t>
      </w:r>
      <w:proofErr w:type="spellEnd"/>
      <w:r w:rsidRPr="00D22AA7">
        <w:rPr>
          <w:rFonts w:ascii="Times" w:hAnsi="Times"/>
        </w:rPr>
        <w:t xml:space="preserve">) at our radiology department. The primary indications for </w:t>
      </w:r>
      <w:proofErr w:type="spellStart"/>
      <w:r w:rsidRPr="00D22AA7">
        <w:rPr>
          <w:rFonts w:ascii="Times" w:hAnsi="Times"/>
        </w:rPr>
        <w:t>mpMRI</w:t>
      </w:r>
      <w:proofErr w:type="spellEnd"/>
      <w:r w:rsidRPr="00D22AA7">
        <w:rPr>
          <w:rFonts w:ascii="Times" w:hAnsi="Times"/>
        </w:rPr>
        <w:t xml:space="preserve"> included the lower urinary tract symptoms (LUTS)</w:t>
      </w:r>
      <w:r w:rsidR="00540D58" w:rsidRPr="00D22AA7">
        <w:rPr>
          <w:rFonts w:ascii="Times" w:hAnsi="Times"/>
        </w:rPr>
        <w:t xml:space="preserve">. </w:t>
      </w:r>
      <w:r w:rsidRPr="00D22AA7">
        <w:rPr>
          <w:rFonts w:ascii="Times" w:hAnsi="Times"/>
        </w:rPr>
        <w:t xml:space="preserve">Additionally, patients with suspicious findings on digital rectal examination (DRE) and/or transrectal ultrasound (TRUS) suggestive of prostate abnormalities were referred for imaging. Elevated prostate-specific antigen (PSA) levels exceeding 4 ng/mL also warranted </w:t>
      </w:r>
      <w:proofErr w:type="spellStart"/>
      <w:r w:rsidRPr="00D22AA7">
        <w:rPr>
          <w:rFonts w:ascii="Times" w:hAnsi="Times"/>
        </w:rPr>
        <w:t>mpMRI</w:t>
      </w:r>
      <w:proofErr w:type="spellEnd"/>
      <w:r w:rsidRPr="00D22AA7">
        <w:rPr>
          <w:rFonts w:ascii="Times" w:hAnsi="Times"/>
        </w:rPr>
        <w:t xml:space="preserve"> evaluation. Furthermore, the imaging modality was utilized for post-radiotherapy monitoring and for patients with a history of </w:t>
      </w:r>
      <w:proofErr w:type="spellStart"/>
      <w:r w:rsidRPr="00D22AA7">
        <w:rPr>
          <w:rFonts w:ascii="Times" w:hAnsi="Times"/>
        </w:rPr>
        <w:t>PCa</w:t>
      </w:r>
      <w:proofErr w:type="spellEnd"/>
      <w:r w:rsidRPr="00D22AA7">
        <w:rPr>
          <w:rFonts w:ascii="Times" w:hAnsi="Times"/>
        </w:rPr>
        <w:t xml:space="preserve"> undergone</w:t>
      </w:r>
      <w:r w:rsidR="00540D58" w:rsidRPr="00D22AA7">
        <w:rPr>
          <w:rFonts w:ascii="Times" w:hAnsi="Times"/>
        </w:rPr>
        <w:t xml:space="preserve"> through</w:t>
      </w:r>
      <w:r w:rsidRPr="00D22AA7">
        <w:rPr>
          <w:rFonts w:ascii="Times" w:hAnsi="Times"/>
        </w:rPr>
        <w:t xml:space="preserve"> radical prostatectomy but exhibited rising serum PSA levels above 0.2 ng/mL, indicating potential biochemical recurrence.</w:t>
      </w:r>
    </w:p>
    <w:p w14:paraId="20E7DD2B" w14:textId="3782DD09" w:rsidR="69DEB41D" w:rsidRPr="00D22AA7" w:rsidRDefault="69DEB41D" w:rsidP="00464466">
      <w:pPr>
        <w:spacing w:before="240" w:after="240"/>
        <w:jc w:val="both"/>
        <w:rPr>
          <w:rFonts w:ascii="Times" w:hAnsi="Times"/>
        </w:rPr>
      </w:pPr>
      <w:r w:rsidRPr="00D22AA7">
        <w:rPr>
          <w:rFonts w:ascii="Times" w:hAnsi="Times"/>
        </w:rPr>
        <w:t xml:space="preserve">To maintain the accuracy and relevance of the study, specific exclusion criteria were applied. Patients with incomplete MRI studies due to claustrophobia were excluded, as were those with a history of radical prostatectomy, transurethral resection of the prostate (TURP), or prior radiotherapy. Additionally, individuals with negative </w:t>
      </w:r>
      <w:proofErr w:type="spellStart"/>
      <w:r w:rsidRPr="00D22AA7">
        <w:rPr>
          <w:rFonts w:ascii="Times" w:hAnsi="Times"/>
        </w:rPr>
        <w:t>mpMRI</w:t>
      </w:r>
      <w:proofErr w:type="spellEnd"/>
      <w:r w:rsidRPr="00D22AA7">
        <w:rPr>
          <w:rFonts w:ascii="Times" w:hAnsi="Times"/>
        </w:rPr>
        <w:t xml:space="preserve"> findings or a Prostate Imaging-Reporting and Data System (PI-RADS) lesion score below 3 were not included in the analysis. Finally, cases lacking histopathological confirmation from fusion biopsy were also excluded, ensuring that only patients with definitive diagnostic outcomes were considered for evaluation.</w:t>
      </w:r>
    </w:p>
    <w:p w14:paraId="48D48AB5" w14:textId="2BFBC410" w:rsidR="10F2265A" w:rsidRPr="00D22AA7" w:rsidRDefault="10F2265A" w:rsidP="10F2265A">
      <w:pPr>
        <w:pStyle w:val="MDPI31text"/>
        <w:ind w:left="0" w:firstLine="0"/>
        <w:rPr>
          <w:rFonts w:ascii="Times" w:hAnsi="Times" w:cs="Arial"/>
          <w:sz w:val="18"/>
          <w:szCs w:val="18"/>
        </w:rPr>
      </w:pPr>
    </w:p>
    <w:p w14:paraId="560745D4" w14:textId="35BD6385" w:rsidR="00E7022A" w:rsidRPr="00D22AA7" w:rsidRDefault="00DD783C" w:rsidP="2C6AA39A">
      <w:pPr>
        <w:pStyle w:val="MDPI31text"/>
        <w:ind w:left="0" w:firstLine="0"/>
        <w:rPr>
          <w:rFonts w:ascii="Times" w:hAnsi="Times" w:cs="Arial"/>
          <w:b/>
          <w:bCs/>
          <w:sz w:val="24"/>
          <w:szCs w:val="24"/>
        </w:rPr>
      </w:pPr>
      <w:r w:rsidRPr="00D22AA7">
        <w:rPr>
          <w:rFonts w:ascii="Times" w:hAnsi="Times" w:cs="Arial"/>
          <w:b/>
          <w:bCs/>
          <w:sz w:val="24"/>
          <w:szCs w:val="24"/>
        </w:rPr>
        <w:t xml:space="preserve">5.1.1.2. </w:t>
      </w:r>
      <w:r w:rsidR="00540D58" w:rsidRPr="00D22AA7">
        <w:rPr>
          <w:rFonts w:ascii="Times" w:hAnsi="Times" w:cs="Arial"/>
          <w:b/>
          <w:bCs/>
          <w:sz w:val="24"/>
          <w:szCs w:val="24"/>
        </w:rPr>
        <w:t xml:space="preserve">Using the </w:t>
      </w:r>
      <w:r w:rsidR="00D45672" w:rsidRPr="00D22AA7">
        <w:rPr>
          <w:rFonts w:ascii="Times" w:hAnsi="Times" w:cs="Arial"/>
          <w:b/>
          <w:bCs/>
          <w:sz w:val="24"/>
          <w:szCs w:val="24"/>
        </w:rPr>
        <w:t xml:space="preserve">MRI technique </w:t>
      </w:r>
    </w:p>
    <w:p w14:paraId="5884D20F" w14:textId="742F4987" w:rsidR="3244FB77" w:rsidRPr="00D22AA7" w:rsidRDefault="00540D58" w:rsidP="00464466">
      <w:pPr>
        <w:spacing w:before="240" w:after="240"/>
        <w:jc w:val="both"/>
        <w:rPr>
          <w:rFonts w:ascii="Times" w:hAnsi="Times"/>
        </w:rPr>
      </w:pPr>
      <w:r w:rsidRPr="00D22AA7">
        <w:rPr>
          <w:rFonts w:ascii="Times" w:hAnsi="Times"/>
        </w:rPr>
        <w:t xml:space="preserve">The </w:t>
      </w:r>
      <w:r w:rsidR="3244FB77" w:rsidRPr="00D22AA7">
        <w:rPr>
          <w:rFonts w:ascii="Times" w:hAnsi="Times"/>
        </w:rPr>
        <w:t>MRI examinations were performed using a 16-channel phased-array coil (HD Torso XL, Philips Healthcare) on a 1.5 Tesla system (</w:t>
      </w:r>
      <w:proofErr w:type="spellStart"/>
      <w:r w:rsidR="3244FB77" w:rsidRPr="00D22AA7">
        <w:rPr>
          <w:rFonts w:ascii="Times" w:hAnsi="Times"/>
        </w:rPr>
        <w:t>Achieva</w:t>
      </w:r>
      <w:proofErr w:type="spellEnd"/>
      <w:r w:rsidR="3244FB77" w:rsidRPr="00D22AA7">
        <w:rPr>
          <w:rFonts w:ascii="Times" w:hAnsi="Times"/>
        </w:rPr>
        <w:t>, Philips Healthcare, Best, The Netherlands). The imaging was conducted by an experienced radiologist with over 14 years of expertise in prostate MRI. To minimize potential diagnostic errors, scans were scheduled at least six weeks post-prostate biopsy, allowing sufficient time for the reabsorption of postoperative hemorrhage.</w:t>
      </w:r>
    </w:p>
    <w:p w14:paraId="49928178" w14:textId="5CA68935" w:rsidR="3244FB77" w:rsidRPr="00D22AA7" w:rsidRDefault="3244FB77" w:rsidP="00464466">
      <w:pPr>
        <w:spacing w:before="240" w:after="240"/>
        <w:jc w:val="both"/>
        <w:rPr>
          <w:rFonts w:ascii="Times" w:hAnsi="Times"/>
        </w:rPr>
      </w:pPr>
      <w:r w:rsidRPr="00D22AA7">
        <w:rPr>
          <w:rFonts w:ascii="Times" w:hAnsi="Times"/>
        </w:rPr>
        <w:t>The imaging protocol encompassed multi-planar sequences, including axial, coronal, and sagittal T2-weighted (T2W) imaging of the prostate and seminal vesicles. Axial T1-weighted (T1W) im</w:t>
      </w:r>
      <w:r w:rsidRPr="00D22AA7">
        <w:rPr>
          <w:rFonts w:ascii="Times" w:hAnsi="Times"/>
        </w:rPr>
        <w:lastRenderedPageBreak/>
        <w:t>aging was employed to identify hyperintense residual bleeding following biopsy. In addition, diffusion-weighted imaging (DWI) and dynamic contrast-enhanced (DCE) MRI were incorporated into the protocol for improved lesion characterization. DWI sequences were acquired using b-values of 0, 800, and 1400 s/mm², with the corresponding apparent diffusion coefficient (ADC) maps generated for quantitative assessment.</w:t>
      </w:r>
    </w:p>
    <w:p w14:paraId="728B09DE" w14:textId="73E0CA91" w:rsidR="10F2265A" w:rsidRPr="00D22AA7" w:rsidRDefault="60BA89AE" w:rsidP="00464466">
      <w:pPr>
        <w:spacing w:before="240" w:after="240"/>
        <w:jc w:val="both"/>
        <w:rPr>
          <w:rFonts w:ascii="Times" w:hAnsi="Times"/>
        </w:rPr>
      </w:pPr>
      <w:r w:rsidRPr="00D22AA7">
        <w:rPr>
          <w:rFonts w:ascii="Times" w:hAnsi="Times"/>
        </w:rPr>
        <w:t xml:space="preserve">For DCE imaging, patients received an intravenous injection of 1 mmol/kg body weight of Gadoteric acid (Gd-DOTA, </w:t>
      </w:r>
      <w:proofErr w:type="spellStart"/>
      <w:r w:rsidRPr="00D22AA7">
        <w:rPr>
          <w:rFonts w:ascii="Times" w:hAnsi="Times"/>
        </w:rPr>
        <w:t>Dotarem</w:t>
      </w:r>
      <w:proofErr w:type="spellEnd"/>
      <w:r w:rsidRPr="00D22AA7">
        <w:rPr>
          <w:rFonts w:ascii="Times" w:hAnsi="Times"/>
        </w:rPr>
        <w:t xml:space="preserve">, </w:t>
      </w:r>
      <w:proofErr w:type="spellStart"/>
      <w:r w:rsidRPr="00D22AA7">
        <w:rPr>
          <w:rFonts w:ascii="Times" w:hAnsi="Times"/>
        </w:rPr>
        <w:t>Guerbet</w:t>
      </w:r>
      <w:proofErr w:type="spellEnd"/>
      <w:r w:rsidRPr="00D22AA7">
        <w:rPr>
          <w:rFonts w:ascii="Times" w:hAnsi="Times"/>
        </w:rPr>
        <w:t xml:space="preserve">) at a controlled rate of 3 mL/sec, immediately followed by a saline flush of 20–30 mL at the same injection speed. Post-contrast imaging was performed using axial T1W three-dimensional spoiled gradient-recalled echo (3D-SPGR) volumetric interpolated sequences to </w:t>
      </w:r>
      <w:proofErr w:type="gramStart"/>
      <w:r w:rsidRPr="00D22AA7">
        <w:rPr>
          <w:rFonts w:ascii="Times" w:hAnsi="Times"/>
        </w:rPr>
        <w:t>facilitate  MRI</w:t>
      </w:r>
      <w:proofErr w:type="gramEnd"/>
      <w:r w:rsidRPr="00D22AA7">
        <w:rPr>
          <w:rFonts w:ascii="Times" w:hAnsi="Times"/>
        </w:rPr>
        <w:t xml:space="preserve"> analysis</w:t>
      </w:r>
      <w:r w:rsidR="00464466">
        <w:rPr>
          <w:rFonts w:ascii="Times" w:hAnsi="Times"/>
        </w:rPr>
        <w:t>.</w:t>
      </w:r>
    </w:p>
    <w:p w14:paraId="6A5FEF47" w14:textId="77A400F2" w:rsidR="00025A88" w:rsidRPr="00D22AA7" w:rsidRDefault="00DD783C" w:rsidP="2C6AA39A">
      <w:pPr>
        <w:pStyle w:val="MDPI31text"/>
        <w:ind w:left="0" w:firstLine="0"/>
        <w:rPr>
          <w:rFonts w:ascii="Times" w:hAnsi="Times" w:cs="Arial"/>
          <w:b/>
          <w:bCs/>
          <w:sz w:val="24"/>
          <w:szCs w:val="24"/>
        </w:rPr>
      </w:pPr>
      <w:r w:rsidRPr="00D22AA7">
        <w:rPr>
          <w:rFonts w:ascii="Times" w:hAnsi="Times" w:cs="Arial"/>
          <w:b/>
          <w:bCs/>
          <w:sz w:val="24"/>
          <w:szCs w:val="24"/>
        </w:rPr>
        <w:t xml:space="preserve">5.1.1.3. </w:t>
      </w:r>
      <w:r w:rsidR="00D45672" w:rsidRPr="00D22AA7">
        <w:rPr>
          <w:rFonts w:ascii="Times" w:hAnsi="Times" w:cs="Arial"/>
          <w:b/>
          <w:bCs/>
          <w:sz w:val="24"/>
          <w:szCs w:val="24"/>
        </w:rPr>
        <w:t xml:space="preserve">Manual Segmentation </w:t>
      </w:r>
    </w:p>
    <w:p w14:paraId="6177BE0F" w14:textId="7FB417A6" w:rsidR="199B236C" w:rsidRPr="00D22AA7" w:rsidRDefault="33022A76" w:rsidP="00464466">
      <w:pPr>
        <w:spacing w:before="240" w:after="240"/>
        <w:jc w:val="both"/>
        <w:rPr>
          <w:rFonts w:ascii="Times" w:hAnsi="Times"/>
        </w:rPr>
      </w:pPr>
      <w:r w:rsidRPr="00D22AA7">
        <w:rPr>
          <w:rFonts w:ascii="Times" w:hAnsi="Times"/>
        </w:rPr>
        <w:t xml:space="preserve"> This process was meticulously performed by </w:t>
      </w:r>
      <w:proofErr w:type="gramStart"/>
      <w:r w:rsidR="00540D58" w:rsidRPr="00D22AA7">
        <w:rPr>
          <w:rFonts w:ascii="Times" w:hAnsi="Times"/>
        </w:rPr>
        <w:t xml:space="preserve">experienced </w:t>
      </w:r>
      <w:r w:rsidRPr="00D22AA7">
        <w:rPr>
          <w:rFonts w:ascii="Times" w:hAnsi="Times"/>
        </w:rPr>
        <w:t xml:space="preserve"> radiologist</w:t>
      </w:r>
      <w:proofErr w:type="gramEnd"/>
      <w:r w:rsidRPr="00D22AA7">
        <w:rPr>
          <w:rFonts w:ascii="Times" w:hAnsi="Times"/>
        </w:rPr>
        <w:t xml:space="preserve"> to ensure precise identification of the regions of interest. To achieve accurate segmentation, we employed a methodology </w:t>
      </w:r>
      <w:proofErr w:type="gramStart"/>
      <w:r w:rsidRPr="00D22AA7">
        <w:rPr>
          <w:rFonts w:ascii="Times" w:hAnsi="Times"/>
        </w:rPr>
        <w:t>similar to</w:t>
      </w:r>
      <w:proofErr w:type="gramEnd"/>
      <w:r w:rsidRPr="00D22AA7">
        <w:rPr>
          <w:rFonts w:ascii="Times" w:hAnsi="Times"/>
        </w:rPr>
        <w:t xml:space="preserve"> that described by </w:t>
      </w:r>
      <w:proofErr w:type="spellStart"/>
      <w:r w:rsidRPr="00D22AA7">
        <w:rPr>
          <w:rFonts w:ascii="Times" w:hAnsi="Times"/>
        </w:rPr>
        <w:t>Cutaia</w:t>
      </w:r>
      <w:proofErr w:type="spellEnd"/>
      <w:r w:rsidRPr="00D22AA7">
        <w:rPr>
          <w:rFonts w:ascii="Times" w:hAnsi="Times"/>
        </w:rPr>
        <w:t xml:space="preserve"> et al., manually outlining the entire prostate gland and detected lesions.</w:t>
      </w:r>
    </w:p>
    <w:p w14:paraId="31E26F7A" w14:textId="1CCA7ECC" w:rsidR="199B236C" w:rsidRPr="00D22AA7" w:rsidRDefault="199B236C" w:rsidP="00464466">
      <w:pPr>
        <w:spacing w:before="240" w:after="240"/>
        <w:jc w:val="both"/>
        <w:rPr>
          <w:rFonts w:ascii="Times" w:hAnsi="Times"/>
        </w:rPr>
      </w:pPr>
      <w:r w:rsidRPr="00D22AA7">
        <w:rPr>
          <w:rFonts w:ascii="Times" w:hAnsi="Times"/>
        </w:rPr>
        <w:t>The segmentation workflow began with importing each MRI examination into 3D Slicer (</w:t>
      </w:r>
      <w:hyperlink r:id="rId34">
        <w:r w:rsidRPr="00D22AA7">
          <w:rPr>
            <w:rStyle w:val="Hyperlink"/>
            <w:rFonts w:ascii="Times" w:hAnsi="Times"/>
          </w:rPr>
          <w:t>https://slicer.org/</w:t>
        </w:r>
      </w:hyperlink>
      <w:r w:rsidRPr="00D22AA7">
        <w:rPr>
          <w:rFonts w:ascii="Times" w:hAnsi="Times"/>
        </w:rPr>
        <w:t>), a widely used open-source DICOM viewer and medical imaging analysis tool. This software provides an extensive suite of features for interactive visualization, image processing, and analysis across multiple imaging modalities, including MRI. Its advanced capabilities make it a preferred choice for segmentation tasks in the medical imaging field.</w:t>
      </w:r>
    </w:p>
    <w:p w14:paraId="70F506EC" w14:textId="73AD5A81" w:rsidR="199B236C" w:rsidRDefault="33022A76" w:rsidP="00464466">
      <w:pPr>
        <w:spacing w:before="240" w:after="240"/>
        <w:jc w:val="both"/>
        <w:rPr>
          <w:rFonts w:ascii="Times" w:hAnsi="Times"/>
        </w:rPr>
      </w:pPr>
      <w:r w:rsidRPr="00D22AA7">
        <w:rPr>
          <w:rFonts w:ascii="Times" w:hAnsi="Times"/>
        </w:rPr>
        <w:t xml:space="preserve">For this study, segmentation was performed primarily on axial T2-weighted (T2W) sequences, which offer high soft-tissue contrast, allowing for clear differentiation between the prostate zones and potential lesions. The radiologist manually traced the contours of the prostate gland and any detected </w:t>
      </w:r>
      <w:r w:rsidR="136A5BB7" w:rsidRPr="00D22AA7">
        <w:rPr>
          <w:rFonts w:ascii="Times" w:hAnsi="Times"/>
        </w:rPr>
        <w:t xml:space="preserve">tumor </w:t>
      </w:r>
      <w:r w:rsidRPr="00D22AA7">
        <w:rPr>
          <w:rFonts w:ascii="Times" w:hAnsi="Times"/>
        </w:rPr>
        <w:t>on each axial slice. A closed polygon contouring tool was employed to carefully delineate the anatomical structures</w:t>
      </w:r>
      <w:r w:rsidR="00137313">
        <w:rPr>
          <w:rFonts w:ascii="Times" w:hAnsi="Times"/>
        </w:rPr>
        <w:t xml:space="preserve"> (figure 17)</w:t>
      </w:r>
      <w:r w:rsidR="00540D58" w:rsidRPr="00D22AA7">
        <w:rPr>
          <w:rFonts w:ascii="Times" w:hAnsi="Times"/>
        </w:rPr>
        <w:t>.</w:t>
      </w:r>
    </w:p>
    <w:p w14:paraId="39C3FA1D" w14:textId="5234DC2B" w:rsidR="006E2F9A" w:rsidRDefault="004F0BE3" w:rsidP="10F2265A">
      <w:pPr>
        <w:spacing w:before="240" w:after="240"/>
      </w:pPr>
      <w:r>
        <w:t xml:space="preserve">            </w:t>
      </w:r>
      <w:r w:rsidR="006E2F9A">
        <w:fldChar w:fldCharType="begin"/>
      </w:r>
      <w:r w:rsidR="006E2F9A">
        <w:instrText xml:space="preserve"> INCLUDEPICTURE "https://media.springernature.com/full/springer-static/image/chp%3A10.1007%2F978-3-031-51026-7_8/MediaObjects/558088_1_En_8_Fig1_HTML.png" \* MERGEFORMATINET </w:instrText>
      </w:r>
      <w:r w:rsidR="006E2F9A">
        <w:fldChar w:fldCharType="separate"/>
      </w:r>
      <w:r w:rsidR="006E2F9A">
        <w:rPr>
          <w:noProof/>
        </w:rPr>
        <w:drawing>
          <wp:inline distT="0" distB="0" distL="0" distR="0" wp14:anchorId="3EEB5BD1" wp14:editId="50EF3FB4">
            <wp:extent cx="4794040" cy="2371411"/>
            <wp:effectExtent l="0" t="0" r="0" b="3810"/>
            <wp:docPr id="1241120029" name="Picture 13"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ig.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01705" cy="2375203"/>
                    </a:xfrm>
                    <a:prstGeom prst="rect">
                      <a:avLst/>
                    </a:prstGeom>
                    <a:noFill/>
                    <a:ln>
                      <a:noFill/>
                    </a:ln>
                  </pic:spPr>
                </pic:pic>
              </a:graphicData>
            </a:graphic>
          </wp:inline>
        </w:drawing>
      </w:r>
      <w:r w:rsidR="006E2F9A">
        <w:fldChar w:fldCharType="end"/>
      </w:r>
    </w:p>
    <w:p w14:paraId="2FD6A668" w14:textId="776AA037" w:rsidR="006E2F9A" w:rsidRPr="00BE3BB8" w:rsidRDefault="006E2F9A" w:rsidP="10F2265A">
      <w:pPr>
        <w:spacing w:before="240" w:after="240"/>
        <w:rPr>
          <w:rFonts w:ascii="Times" w:hAnsi="Times"/>
          <w:sz w:val="20"/>
          <w:szCs w:val="20"/>
        </w:rPr>
      </w:pPr>
      <w:r w:rsidRPr="00BE3BB8">
        <w:rPr>
          <w:b/>
          <w:bCs/>
          <w:sz w:val="20"/>
          <w:szCs w:val="20"/>
        </w:rPr>
        <w:t>Figure</w:t>
      </w:r>
      <w:r w:rsidR="00541014" w:rsidRPr="00BE3BB8">
        <w:rPr>
          <w:b/>
          <w:bCs/>
          <w:sz w:val="20"/>
          <w:szCs w:val="20"/>
        </w:rPr>
        <w:t xml:space="preserve"> 17. </w:t>
      </w:r>
      <w:r w:rsidRPr="00BE3BB8">
        <w:rPr>
          <w:sz w:val="20"/>
          <w:szCs w:val="20"/>
        </w:rPr>
        <w:t xml:space="preserve"> An example of the whole prostate gland (highlighted in red) and prostate cancer segmentation (shown in green) on T2-weighted (T2W) prostate sequences.</w:t>
      </w:r>
    </w:p>
    <w:p w14:paraId="099C6770" w14:textId="46406E9F" w:rsidR="199B236C" w:rsidRPr="00D22AA7" w:rsidRDefault="199B236C" w:rsidP="00464466">
      <w:pPr>
        <w:spacing w:before="240" w:after="240"/>
        <w:jc w:val="both"/>
        <w:rPr>
          <w:rFonts w:ascii="Times" w:hAnsi="Times"/>
        </w:rPr>
      </w:pPr>
      <w:r w:rsidRPr="00D22AA7">
        <w:rPr>
          <w:rFonts w:ascii="Times" w:hAnsi="Times"/>
        </w:rPr>
        <w:lastRenderedPageBreak/>
        <w:t xml:space="preserve">Once the manual segmentation was completed, the "Compute Volume" tool in 3D Slicer was used to determine the volumetric measurements of both the whole prostate gland and individual lesions. </w:t>
      </w:r>
      <w:r w:rsidR="00540D58" w:rsidRPr="00D22AA7">
        <w:rPr>
          <w:rFonts w:ascii="Times" w:hAnsi="Times"/>
        </w:rPr>
        <w:t>it</w:t>
      </w:r>
      <w:r w:rsidRPr="00D22AA7">
        <w:rPr>
          <w:rFonts w:ascii="Times" w:hAnsi="Times"/>
        </w:rPr>
        <w:t xml:space="preserve"> calculates volume based on the segmented regions, providing quantitative data </w:t>
      </w:r>
      <w:r w:rsidR="00540D58" w:rsidRPr="00D22AA7">
        <w:rPr>
          <w:rFonts w:ascii="Times" w:hAnsi="Times"/>
        </w:rPr>
        <w:t>to</w:t>
      </w:r>
      <w:r w:rsidRPr="00D22AA7">
        <w:rPr>
          <w:rFonts w:ascii="Times" w:hAnsi="Times"/>
        </w:rPr>
        <w:t xml:space="preserve"> be utilized in radiomic analysis. Lesion volume is a crucial parameter, offering valuable insights into tumor size, progression, and potential treatment response. These volumetric measurements serve as foundational data for further computational analysis, including machine learning-based radiomic feature extraction and predictive modeling.</w:t>
      </w:r>
    </w:p>
    <w:p w14:paraId="093AF699" w14:textId="2DF07258" w:rsidR="10F2265A" w:rsidRPr="00D22AA7" w:rsidRDefault="10F2265A" w:rsidP="10F2265A">
      <w:pPr>
        <w:pStyle w:val="MDPI31text"/>
        <w:ind w:left="0" w:firstLine="0"/>
        <w:rPr>
          <w:rFonts w:ascii="Times" w:hAnsi="Times" w:cs="Arial"/>
          <w:sz w:val="18"/>
          <w:szCs w:val="18"/>
        </w:rPr>
      </w:pPr>
    </w:p>
    <w:p w14:paraId="48E16A5C" w14:textId="46EBB30F" w:rsidR="00386CA0" w:rsidRPr="00D22AA7" w:rsidRDefault="00DD783C" w:rsidP="00C20973">
      <w:pPr>
        <w:pStyle w:val="MDPI31text"/>
        <w:ind w:left="0" w:firstLine="0"/>
        <w:rPr>
          <w:rFonts w:ascii="Times" w:hAnsi="Times"/>
          <w:b/>
          <w:bCs/>
          <w:sz w:val="24"/>
          <w:szCs w:val="24"/>
        </w:rPr>
      </w:pPr>
      <w:r w:rsidRPr="00D22AA7">
        <w:rPr>
          <w:rFonts w:ascii="Times" w:hAnsi="Times" w:cs="Arial"/>
          <w:b/>
          <w:bCs/>
          <w:sz w:val="24"/>
          <w:szCs w:val="24"/>
        </w:rPr>
        <w:t xml:space="preserve">5.1.1.4. </w:t>
      </w:r>
      <w:r w:rsidR="00D45672" w:rsidRPr="00D22AA7">
        <w:rPr>
          <w:rFonts w:ascii="Times" w:hAnsi="Times" w:cs="Arial"/>
          <w:b/>
          <w:bCs/>
          <w:sz w:val="24"/>
          <w:szCs w:val="24"/>
        </w:rPr>
        <w:t xml:space="preserve">Radiomics features extraction </w:t>
      </w:r>
    </w:p>
    <w:p w14:paraId="48DACC58" w14:textId="23FFCDEF" w:rsidR="0C9C12A8" w:rsidRPr="00D22AA7" w:rsidRDefault="0C9C12A8" w:rsidP="00464466">
      <w:pPr>
        <w:spacing w:before="240" w:after="240"/>
        <w:jc w:val="both"/>
        <w:rPr>
          <w:rFonts w:ascii="Times" w:hAnsi="Times"/>
        </w:rPr>
      </w:pPr>
      <w:proofErr w:type="spellStart"/>
      <w:r w:rsidRPr="00D22AA7">
        <w:rPr>
          <w:rFonts w:ascii="Times" w:hAnsi="Times"/>
        </w:rPr>
        <w:t>PyRadiomics</w:t>
      </w:r>
      <w:proofErr w:type="spellEnd"/>
      <w:r w:rsidRPr="00D22AA7">
        <w:rPr>
          <w:rFonts w:ascii="Times" w:hAnsi="Times"/>
        </w:rPr>
        <w:t xml:space="preserve">, an open-source software compliant with the Image Biomarker Standardization Initiative (IBSI), was employed for radiomic feature extraction in this study. A key element of radiomics research is ensuring the reproducibility of extracted textures, as consistent features are essential for reliable analysis. </w:t>
      </w:r>
      <w:proofErr w:type="spellStart"/>
      <w:r w:rsidRPr="00D22AA7">
        <w:rPr>
          <w:rFonts w:ascii="Times" w:hAnsi="Times"/>
        </w:rPr>
        <w:t>PyRadiomics</w:t>
      </w:r>
      <w:proofErr w:type="spellEnd"/>
      <w:r w:rsidRPr="00D22AA7">
        <w:rPr>
          <w:rFonts w:ascii="Times" w:hAnsi="Times"/>
        </w:rPr>
        <w:t xml:space="preserve"> offers a powerful platform for the extraction of a broad spectrum of radiomic features through a wide array of well-established algorithms. These algorithms are hard-coded into the software and implemented using Python, a popular and versatile open-source scientific computing language. </w:t>
      </w:r>
      <w:proofErr w:type="spellStart"/>
      <w:r w:rsidRPr="00D22AA7">
        <w:rPr>
          <w:rFonts w:ascii="Times" w:hAnsi="Times"/>
        </w:rPr>
        <w:t>PyRadiomics</w:t>
      </w:r>
      <w:proofErr w:type="spellEnd"/>
      <w:r w:rsidRPr="00D22AA7">
        <w:rPr>
          <w:rFonts w:ascii="Times" w:hAnsi="Times"/>
        </w:rPr>
        <w:t xml:space="preserve"> is compatible with a variety of operating systems, making it accessible for users across different platforms. The software’s back-end interface also allows for automation in the processing of large datasets, efficient feature definition, and streamlined batch management, enhancing reproducibility and efficiency in radiomics research.</w:t>
      </w:r>
    </w:p>
    <w:p w14:paraId="17419E05" w14:textId="3D0EE343" w:rsidR="0C9C12A8" w:rsidRPr="00D22AA7" w:rsidRDefault="0C9C12A8" w:rsidP="10F2265A">
      <w:pPr>
        <w:spacing w:before="240" w:after="240"/>
        <w:rPr>
          <w:rFonts w:ascii="Times" w:hAnsi="Times"/>
        </w:rPr>
      </w:pPr>
      <w:r w:rsidRPr="00D22AA7">
        <w:rPr>
          <w:rFonts w:ascii="Times" w:hAnsi="Times"/>
        </w:rPr>
        <w:t>The software provides multiple classes of features, including shape descriptors, first-order statistics, and texture matrices, each offering different insights into the characteristics of the region of interest.</w:t>
      </w:r>
    </w:p>
    <w:p w14:paraId="6283C6D0" w14:textId="4FBB5670" w:rsidR="0C9C12A8" w:rsidRPr="00D22AA7" w:rsidRDefault="0C9C12A8" w:rsidP="00464466">
      <w:pPr>
        <w:spacing w:before="240" w:after="240"/>
        <w:jc w:val="both"/>
        <w:rPr>
          <w:rFonts w:ascii="Times" w:hAnsi="Times"/>
        </w:rPr>
      </w:pPr>
      <w:r w:rsidRPr="00D22AA7">
        <w:rPr>
          <w:rFonts w:ascii="Times" w:hAnsi="Times"/>
        </w:rPr>
        <w:t xml:space="preserve">For the extraction of these features using </w:t>
      </w:r>
      <w:proofErr w:type="spellStart"/>
      <w:r w:rsidRPr="00D22AA7">
        <w:rPr>
          <w:rFonts w:ascii="Times" w:hAnsi="Times"/>
        </w:rPr>
        <w:t>PyRadiomics</w:t>
      </w:r>
      <w:proofErr w:type="spellEnd"/>
      <w:r w:rsidRPr="00D22AA7">
        <w:rPr>
          <w:rFonts w:ascii="Times" w:hAnsi="Times"/>
        </w:rPr>
        <w:t xml:space="preserve">, specific settings were applied to ensure consistency and standardization. The Normalize parameter was set to True to adjust for varying image intensities, and the </w:t>
      </w:r>
      <w:proofErr w:type="spellStart"/>
      <w:r w:rsidRPr="00D22AA7">
        <w:rPr>
          <w:rFonts w:ascii="Times" w:hAnsi="Times"/>
        </w:rPr>
        <w:t>BinWidth</w:t>
      </w:r>
      <w:proofErr w:type="spellEnd"/>
      <w:r w:rsidRPr="00D22AA7">
        <w:rPr>
          <w:rFonts w:ascii="Times" w:hAnsi="Times"/>
        </w:rPr>
        <w:t xml:space="preserve"> was configured to 0.27 to standardize the bin size for histogram calculations. All other parameters were left at their default settings, ensuring compatibility with the standard radiomic feature extraction process. This rigorous extraction method allows for detailed and reproducible analysis, facilitating the identification of imaging biomarkers for prostate cancer diagnosis, prognosis, and treatment response.</w:t>
      </w:r>
    </w:p>
    <w:p w14:paraId="0C6F73AD" w14:textId="0652E8B0" w:rsidR="10F2265A" w:rsidRPr="00D22AA7" w:rsidRDefault="10F2265A" w:rsidP="10F2265A">
      <w:pPr>
        <w:pStyle w:val="MDPI31text"/>
        <w:ind w:left="0" w:firstLine="0"/>
        <w:rPr>
          <w:rFonts w:ascii="Times" w:eastAsia="Arial" w:hAnsi="Times" w:cs="Arial"/>
          <w:sz w:val="18"/>
          <w:szCs w:val="18"/>
        </w:rPr>
      </w:pPr>
    </w:p>
    <w:p w14:paraId="7A165D7D" w14:textId="011E411F" w:rsidR="00A30C03" w:rsidRPr="00D22AA7" w:rsidRDefault="00DD783C" w:rsidP="00BA5497">
      <w:pPr>
        <w:pStyle w:val="MDPI31text"/>
        <w:spacing w:line="276" w:lineRule="auto"/>
        <w:ind w:left="0" w:firstLine="0"/>
        <w:rPr>
          <w:rFonts w:ascii="Times" w:eastAsia="Arial" w:hAnsi="Times" w:cs="Arial"/>
          <w:b/>
          <w:bCs/>
          <w:sz w:val="24"/>
          <w:szCs w:val="24"/>
        </w:rPr>
      </w:pPr>
      <w:r w:rsidRPr="00D22AA7">
        <w:rPr>
          <w:rFonts w:ascii="Times" w:eastAsia="Arial" w:hAnsi="Times" w:cs="Arial"/>
          <w:b/>
          <w:bCs/>
          <w:sz w:val="24"/>
          <w:szCs w:val="24"/>
        </w:rPr>
        <w:t xml:space="preserve">5.1.1.5. </w:t>
      </w:r>
      <w:r w:rsidR="00D45672" w:rsidRPr="00D22AA7">
        <w:rPr>
          <w:rFonts w:ascii="Times" w:eastAsia="Arial" w:hAnsi="Times" w:cs="Arial"/>
          <w:b/>
          <w:bCs/>
          <w:sz w:val="24"/>
          <w:szCs w:val="24"/>
        </w:rPr>
        <w:t xml:space="preserve">Computational and statistical analyses </w:t>
      </w:r>
    </w:p>
    <w:p w14:paraId="6CE489EF" w14:textId="457D0141" w:rsidR="00A30C03" w:rsidRPr="00D22AA7" w:rsidRDefault="00A30C03" w:rsidP="00BA5497">
      <w:pPr>
        <w:pStyle w:val="MDPI31text"/>
        <w:spacing w:line="276" w:lineRule="auto"/>
        <w:ind w:left="0" w:firstLine="0"/>
        <w:rPr>
          <w:rFonts w:ascii="Times" w:eastAsia="Arial" w:hAnsi="Times" w:cs="Arial"/>
          <w:sz w:val="24"/>
          <w:szCs w:val="24"/>
        </w:rPr>
      </w:pPr>
      <w:r w:rsidRPr="00D22AA7">
        <w:rPr>
          <w:rFonts w:ascii="Times" w:eastAsia="Arial" w:hAnsi="Times" w:cs="Arial"/>
          <w:sz w:val="24"/>
          <w:szCs w:val="24"/>
        </w:rPr>
        <w:t xml:space="preserve">A senior researcher in biomedical imaging analyzed radiomic parameters using computational methods. A two-way ANOVA was performed to compare radiomic features between whole-prostate and tumor-specific segmentations 183], identifying statistically significant features (p &lt; 0.05) from a total of 112. A hybrid statistical approach, incorporating point-biserial correlation and logistic regression, was employed to refine feature selection. Discriminant analysis was then used to develop a predictive model distinguishing prostate tissue from tumors </w:t>
      </w:r>
      <w:r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{"citationID":"9RBG4kdL","properties":{"formattedCitation":"[194]","plainCitation":"[194]","noteIndex":0},"citationItems":[{"id":16021,"uris":["http://zotero.org/users/9439317/items/AKB9ZV7A"],"itemData":{"id":16021,"type":"article-journal","abstract":"Abstract In healthcare industry 4.0, a big role is played by radiomics. Radiomics concerns the extraction and analysis of quantitative information not visible to the naked eye, even by expert operators, from biomedical images. Radiomics involves the management of digital images as data matrices, with the aim of extracting a number of morphological and predictive variables, named features, using automatic or semi-automatic methods. Multidisciplinary methods as machine learning and deep learning are fully involved in this field. However, the large number of features requires efficient and effective core methods for their selection, in order to avoid bias or misinterpretations problems. In this work, the authors propose a novel method for feature selection in radiomics. The proposed method is based on an original combination of descriptive and inferential statistics. Its validity is illustrated through a case study on prostate cancer analysis, conducted at the university hospital of Palermo, Italy.","container-title":"Applied Stochastic Models in Business and Industry","DOI":"10.1002/asmb.2642","ISSN":"1524-1904","issue":"5","journalAbbreviation":"Applied Stochastic Models in Business and Industry","note":"publisher: John Wiley &amp; Sons, Ltd","page":"961-972","title":"Hybrid descriptive-inferential method for key feature selection in prostate cancer radiomics","URL":"https://doi.org/10.1002/asmb.2642","volume":"37","author":[{"family":"Barone","given":"Stefano"},{"family":"Cannella","given":"Roberto"},{"family":"Comelli","given":"Albert"},{"family":"Pellegrino","given":"Arianna"},{"family":"Salvaggio","given":"Giuseppe"},{"family":"Stefano","given":"Alessandro"},{"family":"Vernuccio","given":"Federica"}],"accessed":{"date-parts":[["2025",2,14]]},"issued":{"date-parts":[["2021",9,1]]}}}],"schema":"https://github.com/citation-style-language/schema/raw/master/csl-citation.json"} </w:instrText>
      </w:r>
      <w:r w:rsidRPr="00D22AA7">
        <w:rPr>
          <w:rFonts w:ascii="Times" w:eastAsia="Arial" w:hAnsi="Times" w:cs="Arial"/>
          <w:sz w:val="24"/>
          <w:szCs w:val="24"/>
        </w:rPr>
        <w:fldChar w:fldCharType="separate"/>
      </w:r>
      <w:r w:rsidR="0056095D">
        <w:rPr>
          <w:rFonts w:ascii="Times" w:eastAsia="Arial" w:hAnsi="Times" w:cs="Arial"/>
          <w:noProof/>
          <w:sz w:val="24"/>
          <w:szCs w:val="24"/>
        </w:rPr>
        <w:t>[194]</w:t>
      </w:r>
      <w:r w:rsidRPr="00D22AA7">
        <w:rPr>
          <w:rFonts w:ascii="Times" w:eastAsia="Arial" w:hAnsi="Times" w:cs="Arial"/>
          <w:sz w:val="24"/>
          <w:szCs w:val="24"/>
        </w:rPr>
        <w:fldChar w:fldCharType="end"/>
      </w:r>
      <w:r w:rsidRPr="00D22AA7">
        <w:rPr>
          <w:rFonts w:ascii="Times" w:eastAsia="Arial" w:hAnsi="Times" w:cs="Arial"/>
          <w:sz w:val="24"/>
          <w:szCs w:val="24"/>
        </w:rPr>
        <w:t xml:space="preserve">. The model was validated using a 5-fold cross-validation method </w:t>
      </w:r>
      <w:r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{"citationID":"F5etZRsy","properties":{"formattedCitation":"[195]","plainCitation":"[195]","noteIndex":0},"citationItems":[{"id":16022,"uris":["http://zotero.org/users/9439317/items/8VAHUA2T"],"itemData":{"id":16022,"type":"article-journal","container-title":"The quarterly journal of nuclear medicine and molecular imaging: official publication of the Italian Association of Nuclear Medicine (AIMN)[and] the International Association of Radiopharmacology (IAR),[and] Section of the Society of...","ISSN":"1824-4785","issue":"4","journalAbbreviation":"The quarterly journal of nuclear medicine and molecular imaging: official publication of the Italian Association of Nuclear Medicine (AIMN)[and] the International Association of Radiopharmacology (IAR),[and] Section of the Society of...","page":"352-360","title":"Choline PET/CT features to predict survival outcome in high-risk prostate cancer restaging: a preliminary machine-learning radiomics study.","volume":"66","author":[{"family":"Alongi","given":"Pierpaolo"},{"family":"Laudicella","given":"Riccardo"},{"family":"Stefano","given":"Alessandro"},{"family":"Caobelli","given":"Federico"},{"family":"Comelli","given":"Albert"},{"family":"Vento","given":"Antonio"},{"family":"Sardina","given":"Davide"},{"family":"Ganduscio","given":"Gloria"},{"family":"Toia","given":"Patrizia"},{"family":"Ceci","given":"Francesco"}],"issued":{"date-parts":[["2020"]]}}}],"schema":"https://github.com/citation-style-language/schema/raw/master/csl-citation.json"} </w:instrText>
      </w:r>
      <w:r w:rsidRPr="00D22AA7">
        <w:rPr>
          <w:rFonts w:ascii="Times" w:eastAsia="Arial" w:hAnsi="Times" w:cs="Arial"/>
          <w:sz w:val="24"/>
          <w:szCs w:val="24"/>
        </w:rPr>
        <w:fldChar w:fldCharType="separate"/>
      </w:r>
      <w:r w:rsidR="0056095D">
        <w:rPr>
          <w:rFonts w:ascii="Times" w:eastAsia="Arial" w:hAnsi="Times" w:cs="Arial"/>
          <w:noProof/>
          <w:sz w:val="24"/>
          <w:szCs w:val="24"/>
        </w:rPr>
        <w:t>[195]</w:t>
      </w:r>
      <w:r w:rsidRPr="00D22AA7">
        <w:rPr>
          <w:rFonts w:ascii="Times" w:eastAsia="Arial" w:hAnsi="Times" w:cs="Arial"/>
          <w:sz w:val="24"/>
          <w:szCs w:val="24"/>
        </w:rPr>
        <w:fldChar w:fldCharType="end"/>
      </w:r>
      <w:r w:rsidRPr="00D22AA7">
        <w:rPr>
          <w:rFonts w:ascii="Times" w:eastAsia="Arial" w:hAnsi="Times" w:cs="Arial"/>
          <w:sz w:val="24"/>
          <w:szCs w:val="24"/>
        </w:rPr>
        <w:t xml:space="preserve">, and its diagnostic accuracy was assessed through ROC curves, AUROC values, sensitivity, specificity, and overall accuracy </w:t>
      </w:r>
      <w:r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{"citationID":"OA0lHJg4","properties":{"formattedCitation":"[189,195]","plainCitation":"[189,195]","noteIndex":0},"citationItems":[{"id":16003,"uris":["http://zotero.org/users/9439317/items/6PW9L8NQ"],"itemData":{"id":16003,"type":"article-journal","abstract":"Radiomics holds great promise in the field of cancer management. However, the clinical application of radiomics has been hampered by uncertainty about the robustness of the features extracted from the images. Previous studies have reported that radiomics features are sensitive to changes in voxel size resampling and interpolation, image perturbation, or slice thickness. This study aims to observe the variability of positron emission tomography (PET) radiomics features under the impact of co-registration with magnetic resonance imaging (MRI) using the difference percentage coefficient, and the Spearman’s correlation coefficient for three groups of images: (i) original PET, (ii) PET after co-registration with T1-weighted MRI and (iii) PET after co-registration with FLAIR MRI. Specifically, seventeen patients with brain cancers undergoing [11C]-Methionine PET were considered. Successively, PET images were co-registered with MRI sequences and 107 features were extracted for each mentioned group of images. The variability analysis revealed that shape features, first-order features and two subgroups of higher-order features possessed a good robustness, unlike the remaining groups of features, which showed large differences in the difference percentage coefficient. Furthermore, using the Spearman’s correlation coefficient, approximately 40% of the selected features differed from the three mentioned groups of images. This is an important consideration for users conducting radiomics studies with image co-registration constraints to avoid errors in cancer diagnosis, prognosis, and clinical outcome prediction.","container-title":"Applied Sciences","DOI":"10.3390/app112110170","ISSN":"2076-3417","issue":"21","title":"Robustness of PET Radiomics Features: Impact of Co-Registration with MRI","volume":"11","author":[{"family":"Stefano","given":"Alessandro"},{"family":"Leal","given":"Antonio"},{"family":"Richiusa","given":"Selene"},{"family":"Trang","given":"Phan"},{"family":"Comelli","given":"Albert"},{"family":"Benfante","given":"Viviana"},{"family":"Cosentino","given":"Sebastiano"},{"family":"Sabini","given":"Maria G."},{"family":"Tuttolomondo","given":"Antonino"},{"family":"Altieri","given":"Roberto"},{"family":"Certo","given":"Francesco"},{"family":"Barbagallo","given":"Giuseppe M."},{"family":"Ippolito","given":"Massimo"},{"family":"Russo","given":"Giorgio"}],"issued":{"date-parts":[["2021"]]}}},{"id":16022,"uris":["http://zotero.org/users/9439317/items/8VAHUA2T"],"itemData":{"id":16022,"type":"article-journal","container-title":"The quarterly journal of nuclear medicine and molecular imaging: official publication of the Italian Association of Nuclear Medicine (AIMN)[and] the International Association of Radiopharmacology (IAR),[and] Section of the Society of...","ISSN":"1824-4785","issue":"4","journalAbbreviation":"The quarterly journal of nuclear medicine and molecular imaging: official publication of the Italian Association of Nuclear Medicine (AIMN)[and] the International Association of Radiopharmacology (IAR),[and] Section of the Society of...","page":"352-360","title":"Choline PET/CT features to predict survival outcome in high-risk prostate cancer restaging: a preliminary machine-learning radiomics study.","volume":"66","author":[{"family":"Alongi","given":"Pierpaolo"},{"family":"Laudicella","given":"Riccardo"},{"family":"Stefano","given":"Alessandro"},{"family":"Caobelli","given":"Federico"},{"family":"Comelli","given":"Albert"},{"family":"Vento","given":"Antonio"},{"family":"Sardina","given":"Davide"},{"family":"Ganduscio","given":"Gloria"},{"family":"Toia","given":"Patrizia"},{"family":"Ceci","given":"Francesco"}],"issued":{"date-parts":[["2020"]]}}}],"schema":"https://github.com/citation-style-language/schema/raw/master/csl-citation.json"} </w:instrText>
      </w:r>
      <w:r w:rsidRPr="00D22AA7">
        <w:rPr>
          <w:rFonts w:ascii="Times" w:eastAsia="Arial" w:hAnsi="Times" w:cs="Arial"/>
          <w:sz w:val="24"/>
          <w:szCs w:val="24"/>
        </w:rPr>
        <w:fldChar w:fldCharType="separate"/>
      </w:r>
      <w:r w:rsidR="0056095D">
        <w:rPr>
          <w:rFonts w:ascii="Times" w:eastAsia="Arial" w:hAnsi="Times" w:cs="Arial"/>
          <w:noProof/>
          <w:sz w:val="24"/>
          <w:szCs w:val="24"/>
        </w:rPr>
        <w:t>[189,195]</w:t>
      </w:r>
      <w:r w:rsidRPr="00D22AA7">
        <w:rPr>
          <w:rFonts w:ascii="Times" w:eastAsia="Arial" w:hAnsi="Times" w:cs="Arial"/>
          <w:sz w:val="24"/>
          <w:szCs w:val="24"/>
        </w:rPr>
        <w:fldChar w:fldCharType="end"/>
      </w:r>
      <w:r w:rsidRPr="00D22AA7">
        <w:rPr>
          <w:rFonts w:ascii="Times" w:eastAsia="Arial" w:hAnsi="Times" w:cs="Arial"/>
          <w:sz w:val="24"/>
          <w:szCs w:val="24"/>
        </w:rPr>
        <w:t>.</w:t>
      </w:r>
    </w:p>
    <w:p w14:paraId="54C7FC14" w14:textId="6EE772D7" w:rsidR="00386CA0" w:rsidRPr="00D22AA7" w:rsidRDefault="00DD783C" w:rsidP="00BA5497">
      <w:pPr>
        <w:pStyle w:val="MDPI31text"/>
        <w:spacing w:line="276" w:lineRule="auto"/>
        <w:ind w:left="0" w:firstLine="0"/>
        <w:rPr>
          <w:rFonts w:ascii="Times" w:hAnsi="Times"/>
          <w:sz w:val="24"/>
          <w:szCs w:val="24"/>
        </w:rPr>
      </w:pPr>
      <w:r w:rsidRPr="00D22AA7">
        <w:rPr>
          <w:rFonts w:ascii="Times" w:hAnsi="Times" w:cs="Arial"/>
          <w:b/>
          <w:bCs/>
          <w:sz w:val="24"/>
          <w:szCs w:val="24"/>
        </w:rPr>
        <w:t xml:space="preserve">5.2. </w:t>
      </w:r>
      <w:r w:rsidR="00D45672" w:rsidRPr="00D22AA7">
        <w:rPr>
          <w:rFonts w:ascii="Times" w:hAnsi="Times" w:cs="Arial"/>
          <w:b/>
          <w:bCs/>
          <w:sz w:val="24"/>
          <w:szCs w:val="24"/>
        </w:rPr>
        <w:t xml:space="preserve">Methodology for </w:t>
      </w:r>
      <w:proofErr w:type="spellStart"/>
      <w:r w:rsidR="00D45672" w:rsidRPr="00D22AA7">
        <w:rPr>
          <w:rFonts w:ascii="Times" w:hAnsi="Times" w:cs="Arial"/>
          <w:b/>
          <w:bCs/>
          <w:sz w:val="24"/>
          <w:szCs w:val="24"/>
        </w:rPr>
        <w:t>baldder</w:t>
      </w:r>
      <w:proofErr w:type="spellEnd"/>
      <w:r w:rsidR="00D45672" w:rsidRPr="00D22AA7">
        <w:rPr>
          <w:rFonts w:ascii="Times" w:hAnsi="Times" w:cs="Arial"/>
          <w:b/>
          <w:bCs/>
          <w:sz w:val="24"/>
          <w:szCs w:val="24"/>
        </w:rPr>
        <w:t xml:space="preserve"> cancer: </w:t>
      </w:r>
    </w:p>
    <w:p w14:paraId="6372874C" w14:textId="148DBF95" w:rsidR="00386CA0" w:rsidRPr="00D22AA7" w:rsidRDefault="00DD783C" w:rsidP="00BA5497">
      <w:pPr>
        <w:pStyle w:val="MDPI31text"/>
        <w:spacing w:line="276" w:lineRule="auto"/>
        <w:ind w:left="0" w:firstLine="0"/>
        <w:rPr>
          <w:rFonts w:ascii="Times" w:hAnsi="Times"/>
          <w:sz w:val="24"/>
          <w:szCs w:val="24"/>
        </w:rPr>
      </w:pPr>
      <w:r w:rsidRPr="00D22AA7">
        <w:rPr>
          <w:rFonts w:ascii="Times" w:hAnsi="Times" w:cs="Arial"/>
          <w:b/>
          <w:bCs/>
          <w:sz w:val="24"/>
          <w:szCs w:val="24"/>
        </w:rPr>
        <w:lastRenderedPageBreak/>
        <w:t xml:space="preserve">5.2.1. </w:t>
      </w:r>
      <w:r w:rsidR="00D45672" w:rsidRPr="00D22AA7">
        <w:rPr>
          <w:rFonts w:ascii="Times" w:hAnsi="Times" w:cs="Arial"/>
          <w:b/>
          <w:bCs/>
          <w:sz w:val="24"/>
          <w:szCs w:val="24"/>
        </w:rPr>
        <w:t xml:space="preserve">Materials and Methods </w:t>
      </w:r>
    </w:p>
    <w:p w14:paraId="2ADC821E" w14:textId="77777777" w:rsidR="003964D3" w:rsidRPr="00D22AA7" w:rsidRDefault="003964D3" w:rsidP="2C6AA39A">
      <w:pPr>
        <w:pStyle w:val="MDPI31text"/>
        <w:ind w:left="0" w:firstLine="0"/>
        <w:rPr>
          <w:rFonts w:ascii="Times" w:eastAsia="Arial" w:hAnsi="Times" w:cs="Arial"/>
          <w:sz w:val="24"/>
          <w:szCs w:val="24"/>
        </w:rPr>
      </w:pPr>
      <w:r w:rsidRPr="00D22AA7">
        <w:rPr>
          <w:rFonts w:ascii="Times" w:eastAsia="Arial" w:hAnsi="Times" w:cs="Arial"/>
          <w:sz w:val="24"/>
          <w:szCs w:val="24"/>
        </w:rPr>
        <w:t>This single-center retrospective investigation received approval from the institutional ethics board, with no requirement for informed consent.</w:t>
      </w:r>
    </w:p>
    <w:p w14:paraId="5FFB06AF" w14:textId="18A9A372" w:rsidR="00D76CE3" w:rsidRPr="00D22AA7" w:rsidRDefault="00DD783C" w:rsidP="00BA5497">
      <w:pPr>
        <w:pStyle w:val="MDPI31text"/>
        <w:spacing w:line="276" w:lineRule="auto"/>
        <w:ind w:left="0" w:firstLine="0"/>
        <w:rPr>
          <w:rFonts w:ascii="Times" w:eastAsia="Arial" w:hAnsi="Times" w:cs="Arial"/>
          <w:b/>
          <w:bCs/>
          <w:sz w:val="24"/>
          <w:szCs w:val="24"/>
        </w:rPr>
      </w:pPr>
      <w:r w:rsidRPr="00D22AA7">
        <w:rPr>
          <w:rFonts w:ascii="Times" w:eastAsia="Arial" w:hAnsi="Times" w:cs="Arial"/>
          <w:b/>
          <w:bCs/>
          <w:sz w:val="24"/>
          <w:szCs w:val="24"/>
        </w:rPr>
        <w:t>5.2.1.</w:t>
      </w:r>
      <w:proofErr w:type="gramStart"/>
      <w:r w:rsidRPr="00D22AA7">
        <w:rPr>
          <w:rFonts w:ascii="Times" w:eastAsia="Arial" w:hAnsi="Times" w:cs="Arial"/>
          <w:b/>
          <w:bCs/>
          <w:sz w:val="24"/>
          <w:szCs w:val="24"/>
        </w:rPr>
        <w:t>1.</w:t>
      </w:r>
      <w:r w:rsidR="00D45672" w:rsidRPr="00D22AA7">
        <w:rPr>
          <w:rFonts w:ascii="Times" w:eastAsia="Arial" w:hAnsi="Times" w:cs="Arial"/>
          <w:b/>
          <w:bCs/>
          <w:sz w:val="24"/>
          <w:szCs w:val="24"/>
        </w:rPr>
        <w:t>Population</w:t>
      </w:r>
      <w:proofErr w:type="gramEnd"/>
      <w:r w:rsidR="00D45672" w:rsidRPr="00D22AA7">
        <w:rPr>
          <w:rFonts w:ascii="Times" w:eastAsia="Arial" w:hAnsi="Times" w:cs="Arial"/>
          <w:b/>
          <w:bCs/>
          <w:sz w:val="24"/>
          <w:szCs w:val="24"/>
        </w:rPr>
        <w:t xml:space="preserve"> </w:t>
      </w:r>
    </w:p>
    <w:p w14:paraId="458F2C39" w14:textId="624CB512" w:rsidR="003964D3" w:rsidRPr="00D22AA7" w:rsidRDefault="52A9B895" w:rsidP="00BA5497">
      <w:pPr>
        <w:pStyle w:val="MDPI31text"/>
        <w:spacing w:line="276" w:lineRule="auto"/>
        <w:ind w:left="0" w:firstLine="0"/>
        <w:rPr>
          <w:rFonts w:ascii="Times" w:eastAsia="Arial" w:hAnsi="Times" w:cs="Arial"/>
          <w:sz w:val="24"/>
          <w:szCs w:val="24"/>
        </w:rPr>
      </w:pPr>
      <w:r w:rsidRPr="00D22AA7">
        <w:rPr>
          <w:rFonts w:ascii="Times" w:eastAsia="Arial" w:hAnsi="Times" w:cs="Arial"/>
          <w:sz w:val="24"/>
          <w:szCs w:val="24"/>
        </w:rPr>
        <w:t xml:space="preserve">The research included 30 sequential patients with verified </w:t>
      </w:r>
      <w:proofErr w:type="spellStart"/>
      <w:r w:rsidRPr="00D22AA7">
        <w:rPr>
          <w:rFonts w:ascii="Times" w:eastAsia="Arial" w:hAnsi="Times" w:cs="Arial"/>
          <w:sz w:val="24"/>
          <w:szCs w:val="24"/>
        </w:rPr>
        <w:t>BCa</w:t>
      </w:r>
      <w:proofErr w:type="spellEnd"/>
      <w:r w:rsidRPr="00D22AA7">
        <w:rPr>
          <w:rFonts w:ascii="Times" w:eastAsia="Arial" w:hAnsi="Times" w:cs="Arial"/>
          <w:sz w:val="24"/>
          <w:szCs w:val="24"/>
        </w:rPr>
        <w:t xml:space="preserve"> who underwent MRI scans between March 2019 and May 2020. Patients were selected based on the following criteria: (1) </w:t>
      </w:r>
      <w:proofErr w:type="spellStart"/>
      <w:r w:rsidRPr="00D22AA7">
        <w:rPr>
          <w:rFonts w:ascii="Times" w:eastAsia="Arial" w:hAnsi="Times" w:cs="Arial"/>
          <w:sz w:val="24"/>
          <w:szCs w:val="24"/>
        </w:rPr>
        <w:t>BCa</w:t>
      </w:r>
      <w:proofErr w:type="spellEnd"/>
      <w:r w:rsidRPr="00D22AA7">
        <w:rPr>
          <w:rFonts w:ascii="Times" w:eastAsia="Arial" w:hAnsi="Times" w:cs="Arial"/>
          <w:sz w:val="24"/>
          <w:szCs w:val="24"/>
        </w:rPr>
        <w:t xml:space="preserve"> confirmed by postoperative pathology; and (2) 1.5 T MRI examinations conducted within one month prior to surgery. Exclusion criteria encompassed (1) prior treatments such as chemotherapy, radiotherapy, TURBT, or BCG before MRI examination</w:t>
      </w:r>
      <w:r w:rsidR="2CD20885" w:rsidRPr="00D22AA7">
        <w:rPr>
          <w:rFonts w:ascii="Times" w:eastAsia="Arial" w:hAnsi="Times" w:cs="Arial"/>
          <w:sz w:val="24"/>
          <w:szCs w:val="24"/>
        </w:rPr>
        <w:t>.</w:t>
      </w:r>
      <w:r w:rsidRPr="00D22AA7">
        <w:rPr>
          <w:rFonts w:ascii="Times" w:eastAsia="Arial" w:hAnsi="Times" w:cs="Arial"/>
          <w:sz w:val="24"/>
          <w:szCs w:val="24"/>
        </w:rPr>
        <w:t xml:space="preserve"> A </w:t>
      </w:r>
      <w:proofErr w:type="gramStart"/>
      <w:r w:rsidRPr="00D22AA7">
        <w:rPr>
          <w:rFonts w:ascii="Times" w:eastAsia="Arial" w:hAnsi="Times" w:cs="Arial"/>
          <w:sz w:val="24"/>
          <w:szCs w:val="24"/>
        </w:rPr>
        <w:t>radiologist  evaluated</w:t>
      </w:r>
      <w:proofErr w:type="gramEnd"/>
      <w:r w:rsidRPr="00D22AA7">
        <w:rPr>
          <w:rFonts w:ascii="Times" w:eastAsia="Arial" w:hAnsi="Times" w:cs="Arial"/>
          <w:sz w:val="24"/>
          <w:szCs w:val="24"/>
        </w:rPr>
        <w:t xml:space="preserve"> the acquired studies. Demographic information and histopathological findings were documented.</w:t>
      </w:r>
    </w:p>
    <w:p w14:paraId="3F7A5A7A" w14:textId="27ADC133" w:rsidR="00D76CE3" w:rsidRPr="00D22AA7" w:rsidRDefault="00DD783C" w:rsidP="00BA5497">
      <w:pPr>
        <w:pStyle w:val="MDPI31text"/>
        <w:spacing w:line="276" w:lineRule="auto"/>
        <w:ind w:left="0" w:firstLine="0"/>
        <w:rPr>
          <w:rFonts w:ascii="Times" w:eastAsia="Arial" w:hAnsi="Times" w:cs="Arial"/>
          <w:b/>
          <w:bCs/>
          <w:sz w:val="24"/>
          <w:szCs w:val="24"/>
        </w:rPr>
      </w:pPr>
      <w:r w:rsidRPr="00D22AA7">
        <w:rPr>
          <w:rFonts w:ascii="Times" w:eastAsia="Arial" w:hAnsi="Times" w:cs="Arial"/>
          <w:b/>
          <w:bCs/>
          <w:sz w:val="24"/>
          <w:szCs w:val="24"/>
        </w:rPr>
        <w:t>5.2.1.</w:t>
      </w:r>
      <w:r w:rsidR="00780971" w:rsidRPr="00D22AA7">
        <w:rPr>
          <w:rFonts w:ascii="Times" w:eastAsia="Arial" w:hAnsi="Times" w:cs="Arial"/>
          <w:b/>
          <w:bCs/>
          <w:sz w:val="24"/>
          <w:szCs w:val="24"/>
        </w:rPr>
        <w:t xml:space="preserve">2. </w:t>
      </w:r>
      <w:r w:rsidR="00D45672" w:rsidRPr="00D22AA7">
        <w:rPr>
          <w:rFonts w:ascii="Times" w:eastAsia="Arial" w:hAnsi="Times" w:cs="Arial"/>
          <w:b/>
          <w:bCs/>
          <w:sz w:val="24"/>
          <w:szCs w:val="24"/>
        </w:rPr>
        <w:t xml:space="preserve">MRI technique </w:t>
      </w:r>
    </w:p>
    <w:p w14:paraId="11CC9172" w14:textId="77777777" w:rsidR="00780971" w:rsidRPr="00D22AA7" w:rsidRDefault="52A9B895" w:rsidP="00BA5497">
      <w:pPr>
        <w:pStyle w:val="MDPI31text"/>
        <w:spacing w:line="276" w:lineRule="auto"/>
        <w:ind w:left="0" w:firstLine="0"/>
        <w:rPr>
          <w:rFonts w:ascii="Times" w:eastAsia="Arial" w:hAnsi="Times" w:cs="Arial"/>
          <w:sz w:val="24"/>
          <w:szCs w:val="24"/>
        </w:rPr>
      </w:pPr>
      <w:r w:rsidRPr="00D22AA7">
        <w:rPr>
          <w:rFonts w:ascii="Times" w:eastAsia="Arial" w:hAnsi="Times" w:cs="Arial"/>
          <w:sz w:val="24"/>
          <w:szCs w:val="24"/>
        </w:rPr>
        <w:t>All patients underwent MRI using an identical protocol on a 1.5T scanner (</w:t>
      </w:r>
      <w:proofErr w:type="spellStart"/>
      <w:r w:rsidRPr="00D22AA7">
        <w:rPr>
          <w:rFonts w:ascii="Times" w:eastAsia="Arial" w:hAnsi="Times" w:cs="Arial"/>
          <w:sz w:val="24"/>
          <w:szCs w:val="24"/>
        </w:rPr>
        <w:t>Achieva</w:t>
      </w:r>
      <w:proofErr w:type="spellEnd"/>
      <w:r w:rsidRPr="00D22AA7">
        <w:rPr>
          <w:rFonts w:ascii="Times" w:eastAsia="Arial" w:hAnsi="Times" w:cs="Arial"/>
          <w:sz w:val="24"/>
          <w:szCs w:val="24"/>
        </w:rPr>
        <w:t xml:space="preserve">, Philips Healthcare, Best, The Netherlands) with a phased array coil (16 channel HD Torso XL). The sequence details are outlined in Table 1. The standard bladder MRI protocol comprised axial, coronal, and sagittal T2-weighted images, axial T1-weighted images, and diffusion weighted imaging (DWI) with b values of 0, 800, and 1400 s/mm2. ADC maps were generated from the DWI images. Following non-contrast imaging, patients received 1 mmol/kg body weight of contrast agent (Gd-DOTA, </w:t>
      </w:r>
      <w:proofErr w:type="spellStart"/>
      <w:r w:rsidRPr="00D22AA7">
        <w:rPr>
          <w:rFonts w:ascii="Times" w:eastAsia="Arial" w:hAnsi="Times" w:cs="Arial"/>
          <w:sz w:val="24"/>
          <w:szCs w:val="24"/>
        </w:rPr>
        <w:t>Dotarem</w:t>
      </w:r>
      <w:proofErr w:type="spellEnd"/>
      <w:r w:rsidRPr="00D22AA7">
        <w:rPr>
          <w:rFonts w:ascii="Times" w:eastAsia="Arial" w:hAnsi="Times" w:cs="Arial"/>
          <w:sz w:val="24"/>
          <w:szCs w:val="24"/>
        </w:rPr>
        <w:t xml:space="preserve">®, </w:t>
      </w:r>
      <w:proofErr w:type="spellStart"/>
      <w:r w:rsidRPr="00D22AA7">
        <w:rPr>
          <w:rFonts w:ascii="Times" w:eastAsia="Arial" w:hAnsi="Times" w:cs="Arial"/>
          <w:sz w:val="24"/>
          <w:szCs w:val="24"/>
        </w:rPr>
        <w:t>Guerbet</w:t>
      </w:r>
      <w:proofErr w:type="spellEnd"/>
      <w:r w:rsidRPr="00D22AA7">
        <w:rPr>
          <w:rFonts w:ascii="Times" w:eastAsia="Arial" w:hAnsi="Times" w:cs="Arial"/>
          <w:sz w:val="24"/>
          <w:szCs w:val="24"/>
        </w:rPr>
        <w:t xml:space="preserve">, USA) at 3 ml/s, followed by 20-30 ml of saline solution at the same rate. A volumetric 3D-T1-GRE sequence was then performed to obtain the prostate perfusion study (dynamic contrast-enhanced - DCE). </w:t>
      </w:r>
    </w:p>
    <w:p w14:paraId="1A66C44E" w14:textId="016EC6C8" w:rsidR="00D76CE3" w:rsidRPr="00D22AA7" w:rsidRDefault="00780971" w:rsidP="00BA5497">
      <w:pPr>
        <w:pStyle w:val="MDPI31text"/>
        <w:spacing w:line="276" w:lineRule="auto"/>
        <w:ind w:left="0" w:firstLine="0"/>
        <w:rPr>
          <w:rFonts w:ascii="Times" w:eastAsia="Arial" w:hAnsi="Times" w:cs="Arial"/>
          <w:b/>
          <w:bCs/>
          <w:sz w:val="24"/>
          <w:szCs w:val="24"/>
        </w:rPr>
      </w:pPr>
      <w:r w:rsidRPr="00D22AA7">
        <w:rPr>
          <w:rFonts w:ascii="Times" w:eastAsia="Arial" w:hAnsi="Times" w:cs="Arial"/>
          <w:b/>
          <w:bCs/>
          <w:sz w:val="24"/>
          <w:szCs w:val="24"/>
        </w:rPr>
        <w:t xml:space="preserve">5.2.1.3. </w:t>
      </w:r>
      <w:r w:rsidR="66779EFB" w:rsidRPr="00D22AA7">
        <w:rPr>
          <w:rFonts w:ascii="Times" w:eastAsia="Arial" w:hAnsi="Times" w:cs="Arial"/>
          <w:b/>
          <w:bCs/>
          <w:sz w:val="24"/>
          <w:szCs w:val="24"/>
        </w:rPr>
        <w:t xml:space="preserve">Qualitative imaging analysis </w:t>
      </w:r>
    </w:p>
    <w:p w14:paraId="1FBB30DE" w14:textId="323B109A" w:rsidR="003964D3" w:rsidRDefault="52A9B895" w:rsidP="00BA5497">
      <w:pPr>
        <w:pStyle w:val="MDPI31text"/>
        <w:spacing w:line="276" w:lineRule="auto"/>
        <w:ind w:left="0" w:firstLine="0"/>
        <w:rPr>
          <w:rFonts w:ascii="Times" w:eastAsia="Arial" w:hAnsi="Times" w:cs="Arial"/>
          <w:sz w:val="24"/>
          <w:szCs w:val="24"/>
        </w:rPr>
      </w:pPr>
      <w:r w:rsidRPr="00D22AA7">
        <w:rPr>
          <w:rFonts w:ascii="Times" w:eastAsia="Arial" w:hAnsi="Times" w:cs="Arial"/>
          <w:sz w:val="24"/>
          <w:szCs w:val="24"/>
        </w:rPr>
        <w:t>We developed a novel operational methodology for implementing a radiomics s</w:t>
      </w:r>
      <w:r w:rsidR="4290DC23" w:rsidRPr="00D22AA7">
        <w:rPr>
          <w:rFonts w:ascii="Times" w:eastAsia="Arial" w:hAnsi="Times" w:cs="Arial"/>
          <w:sz w:val="24"/>
          <w:szCs w:val="24"/>
        </w:rPr>
        <w:t>tudy</w:t>
      </w:r>
      <w:r w:rsidRPr="00D22AA7">
        <w:rPr>
          <w:rFonts w:ascii="Times" w:eastAsia="Arial" w:hAnsi="Times" w:cs="Arial"/>
          <w:sz w:val="24"/>
          <w:szCs w:val="24"/>
        </w:rPr>
        <w:t xml:space="preserve"> with bladder lesions undergoing </w:t>
      </w:r>
      <w:r w:rsidR="638F2BE1" w:rsidRPr="00D22AA7">
        <w:rPr>
          <w:rFonts w:ascii="Times" w:eastAsia="Arial" w:hAnsi="Times" w:cs="Arial"/>
          <w:sz w:val="24"/>
          <w:szCs w:val="24"/>
        </w:rPr>
        <w:t>MRI</w:t>
      </w:r>
      <w:r w:rsidRPr="00D22AA7">
        <w:rPr>
          <w:rFonts w:ascii="Times" w:eastAsia="Arial" w:hAnsi="Times" w:cs="Arial"/>
          <w:sz w:val="24"/>
          <w:szCs w:val="24"/>
        </w:rPr>
        <w:t xml:space="preserve">. This approach was achieved by integrating and modifying various existing and new techniques, some of which were previously utilized in other studies  </w:t>
      </w:r>
      <w:r w:rsidR="003964D3"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{"citationID":"ydmFDRyO","properties":{"formattedCitation":"[196]","plainCitation":"[196]","noteIndex":0},"citationItems":[{"id":16023,"uris":["http://zotero.org/users/9439317/items/76PMMG4D"],"itemData":{"id":16023,"type":"paper-conference","abstract":"‘Radiomics’ is utilized to improve the prediction of patient overall survival and/or outcome. Target segmentation, feature extraction, feature selection, and classification model are the fundamental blocks of a radiomics workflow. Nevertheless, these blocks can be affected by several issues, i.e. high inter- and intra-observer variability. To overcome these issues obtaining reproducible results, we propose a novel radiomics workflow to identify a relevant prognostic model concerning a real clinical problem. In the specific, we propose an operator-independent segmentation system with the consequent automatic extraction of radiomics features, and a novel feature selection approach to create a relevant predictive model in 46 patients with prostate lesion underwent magnetic resonance imaging.","container-title":"Medical Image Understanding and Analysis","event-place":"Cham","ISBN":"978-3-030-52791-4","page":"280-293","publisher":"Springer International Publishing","publisher-place":"Cham","title":"Radiomics: A New Biomedical Workflow to Create a Predictive Model","author":[{"family":"Comelli","given":"Albert"},{"family":"Stefano","given":"Alessandro"},{"family":"Coronnello","given":"Claudia"},{"family":"Russo","given":"Giorgio"},{"family":"Vernuccio","given":"Federica"},{"family":"Cannella","given":"Roberto"},{"family":"Salvaggio","given":"Giuseppe"},{"family":"Lagalla","given":"Roberto"},{"family":"Barone","given":"Stefano"}],"editor":[{"family":"Papież","given":"Bartłomiej W."},{"family":"Namburete","given":"Ana I. L."},{"family":"Yaqub","given":"Mohammad"},{"family":"Noble","given":"J. Alison"}],"issued":{"date-parts":[["2020"]]}}}],"schema":"https://github.com/citation-style-language/schema/raw/master/csl-citation.json"} </w:instrText>
      </w:r>
      <w:r w:rsidR="003964D3" w:rsidRPr="00D22AA7">
        <w:rPr>
          <w:rFonts w:ascii="Times" w:eastAsia="Arial" w:hAnsi="Times" w:cs="Arial"/>
          <w:sz w:val="24"/>
          <w:szCs w:val="24"/>
        </w:rPr>
        <w:fldChar w:fldCharType="separate"/>
      </w:r>
      <w:r w:rsidR="0056095D">
        <w:rPr>
          <w:rFonts w:ascii="Times" w:eastAsia="Arial" w:hAnsi="Times" w:cs="Arial"/>
          <w:noProof/>
          <w:sz w:val="24"/>
          <w:szCs w:val="24"/>
        </w:rPr>
        <w:t>[196]</w:t>
      </w:r>
      <w:r w:rsidR="003964D3" w:rsidRPr="00D22AA7">
        <w:rPr>
          <w:rFonts w:ascii="Times" w:eastAsia="Arial" w:hAnsi="Times" w:cs="Arial"/>
          <w:sz w:val="24"/>
          <w:szCs w:val="24"/>
        </w:rPr>
        <w:fldChar w:fldCharType="end"/>
      </w:r>
      <w:r w:rsidRPr="00D22AA7">
        <w:rPr>
          <w:rFonts w:ascii="Times" w:eastAsia="Arial" w:hAnsi="Times" w:cs="Arial"/>
          <w:sz w:val="24"/>
          <w:szCs w:val="24"/>
        </w:rPr>
        <w:t xml:space="preserve">. Our method successfully addressed the constraints typically associated with radiomics research. The process began with the identification of target lesions, followed by a three-dimensional segmentation of both the lesions and the adjacent bladder wall </w:t>
      </w:r>
      <w:r w:rsidR="003964D3"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{"citationID":"Dia42f7T","properties":{"formattedCitation":"[197]","plainCitation":"[197]","noteIndex":0},"citationItems":[{"id":5749,"uris":["http://zotero.org/users/9439317/items/STYBLX7D"],"itemData":{"id":5749,"type":"paper-conference","abstract":"Aim: To verify the accuracy of different segmentation algorithms applied on a dataset of 50 patients suffering from enlargement of the median lobe of the prostate district, to establish whether it is possible to support the work of medical physicians in radiomics analyses through semi-automatic segmentation approaches.","container-title":"Image Analysis and Processing. ICIAP 2022 Workshops","event-place":"Cham","ISBN":"978-3-031-13321-3","page":"462-472","publisher":"Springer International Publishing","publisher-place":"Cham","title":"Robustness of Radiomics Features to Varying Segmentation Algorithms in Magnetic Resonance Images","author":[{"family":"Cairone","given":"Luca"},{"family":"Benfante","given":"Viviana"},{"family":"Bignardi","given":"Samuel"},{"family":"Marinozzi","given":"Franco"},{"family":"Yezzi","given":"Anthony"},{"family":"Tuttolomondo","given":"Antonino"},{"family":"Salvaggio","given":"Giuseppe"},{"family":"Bini","given":"Fabiano"},{"family":"Comelli","given":"Albert"}],"editor":[{"family":"Mazzeo","given":"Pier Luigi"},{"family":"Frontoni","given":"Emanuele"},{"family":"Sclaroff","given":"Stan"},{"family":"Distante","given":"Cosimo"}],"issued":{"date-parts":[["2022"]]}}}],"schema":"https://github.com/citation-style-language/schema/raw/master/csl-citation.json"} </w:instrText>
      </w:r>
      <w:r w:rsidR="003964D3" w:rsidRPr="00D22AA7">
        <w:rPr>
          <w:rFonts w:ascii="Times" w:eastAsia="Arial" w:hAnsi="Times" w:cs="Arial"/>
          <w:sz w:val="24"/>
          <w:szCs w:val="24"/>
        </w:rPr>
        <w:fldChar w:fldCharType="separate"/>
      </w:r>
      <w:r w:rsidR="0056095D">
        <w:rPr>
          <w:rFonts w:ascii="Times" w:eastAsia="Arial" w:hAnsi="Times" w:cs="Arial"/>
          <w:noProof/>
          <w:sz w:val="24"/>
          <w:szCs w:val="24"/>
        </w:rPr>
        <w:t>[197]</w:t>
      </w:r>
      <w:r w:rsidR="003964D3" w:rsidRPr="00D22AA7">
        <w:rPr>
          <w:rFonts w:ascii="Times" w:eastAsia="Arial" w:hAnsi="Times" w:cs="Arial"/>
          <w:sz w:val="24"/>
          <w:szCs w:val="24"/>
        </w:rPr>
        <w:fldChar w:fldCharType="end"/>
      </w:r>
      <w:r w:rsidRPr="00D22AA7">
        <w:rPr>
          <w:rFonts w:ascii="Times" w:eastAsia="Arial" w:hAnsi="Times" w:cs="Arial"/>
          <w:sz w:val="24"/>
          <w:szCs w:val="24"/>
        </w:rPr>
        <w:t>.</w:t>
      </w:r>
    </w:p>
    <w:p w14:paraId="687E5738" w14:textId="77777777" w:rsidR="006E2F9A" w:rsidRDefault="006E2F9A" w:rsidP="2C6AA39A">
      <w:pPr>
        <w:pStyle w:val="MDPI31text"/>
        <w:ind w:left="0" w:firstLine="0"/>
        <w:rPr>
          <w:rFonts w:ascii="Times" w:eastAsia="Arial" w:hAnsi="Times" w:cs="Arial"/>
          <w:sz w:val="24"/>
          <w:szCs w:val="24"/>
        </w:rPr>
      </w:pPr>
    </w:p>
    <w:p w14:paraId="63B796F7" w14:textId="129E4584" w:rsidR="006E2F9A" w:rsidRDefault="006E2F9A" w:rsidP="2C6AA39A">
      <w:pPr>
        <w:pStyle w:val="MDPI31text"/>
        <w:ind w:left="0" w:firstLine="0"/>
      </w:pPr>
      <w:r>
        <w:fldChar w:fldCharType="begin"/>
      </w:r>
      <w:r>
        <w:instrText xml:space="preserve"> INCLUDEPICTURE "https://media.springernature.com/full/springer-static/image/chp%3A10.1007%2F978-3-031-51026-7_9/MediaObjects/558088_1_En_9_Fig1_HTML.png" \* MERGEFORMATINET </w:instrText>
      </w:r>
      <w:r>
        <w:fldChar w:fldCharType="separate"/>
      </w:r>
      <w:r>
        <w:rPr>
          <w:noProof/>
        </w:rPr>
        <w:drawing>
          <wp:inline distT="0" distB="0" distL="0" distR="0" wp14:anchorId="0CEB08DC" wp14:editId="449E93F0">
            <wp:extent cx="5943600" cy="1941830"/>
            <wp:effectExtent l="0" t="0" r="0" b="1270"/>
            <wp:docPr id="16486738" name="Picture 14"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g.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1941830"/>
                    </a:xfrm>
                    <a:prstGeom prst="rect">
                      <a:avLst/>
                    </a:prstGeom>
                    <a:noFill/>
                    <a:ln>
                      <a:noFill/>
                    </a:ln>
                  </pic:spPr>
                </pic:pic>
              </a:graphicData>
            </a:graphic>
          </wp:inline>
        </w:drawing>
      </w:r>
      <w:r>
        <w:fldChar w:fldCharType="end"/>
      </w:r>
    </w:p>
    <w:p w14:paraId="54CB61F8" w14:textId="77777777" w:rsidR="006E2F9A" w:rsidRDefault="006E2F9A" w:rsidP="2C6AA39A">
      <w:pPr>
        <w:pStyle w:val="MDPI31text"/>
        <w:ind w:left="0" w:firstLine="0"/>
      </w:pPr>
    </w:p>
    <w:p w14:paraId="3D2729B1" w14:textId="3244CDCF" w:rsidR="006E2F9A" w:rsidRDefault="006E2F9A" w:rsidP="2C6AA39A">
      <w:pPr>
        <w:pStyle w:val="MDPI31text"/>
        <w:ind w:left="0" w:firstLine="0"/>
        <w:rPr>
          <w:rFonts w:ascii="Times" w:eastAsia="Arial" w:hAnsi="Times" w:cs="Arial"/>
          <w:szCs w:val="20"/>
        </w:rPr>
      </w:pPr>
      <w:r w:rsidRPr="00BE3BB8">
        <w:rPr>
          <w:rFonts w:ascii="Times" w:eastAsia="Arial" w:hAnsi="Times" w:cs="Arial"/>
          <w:b/>
          <w:bCs/>
          <w:szCs w:val="20"/>
        </w:rPr>
        <w:t>Figure</w:t>
      </w:r>
      <w:r w:rsidR="00541014" w:rsidRPr="00BE3BB8">
        <w:rPr>
          <w:rFonts w:ascii="Times" w:eastAsia="Arial" w:hAnsi="Times" w:cs="Arial"/>
          <w:b/>
          <w:bCs/>
          <w:szCs w:val="20"/>
        </w:rPr>
        <w:t xml:space="preserve"> 18. </w:t>
      </w:r>
      <w:r w:rsidRPr="00BE3BB8">
        <w:rPr>
          <w:rFonts w:ascii="Times" w:eastAsia="Arial" w:hAnsi="Times" w:cs="Arial"/>
          <w:szCs w:val="20"/>
        </w:rPr>
        <w:t xml:space="preserve"> A: Low-grade bladder lesion in the right posterior wall (indicated by the red arrow). B: High-grade bladder lesion in the right anterior wall (indicated by the red arrow). C: Muscle-invasive bladder cancer (MIBC) in the left lateral wall (indicated by the red arrow).</w:t>
      </w:r>
    </w:p>
    <w:p w14:paraId="341C9249" w14:textId="77777777" w:rsidR="00AE524C" w:rsidRPr="00BE3BB8" w:rsidRDefault="00AE524C" w:rsidP="2C6AA39A">
      <w:pPr>
        <w:pStyle w:val="MDPI31text"/>
        <w:ind w:left="0" w:firstLine="0"/>
        <w:rPr>
          <w:rFonts w:ascii="Times" w:eastAsia="Arial" w:hAnsi="Times" w:cs="Arial"/>
          <w:szCs w:val="20"/>
        </w:rPr>
      </w:pPr>
    </w:p>
    <w:p w14:paraId="73342CA3" w14:textId="0CBA0D6F" w:rsidR="00386CA0" w:rsidRPr="00D22AA7" w:rsidRDefault="00780971" w:rsidP="0DE242D6">
      <w:pPr>
        <w:pStyle w:val="MDPI31text"/>
        <w:ind w:left="0" w:firstLine="0"/>
        <w:rPr>
          <w:rFonts w:ascii="Times" w:hAnsi="Times"/>
          <w:sz w:val="24"/>
          <w:szCs w:val="24"/>
        </w:rPr>
      </w:pPr>
      <w:r w:rsidRPr="00D22AA7">
        <w:rPr>
          <w:rFonts w:ascii="Times" w:hAnsi="Times" w:cs="Arial"/>
          <w:b/>
          <w:bCs/>
          <w:sz w:val="24"/>
          <w:szCs w:val="24"/>
        </w:rPr>
        <w:lastRenderedPageBreak/>
        <w:t xml:space="preserve">5.2.1.4. </w:t>
      </w:r>
      <w:r w:rsidR="00D45672" w:rsidRPr="00D22AA7">
        <w:rPr>
          <w:rFonts w:ascii="Times" w:hAnsi="Times" w:cs="Arial"/>
          <w:b/>
          <w:bCs/>
          <w:sz w:val="24"/>
          <w:szCs w:val="24"/>
        </w:rPr>
        <w:t xml:space="preserve">Segmentation and radiomics features extraction </w:t>
      </w:r>
    </w:p>
    <w:p w14:paraId="53C603E7" w14:textId="77777777" w:rsidR="00660694" w:rsidRPr="00D22AA7" w:rsidRDefault="00660694" w:rsidP="2C6AA39A">
      <w:pPr>
        <w:pStyle w:val="MDPI31text"/>
        <w:ind w:left="0" w:firstLine="0"/>
        <w:rPr>
          <w:rFonts w:ascii="Times" w:eastAsia="Arial" w:hAnsi="Times" w:cs="Arial"/>
          <w:sz w:val="24"/>
          <w:szCs w:val="24"/>
        </w:rPr>
      </w:pPr>
    </w:p>
    <w:p w14:paraId="2EAAE868" w14:textId="74D1C515" w:rsidR="00660694" w:rsidRPr="00D22AA7" w:rsidRDefault="4EC9FBDE" w:rsidP="00780971">
      <w:pPr>
        <w:pStyle w:val="MDPI31text"/>
        <w:ind w:left="0" w:firstLine="0"/>
        <w:rPr>
          <w:rFonts w:ascii="Times" w:eastAsia="Arial" w:hAnsi="Times" w:cs="Arial"/>
          <w:sz w:val="24"/>
          <w:szCs w:val="24"/>
        </w:rPr>
      </w:pPr>
      <w:proofErr w:type="spellStart"/>
      <w:r w:rsidRPr="00D22AA7">
        <w:rPr>
          <w:rFonts w:ascii="Times" w:eastAsia="Arial" w:hAnsi="Times" w:cs="Arial"/>
          <w:sz w:val="24"/>
          <w:szCs w:val="24"/>
        </w:rPr>
        <w:t>PyRadiomics</w:t>
      </w:r>
      <w:proofErr w:type="spellEnd"/>
      <w:r w:rsidRPr="00D22AA7">
        <w:rPr>
          <w:rFonts w:ascii="Times" w:eastAsia="Arial" w:hAnsi="Times" w:cs="Arial"/>
          <w:sz w:val="24"/>
          <w:szCs w:val="24"/>
        </w:rPr>
        <w:t xml:space="preserve"> (3.0, Computational Imaging &amp; Bioinformatics lab - Harvard Medical School) was employed to extract radiomics parameters. Each ROI yielded over 120 automated radiomics parameters, encompassing first-order texture parameters (related to gray level distribution within the ROI, disregarding spatial relationships between voxels), second-order parameters (considering voxel spatial relationships), and third-order parameters (evaluating spatial relationships among three or more voxels). Texture parameters were derived from gray level histogram analysis</w:t>
      </w:r>
      <w:r w:rsidR="05DF9BA5" w:rsidRPr="00D22AA7">
        <w:rPr>
          <w:rFonts w:ascii="Times" w:eastAsia="Arial" w:hAnsi="Times" w:cs="Arial"/>
          <w:sz w:val="24"/>
          <w:szCs w:val="24"/>
        </w:rPr>
        <w:t>.</w:t>
      </w:r>
      <w:r w:rsidRPr="00D22AA7">
        <w:rPr>
          <w:rFonts w:ascii="Times" w:eastAsia="Arial" w:hAnsi="Times" w:cs="Arial"/>
          <w:sz w:val="24"/>
          <w:szCs w:val="24"/>
        </w:rPr>
        <w:t xml:space="preserve"> Additionally, a "run-length matrix" was calculated in four directions. Detailed descriptions of radiomics parameters can be found in the </w:t>
      </w:r>
      <w:proofErr w:type="spellStart"/>
      <w:r w:rsidRPr="00D22AA7">
        <w:rPr>
          <w:rFonts w:ascii="Times" w:eastAsia="Arial" w:hAnsi="Times" w:cs="Arial"/>
          <w:sz w:val="24"/>
          <w:szCs w:val="24"/>
        </w:rPr>
        <w:t>PyRadiomics</w:t>
      </w:r>
      <w:proofErr w:type="spellEnd"/>
      <w:r w:rsidRPr="00D22AA7">
        <w:rPr>
          <w:rFonts w:ascii="Times" w:eastAsia="Arial" w:hAnsi="Times" w:cs="Arial"/>
          <w:sz w:val="24"/>
          <w:szCs w:val="24"/>
        </w:rPr>
        <w:t xml:space="preserve"> online manual  </w:t>
      </w:r>
      <w:r w:rsidR="00660694"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{"citationID":"rQWfNam3","properties":{"formattedCitation":"[198]","plainCitation":"[198]","noteIndex":0},"citationItems":[{"id":16025,"uris":["http://zotero.org/users/9439317/items/CLYUWQV7"],"itemData":{"id":16025,"type":"article-journal","container-title":"Recenti Progressi in Medicina","ISSN":"0034-1193","issue":"3","journalAbbreviation":"Recenti Progressi in Medicina","page":"130-135","title":"Radiomics and artificial intelligence: new frontiers in medicine.","volume":"111","author":[{"family":"Vernuccio","given":"Federica"},{"family":"Cannella","given":"Roberto"},{"family":"Comelli","given":"Albert"},{"family":"Salvaggio","given":"Giuseppe"},{"family":"Lagalla","given":"Roberto"},{"family":"Midiri","given":"Massimo"}],"issued":{"date-parts":[["2020"]]}}}],"schema":"https://github.com/citation-style-language/schema/raw/master/csl-citation.json"} </w:instrText>
      </w:r>
      <w:r w:rsidR="00660694" w:rsidRPr="00D22AA7">
        <w:rPr>
          <w:rFonts w:ascii="Times" w:eastAsia="Arial" w:hAnsi="Times" w:cs="Arial"/>
          <w:sz w:val="24"/>
          <w:szCs w:val="24"/>
        </w:rPr>
        <w:fldChar w:fldCharType="separate"/>
      </w:r>
      <w:r w:rsidR="0056095D">
        <w:rPr>
          <w:rFonts w:ascii="Times" w:eastAsia="Arial" w:hAnsi="Times" w:cs="Arial"/>
          <w:noProof/>
          <w:sz w:val="24"/>
          <w:szCs w:val="24"/>
        </w:rPr>
        <w:t>[198]</w:t>
      </w:r>
      <w:r w:rsidR="00660694" w:rsidRPr="00D22AA7">
        <w:rPr>
          <w:rFonts w:ascii="Times" w:eastAsia="Arial" w:hAnsi="Times" w:cs="Arial"/>
          <w:sz w:val="24"/>
          <w:szCs w:val="24"/>
        </w:rPr>
        <w:fldChar w:fldCharType="end"/>
      </w:r>
      <w:r w:rsidRPr="00D22AA7">
        <w:rPr>
          <w:rFonts w:ascii="Times" w:eastAsia="Arial" w:hAnsi="Times" w:cs="Arial"/>
          <w:sz w:val="24"/>
          <w:szCs w:val="24"/>
        </w:rPr>
        <w:t>.</w:t>
      </w:r>
    </w:p>
    <w:p w14:paraId="3AA79B50" w14:textId="6DA2B60B" w:rsidR="00660694" w:rsidRPr="00D22AA7" w:rsidRDefault="00660694" w:rsidP="00660694">
      <w:pPr>
        <w:pStyle w:val="MDPI31text"/>
        <w:ind w:left="0" w:firstLine="0"/>
        <w:rPr>
          <w:rFonts w:ascii="Times" w:eastAsia="Arial" w:hAnsi="Times" w:cs="Arial"/>
          <w:sz w:val="24"/>
          <w:szCs w:val="24"/>
        </w:rPr>
      </w:pPr>
      <w:r w:rsidRPr="00D22AA7">
        <w:rPr>
          <w:rFonts w:ascii="Times" w:eastAsia="Arial" w:hAnsi="Times" w:cs="Arial"/>
          <w:sz w:val="24"/>
          <w:szCs w:val="24"/>
        </w:rPr>
        <w:t>Computational and statistical analyses</w:t>
      </w:r>
    </w:p>
    <w:p w14:paraId="214B1EA7" w14:textId="5954FBB9" w:rsidR="00EF3E65" w:rsidRPr="00D22AA7" w:rsidRDefault="00780971" w:rsidP="2C6AA39A">
      <w:pPr>
        <w:pStyle w:val="MDPI31text"/>
        <w:ind w:left="0" w:firstLine="0"/>
        <w:rPr>
          <w:rFonts w:ascii="Times" w:eastAsia="Arial" w:hAnsi="Times" w:cs="Arial"/>
          <w:b/>
          <w:bCs/>
          <w:sz w:val="24"/>
          <w:szCs w:val="24"/>
        </w:rPr>
      </w:pPr>
      <w:r w:rsidRPr="00D22AA7">
        <w:rPr>
          <w:rFonts w:ascii="Times" w:eastAsia="Arial" w:hAnsi="Times" w:cs="Arial"/>
          <w:b/>
          <w:bCs/>
          <w:sz w:val="24"/>
          <w:szCs w:val="24"/>
        </w:rPr>
        <w:t xml:space="preserve">5.2.1.5. </w:t>
      </w:r>
      <w:r w:rsidR="66779EFB" w:rsidRPr="00D22AA7">
        <w:rPr>
          <w:rFonts w:ascii="Times" w:eastAsia="Arial" w:hAnsi="Times" w:cs="Arial"/>
          <w:b/>
          <w:bCs/>
          <w:sz w:val="24"/>
          <w:szCs w:val="24"/>
        </w:rPr>
        <w:t xml:space="preserve">Computational and statistical analyses </w:t>
      </w:r>
    </w:p>
    <w:p w14:paraId="5179F5A3" w14:textId="56A04395" w:rsidR="00386CA0" w:rsidRPr="00D22AA7" w:rsidRDefault="2D54159A" w:rsidP="2C6AA39A">
      <w:pPr>
        <w:pStyle w:val="MDPI31text"/>
        <w:ind w:left="0" w:firstLine="0"/>
        <w:rPr>
          <w:rFonts w:ascii="Times" w:eastAsia="Arial" w:hAnsi="Times" w:cs="Arial"/>
          <w:sz w:val="24"/>
          <w:szCs w:val="24"/>
        </w:rPr>
      </w:pPr>
      <w:r w:rsidRPr="00D22AA7">
        <w:rPr>
          <w:rFonts w:ascii="Times" w:hAnsi="Times"/>
          <w:noProof/>
          <w:sz w:val="24"/>
          <w:szCs w:val="24"/>
        </w:rPr>
        <w:t>The computational analysis of radiomics features was performed by an experienced senior scientist specializing in biomedical imaging, with a decade of expertise in image and data processing and analysis. This expert had access to both the extracted radiomic features and the reference standards for comparison. The gathered data, which consisted of continuous variables, were presented as mean values along with standard deviation (SD), while categorical variables were represented as frequencies and percentages. According to the histopathological results, the lesions under analysis were categorized into two groups: "low grade" and "high grade," as well as "non-muscle invasive" and "muscle invasive." Our approach to MRI texture analysis incorporated an operator-independent statistical system designed for feature reduction and selection. This system was integrated with a predictive method based on discriminant analysis, following methodologies applied in previous studies for similar analyses.</w:t>
      </w:r>
      <w:r w:rsidRPr="00D22AA7">
        <w:rPr>
          <w:rFonts w:ascii="Times" w:eastAsia="Arial" w:hAnsi="Times" w:cs="Arial"/>
          <w:noProof/>
          <w:sz w:val="24"/>
          <w:szCs w:val="24"/>
        </w:rPr>
        <w:t xml:space="preserve"> </w:t>
      </w:r>
      <w:r w:rsidR="00D45672" w:rsidRPr="00D22AA7">
        <w:rPr>
          <w:rFonts w:ascii="Times" w:eastAsia="Arial" w:hAnsi="Times" w:cs="Arial"/>
          <w:sz w:val="24"/>
          <w:szCs w:val="24"/>
        </w:rPr>
        <w:fldChar w:fldCharType="begin"/>
      </w:r>
      <w:r w:rsidR="0056095D">
        <w:rPr>
          <w:rFonts w:ascii="Times" w:eastAsia="Arial" w:hAnsi="Times" w:cs="Arial"/>
          <w:sz w:val="24"/>
          <w:szCs w:val="24"/>
        </w:rPr>
        <w:instrText xml:space="preserve"> ADDIN ZOTERO_ITEM CSL_CITATION {"citationID":"2J8AtrKN","properties":{"formattedCitation":"[198,199]","plainCitation":"[198,199]","noteIndex":0},"citationItems":[{"id":16025,"uris":["http://zotero.org/users/9439317/items/CLYUWQV7"],"itemData":{"id":16025,"type":"article-journal","container-title":"Recenti Progressi in Medicina","ISSN":"0034-1193","issue":"3","journalAbbreviation":"Recenti Progressi in Medicina","page":"130-135","title":"Radiomics and artificial intelligence: new frontiers in medicine.","volume":"111","author":[{"family":"Vernuccio","given":"Federica"},{"family":"Cannella","given":"Roberto"},{"family":"Comelli","given":"Albert"},{"family":"Salvaggio","given":"Giuseppe"},{"family":"Lagalla","given":"Roberto"},{"family":"Midiri","given":"Massimo"}],"issued":{"date-parts":[["2020"]]}}},{"id":16026,"uris":["http://zotero.org/users/9439317/items/KAUYMUH3"],"itemData":{"id":16026,"type":"article-journal","abstract":"Our goal is to determine the ability of multi-parametric magnetic resonance imaging (mpMRI) to differentiate muscle invasive bladder cancer (MIBC) from non-muscle invasive bladder cancer (NMIBC).","container-title":"European Radiology","DOI":"10.1007/s00330-017-4758-3","ISSN":"1432-1084","issue":"9","journalAbbreviation":"European Radiology","page":"3759-3766","title":"An evaluation of morphological and functional multi-parametric MRI sequences in classifying non-muscle and muscle invasive bladder cancer","URL":"https://doi.org/10.1007/s00330-017-4758-3","volume":"27","author":[{"family":"Panebianco","given":"Valeria"},{"family":"De Berardinis","given":"Ettore"},{"family":"Barchetti","given":"Giovanni"},{"family":"Simone","given":"Giuseppe"},{"family":"Leonardo","given":"Constantino"},{"family":"Grompone","given":"Marcello Domenico"},{"family":"Del Monte","given":"Maurizio"},{"family":"Carano","given":"Davide"},{"family":"Gallucci","given":"Michele"},{"family":"Catto","given":"James"},{"family":"Catalano","given":"Carlo"}],"issued":{"date-parts":[["2017",9,1]]}}}],"schema":"https://github.com/citation-style-language/schema/raw/master/csl-citation.json"} </w:instrText>
      </w:r>
      <w:r w:rsidR="00D45672" w:rsidRPr="00D22AA7">
        <w:rPr>
          <w:rFonts w:ascii="Times" w:eastAsia="Arial" w:hAnsi="Times" w:cs="Arial"/>
          <w:sz w:val="24"/>
          <w:szCs w:val="24"/>
        </w:rPr>
        <w:fldChar w:fldCharType="separate"/>
      </w:r>
      <w:r w:rsidR="0056095D">
        <w:rPr>
          <w:rFonts w:ascii="Times" w:eastAsia="Arial" w:hAnsi="Times" w:cs="Arial"/>
          <w:noProof/>
          <w:sz w:val="24"/>
          <w:szCs w:val="24"/>
        </w:rPr>
        <w:t>[198,199]</w:t>
      </w:r>
      <w:r w:rsidR="00D45672" w:rsidRPr="00D22AA7">
        <w:rPr>
          <w:rFonts w:ascii="Times" w:eastAsia="Arial" w:hAnsi="Times" w:cs="Arial"/>
          <w:sz w:val="24"/>
          <w:szCs w:val="24"/>
        </w:rPr>
        <w:fldChar w:fldCharType="end"/>
      </w:r>
      <w:r w:rsidR="66779EFB" w:rsidRPr="00D22AA7">
        <w:rPr>
          <w:rFonts w:ascii="Times" w:eastAsia="Arial" w:hAnsi="Times" w:cs="Arial"/>
          <w:sz w:val="24"/>
          <w:szCs w:val="24"/>
        </w:rPr>
        <w:t>.</w:t>
      </w:r>
    </w:p>
    <w:p w14:paraId="727388DC" w14:textId="2B7B39E2" w:rsidR="0DE242D6" w:rsidRPr="00D22AA7" w:rsidRDefault="66779EFB" w:rsidP="3300C1C8">
      <w:pPr>
        <w:spacing w:before="240" w:after="240"/>
        <w:rPr>
          <w:rFonts w:ascii="Times" w:eastAsia="Arial" w:hAnsi="Times" w:cs="Arial"/>
        </w:rPr>
      </w:pPr>
      <w:r w:rsidRPr="00D22AA7">
        <w:rPr>
          <w:rFonts w:ascii="Times" w:eastAsia="Arial" w:hAnsi="Times" w:cs="Arial"/>
        </w:rPr>
        <w:t>T</w:t>
      </w:r>
      <w:r w:rsidR="392B6230" w:rsidRPr="00D22AA7">
        <w:rPr>
          <w:rFonts w:ascii="Times" w:hAnsi="Times"/>
        </w:rPr>
        <w:t xml:space="preserve"> The initial step involved employing a mixed descriptive-inferential sequential approach aimed at identifying the most discriminating features while simultaneously reducing redundant data. Specifically, for each characteristic, the punctual biserial correlation index between continuous variables and dichotomous variables was computed, with the dichotomous variable assuming values of 1 or 0 (based on the reference standard). Subsequently, the characteristics were ranked in descending order according to the absolute value of their biserial correlation index. Following this, a process of iterative addition was initiated, where one characteristic was added at a time, and logistic regression analysis was performed at each stage. After each iteration, the p-value obtained was compared to that from the previous iteration. The cycle was stopped when no improvement was observed in the p-value of the current iteration compared to the previous one. This procedure allowed for the identification of the most discriminative characteristics, which were crucial for differentiating between "low grade" and "high grade" lesions, as well as between "non-muscle invasive" and "muscle invasive" cases.</w:t>
      </w:r>
    </w:p>
    <w:p w14:paraId="0A1A4FC2" w14:textId="3171A386" w:rsidR="0DE242D6" w:rsidRPr="00D22AA7" w:rsidRDefault="392B6230" w:rsidP="00464466">
      <w:pPr>
        <w:spacing w:before="240" w:after="240"/>
        <w:jc w:val="both"/>
        <w:rPr>
          <w:rFonts w:ascii="Times" w:hAnsi="Times"/>
        </w:rPr>
      </w:pPr>
      <w:r w:rsidRPr="00D22AA7">
        <w:rPr>
          <w:rFonts w:ascii="Times" w:hAnsi="Times"/>
        </w:rPr>
        <w:t xml:space="preserve">In the second phase, discriminant analysis was applied to construct a predictive model tailored to our patient dataset. This method aimed to refine and validate the diagnostic capacity of the identified features, ensuring that they could effectively predict outcomes in clinical practice. Through this dual approach, we sought to enhance the accuracy of our differential diagnoses, ultimately improving the clinical decision-making process </w:t>
      </w:r>
      <w:r w:rsidR="0DE242D6" w:rsidRPr="00D22AA7">
        <w:rPr>
          <w:rFonts w:ascii="Times" w:eastAsia="Arial" w:hAnsi="Times" w:cs="Arial"/>
        </w:rPr>
        <w:fldChar w:fldCharType="begin"/>
      </w:r>
      <w:r w:rsidR="0056095D">
        <w:rPr>
          <w:rFonts w:ascii="Times" w:eastAsia="Arial" w:hAnsi="Times" w:cs="Arial"/>
        </w:rPr>
        <w:instrText xml:space="preserve"> ADDIN ZOTERO_ITEM CSL_CITATION {"citationID":"HgzqAifV","properties":{"formattedCitation":"[186]","plainCitation":"[186]","noteIndex":0},"citationItems":[{"id":16007,"uris":["http://zotero.org/users/9439317/items/BA65IT6S"],"itemData":{"id":16007,"type":"article-journal","container-title":"European urology","ISSN":"0302-2838","issue":"1","journalAbbreviation":"European urology","note":"publisher: Elsevier","page":"93-105","title":"The 2016 WHO classification of tumours of the urinary system and male genital organs—part A: renal, penile, and testicular tumours","volume":"70","author":[{"family":"Moch","given":"Holger"},{"family":"Cubilla","given":"Antonio L"},{"family":"Humphrey","given":"Peter A"},{"family":"Reuter","given":"Victor E"},{"family":"Ulbright","given":"Thomas M"}],"issued":{"date-parts":[["2016"]]}}}],"schema":"https://github.com/citation-style-language/schema/raw/master/csl-citation.json"} </w:instrText>
      </w:r>
      <w:r w:rsidR="0DE242D6" w:rsidRPr="00D22AA7">
        <w:rPr>
          <w:rFonts w:ascii="Times" w:eastAsia="Arial" w:hAnsi="Times" w:cs="Arial"/>
        </w:rPr>
        <w:fldChar w:fldCharType="separate"/>
      </w:r>
      <w:r w:rsidR="0056095D">
        <w:rPr>
          <w:rFonts w:ascii="Times" w:eastAsia="Arial" w:hAnsi="Times" w:cs="Arial"/>
          <w:noProof/>
        </w:rPr>
        <w:t>[186]</w:t>
      </w:r>
      <w:r w:rsidR="0DE242D6" w:rsidRPr="00D22AA7">
        <w:rPr>
          <w:rFonts w:ascii="Times" w:eastAsia="Arial" w:hAnsi="Times" w:cs="Arial"/>
        </w:rPr>
        <w:fldChar w:fldCharType="end"/>
      </w:r>
      <w:r w:rsidR="66779EFB" w:rsidRPr="00D22AA7">
        <w:rPr>
          <w:rFonts w:ascii="Times" w:eastAsia="Arial" w:hAnsi="Times" w:cs="Arial"/>
        </w:rPr>
        <w:t xml:space="preserve">. </w:t>
      </w:r>
      <w:r w:rsidR="3555C71A" w:rsidRPr="00D22AA7">
        <w:rPr>
          <w:rFonts w:ascii="Times" w:eastAsia="Arial" w:hAnsi="Times" w:cs="Arial"/>
        </w:rPr>
        <w:t xml:space="preserve">The discriminant analysis model was trained using the most discriminative features identified during the earlier stages of analysis. This training process aimed to develop an effective predictive tool capable of distinguishing between "low grade" and "high grade" lesions, as well as differentiating between "non-muscle invasive" and "muscle invasive" conditions. After the completion of the training phase, the model was fully </w:t>
      </w:r>
      <w:r w:rsidR="3555C71A" w:rsidRPr="00D22AA7">
        <w:rPr>
          <w:rFonts w:ascii="Times" w:eastAsia="Arial" w:hAnsi="Times" w:cs="Arial"/>
        </w:rPr>
        <w:lastRenderedPageBreak/>
        <w:t xml:space="preserve">equipped to apply the learned patterns and classify the radiomics texture data encountered in subsequent steps. This classification process ensured that the model could accurately assign new, unseen data to the correct diagnostic categories, thereby enhancing its clinical applicability. By leveraging the most relevant features, the trained discriminant analysis model offers a robust and reliable method for </w:t>
      </w:r>
      <w:r w:rsidR="00B85298">
        <w:rPr>
          <w:rFonts w:ascii="Times" w:eastAsia="Arial" w:hAnsi="Times" w:cs="Arial"/>
        </w:rPr>
        <w:t xml:space="preserve">supporting the </w:t>
      </w:r>
      <w:r w:rsidR="3555C71A" w:rsidRPr="00D22AA7">
        <w:rPr>
          <w:rFonts w:ascii="Times" w:eastAsia="Arial" w:hAnsi="Times" w:cs="Arial"/>
        </w:rPr>
        <w:t>predicting the diagnosis, supporting more informed clinical decisions and improving diagnostic precision</w:t>
      </w:r>
      <w:r w:rsidR="66F5E467" w:rsidRPr="00D22AA7">
        <w:rPr>
          <w:rFonts w:ascii="Times" w:eastAsia="Arial" w:hAnsi="Times" w:cs="Arial"/>
        </w:rPr>
        <w:t xml:space="preserve"> </w:t>
      </w:r>
      <w:r w:rsidR="0DE242D6" w:rsidRPr="00D22AA7">
        <w:rPr>
          <w:rFonts w:ascii="Times" w:eastAsia="Arial" w:hAnsi="Times" w:cs="Arial"/>
        </w:rPr>
        <w:fldChar w:fldCharType="begin"/>
      </w:r>
      <w:r w:rsidR="0056095D">
        <w:rPr>
          <w:rFonts w:ascii="Times" w:eastAsia="Arial" w:hAnsi="Times" w:cs="Arial"/>
        </w:rPr>
        <w:instrText xml:space="preserve"> ADDIN ZOTERO_ITEM CSL_CITATION {"citationID":"oSpb26WG","properties":{"formattedCitation":"[200]","plainCitation":"[200]","noteIndex":0},"citationItems":[{"id":6275,"uris":["http://zotero.org/users/9439317/items/946D9PW9"],"itemData":{"id":6275,"type":"article-journal","abstract":"The aim of this study was to investigate the application of [18F]FDG PET/CT images-based textural features analysis to propose radiomics models able to early predict disease progression (PD) and survival outcome in metastatic colorectal cancer (MCC) patients after first adjuvant therapy. For this purpose, 52 MCC patients who underwent [18F]FDGPET/CT during the disease restaging process after the first adjuvant therapy were analyzed. Follow-up data were recorded for a minimum of 12 months after PET/CT. Radiomics features from each avid lesion in PET and low-dose CT images were extracted. A hybrid descriptive-inferential method and the discriminant analysis (DA) were used for feature selection and for predictive model implementation, respectively. The performance of the features in predicting PD was performed for per-lesion analysis, per-patient analysis, and liver lesions analysis. All lesions were again considered to assess the diagnostic performance of the features in discriminating liver lesions. In predicting PD in the whole group of patients, on PET features radiomics analysis, among per-lesion analysis, only the GLZLM_GLNU feature was selected, while three features were selected from PET/CT images data set. The same features resulted more accurately by associating CT features with PET features (AUROC 65.22%). In per-patient analysis, three features for stand-alone PET images and one feature (i.e., HUKurtosis) for the PET/CT data set were selected. Focusing on liver metastasis, in per-lesion analysis, the same analysis recognized one PET feature (GLZLM_GLNU) from PET images and three features from PET/CT data set. Similarly, in liver lesions per-patient analysis, we found three PET features and a PET/CT feature (HUKurtosis). In discrimination of liver metastasis from the rest of the other lesions, optimal results of stand-alone PET imaging were found for one feature (SUVbwmin; AUROC 88.91%) and two features for merged PET/CT features analysis (AUROC 95.33%). In conclusion, our machine learning model on restaging [18F]FDGPET/CT was demonstrated to be feasible and potentially useful in the predictive evaluation of disease progression in MCC.","container-title":"Applied Sciences","DOI":"10.3390/app12062941","ISSN":"2076-3417","issue":"6","title":"Artificial Intelligence Applications on Restaging [18F]FDG PET/CT in Metastatic Colorectal Cancer: A Preliminary Report of Morpho-Functional Radiomics Classification for Prediction of Disease Outcome","volume":"12","author":[{"family":"Alongi","given":"Pierpaolo"},{"family":"Stefano","given":"Alessandro"},{"family":"Comelli","given":"Albert"},{"family":"Spataro","given":"Alessandro"},{"family":"Formica","given":"Giuseppe"},{"family":"Laudicella","given":"Riccardo"},{"family":"Lanzafame","given":"Helena"},{"family":"Panasiti","given":"Francesco"},{"family":"Longo","given":"Costanza"},{"family":"Midiri","given":"Federico"},{"family":"Benfante","given":"Viviana"},{"family":"La Grutta","given":"Ludovico"},{"family":"Burger","given":"Irene A."},{"family":"Bartolotta","given":"Tommaso V."},{"family":"Baldari","given":"Sergio"},{"family":"Lagalla","given":"Roberto"},{"family":"Midiri","given":"Massimo"},{"family":"Russo","given":"Giorgio"}],"issued":{"date-parts":[["2022"]]}}}],"schema":"https://github.com/citation-style-language/schema/raw/master/csl-citation.json"} </w:instrText>
      </w:r>
      <w:r w:rsidR="0DE242D6" w:rsidRPr="00D22AA7">
        <w:rPr>
          <w:rFonts w:ascii="Times" w:eastAsia="Arial" w:hAnsi="Times" w:cs="Arial"/>
        </w:rPr>
        <w:fldChar w:fldCharType="separate"/>
      </w:r>
      <w:r w:rsidR="0056095D">
        <w:rPr>
          <w:rFonts w:ascii="Times" w:eastAsia="Arial" w:hAnsi="Times" w:cs="Arial"/>
          <w:noProof/>
        </w:rPr>
        <w:t>[200]</w:t>
      </w:r>
      <w:r w:rsidR="0DE242D6" w:rsidRPr="00D22AA7">
        <w:rPr>
          <w:rFonts w:ascii="Times" w:eastAsia="Arial" w:hAnsi="Times" w:cs="Arial"/>
        </w:rPr>
        <w:fldChar w:fldCharType="end"/>
      </w:r>
      <w:r w:rsidR="66779EFB" w:rsidRPr="00D22AA7">
        <w:rPr>
          <w:rFonts w:ascii="Times" w:eastAsia="Arial" w:hAnsi="Times" w:cs="Arial"/>
        </w:rPr>
        <w:t xml:space="preserve">. </w:t>
      </w:r>
      <w:r w:rsidR="7CCF26D2" w:rsidRPr="00D22AA7">
        <w:rPr>
          <w:rFonts w:ascii="Times" w:eastAsia="Arial" w:hAnsi="Times" w:cs="Arial"/>
        </w:rPr>
        <w:t xml:space="preserve"> To create the training input for the classifier, histopathological examination results were utilized as the reference standard. In our study, 80% of the available samples were designated for training the classifier, ensuring that the model had enough data to learn the distinguishing features effectively. The remaining 20% of the samples were reserved for testing, allowing us to assess the classifier's ability to make accurate and reliable predictions on previously unseen data. To further enhance the robustness of the results and mitigate potential issues such as overfitting, we incorporated a 5-fold cross-validation technique. This approach divides the dataset into five subsets, iteratively training the model on four of these subsets while testing on the fifth, ensuring that the model’s performance is evaluated comprehensively and reducing the likelihood of it becoming overly specialized to one </w:t>
      </w:r>
      <w:proofErr w:type="gramStart"/>
      <w:r w:rsidR="7CCF26D2" w:rsidRPr="00D22AA7">
        <w:rPr>
          <w:rFonts w:ascii="Times" w:eastAsia="Arial" w:hAnsi="Times" w:cs="Arial"/>
        </w:rPr>
        <w:t>particular subset</w:t>
      </w:r>
      <w:proofErr w:type="gramEnd"/>
      <w:r w:rsidR="7CCF26D2" w:rsidRPr="00D22AA7">
        <w:rPr>
          <w:rFonts w:ascii="Times" w:eastAsia="Arial" w:hAnsi="Times" w:cs="Arial"/>
        </w:rPr>
        <w:t xml:space="preserve"> of the data. Through these combined strategies, we sought to improve the generalizability and reliability of the classifier, making it more capable of handling real-world clinical data with high accuracy</w:t>
      </w:r>
      <w:r w:rsidR="7CCF26D2" w:rsidRPr="00D22AA7">
        <w:rPr>
          <w:rFonts w:ascii="Times" w:eastAsia="Arial" w:hAnsi="Times" w:cs="Arial"/>
          <w:noProof/>
        </w:rPr>
        <w:t xml:space="preserve"> </w:t>
      </w:r>
      <w:r w:rsidR="0DE242D6" w:rsidRPr="00D22AA7">
        <w:rPr>
          <w:rFonts w:ascii="Times" w:eastAsia="Arial" w:hAnsi="Times" w:cs="Arial"/>
        </w:rPr>
        <w:fldChar w:fldCharType="begin"/>
      </w:r>
      <w:r w:rsidR="0056095D">
        <w:rPr>
          <w:rFonts w:ascii="Times" w:eastAsia="Arial" w:hAnsi="Times" w:cs="Arial"/>
        </w:rPr>
        <w:instrText xml:space="preserve"> ADDIN ZOTERO_ITEM CSL_CITATION {"citationID":"91QnySJi","properties":{"formattedCitation":"[186]","plainCitation":"[186]","noteIndex":0},"citationItems":[{"id":16007,"uris":["http://zotero.org/users/9439317/items/BA65IT6S"],"itemData":{"id":16007,"type":"article-journal","container-title":"European urology","ISSN":"0302-2838","issue":"1","journalAbbreviation":"European urology","note":"publisher: Elsevier","page":"93-105","title":"The 2016 WHO classification of tumours of the urinary system and male genital organs—part A: renal, penile, and testicular tumours","volume":"70","author":[{"family":"Moch","given":"Holger"},{"family":"Cubilla","given":"Antonio L"},{"family":"Humphrey","given":"Peter A"},{"family":"Reuter","given":"Victor E"},{"family":"Ulbright","given":"Thomas M"}],"issued":{"date-parts":[["2016"]]}}}],"schema":"https://github.com/citation-style-language/schema/raw/master/csl-citation.json"} </w:instrText>
      </w:r>
      <w:r w:rsidR="0DE242D6" w:rsidRPr="00D22AA7">
        <w:rPr>
          <w:rFonts w:ascii="Times" w:eastAsia="Arial" w:hAnsi="Times" w:cs="Arial"/>
        </w:rPr>
        <w:fldChar w:fldCharType="separate"/>
      </w:r>
      <w:r w:rsidR="0056095D">
        <w:rPr>
          <w:rFonts w:ascii="Times" w:eastAsia="Arial" w:hAnsi="Times" w:cs="Arial"/>
          <w:noProof/>
        </w:rPr>
        <w:t>[186]</w:t>
      </w:r>
      <w:r w:rsidR="0DE242D6" w:rsidRPr="00D22AA7">
        <w:rPr>
          <w:rFonts w:ascii="Times" w:eastAsia="Arial" w:hAnsi="Times" w:cs="Arial"/>
        </w:rPr>
        <w:fldChar w:fldCharType="end"/>
      </w:r>
      <w:r w:rsidR="2364A120" w:rsidRPr="00D22AA7">
        <w:rPr>
          <w:rFonts w:ascii="Times" w:hAnsi="Times"/>
        </w:rPr>
        <w:t xml:space="preserve"> For the sake of clarification, it is important to note that the k-fold cross-validation technique was applied solely for the purpose of validating the performance of two classification methods—Generalized Linear Models (GLM) and Discriminant Analysis (DA) </w:t>
      </w:r>
      <w:r w:rsidR="0DE242D6" w:rsidRPr="00D22AA7">
        <w:rPr>
          <w:rFonts w:ascii="Times" w:eastAsia="Arial" w:hAnsi="Times" w:cs="Arial"/>
        </w:rPr>
        <w:fldChar w:fldCharType="begin"/>
      </w:r>
      <w:r w:rsidR="0056095D">
        <w:rPr>
          <w:rFonts w:ascii="Times" w:eastAsia="Arial" w:hAnsi="Times" w:cs="Arial"/>
        </w:rPr>
        <w:instrText xml:space="preserve"> ADDIN ZOTERO_ITEM CSL_CITATION {"citationID":"peSJ7tfK","properties":{"formattedCitation":"[201,202]","plainCitation":"[201,202]","noteIndex":0},"citationItems":[{"id":15862,"uris":["http://zotero.org/users/9439317/items/5G3WB6CA"],"itemData":{"id":15862,"type":"paper-conference","abstract":"In this paper, we demonstrate how a semi-automatic algorithm we proposed in previous work may be integrated into a protocol which becomes fully automatic for the detection of brain metastases. Such a protocol combines 11C-labeled Methionine PET acquisition with our previous segmentation approach. We show that our algorithm responds especially well to this modality thereby upgrading its status from semi-automatic to fully automatic for the presented application. In this approach, the active contour method is based on the minimization of an energy functional which integrates the information provided by a machine learning algorithm. The rationale behind such a coupling is to introduce in the segmentation the physician knowledge through a component capable of influencing the final outcome toward what would be the segmentation performed by a human operator. In particular, we compare the performance of three different classifiers: Naïve Bayes classification, K-Nearest Neighbor classification, and Discriminant Analysis. A database comprising seventeen patients with brain metastases is considered to assess the performance of the proposed method in the clinical environment.","container-title":"Medical Image Understanding and Analysis","event-place":"Cham","ISBN":"978-3-030-39343-4","page":"3-14","publisher":"Springer International Publishing","publisher-place":"Cham","title":"Tissue Classification to Support Local Active Delineation of Brain Tumors","author":[{"family":"Comelli","given":"Albert"},{"family":"Stefano","given":"Alessandro"},{"family":"Bignardi","given":"Samuel"},{"family":"Coronnello","given":"Claudia"},{"family":"Russo","given":"Giorgio"},{"family":"Sabini","given":"Maria G."},{"family":"Ippolito","given":"Massimo"},{"family":"Yezzi","given":"Anthony"}],"editor":[{"family":"Zheng","given":"Yalin"},{"family":"Williams","given":"Bryan M."},{"family":"Chen","given":"Ke"}],"issued":{"date-parts":[["2020"]]}}},{"id":15864,"uris":["http://zotero.org/users/9439317/items/4Z7PNMKZ"],"itemData":{"id":15864,"type":"article-journal","abstract":"ABSTRACT In this article, a fully unsupervised method for brain tissue segmentation of T1-weighted MRI 3D volumes is proposed. The method uses the Fuzzy C-Means (FCM) clustering algorithm and a Fully Connected Cascade Neural Network (FCCNN) classifier. Traditional manual segmentation methods require neuro-radiological expertise and significant time while semiautomatic methods depend on parameter's setup and trial-and-error methodologies that may lead to high intraoperator/interoperator variability. The proposed method selects the most useful MRI data according to FCM fuzziness values and trains the FCCNN to learn to classify brain? tissues into White Matter, Gray Matter, and Cerebro-Spinal Fluid in an unsupervised way. The method has been tested on the IBSR dataset, on the BrainWeb Phantom, on the BrainWeb SBD dataset, and on the real dataset ?University of Palermo Policlinico Hospital? (UPPH), Italy. Sensitivity, Specificity, Dice and F-Factor scores have been calculated on the IBSR and BrainWeb datasets segmented using the proposed method, the FCM algorithm, and two state-of-the-art brain segmentation software packages (FSL and SPM) to prove the effectiveness of the proposed approach. A qualitative evaluation involving a group of five expert radiologists has been performed segmenting the real dataset using the proposed approach and the comparison algorithms. Finally, a usability analysis on the proposed method and reference methods has been carried out from the same group of expert radiologists. The achieved results show that the segmentations of the proposed method are comparable or better than the reference methods with a better usability and degree of acceptance.","container-title":"International Journal of Imaging Systems and Technology","DOI":"10.1002/ima.22168","ISSN":"0899-9457","issue":"2","journalAbbreviation":"International Journal of Imaging Systems and Technology","note":"publisher: John Wiley &amp; Sons, Ltd","page":"136-150","title":"Unsupervised tissue classification of brain MR images for voxel-based morphometry analysis","URL":"https://doi.org/10.1002/ima.22168","volume":"26","author":[{"family":"Agnello","given":"Luca"},{"family":"Comelli","given":"Albert"},{"family":"Ardizzone","given":"Edoardo"},{"family":"Vitabile","given":"Salvatore"}],"accessed":{"date-parts":[["2024",12,30]]},"issued":{"date-parts":[["2016",6,1]]}}}],"schema":"https://github.com/citation-style-language/schema/raw/master/csl-citation.json"} </w:instrText>
      </w:r>
      <w:r w:rsidR="0DE242D6" w:rsidRPr="00D22AA7">
        <w:rPr>
          <w:rFonts w:ascii="Times" w:eastAsia="Arial" w:hAnsi="Times" w:cs="Arial"/>
        </w:rPr>
        <w:fldChar w:fldCharType="separate"/>
      </w:r>
      <w:r w:rsidR="0056095D">
        <w:rPr>
          <w:rFonts w:ascii="Times" w:eastAsia="Arial" w:hAnsi="Times" w:cs="Arial"/>
          <w:noProof/>
        </w:rPr>
        <w:t>[201,202]</w:t>
      </w:r>
      <w:r w:rsidR="0DE242D6" w:rsidRPr="00D22AA7">
        <w:rPr>
          <w:rFonts w:ascii="Times" w:eastAsia="Arial" w:hAnsi="Times" w:cs="Arial"/>
        </w:rPr>
        <w:fldChar w:fldCharType="end"/>
      </w:r>
      <w:r w:rsidR="2364A120" w:rsidRPr="00D22AA7">
        <w:rPr>
          <w:rFonts w:ascii="Times" w:hAnsi="Times"/>
        </w:rPr>
        <w:t xml:space="preserve"> —and was not employed for feature selection in this study. To assess the diagnostic performance of the most discriminating parameters derived from T2-weighted imaging (T2WI), we calculated the Receiver Operating Characteristics (ROC) curves along with their corresponding 95% confidence intervals (C.I.), as well as the areas under the ROC curve (AUROC) and their respective 95% C.I. values. The computational statistical analysis that supported this study was carried out using the </w:t>
      </w:r>
      <w:proofErr w:type="spellStart"/>
      <w:r w:rsidR="2364A120" w:rsidRPr="00D22AA7">
        <w:rPr>
          <w:rFonts w:ascii="Times" w:hAnsi="Times"/>
        </w:rPr>
        <w:t>Matlab</w:t>
      </w:r>
      <w:proofErr w:type="spellEnd"/>
      <w:r w:rsidR="2364A120" w:rsidRPr="00D22AA7">
        <w:rPr>
          <w:rFonts w:ascii="Times" w:hAnsi="Times"/>
        </w:rPr>
        <w:t xml:space="preserve"> R2019a. The analysis was performed on a 2.5 GHz, 16 GB Intel Core i7-based iMac computer, equipped with 1600 MHz DDR3 memory and running the macOS Sierra operating system.</w:t>
      </w:r>
    </w:p>
    <w:p w14:paraId="499F6E7B" w14:textId="05E8D0C2" w:rsidR="0DE242D6" w:rsidRPr="00D22AA7" w:rsidRDefault="0DE242D6" w:rsidP="0DE242D6">
      <w:pPr>
        <w:pStyle w:val="MDPI31text"/>
        <w:ind w:left="0" w:firstLine="0"/>
        <w:rPr>
          <w:rFonts w:ascii="Times" w:eastAsia="Arial" w:hAnsi="Times" w:cs="Arial"/>
          <w:sz w:val="36"/>
          <w:szCs w:val="36"/>
        </w:rPr>
      </w:pPr>
    </w:p>
    <w:p w14:paraId="241C3A2E" w14:textId="77777777" w:rsidR="00541014" w:rsidRDefault="00541014" w:rsidP="0DE242D6">
      <w:pPr>
        <w:pStyle w:val="MDPI31text"/>
        <w:ind w:left="0" w:firstLine="0"/>
        <w:rPr>
          <w:rFonts w:ascii="Times" w:eastAsia="Arial" w:hAnsi="Times" w:cs="Arial"/>
          <w:sz w:val="36"/>
          <w:szCs w:val="36"/>
        </w:rPr>
      </w:pPr>
    </w:p>
    <w:p w14:paraId="7C6AEC39" w14:textId="77777777" w:rsidR="00386CA0" w:rsidRDefault="00386CA0">
      <w:pPr>
        <w:pStyle w:val="MDPI31text"/>
        <w:ind w:left="0" w:firstLine="0"/>
        <w:rPr>
          <w:rFonts w:ascii="Times" w:hAnsi="Times"/>
        </w:rPr>
      </w:pPr>
    </w:p>
    <w:p w14:paraId="3B95712C" w14:textId="77777777" w:rsidR="00783D1F" w:rsidRDefault="00783D1F">
      <w:pPr>
        <w:pStyle w:val="MDPI31text"/>
        <w:ind w:left="0" w:firstLine="0"/>
        <w:rPr>
          <w:rFonts w:ascii="Times" w:hAnsi="Times"/>
        </w:rPr>
      </w:pPr>
    </w:p>
    <w:p w14:paraId="41B0C036" w14:textId="77777777" w:rsidR="00783D1F" w:rsidRDefault="00783D1F">
      <w:pPr>
        <w:pStyle w:val="MDPI31text"/>
        <w:ind w:left="0" w:firstLine="0"/>
        <w:rPr>
          <w:rFonts w:ascii="Times" w:hAnsi="Times"/>
        </w:rPr>
      </w:pPr>
    </w:p>
    <w:p w14:paraId="5CD90043" w14:textId="77777777" w:rsidR="00783D1F" w:rsidRDefault="00783D1F">
      <w:pPr>
        <w:pStyle w:val="MDPI31text"/>
        <w:ind w:left="0" w:firstLine="0"/>
        <w:rPr>
          <w:rFonts w:ascii="Times" w:hAnsi="Times"/>
        </w:rPr>
      </w:pPr>
    </w:p>
    <w:p w14:paraId="7860538C" w14:textId="77777777" w:rsidR="00783D1F" w:rsidRDefault="00783D1F">
      <w:pPr>
        <w:pStyle w:val="MDPI31text"/>
        <w:ind w:left="0" w:firstLine="0"/>
        <w:rPr>
          <w:rFonts w:ascii="Times" w:hAnsi="Times"/>
        </w:rPr>
      </w:pPr>
    </w:p>
    <w:p w14:paraId="0C5B768D" w14:textId="77777777" w:rsidR="00783D1F" w:rsidRDefault="00783D1F">
      <w:pPr>
        <w:pStyle w:val="MDPI31text"/>
        <w:ind w:left="0" w:firstLine="0"/>
        <w:rPr>
          <w:rFonts w:ascii="Times" w:hAnsi="Times"/>
        </w:rPr>
      </w:pPr>
    </w:p>
    <w:p w14:paraId="3F3935D0" w14:textId="77777777" w:rsidR="00783D1F" w:rsidRDefault="00783D1F">
      <w:pPr>
        <w:pStyle w:val="MDPI31text"/>
        <w:ind w:left="0" w:firstLine="0"/>
        <w:rPr>
          <w:rFonts w:ascii="Times" w:hAnsi="Times"/>
        </w:rPr>
      </w:pPr>
    </w:p>
    <w:p w14:paraId="6D4B55F1" w14:textId="77777777" w:rsidR="00783D1F" w:rsidRDefault="00783D1F">
      <w:pPr>
        <w:pStyle w:val="MDPI31text"/>
        <w:ind w:left="0" w:firstLine="0"/>
        <w:rPr>
          <w:rFonts w:ascii="Times" w:hAnsi="Times"/>
        </w:rPr>
      </w:pPr>
    </w:p>
    <w:p w14:paraId="1D6178DE" w14:textId="77777777" w:rsidR="00783D1F" w:rsidRDefault="00783D1F">
      <w:pPr>
        <w:pStyle w:val="MDPI31text"/>
        <w:ind w:left="0" w:firstLine="0"/>
        <w:rPr>
          <w:rFonts w:ascii="Times" w:hAnsi="Times"/>
        </w:rPr>
      </w:pPr>
    </w:p>
    <w:p w14:paraId="5F93CC30" w14:textId="77777777" w:rsidR="00783D1F" w:rsidRDefault="00783D1F">
      <w:pPr>
        <w:pStyle w:val="MDPI31text"/>
        <w:ind w:left="0" w:firstLine="0"/>
        <w:rPr>
          <w:rFonts w:ascii="Times" w:hAnsi="Times"/>
        </w:rPr>
      </w:pPr>
    </w:p>
    <w:p w14:paraId="4A774022" w14:textId="77777777" w:rsidR="00783D1F" w:rsidRDefault="00783D1F">
      <w:pPr>
        <w:pStyle w:val="MDPI31text"/>
        <w:ind w:left="0" w:firstLine="0"/>
        <w:rPr>
          <w:rFonts w:ascii="Times" w:hAnsi="Times"/>
        </w:rPr>
      </w:pPr>
    </w:p>
    <w:p w14:paraId="5D29CAAD" w14:textId="77777777" w:rsidR="00783D1F" w:rsidRDefault="00783D1F">
      <w:pPr>
        <w:pStyle w:val="MDPI31text"/>
        <w:ind w:left="0" w:firstLine="0"/>
        <w:rPr>
          <w:rFonts w:ascii="Times" w:hAnsi="Times"/>
        </w:rPr>
      </w:pPr>
    </w:p>
    <w:p w14:paraId="7380CC58" w14:textId="77777777" w:rsidR="00783D1F" w:rsidRDefault="00783D1F">
      <w:pPr>
        <w:pStyle w:val="MDPI31text"/>
        <w:ind w:left="0" w:firstLine="0"/>
        <w:rPr>
          <w:rFonts w:ascii="Times" w:hAnsi="Times"/>
        </w:rPr>
      </w:pPr>
    </w:p>
    <w:p w14:paraId="4DF22E15" w14:textId="77777777" w:rsidR="00783D1F" w:rsidRDefault="00783D1F">
      <w:pPr>
        <w:pStyle w:val="MDPI31text"/>
        <w:ind w:left="0" w:firstLine="0"/>
        <w:rPr>
          <w:rFonts w:ascii="Times" w:hAnsi="Times"/>
        </w:rPr>
      </w:pPr>
    </w:p>
    <w:p w14:paraId="1F15C317" w14:textId="77777777" w:rsidR="00783D1F" w:rsidRDefault="00783D1F">
      <w:pPr>
        <w:pStyle w:val="MDPI31text"/>
        <w:ind w:left="0" w:firstLine="0"/>
        <w:rPr>
          <w:rFonts w:ascii="Times" w:hAnsi="Times"/>
        </w:rPr>
      </w:pPr>
    </w:p>
    <w:p w14:paraId="4D36164C" w14:textId="77777777" w:rsidR="00783D1F" w:rsidRDefault="00783D1F">
      <w:pPr>
        <w:pStyle w:val="MDPI31text"/>
        <w:ind w:left="0" w:firstLine="0"/>
        <w:rPr>
          <w:rFonts w:ascii="Times" w:hAnsi="Times"/>
        </w:rPr>
      </w:pPr>
    </w:p>
    <w:p w14:paraId="060E012A" w14:textId="53639E9E" w:rsidR="00783D1F" w:rsidRDefault="00783D1F">
      <w:pPr>
        <w:pStyle w:val="MDPI31text"/>
        <w:ind w:left="0" w:firstLine="0"/>
        <w:rPr>
          <w:rFonts w:ascii="Times" w:hAnsi="Times"/>
        </w:rPr>
      </w:pPr>
    </w:p>
    <w:p w14:paraId="2FC907D7" w14:textId="4E3E80EC" w:rsidR="00092ED8" w:rsidRDefault="00092ED8">
      <w:pPr>
        <w:pStyle w:val="MDPI31text"/>
        <w:ind w:left="0" w:firstLine="0"/>
        <w:rPr>
          <w:rFonts w:ascii="Times" w:hAnsi="Times"/>
        </w:rPr>
      </w:pPr>
    </w:p>
    <w:p w14:paraId="4EE4B1F4" w14:textId="368BBDC6" w:rsidR="00092ED8" w:rsidRDefault="00092ED8">
      <w:pPr>
        <w:pStyle w:val="MDPI31text"/>
        <w:ind w:left="0" w:firstLine="0"/>
        <w:rPr>
          <w:rFonts w:ascii="Times" w:hAnsi="Times"/>
        </w:rPr>
      </w:pPr>
    </w:p>
    <w:p w14:paraId="29FC307E" w14:textId="77777777" w:rsidR="00092ED8" w:rsidRDefault="00092ED8">
      <w:pPr>
        <w:pStyle w:val="MDPI31text"/>
        <w:ind w:left="0" w:firstLine="0"/>
        <w:rPr>
          <w:rFonts w:ascii="Times" w:hAnsi="Times"/>
        </w:rPr>
      </w:pPr>
    </w:p>
    <w:p w14:paraId="1B5957A2" w14:textId="77777777" w:rsidR="00783D1F" w:rsidRDefault="00783D1F">
      <w:pPr>
        <w:pStyle w:val="MDPI31text"/>
        <w:ind w:left="0" w:firstLine="0"/>
        <w:rPr>
          <w:rFonts w:ascii="Times" w:hAnsi="Times"/>
        </w:rPr>
      </w:pPr>
    </w:p>
    <w:p w14:paraId="4D8897BA" w14:textId="77777777" w:rsidR="00783D1F" w:rsidRDefault="00783D1F">
      <w:pPr>
        <w:pStyle w:val="MDPI31text"/>
        <w:ind w:left="0" w:firstLine="0"/>
        <w:rPr>
          <w:rFonts w:ascii="Times" w:hAnsi="Times"/>
        </w:rPr>
      </w:pPr>
    </w:p>
    <w:p w14:paraId="31E9B966" w14:textId="77777777" w:rsidR="00783D1F" w:rsidRPr="00D22AA7" w:rsidRDefault="00783D1F">
      <w:pPr>
        <w:pStyle w:val="MDPI31text"/>
        <w:ind w:left="0" w:firstLine="0"/>
        <w:rPr>
          <w:rFonts w:ascii="Times" w:hAnsi="Times"/>
        </w:rPr>
      </w:pPr>
    </w:p>
    <w:p w14:paraId="2EFB693C" w14:textId="6E7A495B" w:rsidR="00780971" w:rsidRPr="00D22AA7" w:rsidRDefault="66779EFB" w:rsidP="00672783">
      <w:pPr>
        <w:shd w:val="clear" w:color="auto" w:fill="FFFFFF" w:themeFill="background1"/>
        <w:spacing w:beforeAutospacing="1" w:afterAutospacing="1"/>
        <w:jc w:val="both"/>
        <w:rPr>
          <w:rFonts w:ascii="Times" w:hAnsi="Times" w:cs="Arial"/>
          <w:b/>
          <w:bCs/>
          <w:color w:val="222222"/>
          <w:sz w:val="40"/>
          <w:szCs w:val="40"/>
        </w:rPr>
      </w:pPr>
      <w:r w:rsidRPr="00D22AA7">
        <w:rPr>
          <w:rFonts w:ascii="Times" w:hAnsi="Times" w:cs="Arial"/>
          <w:b/>
          <w:bCs/>
          <w:color w:val="222222"/>
          <w:sz w:val="40"/>
          <w:szCs w:val="40"/>
        </w:rPr>
        <w:t>Chapter 6</w:t>
      </w:r>
    </w:p>
    <w:p w14:paraId="6FD5D50D" w14:textId="795B35A7" w:rsidR="00780971" w:rsidRPr="00D22AA7" w:rsidRDefault="00780971" w:rsidP="00672783">
      <w:pPr>
        <w:shd w:val="clear" w:color="auto" w:fill="FFFFFF" w:themeFill="background1"/>
        <w:spacing w:beforeAutospacing="1" w:afterAutospacing="1"/>
        <w:jc w:val="both"/>
        <w:rPr>
          <w:rFonts w:ascii="Times" w:hAnsi="Times" w:cs="Arial"/>
          <w:b/>
          <w:bCs/>
          <w:color w:val="222222"/>
          <w:sz w:val="40"/>
          <w:szCs w:val="40"/>
        </w:rPr>
      </w:pPr>
      <w:r w:rsidRPr="00D22AA7">
        <w:rPr>
          <w:rFonts w:ascii="Times" w:hAnsi="Times" w:cs="Arial"/>
          <w:b/>
          <w:bCs/>
          <w:color w:val="000000" w:themeColor="text1"/>
          <w:sz w:val="40"/>
          <w:szCs w:val="40"/>
        </w:rPr>
        <w:t>The result of the effect of polyphenols against rheumatoid arthritis</w:t>
      </w:r>
    </w:p>
    <w:p w14:paraId="613E9B0C" w14:textId="0C9F5C59" w:rsidR="00386CA0" w:rsidRPr="00D22AA7" w:rsidRDefault="00780971" w:rsidP="00672783">
      <w:pPr>
        <w:shd w:val="clear" w:color="auto" w:fill="FFFFFF" w:themeFill="background1"/>
        <w:spacing w:beforeAutospacing="1" w:afterAutospacing="1"/>
        <w:jc w:val="both"/>
        <w:rPr>
          <w:rFonts w:ascii="Times" w:hAnsi="Times" w:cs="Arial"/>
          <w:b/>
          <w:bCs/>
          <w:color w:val="222222"/>
        </w:rPr>
      </w:pPr>
      <w:r w:rsidRPr="00D22AA7">
        <w:rPr>
          <w:rFonts w:ascii="Times" w:eastAsia="Arial" w:hAnsi="Times" w:cs="Arial"/>
          <w:b/>
          <w:bCs/>
        </w:rPr>
        <w:t xml:space="preserve">6.1. </w:t>
      </w:r>
      <w:r w:rsidR="1BDE5DDA" w:rsidRPr="00D22AA7">
        <w:rPr>
          <w:rFonts w:ascii="Times" w:eastAsia="Arial" w:hAnsi="Times" w:cs="Arial"/>
          <w:b/>
          <w:bCs/>
        </w:rPr>
        <w:t xml:space="preserve">In Vitro Evaluation of </w:t>
      </w:r>
      <w:proofErr w:type="spellStart"/>
      <w:r w:rsidR="1BDE5DDA" w:rsidRPr="00D22AA7">
        <w:rPr>
          <w:rFonts w:ascii="Times" w:eastAsia="Arial" w:hAnsi="Times" w:cs="Arial"/>
          <w:b/>
          <w:bCs/>
        </w:rPr>
        <w:t>Tyrosol</w:t>
      </w:r>
      <w:proofErr w:type="spellEnd"/>
      <w:r w:rsidR="1BDE5DDA" w:rsidRPr="00D22AA7">
        <w:rPr>
          <w:rFonts w:ascii="Times" w:eastAsia="Arial" w:hAnsi="Times" w:cs="Arial"/>
          <w:b/>
          <w:bCs/>
        </w:rPr>
        <w:t xml:space="preserve"> </w:t>
      </w:r>
    </w:p>
    <w:p w14:paraId="6750CD39" w14:textId="2BB0584B" w:rsidR="00987BDF" w:rsidRPr="00987BDF" w:rsidRDefault="00987BDF" w:rsidP="00987BDF">
      <w:pPr>
        <w:shd w:val="clear" w:color="auto" w:fill="FFFFFF" w:themeFill="background1"/>
        <w:spacing w:beforeAutospacing="1" w:afterAutospacing="1"/>
        <w:ind w:firstLine="480"/>
        <w:jc w:val="both"/>
        <w:rPr>
          <w:rFonts w:ascii="Times" w:eastAsia="Inter;system-ui;apple-system;Bl" w:hAnsi="Times" w:cs="Inter;system-ui;apple-system;Bl"/>
        </w:rPr>
      </w:pPr>
      <w:r w:rsidRPr="00987BDF">
        <w:rPr>
          <w:rFonts w:ascii="Times" w:eastAsia="Inter;system-ui;apple-system;Bl" w:hAnsi="Times" w:cs="Inter;system-ui;apple-system;Bl"/>
        </w:rPr>
        <w:t>To comprehensively investigate the potential anti-inflammatory effects of tyrosol on lipopolysaccharide (LPS)-induced acute lung injury (ALI) and to elucidate the underlying molecular mechanisms, a well-structured in vivo study was conducted using BALB/c mice as the experimental model. The mice were pre-treated with oral administration of tyrosol at graded doses of 0.1, 1, and 10 mg/kg, precisely one hour before they were subjected to an intratracheal injection of LPS at a concentration of 25 μg/50 μL. This approach aimed to mimic the pathological features of ALI and assess the efficacy of tyrosol in mitigating inflammatory responses.</w:t>
      </w:r>
      <w:r>
        <w:rPr>
          <w:rFonts w:ascii="Times" w:eastAsia="Inter;system-ui;apple-system;Bl" w:hAnsi="Times" w:cs="Inter;system-ui;apple-system;Bl"/>
        </w:rPr>
        <w:t xml:space="preserve"> </w:t>
      </w:r>
      <w:r w:rsidRPr="00987BDF">
        <w:rPr>
          <w:rFonts w:ascii="Times" w:eastAsia="Inter;system-ui;apple-system;Bl" w:hAnsi="Times" w:cs="Inter;system-ui;apple-system;Bl"/>
        </w:rPr>
        <w:t>The results demonstrated that tyrosol treatment led to a marked improvement in multiple pathological indicators associated with ALI. Specifically, tyrosol significantly reduced lung vascular permeability, thereby preventing excessive fluid accumulation and edema in pulmonary tissues. Additionally, histopathological evaluations revealed that tyrosol alleviated structural damage to the lungs, preserving the integrity of alveolar walls and reducing cellular infiltration into the lung parenchyma. Furthermore, a substantial decline in the wet-to-dry lung weight ratio, a key parameter indicative of pulmonary edema, was observed following tyrosol administration. This suggests that tyrosol effectively attenuated fluid retention and maintained pulmonary homeostasis.</w:t>
      </w:r>
    </w:p>
    <w:p w14:paraId="550AD44B" w14:textId="2A52E5E6" w:rsidR="00386CA0" w:rsidRPr="00636E8A" w:rsidRDefault="00987BDF" w:rsidP="00987BDF">
      <w:pPr>
        <w:shd w:val="clear" w:color="auto" w:fill="FFFFFF" w:themeFill="background1"/>
        <w:spacing w:beforeAutospacing="1" w:afterAutospacing="1"/>
        <w:ind w:firstLine="480"/>
        <w:jc w:val="both"/>
        <w:rPr>
          <w:rFonts w:ascii="Times" w:eastAsia="Inter;system-ui;apple-system;Bl" w:hAnsi="Times" w:cs="Inter;system-ui;apple-system;Bl"/>
        </w:rPr>
      </w:pPr>
      <w:r w:rsidRPr="00987BDF">
        <w:rPr>
          <w:rFonts w:ascii="Times" w:eastAsia="Inter;system-ui;apple-system;Bl" w:hAnsi="Times" w:cs="Inter;system-ui;apple-system;Bl"/>
        </w:rPr>
        <w:t>Moreover, tyrosol exhibited a pronounced inhibitory effect on the infiltration of inflammatory cells into the pulmonary vasculature, further emphasizing its protective role in lung inflammation. These findings collectively suggest that tyrosol exerts a significant protective effect against LPS-induced lung injury by modulating key inflammatory pathways, potentially offering a novel therapeutic approach for the management of acute lung injury and related inflammatory pulmonary disorders. Future investigations into the precise molecular targets of tyrosol may provide deeper insights into its pharmacological potential and broaden its applicability in clinical settings</w:t>
      </w:r>
      <w:r>
        <w:rPr>
          <w:rFonts w:ascii="Times" w:eastAsia="Inter;system-ui;apple-system;Bl" w:hAnsi="Times" w:cs="Inter;system-ui;apple-system;Bl"/>
        </w:rPr>
        <w:t xml:space="preserve">. </w:t>
      </w:r>
      <w:r w:rsidR="00636E8A" w:rsidRPr="00636E8A">
        <w:rPr>
          <w:rFonts w:ascii="Times" w:eastAsia="Inter;system-ui;apple-system;Bl" w:hAnsi="Times" w:cs="Inter;system-ui;apple-system;Bl"/>
        </w:rPr>
        <w:t>Furthermore, tyrosol was found to modulate the LPS-induced imbalance in enzymatic activities, including superoxide dismutase and myeloperoxidase, both of which are key indicators of oxidative stress and inflammation.</w:t>
      </w:r>
      <w:r>
        <w:rPr>
          <w:rFonts w:ascii="Times" w:eastAsia="Inter;system-ui;apple-system;Bl" w:hAnsi="Times" w:cs="Inter;system-ui;apple-system;Bl"/>
        </w:rPr>
        <w:t xml:space="preserve"> </w:t>
      </w:r>
      <w:r w:rsidR="00636E8A" w:rsidRPr="00636E8A">
        <w:rPr>
          <w:rFonts w:ascii="Times" w:eastAsia="Inter;system-ui;apple-system;Bl" w:hAnsi="Times" w:cs="Inter;system-ui;apple-system;Bl"/>
        </w:rPr>
        <w:t>The treatment with tyrosol also resulted in a reduction in the levels of pro-inflammatory cytokines, such as tumor necrosis factor-α, interleukin (IL)-1β, and IL-6, in both bronchoalveolar lavage fluid (BALF) and lung tissue, further supporting its anti-inflammatory potential. Additionally, tyrosol inhibited the activation of key inflammatory mediators, including inducible nitric oxide synthase (iNOS), cyclooxygenase-2 (COX-2), and phosphorylated-IκBα, in lung tissue. Notably, tyrosol decreased nitric oxide production and suppressed the expression of pro-inflammatory cytokines, iNOS, and COX-2, as well as the nuclear translocation of nuclear factor-κB (NF-κB) in LPS-stimulated RAW 264.7 macrophages. These results collectively sug</w:t>
      </w:r>
      <w:r w:rsidR="00636E8A" w:rsidRPr="00636E8A">
        <w:rPr>
          <w:rFonts w:ascii="Times" w:eastAsia="Inter;system-ui;apple-system;Bl" w:hAnsi="Times" w:cs="Inter;system-ui;apple-system;Bl"/>
        </w:rPr>
        <w:lastRenderedPageBreak/>
        <w:t>gest that tyrosol exerts significant anti-inflammatory effects through the modulation of key inflammatory pathways, highlighting its potential as a therapeutic agent for treating inflammatory lung diseases</w:t>
      </w:r>
      <w:r w:rsidR="00636E8A">
        <w:rPr>
          <w:rFonts w:ascii="Times" w:eastAsia="Inter;system-ui;apple-system;Bl" w:hAnsi="Times" w:cs="Inter;system-ui;apple-system;Bl"/>
        </w:rPr>
        <w:t xml:space="preserve"> </w:t>
      </w:r>
      <w:r w:rsidR="00D45672" w:rsidRPr="00D22AA7">
        <w:rPr>
          <w:rFonts w:ascii="Times" w:hAnsi="Times"/>
          <w:color w:val="404040" w:themeColor="text1" w:themeTint="BF"/>
        </w:rPr>
        <w:fldChar w:fldCharType="begin"/>
      </w:r>
      <w:r w:rsidR="0056095D">
        <w:rPr>
          <w:rFonts w:ascii="Times" w:hAnsi="Times"/>
          <w:color w:val="404040" w:themeColor="text1" w:themeTint="BF"/>
        </w:rPr>
        <w:instrText xml:space="preserve"> ADDIN ZOTERO_ITEM CSL_CITATION {"citationID":"r8Ai3HrA","properties":{"formattedCitation":"[203]","plainCitation":"[203]","noteIndex":0},"citationItems":[{"id":179,"uris":["http://zotero.org/users/9439317/items/URQFI7HF"],"itemData":{"id":179,"type":"article-journal","abstract":"Acute lung injury (ALI) is a life-threatening disease characterized by increased pulmonary vascular permeability because of alveolar capillary barrier dysfunction and increased immune responses. This study determined the anti-inflammatory effect of tyrosol on lipopolysaccharide (LPS)-induced ALI and its underlying mechanisms of action. BALB/c mice were orally administered with tyrosol (0.1, 1, and 10 mg/kg) 1 h before an intratracheal injection of LPS (25 µg/50 µL). Oral treatment with tyrosol inhibited lung vascular permeability, histopathological changes, wet/dry lung weight ratio, and pulmonary vascular cell infiltration. The LPS-induced imbalance in the activity of enzymes, such as superoxide dismutase and myeloperoxidase, was regulated by tyrosol. Pro-inflammatory cytokines, such as tumor necrosis factor-α, interleukin (IL)-1β, and IL-6, were reduced by tyrosol in bronchoalveolar lavage fluid and lung tissue. The activation of inflammatory molecules, including inducible nitric oxide synthase (iNOS), cyclooxygenase (COX)-2, and phosphorylated-IκBα, was suppressed by the presence of tyrosol in the lung tissue. In addition, tyrosol attenuated the production of NO, the expression of pro-inflammatory cytokines, the expression of iNOS and COX-2, and the nuclear translocation of nuclear factor-κB in LPS-stimulated RAW 264.7 macrophages. These results suggested that tyrosol is a potential therapeutic agent for treating inflammatory lung diseases.","container-title":"Food and Chemical Toxicology","DOI":"10.1016/j.fct.2017.09.053","ISSN":"02786915","journalAbbreviation":"Food and Chemical Toxicology","language":"en","page":"526-533","source":"DOI.org (Crossref)","title":"Tyrosol attenuates lipopolysaccharide-induced acute lung injury by inhibiting the inflammatory response and maintaining the alveolar capillary barrier","URL":"https://linkinghub.elsevier.com/retrieve/pii/S0278691517305720","volume":"109","author":[{"family":"Kim","given":"Yeon-Yong"},{"family":"Lee","given":"Soyoung"},{"family":"Kim","given":"Min-Jong"},{"family":"Kang","given":"Byeong-Cheol"},{"family":"Dhakal","given":"Hima"},{"family":"Choi","given":"Young-Ae"},{"family":"Park","given":"Pil-Hoon"},{"family":"Choi","given":"Hyukjae"},{"family":"Shin","given":"Tae-Yong"},{"family":"Choi","given":"Hyun Gyu"},{"family":"Kwon","given":"Taeg Kyu"},{"family":"Khang","given":"Dongwoo"},{"family":"Kim","given":"Sang-Hyun"}],"accessed":{"date-parts":[["2022",6,5]]},"issued":{"date-parts":[["2017",11]]}}}],"schema":"https://github.com/citation-style-language/schema/raw/master/csl-citation.json"} </w:instrText>
      </w:r>
      <w:r w:rsidR="00D45672" w:rsidRPr="00D22AA7">
        <w:rPr>
          <w:rFonts w:ascii="Times" w:hAnsi="Times"/>
          <w:color w:val="404040" w:themeColor="text1" w:themeTint="BF"/>
        </w:rPr>
        <w:fldChar w:fldCharType="separate"/>
      </w:r>
      <w:r w:rsidR="0056095D">
        <w:rPr>
          <w:rFonts w:ascii="Times" w:hAnsi="Times"/>
          <w:noProof/>
          <w:color w:val="404040" w:themeColor="text1" w:themeTint="BF"/>
        </w:rPr>
        <w:t>[203]</w:t>
      </w:r>
      <w:r w:rsidR="00D45672" w:rsidRPr="00D22AA7">
        <w:rPr>
          <w:rFonts w:ascii="Times" w:hAnsi="Times"/>
          <w:color w:val="404040" w:themeColor="text1" w:themeTint="BF"/>
        </w:rPr>
        <w:fldChar w:fldCharType="end"/>
      </w:r>
      <w:r w:rsidR="6F106472" w:rsidRPr="00D22AA7">
        <w:rPr>
          <w:rFonts w:ascii="Times" w:hAnsi="Times"/>
          <w:color w:val="404040" w:themeColor="text1" w:themeTint="BF"/>
        </w:rPr>
        <w:t xml:space="preserve">(figure </w:t>
      </w:r>
      <w:r w:rsidR="000F75FE">
        <w:rPr>
          <w:rFonts w:ascii="Times" w:hAnsi="Times"/>
          <w:color w:val="404040" w:themeColor="text1" w:themeTint="BF"/>
        </w:rPr>
        <w:t>19 and 20</w:t>
      </w:r>
      <w:r w:rsidR="6F106472" w:rsidRPr="00D22AA7">
        <w:rPr>
          <w:rFonts w:ascii="Times" w:hAnsi="Times"/>
          <w:color w:val="404040" w:themeColor="text1" w:themeTint="BF"/>
        </w:rPr>
        <w:t>)</w:t>
      </w:r>
      <w:r w:rsidR="66779EFB" w:rsidRPr="00D22AA7">
        <w:rPr>
          <w:rFonts w:ascii="Times" w:hAnsi="Times"/>
          <w:color w:val="404040" w:themeColor="text1" w:themeTint="BF"/>
        </w:rPr>
        <w:t>.</w:t>
      </w:r>
    </w:p>
    <w:p w14:paraId="4ACE0D13" w14:textId="52373D1C" w:rsidR="0557FF62" w:rsidRPr="00D22AA7" w:rsidRDefault="0557FF62" w:rsidP="3F226BC9">
      <w:pPr>
        <w:spacing w:beforeAutospacing="1" w:afterAutospacing="1"/>
        <w:rPr>
          <w:rFonts w:ascii="Times" w:hAnsi="Times"/>
        </w:rPr>
      </w:pPr>
      <w:r w:rsidRPr="00D22AA7">
        <w:rPr>
          <w:rFonts w:ascii="Times" w:hAnsi="Times"/>
          <w:noProof/>
        </w:rPr>
        <w:drawing>
          <wp:inline distT="0" distB="0" distL="0" distR="0" wp14:anchorId="65932FE6" wp14:editId="5F0EE154">
            <wp:extent cx="3981450" cy="5943600"/>
            <wp:effectExtent l="0" t="0" r="0" b="0"/>
            <wp:docPr id="104626421" name="Picture 104626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981450" cy="5943600"/>
                    </a:xfrm>
                    <a:prstGeom prst="rect">
                      <a:avLst/>
                    </a:prstGeom>
                  </pic:spPr>
                </pic:pic>
              </a:graphicData>
            </a:graphic>
          </wp:inline>
        </w:drawing>
      </w:r>
    </w:p>
    <w:p w14:paraId="45763214" w14:textId="3348C434" w:rsidR="4E9B5836" w:rsidRPr="00AE524C" w:rsidRDefault="4E9B5836" w:rsidP="00464466">
      <w:pPr>
        <w:spacing w:beforeAutospacing="1" w:afterAutospacing="1"/>
        <w:jc w:val="both"/>
        <w:rPr>
          <w:rFonts w:ascii="Times" w:hAnsi="Times"/>
          <w:b/>
          <w:bCs/>
          <w:sz w:val="20"/>
          <w:szCs w:val="20"/>
        </w:rPr>
      </w:pPr>
      <w:r w:rsidRPr="00AE524C">
        <w:rPr>
          <w:rFonts w:ascii="Times" w:hAnsi="Times"/>
          <w:b/>
          <w:bCs/>
          <w:sz w:val="20"/>
          <w:szCs w:val="20"/>
        </w:rPr>
        <w:t xml:space="preserve">Figure </w:t>
      </w:r>
      <w:proofErr w:type="gramStart"/>
      <w:r w:rsidR="00541014" w:rsidRPr="00AE524C">
        <w:rPr>
          <w:rFonts w:ascii="Times" w:hAnsi="Times"/>
          <w:b/>
          <w:bCs/>
          <w:sz w:val="20"/>
          <w:szCs w:val="20"/>
        </w:rPr>
        <w:t>19</w:t>
      </w:r>
      <w:r w:rsidR="0055014A" w:rsidRPr="00AE524C">
        <w:rPr>
          <w:rFonts w:ascii="Times" w:hAnsi="Times"/>
          <w:b/>
          <w:bCs/>
          <w:sz w:val="20"/>
          <w:szCs w:val="20"/>
        </w:rPr>
        <w:t xml:space="preserve">  </w:t>
      </w:r>
      <w:r w:rsidR="0047211A" w:rsidRPr="00AE524C">
        <w:rPr>
          <w:rFonts w:ascii="Times" w:hAnsi="Times"/>
          <w:sz w:val="20"/>
          <w:szCs w:val="20"/>
        </w:rPr>
        <w:t>Tyrosol</w:t>
      </w:r>
      <w:proofErr w:type="gramEnd"/>
      <w:r w:rsidR="0047211A" w:rsidRPr="00AE524C">
        <w:rPr>
          <w:rFonts w:ascii="Times" w:hAnsi="Times"/>
          <w:sz w:val="20"/>
          <w:szCs w:val="20"/>
        </w:rPr>
        <w:t xml:space="preserve"> safeguarded astrocytes from OGD-induced reductions in cell viability and mitigated the inflammatory response in cultured astrocytes subjected to OGD (6 hours) through JNK signaling. </w:t>
      </w:r>
      <w:r w:rsidR="00636E8A" w:rsidRPr="00AE524C">
        <w:rPr>
          <w:rFonts w:ascii="Times" w:hAnsi="Times"/>
          <w:sz w:val="20"/>
          <w:szCs w:val="20"/>
        </w:rPr>
        <w:t xml:space="preserve">Reprinted from </w:t>
      </w:r>
      <w:r w:rsidR="00636E8A" w:rsidRPr="00AE524C">
        <w:rPr>
          <w:rFonts w:ascii="Times" w:hAnsi="Times"/>
          <w:b/>
          <w:bCs/>
          <w:sz w:val="20"/>
          <w:szCs w:val="20"/>
        </w:rPr>
        <w:fldChar w:fldCharType="begin"/>
      </w:r>
      <w:r w:rsidR="0056095D">
        <w:rPr>
          <w:rFonts w:ascii="Times" w:hAnsi="Times"/>
          <w:b/>
          <w:bCs/>
          <w:sz w:val="20"/>
          <w:szCs w:val="20"/>
        </w:rPr>
        <w:instrText xml:space="preserve"> ADDIN ZOTERO_ITEM CSL_CITATION {"citationID":"KIZc0zH8","properties":{"formattedCitation":"[204]","plainCitation":"[204]","noteIndex":0},"citationItems":[{"id":180,"uris":["http://zotero.org/users/9439317/items/USQGLWH2"],"itemData":{"id":180,"type":"article-journal","abstract":"Subsequent inflammation in stroke plays an important role in the damage of neurons in the perilesional area. Therapeutic intervention targeting inflammation may be a promising complementary strategy to current treatments of stroke. Here, we explored the possible beneficial effects of tyrosol, a derivative of phenethyl alcohol and natural antioxidant, playing an anti-inflammatory role in astrocyte culture and in vitro oxygen glucose deprivation (OGD) model. MTT, western blot, ELISA and EMSA assays were carried out to investigate cell viability, protein expression level, cytokine expression and NF-κB activity. We found tyrosol protected cultured astrocytes against OGD-induced cell viability loss in MTT test. Meanwhile, tyrosol attenuated the released TNF-α and IL-6 level from astrocyte via regulating Janus N-terminal kinase (JNK). The reduction of cytokines from astrocyte might be due to its inhibition of astrocyte activation and regulation of STAT3 signaling pathway since tyrosol attenuated the expression level of GFAP (glial fibrillary acidic protein) and the phosphorylation of STAT3. Additionally, we demonstrated that tyrosol prevented the degradation of IκBα and the increase of IκBα phosphorylation in astrocytes exposed to OGD, which led to the suppression of NF-κB function during ischemia. Collectively, our results showed that tyrosol may be a promising complementary treatment compound for stroke via modulating the inflammatory response in astrocytes during ischemia.","container-title":"Neurochemistry International","DOI":"10.1016/j.neuint.2018.10.006","ISSN":"01970186","journalAbbreviation":"Neurochemistry International","language":"en","page":"140-145","source":"DOI.org (Crossref)","title":"Tyrosol attenuates pro-inflammatory cytokines from cultured astrocytes and NF-κB activation in in vitro oxygen glucose deprivation","URL":"https://linkinghub.elsevier.com/retrieve/pii/S0197018618304352","volume":"121","author":[{"family":"Luo","given":"Gang"},{"family":"Huang","given":"Yinuo"},{"family":"Mo","given":"Dapeng"},{"family":"Ma","given":"Ning"},{"family":"Gao","given":"Feng"},{"family":"Song","given":"Ligang"},{"family":"Sun","given":"Xuan"},{"family":"Xu","given":"Xiaotong"},{"family":"Liu","given":"Lian"},{"family":"Huo","given":"Xiaochuan"},{"family":"Wang","given":"Bo"},{"family":"Li","given":"Xiaoqing"},{"family":"Jia","given":"Baixue"},{"family":"Deng","given":"Yiming"},{"family":"Zhang","given":"Xuelei"},{"family":"Fernandez-Escobar","given":"Alejandro"},{"family":"Peng","given":"Guangge"},{"family":"Miao","given":"Zhongrong"}],"accessed":{"date-parts":[["2022",6,5]]},"issued":{"date-parts":[["2018",12]]}}}],"schema":"https://github.com/citation-style-language/schema/raw/master/csl-citation.json"} </w:instrText>
      </w:r>
      <w:r w:rsidR="00636E8A" w:rsidRPr="00AE524C">
        <w:rPr>
          <w:rFonts w:ascii="Times" w:hAnsi="Times"/>
          <w:b/>
          <w:bCs/>
          <w:sz w:val="20"/>
          <w:szCs w:val="20"/>
        </w:rPr>
        <w:fldChar w:fldCharType="separate"/>
      </w:r>
      <w:r w:rsidR="0056095D">
        <w:rPr>
          <w:rFonts w:ascii="Times" w:hAnsi="Times"/>
          <w:b/>
          <w:bCs/>
          <w:noProof/>
          <w:sz w:val="20"/>
          <w:szCs w:val="20"/>
        </w:rPr>
        <w:t>[204]</w:t>
      </w:r>
      <w:r w:rsidR="00636E8A" w:rsidRPr="00AE524C">
        <w:rPr>
          <w:rFonts w:ascii="Times" w:hAnsi="Times"/>
          <w:b/>
          <w:bCs/>
          <w:sz w:val="20"/>
          <w:szCs w:val="20"/>
        </w:rPr>
        <w:fldChar w:fldCharType="end"/>
      </w:r>
      <w:r w:rsidR="00636E8A" w:rsidRPr="00AE524C">
        <w:rPr>
          <w:rFonts w:ascii="Times" w:hAnsi="Times"/>
          <w:sz w:val="20"/>
          <w:szCs w:val="20"/>
        </w:rPr>
        <w:t xml:space="preserve"> </w:t>
      </w:r>
      <w:r w:rsidR="0047211A" w:rsidRPr="00AE524C">
        <w:rPr>
          <w:rFonts w:ascii="Times" w:hAnsi="Times"/>
          <w:sz w:val="20"/>
          <w:szCs w:val="20"/>
        </w:rPr>
        <w:t>(A) Representative phase-contrast and GFAP-labeled images of astrocytes in a 4-week-old culture. (B) Time-dependent effects of OGD on astrocyte viability in culture. (C) Dose-dependent impact of tyrosol on astrocyte viability under normal conditions (without OGD). (D) Treatment with tyrosol (1.6 mM) significantly enhanced the viability of astrocytes exposed to OGD. Scale bar: 40 μM. (E) Tyrosol reduced IL-6 levels in the culture media of astrocytes subjected to OGD via JNK signaling. (F) Tyrosol also lowered TNF-α levels in the culture media of astrocytes exposed to OGD through JNK modulation</w:t>
      </w:r>
      <w:r w:rsidR="00636E8A" w:rsidRPr="00AE524C">
        <w:rPr>
          <w:rFonts w:ascii="Times" w:hAnsi="Times"/>
          <w:sz w:val="20"/>
          <w:szCs w:val="20"/>
        </w:rPr>
        <w:t xml:space="preserve">. </w:t>
      </w:r>
    </w:p>
    <w:p w14:paraId="71596DB8" w14:textId="2FD69FC3" w:rsidR="3F226BC9" w:rsidRPr="00D22AA7" w:rsidRDefault="3F226BC9" w:rsidP="3F226BC9">
      <w:pPr>
        <w:spacing w:beforeAutospacing="1" w:afterAutospacing="1"/>
        <w:rPr>
          <w:rFonts w:ascii="Times" w:hAnsi="Times"/>
        </w:rPr>
      </w:pPr>
    </w:p>
    <w:p w14:paraId="67885781" w14:textId="052444BF" w:rsidR="0557FF62" w:rsidRPr="00D22AA7" w:rsidRDefault="00AE524C" w:rsidP="3F226BC9">
      <w:pPr>
        <w:spacing w:beforeAutospacing="1" w:afterAutospacing="1"/>
        <w:rPr>
          <w:rFonts w:ascii="Times" w:hAnsi="Times"/>
        </w:rPr>
      </w:pPr>
      <w:r>
        <w:rPr>
          <w:rFonts w:ascii="Times" w:hAnsi="Times"/>
        </w:rPr>
        <w:t xml:space="preserve">                           </w:t>
      </w:r>
      <w:r w:rsidR="0557FF62" w:rsidRPr="00D22AA7">
        <w:rPr>
          <w:rFonts w:ascii="Times" w:hAnsi="Times"/>
          <w:noProof/>
        </w:rPr>
        <w:drawing>
          <wp:inline distT="0" distB="0" distL="0" distR="0" wp14:anchorId="52DEEC47" wp14:editId="38819A72">
            <wp:extent cx="3810000" cy="5943600"/>
            <wp:effectExtent l="0" t="0" r="0" b="0"/>
            <wp:docPr id="788519183" name="Picture 788519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810000" cy="5943600"/>
                    </a:xfrm>
                    <a:prstGeom prst="rect">
                      <a:avLst/>
                    </a:prstGeom>
                  </pic:spPr>
                </pic:pic>
              </a:graphicData>
            </a:graphic>
          </wp:inline>
        </w:drawing>
      </w:r>
    </w:p>
    <w:p w14:paraId="7AB62232" w14:textId="70B54CBB" w:rsidR="4FE3FD2E" w:rsidRDefault="4566887B" w:rsidP="3F226BC9">
      <w:pPr>
        <w:spacing w:beforeAutospacing="1" w:afterAutospacing="1"/>
        <w:rPr>
          <w:rFonts w:ascii="Times" w:hAnsi="Times"/>
          <w:b/>
          <w:bCs/>
          <w:sz w:val="20"/>
          <w:szCs w:val="20"/>
        </w:rPr>
      </w:pPr>
      <w:r w:rsidRPr="00AE524C">
        <w:rPr>
          <w:rFonts w:ascii="Times" w:hAnsi="Times"/>
          <w:b/>
          <w:bCs/>
          <w:sz w:val="20"/>
          <w:szCs w:val="20"/>
        </w:rPr>
        <w:t xml:space="preserve">Figure </w:t>
      </w:r>
      <w:r w:rsidR="00541014" w:rsidRPr="00AE524C">
        <w:rPr>
          <w:rFonts w:ascii="Times" w:hAnsi="Times"/>
          <w:b/>
          <w:bCs/>
          <w:sz w:val="20"/>
          <w:szCs w:val="20"/>
        </w:rPr>
        <w:t>20</w:t>
      </w:r>
      <w:r w:rsidR="0047211A" w:rsidRPr="00AE524C">
        <w:rPr>
          <w:rFonts w:ascii="Times" w:hAnsi="Times"/>
          <w:b/>
          <w:bCs/>
          <w:sz w:val="20"/>
          <w:szCs w:val="20"/>
        </w:rPr>
        <w:t xml:space="preserve">. </w:t>
      </w:r>
      <w:r w:rsidR="0047211A" w:rsidRPr="00AE524C">
        <w:rPr>
          <w:rFonts w:ascii="Times" w:hAnsi="Times"/>
          <w:sz w:val="20"/>
          <w:szCs w:val="20"/>
        </w:rPr>
        <w:t>Tyrosol reduced STAT3 phosphorylation, suppressed astrocyte activation, and inhibited NF-κB activity in astrocytes subjected to OGD.</w:t>
      </w:r>
      <w:r w:rsidR="0018698F" w:rsidRPr="00AE524C">
        <w:rPr>
          <w:rFonts w:ascii="Times" w:hAnsi="Times"/>
          <w:sz w:val="20"/>
          <w:szCs w:val="20"/>
        </w:rPr>
        <w:t xml:space="preserve"> Reprinted from </w:t>
      </w:r>
      <w:r w:rsidR="0018698F" w:rsidRPr="00AE524C">
        <w:rPr>
          <w:rFonts w:ascii="Times" w:hAnsi="Times"/>
          <w:sz w:val="20"/>
          <w:szCs w:val="20"/>
        </w:rPr>
        <w:fldChar w:fldCharType="begin"/>
      </w:r>
      <w:r w:rsidR="0056095D">
        <w:rPr>
          <w:rFonts w:ascii="Times" w:hAnsi="Times"/>
          <w:sz w:val="20"/>
          <w:szCs w:val="20"/>
        </w:rPr>
        <w:instrText xml:space="preserve"> ADDIN ZOTERO_ITEM CSL_CITATION {"citationID":"bhlJPi2s","properties":{"formattedCitation":"[204]","plainCitation":"[204]","noteIndex":0},"citationItems":[{"id":180,"uris":["http://zotero.org/users/9439317/items/USQGLWH2"],"itemData":{"id":180,"type":"article-journal","abstract":"Subsequent inflammation in stroke plays an important role in the damage of neurons in the perilesional area. Therapeutic intervention targeting inflammation may be a promising complementary strategy to current treatments of stroke. Here, we explored the possible beneficial effects of tyrosol, a derivative of phenethyl alcohol and natural antioxidant, playing an anti-inflammatory role in astrocyte culture and in vitro oxygen glucose deprivation (OGD) model. MTT, western blot, ELISA and EMSA assays were carried out to investigate cell viability, protein expression level, cytokine expression and NF-κB activity. We found tyrosol protected cultured astrocytes against OGD-induced cell viability loss in MTT test. Meanwhile, tyrosol attenuated the released TNF-α and IL-6 level from astrocyte via regulating Janus N-terminal kinase (JNK). The reduction of cytokines from astrocyte might be due to its inhibition of astrocyte activation and regulation of STAT3 signaling pathway since tyrosol attenuated the expression level of GFAP (glial fibrillary acidic protein) and the phosphorylation of STAT3. Additionally, we demonstrated that tyrosol prevented the degradation of IκBα and the increase of IκBα phosphorylation in astrocytes exposed to OGD, which led to the suppression of NF-κB function during ischemia. Collectively, our results showed that tyrosol may be a promising complementary treatment compound for stroke via modulating the inflammatory response in astrocytes during ischemia.","container-title":"Neurochemistry International","DOI":"10.1016/j.neuint.2018.10.006","ISSN":"01970186","journalAbbreviation":"Neurochemistry International","language":"en","page":"140-145","source":"DOI.org (Crossref)","title":"Tyrosol attenuates pro-inflammatory cytokines from cultured astrocytes and NF-κB activation in in vitro oxygen glucose deprivation","URL":"https://linkinghub.elsevier.com/retrieve/pii/S0197018618304352","volume":"121","author":[{"family":"Luo","given":"Gang"},{"family":"Huang","given":"Yinuo"},{"family":"Mo","given":"Dapeng"},{"family":"Ma","given":"Ning"},{"family":"Gao","given":"Feng"},{"family":"Song","given":"Ligang"},{"family":"Sun","given":"Xuan"},{"family":"Xu","given":"Xiaotong"},{"family":"Liu","given":"Lian"},{"family":"Huo","given":"Xiaochuan"},{"family":"Wang","given":"Bo"},{"family":"Li","given":"Xiaoqing"},{"family":"Jia","given":"Baixue"},{"family":"Deng","given":"Yiming"},{"family":"Zhang","given":"Xuelei"},{"family":"Fernandez-Escobar","given":"Alejandro"},{"family":"Peng","given":"Guangge"},{"family":"Miao","given":"Zhongrong"}],"accessed":{"date-parts":[["2022",6,5]]},"issued":{"date-parts":[["2018",12]]}}}],"schema":"https://github.com/citation-style-language/schema/raw/master/csl-citation.json"} </w:instrText>
      </w:r>
      <w:r w:rsidR="0018698F" w:rsidRPr="00AE524C">
        <w:rPr>
          <w:rFonts w:ascii="Times" w:hAnsi="Times"/>
          <w:sz w:val="20"/>
          <w:szCs w:val="20"/>
        </w:rPr>
        <w:fldChar w:fldCharType="separate"/>
      </w:r>
      <w:r w:rsidR="0056095D">
        <w:rPr>
          <w:rFonts w:ascii="Times" w:hAnsi="Times"/>
          <w:noProof/>
          <w:sz w:val="20"/>
          <w:szCs w:val="20"/>
        </w:rPr>
        <w:t>[204]</w:t>
      </w:r>
      <w:r w:rsidR="0018698F" w:rsidRPr="00AE524C">
        <w:rPr>
          <w:rFonts w:ascii="Times" w:hAnsi="Times"/>
          <w:sz w:val="20"/>
          <w:szCs w:val="20"/>
        </w:rPr>
        <w:fldChar w:fldCharType="end"/>
      </w:r>
      <w:r w:rsidR="0047211A" w:rsidRPr="00AE524C">
        <w:rPr>
          <w:rFonts w:ascii="Times" w:hAnsi="Times"/>
          <w:sz w:val="20"/>
          <w:szCs w:val="20"/>
        </w:rPr>
        <w:t xml:space="preserve"> (A) Tyrosol lowered GFAP expression in cultured astrocytes exposed to OGD. (B) It also decreased phosphorylated STAT3 levels in these astrocytes. (C) A reduction in total c-Jun expression was observed following tyrosol treatment. (D) Representative images and statistical analysis demonstrated that tyrosol increased total IκBα levels in astrocytes. (E) Additionally, tyrosol reduced phosphorylated IκBα levels, as shown in representative images and statistical results. (F) EMSA analysis indicated that OGD elevated NF-κB activity, which was effectively suppressed by tyrosol treatment.</w:t>
      </w:r>
      <w:r w:rsidR="0055014A" w:rsidRPr="00AE524C">
        <w:rPr>
          <w:rFonts w:ascii="Times" w:hAnsi="Times"/>
          <w:b/>
          <w:bCs/>
          <w:sz w:val="20"/>
          <w:szCs w:val="20"/>
        </w:rPr>
        <w:t xml:space="preserve"> </w:t>
      </w:r>
    </w:p>
    <w:p w14:paraId="1207B6EA" w14:textId="77777777" w:rsidR="005D0EBC" w:rsidRDefault="005D0EBC" w:rsidP="3F226BC9">
      <w:pPr>
        <w:spacing w:beforeAutospacing="1" w:afterAutospacing="1"/>
        <w:rPr>
          <w:rFonts w:ascii="Times" w:hAnsi="Times"/>
          <w:b/>
          <w:bCs/>
          <w:sz w:val="20"/>
          <w:szCs w:val="20"/>
        </w:rPr>
      </w:pPr>
    </w:p>
    <w:p w14:paraId="35FAA0D9" w14:textId="77777777" w:rsidR="005D0EBC" w:rsidRPr="00AE524C" w:rsidRDefault="005D0EBC" w:rsidP="3F226BC9">
      <w:pPr>
        <w:spacing w:beforeAutospacing="1" w:afterAutospacing="1"/>
        <w:rPr>
          <w:rFonts w:ascii="Times" w:hAnsi="Times"/>
          <w:b/>
          <w:bCs/>
          <w:sz w:val="20"/>
          <w:szCs w:val="20"/>
        </w:rPr>
      </w:pPr>
    </w:p>
    <w:p w14:paraId="6B221826" w14:textId="1E8C6F87" w:rsidR="3EA078EA" w:rsidRPr="00D22AA7" w:rsidRDefault="00780971" w:rsidP="3300C1C8">
      <w:pPr>
        <w:spacing w:beforeAutospacing="1" w:afterAutospacing="1"/>
        <w:rPr>
          <w:rFonts w:ascii="Times" w:hAnsi="Times"/>
          <w:b/>
          <w:bCs/>
        </w:rPr>
      </w:pPr>
      <w:r w:rsidRPr="00D22AA7">
        <w:rPr>
          <w:rFonts w:ascii="Times" w:hAnsi="Times"/>
          <w:b/>
          <w:bCs/>
        </w:rPr>
        <w:lastRenderedPageBreak/>
        <w:t xml:space="preserve">6.2. </w:t>
      </w:r>
      <w:r w:rsidR="3EA078EA" w:rsidRPr="00D22AA7">
        <w:rPr>
          <w:rFonts w:ascii="Times" w:hAnsi="Times"/>
          <w:b/>
          <w:bCs/>
        </w:rPr>
        <w:t xml:space="preserve">In Vitro Evaluation of Oleocanthal </w:t>
      </w:r>
    </w:p>
    <w:p w14:paraId="76198E58" w14:textId="22735843" w:rsidR="00386CA0" w:rsidRPr="00D22AA7" w:rsidRDefault="00D45672" w:rsidP="00AE524C">
      <w:pPr>
        <w:spacing w:beforeAutospacing="1" w:afterAutospacing="1"/>
        <w:jc w:val="both"/>
        <w:rPr>
          <w:rFonts w:ascii="Times" w:hAnsi="Times"/>
        </w:rPr>
      </w:pPr>
      <w:r w:rsidRPr="00D22AA7">
        <w:rPr>
          <w:rFonts w:ascii="Times" w:hAnsi="Times"/>
          <w:color w:val="404040" w:themeColor="text1" w:themeTint="BF"/>
        </w:rPr>
        <w:t xml:space="preserve">Oleocanthal, a polyphenolic compound and a key component of extra virgin olive oil, exhibits notable anti-inflammatory properties. It has been shown to inhibit lipopolysaccharide-induced nitric oxide production and the expression of inducible nitric oxide synthase (iNOS), while also suppressing the expression of macrophage inflammatory protein-1α. Additionally, oleocanthal reduces the production of IL-6 in both J774 macrophages and ATDC5 chondrocytes, as well as the production of IL-1β, TNF-α, GM-CSF, and nitric oxide (NO) in J774 macrophages. These cytokines are critically involved in the inflammatory processes and cartilage degradation associated with RA. The findings suggest that oleocanthal possesses significant anti-inflammatory effects and holds </w:t>
      </w:r>
      <w:r w:rsidR="00637C73">
        <w:rPr>
          <w:rFonts w:ascii="Times" w:hAnsi="Times"/>
          <w:color w:val="404040" w:themeColor="text1" w:themeTint="BF"/>
        </w:rPr>
        <w:t>significance importance</w:t>
      </w:r>
      <w:r w:rsidRPr="00D22AA7">
        <w:rPr>
          <w:rFonts w:ascii="Times" w:hAnsi="Times"/>
          <w:color w:val="404040" w:themeColor="text1" w:themeTint="BF"/>
        </w:rPr>
        <w:t xml:space="preserve"> as a potential therapeutic agent for the treatment of RA</w:t>
      </w:r>
      <w:r w:rsidR="00A07744" w:rsidRPr="00D22AA7">
        <w:rPr>
          <w:rFonts w:ascii="Times" w:hAnsi="Times"/>
          <w:color w:val="404040" w:themeColor="text1" w:themeTint="BF"/>
        </w:rPr>
        <w:t xml:space="preserve"> </w:t>
      </w:r>
      <w:r w:rsidR="00A07744" w:rsidRPr="00D22AA7">
        <w:rPr>
          <w:rFonts w:ascii="Times" w:hAnsi="Times"/>
          <w:color w:val="404040" w:themeColor="text1" w:themeTint="BF"/>
        </w:rPr>
        <w:fldChar w:fldCharType="begin"/>
      </w:r>
      <w:r w:rsidR="0056095D">
        <w:rPr>
          <w:rFonts w:ascii="Times" w:hAnsi="Times"/>
          <w:color w:val="404040" w:themeColor="text1" w:themeTint="BF"/>
        </w:rPr>
        <w:instrText xml:space="preserve"> ADDIN ZOTERO_ITEM CSL_CITATION {"citationID":"CTLeyx5U","properties":{"formattedCitation":"[205]","plainCitation":"[205]","noteIndex":0},"citationItems":[{"id":178,"uris":["http://zotero.org/users/9439317/items/3Z9AHYZ6"],"itemData":{"id":178,"type":"article-journal","abstract":"Aims: Given the relevance of degenerative joint diseases in our society, the development of a novel pharmacologic intervention is a critically important public health goal. Recently, oleocanthal, a polyphenolic natural compound from extra virgin olive oil, has emerged as a potential therapeutic weapon for the treatment of inﬂammatory degenerative diseases. The goal of this study was to further evaluate the anti-inﬂammatory activity of oleocanthal in murine macrophages J774 and murine chondrocytes ATDC5 with a particular focus on the inhibition of gene expression of pro-inﬂammatory factors such as MIP-1α and IL-6.","container-title":"Life Sciences","DOI":"10.1016/j.lfs.2012.09.012","ISSN":"00243205","issue":"23-24","journalAbbreviation":"Life Sciences","language":"en","page":"1229-1235","source":"DOI.org (Crossref)","title":"Further evidence for the anti-inflammatory activity of oleocanthal: Inhibition of MIP-1α and IL-6 in J774 macrophages and in ATDC5 chondrocytes","title-short":"Further evidence for the anti-inflammatory activity of oleocanthal","URL":"https://linkinghub.elsevier.com/retrieve/pii/S0024320512005668","volume":"91","author":[{"family":"Scotece","given":"Morena"},{"family":"Gómez","given":"Rodolfo"},{"family":"Conde","given":"Javier"},{"family":"Lopez","given":"Verónica"},{"family":"Gómez-Reino","given":"Juan J."},{"family":"Lago","given":"Francisca"},{"family":"Smith","given":"Amos B."},{"family":"Gualillo","given":"Oreste"}],"accessed":{"date-parts":[["2022",6,5]]},"issued":{"date-parts":[["2012",12]]}}}],"schema":"https://github.com/citation-style-language/schema/raw/master/csl-citation.json"} </w:instrText>
      </w:r>
      <w:r w:rsidR="00A07744" w:rsidRPr="00D22AA7">
        <w:rPr>
          <w:rFonts w:ascii="Times" w:hAnsi="Times"/>
          <w:color w:val="404040" w:themeColor="text1" w:themeTint="BF"/>
        </w:rPr>
        <w:fldChar w:fldCharType="separate"/>
      </w:r>
      <w:r w:rsidR="0056095D">
        <w:rPr>
          <w:rFonts w:ascii="Times" w:hAnsi="Times"/>
          <w:noProof/>
          <w:color w:val="404040" w:themeColor="text1" w:themeTint="BF"/>
        </w:rPr>
        <w:t>[205]</w:t>
      </w:r>
      <w:r w:rsidR="00A07744" w:rsidRPr="00D22AA7">
        <w:rPr>
          <w:rFonts w:ascii="Times" w:hAnsi="Times"/>
          <w:color w:val="404040" w:themeColor="text1" w:themeTint="BF"/>
        </w:rPr>
        <w:fldChar w:fldCharType="end"/>
      </w:r>
      <w:r w:rsidR="000F75FE">
        <w:rPr>
          <w:rFonts w:ascii="Times" w:hAnsi="Times"/>
          <w:color w:val="404040" w:themeColor="text1" w:themeTint="BF"/>
        </w:rPr>
        <w:t xml:space="preserve"> (figure 21 and figure 22)</w:t>
      </w:r>
    </w:p>
    <w:p w14:paraId="0FC33C4D" w14:textId="0D63C6D0" w:rsidR="0FE14FEE" w:rsidRPr="00D22AA7" w:rsidRDefault="00464466" w:rsidP="3F226BC9">
      <w:pPr>
        <w:spacing w:beforeAutospacing="1" w:afterAutospacing="1"/>
        <w:rPr>
          <w:rFonts w:ascii="Times" w:hAnsi="Times"/>
        </w:rPr>
      </w:pPr>
      <w:r>
        <w:rPr>
          <w:rFonts w:ascii="Times" w:hAnsi="Times"/>
        </w:rPr>
        <w:t xml:space="preserve">          </w:t>
      </w:r>
      <w:r w:rsidR="00AE524C">
        <w:rPr>
          <w:rFonts w:ascii="Times" w:hAnsi="Times"/>
        </w:rPr>
        <w:t xml:space="preserve">   </w:t>
      </w:r>
      <w:r>
        <w:rPr>
          <w:rFonts w:ascii="Times" w:hAnsi="Times"/>
        </w:rPr>
        <w:t xml:space="preserve">      </w:t>
      </w:r>
      <w:r w:rsidR="0FE14FEE" w:rsidRPr="00D22AA7">
        <w:rPr>
          <w:rFonts w:ascii="Times" w:hAnsi="Times"/>
          <w:noProof/>
        </w:rPr>
        <w:drawing>
          <wp:inline distT="0" distB="0" distL="0" distR="0" wp14:anchorId="6CB4173B" wp14:editId="2042AA07">
            <wp:extent cx="4241800" cy="2018934"/>
            <wp:effectExtent l="0" t="0" r="0" b="0"/>
            <wp:docPr id="1316865530" name="Picture 1316865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241800" cy="2018934"/>
                    </a:xfrm>
                    <a:prstGeom prst="rect">
                      <a:avLst/>
                    </a:prstGeom>
                  </pic:spPr>
                </pic:pic>
              </a:graphicData>
            </a:graphic>
          </wp:inline>
        </w:drawing>
      </w:r>
    </w:p>
    <w:p w14:paraId="1C37B8EF" w14:textId="19AA74FD" w:rsidR="0FE14FEE" w:rsidRPr="00D22AA7" w:rsidRDefault="00780971" w:rsidP="00AE524C">
      <w:pPr>
        <w:spacing w:beforeAutospacing="1" w:afterAutospacing="1"/>
        <w:jc w:val="both"/>
        <w:rPr>
          <w:rFonts w:ascii="Times" w:hAnsi="Times"/>
          <w:sz w:val="22"/>
          <w:szCs w:val="22"/>
        </w:rPr>
      </w:pPr>
      <w:r w:rsidRPr="00D22AA7">
        <w:rPr>
          <w:rFonts w:ascii="Times" w:eastAsia="Georgia" w:hAnsi="Times" w:cs="Georgia"/>
          <w:b/>
          <w:bCs/>
          <w:color w:val="1F1F1F"/>
          <w:sz w:val="22"/>
          <w:szCs w:val="22"/>
        </w:rPr>
        <w:t>Figure</w:t>
      </w:r>
      <w:r w:rsidR="00541014">
        <w:rPr>
          <w:rFonts w:ascii="Times" w:eastAsia="Georgia" w:hAnsi="Times" w:cs="Georgia"/>
          <w:b/>
          <w:bCs/>
          <w:color w:val="1F1F1F"/>
          <w:sz w:val="22"/>
          <w:szCs w:val="22"/>
        </w:rPr>
        <w:t xml:space="preserve"> 2</w:t>
      </w:r>
      <w:r w:rsidR="000F75FE">
        <w:rPr>
          <w:rFonts w:ascii="Times" w:eastAsia="Georgia" w:hAnsi="Times" w:cs="Georgia"/>
          <w:b/>
          <w:bCs/>
          <w:color w:val="1F1F1F"/>
          <w:sz w:val="22"/>
          <w:szCs w:val="22"/>
        </w:rPr>
        <w:t>1</w:t>
      </w:r>
      <w:r w:rsidR="00541014">
        <w:rPr>
          <w:rFonts w:ascii="Times" w:eastAsia="Georgia" w:hAnsi="Times" w:cs="Georgia"/>
          <w:b/>
          <w:bCs/>
          <w:color w:val="1F1F1F"/>
          <w:sz w:val="22"/>
          <w:szCs w:val="22"/>
        </w:rPr>
        <w:t>.</w:t>
      </w:r>
      <w:r w:rsidRPr="00D22AA7">
        <w:rPr>
          <w:rFonts w:ascii="Times" w:eastAsia="Georgia" w:hAnsi="Times" w:cs="Georgia"/>
          <w:b/>
          <w:bCs/>
          <w:color w:val="1F1F1F"/>
          <w:sz w:val="22"/>
          <w:szCs w:val="22"/>
        </w:rPr>
        <w:t xml:space="preserve"> </w:t>
      </w:r>
      <w:r w:rsidR="009D6A15" w:rsidRPr="009D6A15">
        <w:rPr>
          <w:rFonts w:ascii="Times" w:eastAsia="Georgia" w:hAnsi="Times" w:cs="Georgia"/>
          <w:color w:val="1F1F1F"/>
          <w:sz w:val="22"/>
          <w:szCs w:val="22"/>
        </w:rPr>
        <w:t>Modulatory Effects of Oleocanthal on MIP-1α and IL-6 Protein Secretion in ATDC5 Chondrocytes Under Lipopolysaccharide (LPS)-Induced Inflammatory Stimulation. ATDC5 cells (2.5 × 10</w:t>
      </w:r>
      <w:r w:rsidR="009D6A15" w:rsidRPr="009D6A15">
        <w:rPr>
          <w:rFonts w:ascii="Cambria Math" w:eastAsia="Georgia" w:hAnsi="Cambria Math" w:cs="Cambria Math"/>
          <w:color w:val="1F1F1F"/>
          <w:sz w:val="22"/>
          <w:szCs w:val="22"/>
        </w:rPr>
        <w:t>⁶</w:t>
      </w:r>
      <w:r w:rsidR="009D6A15" w:rsidRPr="009D6A15">
        <w:rPr>
          <w:rFonts w:ascii="Times" w:eastAsia="Georgia" w:hAnsi="Times" w:cs="Georgia"/>
          <w:color w:val="1F1F1F"/>
          <w:sz w:val="22"/>
          <w:szCs w:val="22"/>
        </w:rPr>
        <w:t xml:space="preserve"> cells/well) were pretreated with 15 μM oleocanthal for 12 hours prior to stimulation with 250 ng/ml LPS for 24 hours. Post-stimulation, cell culture supernatants were collected, and secreted MIP-1α levels were quantified via enzyme-linked immunosorbent assay (ELISA) to evaluate the anti-inflammatory activity of oleocanthal</w:t>
      </w:r>
    </w:p>
    <w:p w14:paraId="014516E8" w14:textId="74617775" w:rsidR="3F226BC9" w:rsidRPr="00D22AA7" w:rsidRDefault="3F226BC9" w:rsidP="3F226BC9">
      <w:pPr>
        <w:spacing w:beforeAutospacing="1" w:afterAutospacing="1"/>
        <w:rPr>
          <w:rFonts w:ascii="Times" w:eastAsia="Georgia" w:hAnsi="Times" w:cs="Georgia"/>
          <w:color w:val="1F1F1F"/>
        </w:rPr>
      </w:pPr>
    </w:p>
    <w:p w14:paraId="5482F90F" w14:textId="4437DCB1" w:rsidR="00464466" w:rsidRDefault="00464466" w:rsidP="3F226BC9">
      <w:pPr>
        <w:spacing w:beforeAutospacing="1" w:afterAutospacing="1"/>
        <w:rPr>
          <w:rFonts w:ascii="Times" w:eastAsia="Georgia" w:hAnsi="Times" w:cs="Georgia"/>
          <w:b/>
          <w:bCs/>
          <w:color w:val="1F1F1F"/>
          <w:sz w:val="22"/>
          <w:szCs w:val="22"/>
        </w:rPr>
      </w:pPr>
      <w:r>
        <w:rPr>
          <w:rFonts w:ascii="Times" w:eastAsia="Georgia" w:hAnsi="Times" w:cs="Georgia"/>
          <w:b/>
          <w:bCs/>
          <w:color w:val="1F1F1F"/>
          <w:sz w:val="22"/>
          <w:szCs w:val="22"/>
        </w:rPr>
        <w:t xml:space="preserve">       </w:t>
      </w:r>
      <w:r w:rsidR="00AE524C">
        <w:rPr>
          <w:rFonts w:ascii="Times" w:eastAsia="Georgia" w:hAnsi="Times" w:cs="Georgia"/>
          <w:b/>
          <w:bCs/>
          <w:color w:val="1F1F1F"/>
          <w:sz w:val="22"/>
          <w:szCs w:val="22"/>
        </w:rPr>
        <w:t xml:space="preserve">        </w:t>
      </w:r>
      <w:r>
        <w:rPr>
          <w:rFonts w:ascii="Times" w:eastAsia="Georgia" w:hAnsi="Times" w:cs="Georgia"/>
          <w:b/>
          <w:bCs/>
          <w:color w:val="1F1F1F"/>
          <w:sz w:val="22"/>
          <w:szCs w:val="22"/>
        </w:rPr>
        <w:t xml:space="preserve">            </w:t>
      </w:r>
      <w:r w:rsidR="68AC8440" w:rsidRPr="00D22AA7">
        <w:rPr>
          <w:rFonts w:ascii="Times" w:hAnsi="Times"/>
          <w:noProof/>
        </w:rPr>
        <w:drawing>
          <wp:inline distT="0" distB="0" distL="0" distR="0" wp14:anchorId="180FCCD6" wp14:editId="70A162C6">
            <wp:extent cx="3963816" cy="1937442"/>
            <wp:effectExtent l="0" t="0" r="0" b="5715"/>
            <wp:docPr id="205048291" name="Picture 205048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04829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033100" cy="1971307"/>
                    </a:xfrm>
                    <a:prstGeom prst="rect">
                      <a:avLst/>
                    </a:prstGeom>
                  </pic:spPr>
                </pic:pic>
              </a:graphicData>
            </a:graphic>
          </wp:inline>
        </w:drawing>
      </w:r>
    </w:p>
    <w:p w14:paraId="184ECF8F" w14:textId="36AAAAEF" w:rsidR="0FE14FEE" w:rsidRPr="00D22AA7" w:rsidRDefault="68AC8440" w:rsidP="00AE524C">
      <w:pPr>
        <w:spacing w:beforeAutospacing="1" w:afterAutospacing="1"/>
        <w:jc w:val="both"/>
        <w:rPr>
          <w:rFonts w:ascii="Times" w:hAnsi="Times"/>
        </w:rPr>
      </w:pPr>
      <w:r w:rsidRPr="00D22AA7">
        <w:rPr>
          <w:rFonts w:ascii="Times" w:eastAsia="Georgia" w:hAnsi="Times" w:cs="Georgia"/>
          <w:b/>
          <w:bCs/>
          <w:color w:val="1F1F1F"/>
          <w:sz w:val="22"/>
          <w:szCs w:val="22"/>
        </w:rPr>
        <w:lastRenderedPageBreak/>
        <w:t>Fi</w:t>
      </w:r>
      <w:r w:rsidR="00780971" w:rsidRPr="00D22AA7">
        <w:rPr>
          <w:rFonts w:ascii="Times" w:eastAsia="Georgia" w:hAnsi="Times" w:cs="Georgia"/>
          <w:b/>
          <w:bCs/>
          <w:color w:val="1F1F1F"/>
          <w:sz w:val="22"/>
          <w:szCs w:val="22"/>
        </w:rPr>
        <w:t>gure</w:t>
      </w:r>
      <w:r w:rsidR="00541014">
        <w:rPr>
          <w:rFonts w:ascii="Times" w:eastAsia="Georgia" w:hAnsi="Times" w:cs="Georgia"/>
          <w:b/>
          <w:bCs/>
          <w:color w:val="1F1F1F"/>
          <w:sz w:val="22"/>
          <w:szCs w:val="22"/>
        </w:rPr>
        <w:t xml:space="preserve"> 2</w:t>
      </w:r>
      <w:r w:rsidR="000F75FE">
        <w:rPr>
          <w:rFonts w:ascii="Times" w:eastAsia="Georgia" w:hAnsi="Times" w:cs="Georgia"/>
          <w:b/>
          <w:bCs/>
          <w:color w:val="1F1F1F"/>
          <w:sz w:val="22"/>
          <w:szCs w:val="22"/>
        </w:rPr>
        <w:t>2</w:t>
      </w:r>
      <w:r w:rsidRPr="00D22AA7">
        <w:rPr>
          <w:rFonts w:ascii="Times" w:eastAsia="Georgia" w:hAnsi="Times" w:cs="Georgia"/>
          <w:color w:val="1F1F1F"/>
          <w:sz w:val="22"/>
          <w:szCs w:val="22"/>
        </w:rPr>
        <w:t xml:space="preserve">. </w:t>
      </w:r>
      <w:r w:rsidR="004E155F" w:rsidRPr="004E155F">
        <w:rPr>
          <w:rFonts w:ascii="Times" w:eastAsia="Georgia" w:hAnsi="Times" w:cs="Georgia"/>
          <w:color w:val="1F1F1F"/>
          <w:sz w:val="22"/>
          <w:szCs w:val="22"/>
        </w:rPr>
        <w:t>Modulatory Effects of Oleocanthal on IL-6 and MIP-1α Protein Secretion in J774 Macrophages Under Lipopolysaccharide (LPS)-Induced Inflammatory Conditions. J774 murine macrophage cells (1 × 10</w:t>
      </w:r>
      <w:r w:rsidR="004E155F" w:rsidRPr="004E155F">
        <w:rPr>
          <w:rFonts w:ascii="Cambria Math" w:eastAsia="Georgia" w:hAnsi="Cambria Math" w:cs="Cambria Math"/>
          <w:color w:val="1F1F1F"/>
          <w:sz w:val="22"/>
          <w:szCs w:val="22"/>
        </w:rPr>
        <w:t>⁶</w:t>
      </w:r>
      <w:r w:rsidR="004E155F" w:rsidRPr="004E155F">
        <w:rPr>
          <w:rFonts w:ascii="Times" w:eastAsia="Georgia" w:hAnsi="Times" w:cs="Georgia"/>
          <w:color w:val="1F1F1F"/>
          <w:sz w:val="22"/>
          <w:szCs w:val="22"/>
        </w:rPr>
        <w:t xml:space="preserve"> cells/well) were pretreated with 50 μM oleocanthal for 12 hours prior to inflammatory challenge with 250 ng/ml LPS for 24 hours. Post-stimulation, cell culture supernatants were collected, and secreted IL-6 levels were quantified via enzyme-linked immunosorbent assay (ELISA) to evaluate the anti-inflammatory efficacy of oleocanthal</w:t>
      </w:r>
      <w:r w:rsidR="004E155F">
        <w:rPr>
          <w:rFonts w:ascii="Times" w:eastAsia="Georgia" w:hAnsi="Times" w:cs="Georgia"/>
          <w:i/>
          <w:iCs/>
          <w:color w:val="1F1F1F"/>
          <w:sz w:val="22"/>
          <w:szCs w:val="22"/>
        </w:rPr>
        <w:t xml:space="preserve"> </w:t>
      </w:r>
      <w:r w:rsidR="00DE1FB9">
        <w:rPr>
          <w:rFonts w:ascii="Times" w:eastAsia="Georgia" w:hAnsi="Times" w:cs="Georgia"/>
          <w:color w:val="1F1F1F"/>
          <w:sz w:val="22"/>
          <w:szCs w:val="22"/>
        </w:rPr>
        <w:fldChar w:fldCharType="begin"/>
      </w:r>
      <w:r w:rsidR="0056095D">
        <w:rPr>
          <w:rFonts w:ascii="Times" w:eastAsia="Georgia" w:hAnsi="Times" w:cs="Georgia"/>
          <w:color w:val="1F1F1F"/>
          <w:sz w:val="22"/>
          <w:szCs w:val="22"/>
        </w:rPr>
        <w:instrText xml:space="preserve"> ADDIN ZOTERO_ITEM CSL_CITATION {"citationID":"FcOHhyja","properties":{"formattedCitation":"[205]","plainCitation":"[205]","noteIndex":0},"citationItems":[{"id":178,"uris":["http://zotero.org/users/9439317/items/3Z9AHYZ6"],"itemData":{"id":178,"type":"article-journal","abstract":"Aims: Given the relevance of degenerative joint diseases in our society, the development of a novel pharmacologic intervention is a critically important public health goal. Recently, oleocanthal, a polyphenolic natural compound from extra virgin olive oil, has emerged as a potential therapeutic weapon for the treatment of inﬂammatory degenerative diseases. The goal of this study was to further evaluate the anti-inﬂammatory activity of oleocanthal in murine macrophages J774 and murine chondrocytes ATDC5 with a particular focus on the inhibition of gene expression of pro-inﬂammatory factors such as MIP-1α and IL-6.","container-title":"Life Sciences","DOI":"10.1016/j.lfs.2012.09.012","ISSN":"00243205","issue":"23-24","journalAbbreviation":"Life Sciences","language":"en","page":"1229-1235","source":"DOI.org (Crossref)","title":"Further evidence for the anti-inflammatory activity of oleocanthal: Inhibition of MIP-1α and IL-6 in J774 macrophages and in ATDC5 chondrocytes","title-short":"Further evidence for the anti-inflammatory activity of oleocanthal","URL":"https://linkinghub.elsevier.com/retrieve/pii/S0024320512005668","volume":"91","author":[{"family":"Scotece","given":"Morena"},{"family":"Gómez","given":"Rodolfo"},{"family":"Conde","given":"Javier"},{"family":"Lopez","given":"Verónica"},{"family":"Gómez-Reino","given":"Juan J."},{"family":"Lago","given":"Francisca"},{"family":"Smith","given":"Amos B."},{"family":"Gualillo","given":"Oreste"}],"accessed":{"date-parts":[["2022",6,5]]},"issued":{"date-parts":[["2012",12]]}}}],"schema":"https://github.com/citation-style-language/schema/raw/master/csl-citation.json"} </w:instrText>
      </w:r>
      <w:r w:rsidR="00DE1FB9">
        <w:rPr>
          <w:rFonts w:ascii="Times" w:eastAsia="Georgia" w:hAnsi="Times" w:cs="Georgia"/>
          <w:color w:val="1F1F1F"/>
          <w:sz w:val="22"/>
          <w:szCs w:val="22"/>
        </w:rPr>
        <w:fldChar w:fldCharType="separate"/>
      </w:r>
      <w:r w:rsidR="0056095D">
        <w:rPr>
          <w:rFonts w:ascii="Times" w:eastAsia="Georgia" w:hAnsi="Times" w:cs="Georgia"/>
          <w:noProof/>
          <w:color w:val="1F1F1F"/>
          <w:sz w:val="22"/>
          <w:szCs w:val="22"/>
        </w:rPr>
        <w:t>[205]</w:t>
      </w:r>
      <w:r w:rsidR="00DE1FB9">
        <w:rPr>
          <w:rFonts w:ascii="Times" w:eastAsia="Georgia" w:hAnsi="Times" w:cs="Georgia"/>
          <w:color w:val="1F1F1F"/>
          <w:sz w:val="22"/>
          <w:szCs w:val="22"/>
        </w:rPr>
        <w:fldChar w:fldCharType="end"/>
      </w:r>
    </w:p>
    <w:p w14:paraId="024FF91D" w14:textId="58A66EB0" w:rsidR="05535C0B" w:rsidRPr="00D22AA7" w:rsidRDefault="00780971" w:rsidP="3300C1C8">
      <w:pPr>
        <w:spacing w:beforeAutospacing="1" w:afterAutospacing="1"/>
        <w:rPr>
          <w:rFonts w:ascii="Times" w:hAnsi="Times"/>
          <w:b/>
          <w:bCs/>
        </w:rPr>
      </w:pPr>
      <w:r w:rsidRPr="00D22AA7">
        <w:rPr>
          <w:rFonts w:ascii="Times" w:hAnsi="Times"/>
          <w:b/>
          <w:bCs/>
        </w:rPr>
        <w:t xml:space="preserve">6.3. </w:t>
      </w:r>
      <w:r w:rsidR="05535C0B" w:rsidRPr="00D22AA7">
        <w:rPr>
          <w:rFonts w:ascii="Times" w:hAnsi="Times"/>
          <w:b/>
          <w:bCs/>
        </w:rPr>
        <w:t xml:space="preserve">In Vitro Evaluation of Oleuropein </w:t>
      </w:r>
    </w:p>
    <w:p w14:paraId="5D13E064" w14:textId="476FE7AA" w:rsidR="00386CA0" w:rsidRDefault="00D45672" w:rsidP="3F226BC9">
      <w:pPr>
        <w:shd w:val="clear" w:color="auto" w:fill="FFFFFF" w:themeFill="background1"/>
        <w:ind w:firstLine="480"/>
        <w:jc w:val="both"/>
        <w:rPr>
          <w:rFonts w:ascii="Times" w:hAnsi="Times" w:cs="Arial"/>
          <w:color w:val="404040" w:themeColor="text1" w:themeTint="BF"/>
        </w:rPr>
      </w:pPr>
      <w:r w:rsidRPr="00D22AA7">
        <w:rPr>
          <w:rFonts w:ascii="Times" w:hAnsi="Times" w:cs="Arial"/>
          <w:color w:val="404040" w:themeColor="text1" w:themeTint="BF"/>
        </w:rPr>
        <w:t>Oleuropein, the predominant phenolic compound in olive oil, is known for its antioxidant and anti-inflammatory properties. Its effects were studied on the IL-1β-induced human synovial sarcoma cell line (SW982), revealing a significant reduction in the expression of inflammatory cytokines and enzymes, including IL-6, TNF-α, MMP-1, MMP-3, mPGES-1, and COX-2. These findings demonstrate that oleuropein effectively mitigates inflammatory responses, highlighting its potential for use in the management and prevention of RA</w:t>
      </w:r>
      <w:r w:rsidR="00A07744" w:rsidRPr="00D22AA7">
        <w:rPr>
          <w:rFonts w:ascii="Times" w:hAnsi="Times" w:cs="Arial"/>
          <w:color w:val="404040" w:themeColor="text1" w:themeTint="BF"/>
        </w:rPr>
        <w:t xml:space="preserve"> </w:t>
      </w:r>
      <w:r w:rsidR="00A07744" w:rsidRPr="00D22AA7">
        <w:rPr>
          <w:rFonts w:ascii="Times" w:hAnsi="Times" w:cs="Arial"/>
          <w:color w:val="404040" w:themeColor="text1" w:themeTint="BF"/>
        </w:rPr>
        <w:fldChar w:fldCharType="begin"/>
      </w:r>
      <w:r w:rsidR="0056095D">
        <w:rPr>
          <w:rFonts w:ascii="Times" w:hAnsi="Times" w:cs="Arial"/>
          <w:color w:val="404040" w:themeColor="text1" w:themeTint="BF"/>
        </w:rPr>
        <w:instrText xml:space="preserve"> ADDIN ZOTERO_ITEM CSL_CITATION {"citationID":"p55KhwoC","properties":{"formattedCitation":"[206]","plainCitation":"[206]","noteIndex":0},"citationItems":[{"id":184,"uris":["http://zotero.org/users/9439317/items/BC7RTABA"],"itemData":{"id":184,"type":"article-journal","abstract":"Rheumatoid arthritis (RA) is a chronic and systemic inflammatory autoimmune disease mainly characterized by aggressive hyperproliferation of synovial fibroblasts (SFs) and massive infiltration of inflammatory immune cells inducing a progressive matrix degradation, destruction of cartilage and bone erosion through the production of inflammatory mediators. Oleuropein, is the most prevalent phenolic component in olive leaves, seed, pulp and peel of unripe olives and is responsible for unprocessed olives characteristic bitter taste. This secoiridoid possesses a well-documented pharmacological properties, including antioxidant and anti-inflammatory, consequently is available as food supplement in Mediterranean countries. However, at the date, anti-arthritic effects of oleuropein on SFs have not been yet elucidated. Thus, the aim of the present study was to investigate the potential effects of oleuropein, on IL-1β-induced production of inflammatory mediators and oxidative stress in human synovial sarcoma cell line (SW982). In order to gain a better insight into mechanisms of action, signaling pathways were also explored.","container-title":"Food &amp; Function","DOI":"10.1039/C7FO00210F","ISSN":"2042-6496, 2042-650X","issue":"5","journalAbbreviation":"Food Funct.","language":"en","page":"1890-1898","source":"DOI.org (Crossref)","title":"Oleuropein down-regulated IL-1β-induced inflammation and oxidative stress in human synovial fibroblast cell line SW982","URL":"http://xlink.rsc.org/?DOI=C7FO00210F","volume":"8","author":[{"family":"Castejón","given":"Maria Luisa"},{"family":"Rosillo","given":"Maria Ángeles"},{"family":"Montoya","given":"Tatiana"},{"family":"González-Benjumea","given":"Alejandro"},{"family":"Fernández-Bolaños","given":"Jose Maria"},{"family":"Alarcón-de-la-Lastra","given":"Catalina"}],"accessed":{"date-parts":[["2022",6,4]]},"issued":{"date-parts":[["2017"]]}}}],"schema":"https://github.com/citation-style-language/schema/raw/master/csl-citation.json"} </w:instrText>
      </w:r>
      <w:r w:rsidR="00A07744" w:rsidRPr="00D22AA7">
        <w:rPr>
          <w:rFonts w:ascii="Times" w:hAnsi="Times" w:cs="Arial"/>
          <w:color w:val="404040" w:themeColor="text1" w:themeTint="BF"/>
        </w:rPr>
        <w:fldChar w:fldCharType="separate"/>
      </w:r>
      <w:r w:rsidR="0056095D">
        <w:rPr>
          <w:rFonts w:ascii="Times" w:hAnsi="Times" w:cs="Arial"/>
          <w:noProof/>
          <w:color w:val="404040" w:themeColor="text1" w:themeTint="BF"/>
        </w:rPr>
        <w:t>[206]</w:t>
      </w:r>
      <w:r w:rsidR="00A07744" w:rsidRPr="00D22AA7">
        <w:rPr>
          <w:rFonts w:ascii="Times" w:hAnsi="Times" w:cs="Arial"/>
          <w:color w:val="404040" w:themeColor="text1" w:themeTint="BF"/>
        </w:rPr>
        <w:fldChar w:fldCharType="end"/>
      </w:r>
      <w:r w:rsidRPr="00D22AA7">
        <w:rPr>
          <w:rFonts w:ascii="Times" w:hAnsi="Times" w:cs="Arial"/>
          <w:color w:val="404040" w:themeColor="text1" w:themeTint="BF"/>
        </w:rPr>
        <w:t>.</w:t>
      </w:r>
      <w:r w:rsidR="000F75FE">
        <w:rPr>
          <w:rFonts w:ascii="Times" w:hAnsi="Times" w:cs="Arial"/>
          <w:color w:val="404040" w:themeColor="text1" w:themeTint="BF"/>
        </w:rPr>
        <w:t xml:space="preserve"> (figure 23, 24, 25, and 26)</w:t>
      </w:r>
    </w:p>
    <w:p w14:paraId="1D23AC4C" w14:textId="77777777" w:rsidR="00101D72" w:rsidRPr="00D22AA7" w:rsidRDefault="00101D72" w:rsidP="3F226BC9">
      <w:pPr>
        <w:shd w:val="clear" w:color="auto" w:fill="FFFFFF" w:themeFill="background1"/>
        <w:ind w:firstLine="480"/>
        <w:jc w:val="both"/>
        <w:rPr>
          <w:rFonts w:ascii="Times" w:hAnsi="Times" w:cs="Arial"/>
          <w:b/>
          <w:bCs/>
          <w:color w:val="222222"/>
          <w:sz w:val="20"/>
          <w:szCs w:val="20"/>
        </w:rPr>
      </w:pPr>
    </w:p>
    <w:p w14:paraId="607E31D1" w14:textId="27B248A9" w:rsidR="00464466" w:rsidRDefault="00464466" w:rsidP="00464466">
      <w:pPr>
        <w:shd w:val="clear" w:color="auto" w:fill="FFFFFF" w:themeFill="background1"/>
        <w:ind w:firstLine="480"/>
        <w:jc w:val="both"/>
        <w:rPr>
          <w:rFonts w:ascii="Times" w:hAnsi="Times"/>
        </w:rPr>
      </w:pPr>
      <w:r>
        <w:rPr>
          <w:rFonts w:ascii="Times" w:hAnsi="Times"/>
        </w:rPr>
        <w:t xml:space="preserve">                     </w:t>
      </w:r>
      <w:r w:rsidR="543DC7D8" w:rsidRPr="00D22AA7">
        <w:rPr>
          <w:rFonts w:ascii="Times" w:hAnsi="Times"/>
          <w:noProof/>
        </w:rPr>
        <w:drawing>
          <wp:inline distT="0" distB="0" distL="0" distR="0" wp14:anchorId="32B3E7F6" wp14:editId="30DD5E7A">
            <wp:extent cx="3701910" cy="1910281"/>
            <wp:effectExtent l="0" t="0" r="0" b="0"/>
            <wp:docPr id="653943771" name="Picture 653943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729161" cy="1924343"/>
                    </a:xfrm>
                    <a:prstGeom prst="rect">
                      <a:avLst/>
                    </a:prstGeom>
                  </pic:spPr>
                </pic:pic>
              </a:graphicData>
            </a:graphic>
          </wp:inline>
        </w:drawing>
      </w:r>
    </w:p>
    <w:p w14:paraId="3A1269E9" w14:textId="77777777" w:rsidR="00101D72" w:rsidRDefault="00101D72" w:rsidP="00464466">
      <w:pPr>
        <w:shd w:val="clear" w:color="auto" w:fill="FFFFFF" w:themeFill="background1"/>
        <w:ind w:firstLine="480"/>
        <w:jc w:val="both"/>
        <w:rPr>
          <w:rFonts w:ascii="Times" w:hAnsi="Times"/>
        </w:rPr>
      </w:pPr>
    </w:p>
    <w:p w14:paraId="45D01CE0" w14:textId="2619EE52" w:rsidR="00541014" w:rsidRDefault="00541014" w:rsidP="00464466">
      <w:pPr>
        <w:shd w:val="clear" w:color="auto" w:fill="FFFFFF" w:themeFill="background1"/>
        <w:jc w:val="both"/>
        <w:rPr>
          <w:rFonts w:ascii="Times" w:hAnsi="Times"/>
          <w:sz w:val="20"/>
          <w:szCs w:val="20"/>
        </w:rPr>
      </w:pPr>
      <w:r w:rsidRPr="00AE524C">
        <w:rPr>
          <w:rFonts w:ascii="Times" w:hAnsi="Times"/>
          <w:b/>
          <w:bCs/>
          <w:sz w:val="20"/>
          <w:szCs w:val="20"/>
        </w:rPr>
        <w:t>Figure 2</w:t>
      </w:r>
      <w:r w:rsidR="000F75FE" w:rsidRPr="00AE524C">
        <w:rPr>
          <w:rFonts w:ascii="Times" w:hAnsi="Times"/>
          <w:b/>
          <w:bCs/>
          <w:sz w:val="20"/>
          <w:szCs w:val="20"/>
        </w:rPr>
        <w:t>3</w:t>
      </w:r>
      <w:r w:rsidRPr="00AE524C">
        <w:rPr>
          <w:rFonts w:ascii="Times" w:hAnsi="Times"/>
          <w:b/>
          <w:bCs/>
          <w:sz w:val="20"/>
          <w:szCs w:val="20"/>
        </w:rPr>
        <w:t>.</w:t>
      </w:r>
      <w:r w:rsidR="0047211A" w:rsidRPr="00AE524C">
        <w:rPr>
          <w:rFonts w:ascii="Times" w:hAnsi="Times"/>
          <w:sz w:val="20"/>
          <w:szCs w:val="20"/>
        </w:rPr>
        <w:t xml:space="preserve"> Cells were either left untreated or treated with OL (50 and 100 μM) for 24 hours in the presence of IL-1β (5 ng/mL). Control cells were cultured without IL-1β. The plots illustrate band intensity, with β-actin used as a loading control for normalization.</w:t>
      </w:r>
      <w:r w:rsidRPr="00AE524C">
        <w:rPr>
          <w:rFonts w:ascii="Times" w:hAnsi="Times"/>
          <w:sz w:val="20"/>
          <w:szCs w:val="20"/>
        </w:rPr>
        <w:t xml:space="preserve"> </w:t>
      </w:r>
      <w:r w:rsidR="00DE1FB9" w:rsidRPr="00AE524C">
        <w:rPr>
          <w:rFonts w:ascii="Times" w:hAnsi="Times"/>
          <w:sz w:val="20"/>
          <w:szCs w:val="20"/>
        </w:rPr>
        <w:fldChar w:fldCharType="begin"/>
      </w:r>
      <w:r w:rsidR="0056095D">
        <w:rPr>
          <w:rFonts w:ascii="Times" w:hAnsi="Times"/>
          <w:sz w:val="20"/>
          <w:szCs w:val="20"/>
        </w:rPr>
        <w:instrText xml:space="preserve"> ADDIN ZOTERO_ITEM CSL_CITATION {"citationID":"NCZI4hTJ","properties":{"formattedCitation":"[206]","plainCitation":"[206]","noteIndex":0},"citationItems":[{"id":184,"uris":["http://zotero.org/users/9439317/items/BC7RTABA"],"itemData":{"id":184,"type":"article-journal","abstract":"Rheumatoid arthritis (RA) is a chronic and systemic inflammatory autoimmune disease mainly characterized by aggressive hyperproliferation of synovial fibroblasts (SFs) and massive infiltration of inflammatory immune cells inducing a progressive matrix degradation, destruction of cartilage and bone erosion through the production of inflammatory mediators. Oleuropein, is the most prevalent phenolic component in olive leaves, seed, pulp and peel of unripe olives and is responsible for unprocessed olives characteristic bitter taste. This secoiridoid possesses a well-documented pharmacological properties, including antioxidant and anti-inflammatory, consequently is available as food supplement in Mediterranean countries. However, at the date, anti-arthritic effects of oleuropein on SFs have not been yet elucidated. Thus, the aim of the present study was to investigate the potential effects of oleuropein, on IL-1β-induced production of inflammatory mediators and oxidative stress in human synovial sarcoma cell line (SW982). In order to gain a better insight into mechanisms of action, signaling pathways were also explored.","container-title":"Food &amp; Function","DOI":"10.1039/C7FO00210F","ISSN":"2042-6496, 2042-650X","issue":"5","journalAbbreviation":"Food Funct.","language":"en","page":"1890-1898","source":"DOI.org (Crossref)","title":"Oleuropein down-regulated IL-1β-induced inflammation and oxidative stress in human synovial fibroblast cell line SW982","URL":"http://xlink.rsc.org/?DOI=C7FO00210F","volume":"8","author":[{"family":"Castejón","given":"Maria Luisa"},{"family":"Rosillo","given":"Maria Ángeles"},{"family":"Montoya","given":"Tatiana"},{"family":"González-Benjumea","given":"Alejandro"},{"family":"Fernández-Bolaños","given":"Jose Maria"},{"family":"Alarcón-de-la-Lastra","given":"Catalina"}],"accessed":{"date-parts":[["2022",6,4]]},"issued":{"date-parts":[["2017"]]}}}],"schema":"https://github.com/citation-style-language/schema/raw/master/csl-citation.json"} </w:instrText>
      </w:r>
      <w:r w:rsidR="00DE1FB9" w:rsidRPr="00AE524C">
        <w:rPr>
          <w:rFonts w:ascii="Times" w:hAnsi="Times"/>
          <w:sz w:val="20"/>
          <w:szCs w:val="20"/>
        </w:rPr>
        <w:fldChar w:fldCharType="separate"/>
      </w:r>
      <w:r w:rsidR="0056095D">
        <w:rPr>
          <w:rFonts w:ascii="Times" w:hAnsi="Times"/>
          <w:noProof/>
          <w:sz w:val="20"/>
          <w:szCs w:val="20"/>
        </w:rPr>
        <w:t>[206]</w:t>
      </w:r>
      <w:r w:rsidR="00DE1FB9" w:rsidRPr="00AE524C">
        <w:rPr>
          <w:rFonts w:ascii="Times" w:hAnsi="Times"/>
          <w:sz w:val="20"/>
          <w:szCs w:val="20"/>
        </w:rPr>
        <w:fldChar w:fldCharType="end"/>
      </w:r>
    </w:p>
    <w:p w14:paraId="176044AE" w14:textId="77777777" w:rsidR="00101D72" w:rsidRPr="00AE524C" w:rsidRDefault="00101D72" w:rsidP="00464466">
      <w:pPr>
        <w:shd w:val="clear" w:color="auto" w:fill="FFFFFF" w:themeFill="background1"/>
        <w:jc w:val="both"/>
        <w:rPr>
          <w:rFonts w:ascii="Times" w:hAnsi="Times"/>
          <w:sz w:val="20"/>
          <w:szCs w:val="20"/>
        </w:rPr>
      </w:pPr>
    </w:p>
    <w:p w14:paraId="708635F5" w14:textId="2C3A4DDE" w:rsidR="543DC7D8" w:rsidRDefault="00464466" w:rsidP="3F226BC9">
      <w:pPr>
        <w:shd w:val="clear" w:color="auto" w:fill="FFFFFF" w:themeFill="background1"/>
        <w:ind w:firstLine="480"/>
        <w:jc w:val="both"/>
        <w:rPr>
          <w:rFonts w:ascii="Times" w:hAnsi="Times"/>
        </w:rPr>
      </w:pPr>
      <w:r>
        <w:rPr>
          <w:rFonts w:ascii="Times" w:hAnsi="Times"/>
        </w:rPr>
        <w:lastRenderedPageBreak/>
        <w:t xml:space="preserve">                                </w:t>
      </w:r>
      <w:r w:rsidR="543DC7D8" w:rsidRPr="00D22AA7">
        <w:rPr>
          <w:rFonts w:ascii="Times" w:hAnsi="Times"/>
          <w:noProof/>
        </w:rPr>
        <w:drawing>
          <wp:inline distT="0" distB="0" distL="0" distR="0" wp14:anchorId="031CC79B" wp14:editId="2047591B">
            <wp:extent cx="2991480" cy="2895598"/>
            <wp:effectExtent l="0" t="0" r="0" b="0"/>
            <wp:docPr id="1850692707" name="Picture 1850692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991480" cy="2895598"/>
                    </a:xfrm>
                    <a:prstGeom prst="rect">
                      <a:avLst/>
                    </a:prstGeom>
                  </pic:spPr>
                </pic:pic>
              </a:graphicData>
            </a:graphic>
          </wp:inline>
        </w:drawing>
      </w:r>
    </w:p>
    <w:p w14:paraId="334C0244" w14:textId="77777777" w:rsidR="00101D72" w:rsidRDefault="00101D72" w:rsidP="3F226BC9">
      <w:pPr>
        <w:shd w:val="clear" w:color="auto" w:fill="FFFFFF" w:themeFill="background1"/>
        <w:ind w:firstLine="480"/>
        <w:jc w:val="both"/>
        <w:rPr>
          <w:rFonts w:ascii="Times" w:hAnsi="Times"/>
        </w:rPr>
      </w:pPr>
    </w:p>
    <w:p w14:paraId="2863F247" w14:textId="6E531E49" w:rsidR="00541014" w:rsidRPr="00464466" w:rsidRDefault="00541014" w:rsidP="00A64B03">
      <w:pPr>
        <w:shd w:val="clear" w:color="auto" w:fill="FFFFFF" w:themeFill="background1"/>
        <w:ind w:firstLine="480"/>
        <w:jc w:val="both"/>
        <w:rPr>
          <w:rFonts w:ascii="Times" w:hAnsi="Times"/>
          <w:sz w:val="20"/>
          <w:szCs w:val="20"/>
        </w:rPr>
      </w:pPr>
      <w:r w:rsidRPr="000F75FE">
        <w:rPr>
          <w:rFonts w:ascii="Times" w:hAnsi="Times"/>
          <w:b/>
          <w:bCs/>
          <w:sz w:val="20"/>
          <w:szCs w:val="20"/>
        </w:rPr>
        <w:t xml:space="preserve">Figure </w:t>
      </w:r>
      <w:r w:rsidR="000F75FE" w:rsidRPr="000F75FE">
        <w:rPr>
          <w:rFonts w:ascii="Times" w:hAnsi="Times"/>
          <w:b/>
          <w:bCs/>
          <w:sz w:val="20"/>
          <w:szCs w:val="20"/>
        </w:rPr>
        <w:t>24</w:t>
      </w:r>
      <w:r w:rsidRPr="00464466">
        <w:rPr>
          <w:rFonts w:ascii="Times" w:hAnsi="Times"/>
          <w:sz w:val="20"/>
          <w:szCs w:val="20"/>
        </w:rPr>
        <w:t>.</w:t>
      </w:r>
      <w:r w:rsidR="0047211A" w:rsidRPr="00464466">
        <w:rPr>
          <w:rFonts w:ascii="Times" w:hAnsi="Times"/>
          <w:sz w:val="20"/>
          <w:szCs w:val="20"/>
        </w:rPr>
        <w:t xml:space="preserve"> Cells were either untreated or treated with OL (50 and 100 μM) for 24 hours in the presence of IL-1β (5 ng/mL) for 30 minutes. Control cells were cultured without IL-1β. Densitometric analysis was performed, with normalization to the control housekeeping genes (JNK, p38, and ERK (1/2))</w:t>
      </w:r>
      <w:r w:rsidRPr="00464466">
        <w:rPr>
          <w:rFonts w:ascii="Times" w:hAnsi="Times"/>
          <w:sz w:val="20"/>
          <w:szCs w:val="20"/>
        </w:rPr>
        <w:t xml:space="preserve"> </w:t>
      </w:r>
      <w:r w:rsidR="00AE7AB9" w:rsidRPr="00464466">
        <w:rPr>
          <w:rFonts w:ascii="Times" w:hAnsi="Times"/>
          <w:sz w:val="20"/>
          <w:szCs w:val="20"/>
        </w:rPr>
        <w:fldChar w:fldCharType="begin"/>
      </w:r>
      <w:r w:rsidR="0056095D">
        <w:rPr>
          <w:rFonts w:ascii="Times" w:hAnsi="Times"/>
          <w:sz w:val="20"/>
          <w:szCs w:val="20"/>
        </w:rPr>
        <w:instrText xml:space="preserve"> ADDIN ZOTERO_ITEM CSL_CITATION {"citationID":"rGPxKQCG","properties":{"formattedCitation":"[206]","plainCitation":"[206]","noteIndex":0},"citationItems":[{"id":184,"uris":["http://zotero.org/users/9439317/items/BC7RTABA"],"itemData":{"id":184,"type":"article-journal","abstract":"Rheumatoid arthritis (RA) is a chronic and systemic inflammatory autoimmune disease mainly characterized by aggressive hyperproliferation of synovial fibroblasts (SFs) and massive infiltration of inflammatory immune cells inducing a progressive matrix degradation, destruction of cartilage and bone erosion through the production of inflammatory mediators. Oleuropein, is the most prevalent phenolic component in olive leaves, seed, pulp and peel of unripe olives and is responsible for unprocessed olives characteristic bitter taste. This secoiridoid possesses a well-documented pharmacological properties, including antioxidant and anti-inflammatory, consequently is available as food supplement in Mediterranean countries. However, at the date, anti-arthritic effects of oleuropein on SFs have not been yet elucidated. Thus, the aim of the present study was to investigate the potential effects of oleuropein, on IL-1β-induced production of inflammatory mediators and oxidative stress in human synovial sarcoma cell line (SW982). In order to gain a better insight into mechanisms of action, signaling pathways were also explored.","container-title":"Food &amp; Function","DOI":"10.1039/C7FO00210F","ISSN":"2042-6496, 2042-650X","issue":"5","journalAbbreviation":"Food Funct.","language":"en","page":"1890-1898","source":"DOI.org (Crossref)","title":"Oleuropein down-regulated IL-1β-induced inflammation and oxidative stress in human synovial fibroblast cell line SW982","URL":"http://xlink.rsc.org/?DOI=C7FO00210F","volume":"8","author":[{"family":"Castejón","given":"Maria Luisa"},{"family":"Rosillo","given":"Maria Ángeles"},{"family":"Montoya","given":"Tatiana"},{"family":"González-Benjumea","given":"Alejandro"},{"family":"Fernández-Bolaños","given":"Jose Maria"},{"family":"Alarcón-de-la-Lastra","given":"Catalina"}],"accessed":{"date-parts":[["2022",6,4]]},"issued":{"date-parts":[["2017"]]}}}],"schema":"https://github.com/citation-style-language/schema/raw/master/csl-citation.json"} </w:instrText>
      </w:r>
      <w:r w:rsidR="00AE7AB9" w:rsidRPr="00464466">
        <w:rPr>
          <w:rFonts w:ascii="Times" w:hAnsi="Times"/>
          <w:sz w:val="20"/>
          <w:szCs w:val="20"/>
        </w:rPr>
        <w:fldChar w:fldCharType="separate"/>
      </w:r>
      <w:r w:rsidR="0056095D">
        <w:rPr>
          <w:rFonts w:ascii="Times" w:hAnsi="Times"/>
          <w:noProof/>
          <w:sz w:val="20"/>
          <w:szCs w:val="20"/>
        </w:rPr>
        <w:t>[206]</w:t>
      </w:r>
      <w:r w:rsidR="00AE7AB9" w:rsidRPr="00464466">
        <w:rPr>
          <w:rFonts w:ascii="Times" w:hAnsi="Times"/>
          <w:sz w:val="20"/>
          <w:szCs w:val="20"/>
        </w:rPr>
        <w:fldChar w:fldCharType="end"/>
      </w:r>
      <w:r w:rsidR="00CE4A0B" w:rsidRPr="00464466">
        <w:rPr>
          <w:rFonts w:ascii="Times" w:hAnsi="Times"/>
          <w:sz w:val="20"/>
          <w:szCs w:val="20"/>
        </w:rPr>
        <w:t>.</w:t>
      </w:r>
    </w:p>
    <w:p w14:paraId="07A58A85" w14:textId="1B7A969A" w:rsidR="543DC7D8" w:rsidRDefault="00464466" w:rsidP="3F226BC9">
      <w:pPr>
        <w:shd w:val="clear" w:color="auto" w:fill="FFFFFF" w:themeFill="background1"/>
        <w:ind w:firstLine="480"/>
        <w:jc w:val="both"/>
        <w:rPr>
          <w:rFonts w:ascii="Times" w:hAnsi="Times"/>
        </w:rPr>
      </w:pPr>
      <w:r>
        <w:rPr>
          <w:rFonts w:ascii="Times" w:hAnsi="Times"/>
        </w:rPr>
        <w:t xml:space="preserve">                         </w:t>
      </w:r>
      <w:r w:rsidR="543DC7D8" w:rsidRPr="00D22AA7">
        <w:rPr>
          <w:rFonts w:ascii="Times" w:hAnsi="Times"/>
          <w:noProof/>
        </w:rPr>
        <w:drawing>
          <wp:inline distT="0" distB="0" distL="0" distR="0" wp14:anchorId="7D1F0369" wp14:editId="0E75CF2E">
            <wp:extent cx="2949466" cy="2695574"/>
            <wp:effectExtent l="0" t="0" r="0" b="0"/>
            <wp:docPr id="12441108" name="Picture 1244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28A0092B-C50C-407E-A947-70E740481C1C}">
                          <a14:useLocalDpi xmlns:a14="http://schemas.microsoft.com/office/drawing/2010/main" val="0"/>
                        </a:ext>
                      </a:extLst>
                    </a:blip>
                    <a:stretch>
                      <a:fillRect/>
                    </a:stretch>
                  </pic:blipFill>
                  <pic:spPr>
                    <a:xfrm>
                      <a:off x="0" y="0"/>
                      <a:ext cx="2949466" cy="2695574"/>
                    </a:xfrm>
                    <a:prstGeom prst="rect">
                      <a:avLst/>
                    </a:prstGeom>
                  </pic:spPr>
                </pic:pic>
              </a:graphicData>
            </a:graphic>
          </wp:inline>
        </w:drawing>
      </w:r>
    </w:p>
    <w:p w14:paraId="33B4A7D3" w14:textId="77777777" w:rsidR="0032181D" w:rsidRDefault="0032181D" w:rsidP="3F226BC9">
      <w:pPr>
        <w:shd w:val="clear" w:color="auto" w:fill="FFFFFF" w:themeFill="background1"/>
        <w:ind w:firstLine="480"/>
        <w:jc w:val="both"/>
        <w:rPr>
          <w:rFonts w:ascii="Times" w:hAnsi="Times"/>
        </w:rPr>
      </w:pPr>
    </w:p>
    <w:p w14:paraId="6B39BB00" w14:textId="39AACD3A" w:rsidR="00541014" w:rsidRDefault="00541014" w:rsidP="3F226BC9">
      <w:pPr>
        <w:shd w:val="clear" w:color="auto" w:fill="FFFFFF" w:themeFill="background1"/>
        <w:ind w:firstLine="480"/>
        <w:jc w:val="both"/>
        <w:rPr>
          <w:rFonts w:ascii="Times" w:hAnsi="Times"/>
          <w:sz w:val="20"/>
          <w:szCs w:val="20"/>
        </w:rPr>
      </w:pPr>
      <w:r w:rsidRPr="00AE524C">
        <w:rPr>
          <w:rFonts w:ascii="Times" w:hAnsi="Times"/>
          <w:b/>
          <w:bCs/>
          <w:sz w:val="20"/>
          <w:szCs w:val="20"/>
        </w:rPr>
        <w:t>Figure 2</w:t>
      </w:r>
      <w:r w:rsidR="000F75FE" w:rsidRPr="00AE524C">
        <w:rPr>
          <w:rFonts w:ascii="Times" w:hAnsi="Times"/>
          <w:b/>
          <w:bCs/>
          <w:sz w:val="20"/>
          <w:szCs w:val="20"/>
        </w:rPr>
        <w:t>5</w:t>
      </w:r>
      <w:r w:rsidRPr="00AE524C">
        <w:rPr>
          <w:rFonts w:ascii="Times" w:hAnsi="Times"/>
          <w:b/>
          <w:bCs/>
          <w:sz w:val="20"/>
          <w:szCs w:val="20"/>
        </w:rPr>
        <w:t>.</w:t>
      </w:r>
      <w:r w:rsidRPr="00AE524C">
        <w:rPr>
          <w:rFonts w:ascii="Times" w:hAnsi="Times"/>
          <w:sz w:val="20"/>
          <w:szCs w:val="20"/>
        </w:rPr>
        <w:t xml:space="preserve"> </w:t>
      </w:r>
      <w:r w:rsidR="00820CAD" w:rsidRPr="00AE524C">
        <w:rPr>
          <w:rFonts w:ascii="Times" w:hAnsi="Times"/>
          <w:sz w:val="20"/>
          <w:szCs w:val="20"/>
        </w:rPr>
        <w:t>Cells were either left untreated or exposed to OL (50 and 100 μM) for 24 hours, followed by stimulation with IL-1β (5 ng/mL) for 30 minutes. Control cells were maintained without IL-1β. Densitometric analysis was conducted after normalization to the control</w:t>
      </w:r>
      <w:r w:rsidR="00AE7AB9" w:rsidRPr="00AE524C">
        <w:rPr>
          <w:rFonts w:ascii="Times" w:hAnsi="Times"/>
          <w:sz w:val="20"/>
          <w:szCs w:val="20"/>
        </w:rPr>
        <w:fldChar w:fldCharType="begin"/>
      </w:r>
      <w:r w:rsidR="0056095D">
        <w:rPr>
          <w:rFonts w:ascii="Times" w:hAnsi="Times"/>
          <w:sz w:val="20"/>
          <w:szCs w:val="20"/>
        </w:rPr>
        <w:instrText xml:space="preserve"> ADDIN ZOTERO_ITEM CSL_CITATION {"citationID":"0AUd4ZlK","properties":{"formattedCitation":"[206]","plainCitation":"[206]","noteIndex":0},"citationItems":[{"id":184,"uris":["http://zotero.org/users/9439317/items/BC7RTABA"],"itemData":{"id":184,"type":"article-journal","abstract":"Rheumatoid arthritis (RA) is a chronic and systemic inflammatory autoimmune disease mainly characterized by aggressive hyperproliferation of synovial fibroblasts (SFs) and massive infiltration of inflammatory immune cells inducing a progressive matrix degradation, destruction of cartilage and bone erosion through the production of inflammatory mediators. Oleuropein, is the most prevalent phenolic component in olive leaves, seed, pulp and peel of unripe olives and is responsible for unprocessed olives characteristic bitter taste. This secoiridoid possesses a well-documented pharmacological properties, including antioxidant and anti-inflammatory, consequently is available as food supplement in Mediterranean countries. However, at the date, anti-arthritic effects of oleuropein on SFs have not been yet elucidated. Thus, the aim of the present study was to investigate the potential effects of oleuropein, on IL-1β-induced production of inflammatory mediators and oxidative stress in human synovial sarcoma cell line (SW982). In order to gain a better insight into mechanisms of action, signaling pathways were also explored.","container-title":"Food &amp; Function","DOI":"10.1039/C7FO00210F","ISSN":"2042-6496, 2042-650X","issue":"5","journalAbbreviation":"Food Funct.","language":"en","page":"1890-1898","source":"DOI.org (Crossref)","title":"Oleuropein down-regulated IL-1β-induced inflammation and oxidative stress in human synovial fibroblast cell line SW982","URL":"http://xlink.rsc.org/?DOI=C7FO00210F","volume":"8","author":[{"family":"Castejón","given":"Maria Luisa"},{"family":"Rosillo","given":"Maria Ángeles"},{"family":"Montoya","given":"Tatiana"},{"family":"González-Benjumea","given":"Alejandro"},{"family":"Fernández-Bolaños","given":"Jose Maria"},{"family":"Alarcón-de-la-Lastra","given":"Catalina"}],"accessed":{"date-parts":[["2022",6,4]]},"issued":{"date-parts":[["2017"]]}}}],"schema":"https://github.com/citation-style-language/schema/raw/master/csl-citation.json"} </w:instrText>
      </w:r>
      <w:r w:rsidR="00AE7AB9" w:rsidRPr="00AE524C">
        <w:rPr>
          <w:rFonts w:ascii="Times" w:hAnsi="Times"/>
          <w:sz w:val="20"/>
          <w:szCs w:val="20"/>
        </w:rPr>
        <w:fldChar w:fldCharType="separate"/>
      </w:r>
      <w:r w:rsidR="0056095D">
        <w:rPr>
          <w:rFonts w:ascii="Times" w:hAnsi="Times"/>
          <w:noProof/>
          <w:sz w:val="20"/>
          <w:szCs w:val="20"/>
        </w:rPr>
        <w:t>[206]</w:t>
      </w:r>
      <w:r w:rsidR="00AE7AB9" w:rsidRPr="00AE524C">
        <w:rPr>
          <w:rFonts w:ascii="Times" w:hAnsi="Times"/>
          <w:sz w:val="20"/>
          <w:szCs w:val="20"/>
        </w:rPr>
        <w:fldChar w:fldCharType="end"/>
      </w:r>
      <w:r w:rsidR="00464466" w:rsidRPr="00AE524C">
        <w:rPr>
          <w:rFonts w:ascii="Times" w:hAnsi="Times"/>
          <w:sz w:val="20"/>
          <w:szCs w:val="20"/>
        </w:rPr>
        <w:t>.</w:t>
      </w:r>
    </w:p>
    <w:p w14:paraId="2198F438" w14:textId="77777777" w:rsidR="0032181D" w:rsidRPr="00AE524C" w:rsidRDefault="0032181D" w:rsidP="3F226BC9">
      <w:pPr>
        <w:shd w:val="clear" w:color="auto" w:fill="FFFFFF" w:themeFill="background1"/>
        <w:ind w:firstLine="480"/>
        <w:jc w:val="both"/>
        <w:rPr>
          <w:rFonts w:ascii="Times" w:hAnsi="Times"/>
          <w:sz w:val="20"/>
          <w:szCs w:val="20"/>
        </w:rPr>
      </w:pPr>
    </w:p>
    <w:p w14:paraId="38929600" w14:textId="38820FB5" w:rsidR="543DC7D8" w:rsidRDefault="00464466" w:rsidP="3F226BC9">
      <w:pPr>
        <w:shd w:val="clear" w:color="auto" w:fill="FFFFFF" w:themeFill="background1"/>
        <w:ind w:firstLine="480"/>
        <w:jc w:val="both"/>
        <w:rPr>
          <w:rFonts w:ascii="Times" w:hAnsi="Times"/>
        </w:rPr>
      </w:pPr>
      <w:r>
        <w:rPr>
          <w:rFonts w:ascii="Times" w:hAnsi="Times"/>
        </w:rPr>
        <w:lastRenderedPageBreak/>
        <w:t xml:space="preserve">                    </w:t>
      </w:r>
      <w:r w:rsidR="543DC7D8" w:rsidRPr="00D22AA7">
        <w:rPr>
          <w:rFonts w:ascii="Times" w:hAnsi="Times"/>
          <w:noProof/>
        </w:rPr>
        <w:drawing>
          <wp:inline distT="0" distB="0" distL="0" distR="0" wp14:anchorId="282D8DB4" wp14:editId="09CB9BF2">
            <wp:extent cx="4009934" cy="1799329"/>
            <wp:effectExtent l="0" t="0" r="0" b="0"/>
            <wp:docPr id="1709065303" name="Picture 1709065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4009934" cy="1799329"/>
                    </a:xfrm>
                    <a:prstGeom prst="rect">
                      <a:avLst/>
                    </a:prstGeom>
                  </pic:spPr>
                </pic:pic>
              </a:graphicData>
            </a:graphic>
          </wp:inline>
        </w:drawing>
      </w:r>
    </w:p>
    <w:p w14:paraId="1BD532DF" w14:textId="77777777" w:rsidR="0032181D" w:rsidRDefault="0032181D" w:rsidP="3F226BC9">
      <w:pPr>
        <w:shd w:val="clear" w:color="auto" w:fill="FFFFFF" w:themeFill="background1"/>
        <w:ind w:firstLine="480"/>
        <w:jc w:val="both"/>
        <w:rPr>
          <w:rFonts w:ascii="Times" w:hAnsi="Times"/>
        </w:rPr>
      </w:pPr>
    </w:p>
    <w:p w14:paraId="46BBF6F7" w14:textId="089C1275" w:rsidR="00541014" w:rsidRPr="00AE524C" w:rsidRDefault="00541014" w:rsidP="3F226BC9">
      <w:pPr>
        <w:shd w:val="clear" w:color="auto" w:fill="FFFFFF" w:themeFill="background1"/>
        <w:ind w:firstLine="480"/>
        <w:jc w:val="both"/>
        <w:rPr>
          <w:rFonts w:ascii="Times" w:hAnsi="Times"/>
          <w:sz w:val="20"/>
          <w:szCs w:val="20"/>
        </w:rPr>
      </w:pPr>
      <w:r w:rsidRPr="00AE524C">
        <w:rPr>
          <w:rFonts w:ascii="Times" w:hAnsi="Times"/>
          <w:b/>
          <w:bCs/>
          <w:sz w:val="20"/>
          <w:szCs w:val="20"/>
        </w:rPr>
        <w:t>Figure 2</w:t>
      </w:r>
      <w:r w:rsidR="000F75FE" w:rsidRPr="00AE524C">
        <w:rPr>
          <w:rFonts w:ascii="Times" w:hAnsi="Times"/>
          <w:b/>
          <w:bCs/>
          <w:sz w:val="20"/>
          <w:szCs w:val="20"/>
        </w:rPr>
        <w:t>6</w:t>
      </w:r>
      <w:r w:rsidR="00A756F9" w:rsidRPr="00AE524C">
        <w:rPr>
          <w:rFonts w:ascii="Times" w:hAnsi="Times"/>
          <w:b/>
          <w:bCs/>
          <w:sz w:val="20"/>
          <w:szCs w:val="20"/>
        </w:rPr>
        <w:t>.</w:t>
      </w:r>
      <w:r w:rsidR="00A756F9" w:rsidRPr="00AE524C">
        <w:rPr>
          <w:rFonts w:ascii="Times" w:hAnsi="Times"/>
          <w:sz w:val="20"/>
          <w:szCs w:val="20"/>
        </w:rPr>
        <w:t xml:space="preserve"> Cells were either untreated or treated with OL (50 and 100 μM) for 24 hours, then stimulated with IL-1β (5 ng/mL) for 30 minutes. Control cells were cultured without IL-1β. Densitometric analysis was performed after normalization to the control</w:t>
      </w:r>
      <w:r w:rsidRPr="00AE524C">
        <w:rPr>
          <w:rFonts w:ascii="Times" w:hAnsi="Times"/>
          <w:sz w:val="20"/>
          <w:szCs w:val="20"/>
        </w:rPr>
        <w:t xml:space="preserve"> </w:t>
      </w:r>
      <w:r w:rsidR="00AE7AB9" w:rsidRPr="00AE524C">
        <w:rPr>
          <w:rFonts w:ascii="Times" w:hAnsi="Times"/>
          <w:sz w:val="20"/>
          <w:szCs w:val="20"/>
        </w:rPr>
        <w:fldChar w:fldCharType="begin"/>
      </w:r>
      <w:r w:rsidR="0056095D">
        <w:rPr>
          <w:rFonts w:ascii="Times" w:hAnsi="Times"/>
          <w:sz w:val="20"/>
          <w:szCs w:val="20"/>
        </w:rPr>
        <w:instrText xml:space="preserve"> ADDIN ZOTERO_ITEM CSL_CITATION {"citationID":"QKXaudTZ","properties":{"formattedCitation":"[206]","plainCitation":"[206]","noteIndex":0},"citationItems":[{"id":184,"uris":["http://zotero.org/users/9439317/items/BC7RTABA"],"itemData":{"id":184,"type":"article-journal","abstract":"Rheumatoid arthritis (RA) is a chronic and systemic inflammatory autoimmune disease mainly characterized by aggressive hyperproliferation of synovial fibroblasts (SFs) and massive infiltration of inflammatory immune cells inducing a progressive matrix degradation, destruction of cartilage and bone erosion through the production of inflammatory mediators. Oleuropein, is the most prevalent phenolic component in olive leaves, seed, pulp and peel of unripe olives and is responsible for unprocessed olives characteristic bitter taste. This secoiridoid possesses a well-documented pharmacological properties, including antioxidant and anti-inflammatory, consequently is available as food supplement in Mediterranean countries. However, at the date, anti-arthritic effects of oleuropein on SFs have not been yet elucidated. Thus, the aim of the present study was to investigate the potential effects of oleuropein, on IL-1β-induced production of inflammatory mediators and oxidative stress in human synovial sarcoma cell line (SW982). In order to gain a better insight into mechanisms of action, signaling pathways were also explored.","container-title":"Food &amp; Function","DOI":"10.1039/C7FO00210F","ISSN":"2042-6496, 2042-650X","issue":"5","journalAbbreviation":"Food Funct.","language":"en","page":"1890-1898","source":"DOI.org (Crossref)","title":"Oleuropein down-regulated IL-1β-induced inflammation and oxidative stress in human synovial fibroblast cell line SW982","URL":"http://xlink.rsc.org/?DOI=C7FO00210F","volume":"8","author":[{"family":"Castejón","given":"Maria Luisa"},{"family":"Rosillo","given":"Maria Ángeles"},{"family":"Montoya","given":"Tatiana"},{"family":"González-Benjumea","given":"Alejandro"},{"family":"Fernández-Bolaños","given":"Jose Maria"},{"family":"Alarcón-de-la-Lastra","given":"Catalina"}],"accessed":{"date-parts":[["2022",6,4]]},"issued":{"date-parts":[["2017"]]}}}],"schema":"https://github.com/citation-style-language/schema/raw/master/csl-citation.json"} </w:instrText>
      </w:r>
      <w:r w:rsidR="00AE7AB9" w:rsidRPr="00AE524C">
        <w:rPr>
          <w:rFonts w:ascii="Times" w:hAnsi="Times"/>
          <w:sz w:val="20"/>
          <w:szCs w:val="20"/>
        </w:rPr>
        <w:fldChar w:fldCharType="separate"/>
      </w:r>
      <w:r w:rsidR="0056095D">
        <w:rPr>
          <w:rFonts w:ascii="Times" w:hAnsi="Times"/>
          <w:noProof/>
          <w:sz w:val="20"/>
          <w:szCs w:val="20"/>
        </w:rPr>
        <w:t>[206]</w:t>
      </w:r>
      <w:r w:rsidR="00AE7AB9" w:rsidRPr="00AE524C">
        <w:rPr>
          <w:rFonts w:ascii="Times" w:hAnsi="Times"/>
          <w:sz w:val="20"/>
          <w:szCs w:val="20"/>
        </w:rPr>
        <w:fldChar w:fldCharType="end"/>
      </w:r>
      <w:r w:rsidR="003D4DBA" w:rsidRPr="00AE524C">
        <w:rPr>
          <w:rFonts w:ascii="Times" w:hAnsi="Times"/>
          <w:sz w:val="20"/>
          <w:szCs w:val="20"/>
        </w:rPr>
        <w:t>.</w:t>
      </w:r>
    </w:p>
    <w:p w14:paraId="1639B8AB" w14:textId="5F01B178" w:rsidR="3F226BC9" w:rsidRPr="00D22AA7" w:rsidRDefault="3F226BC9" w:rsidP="0DE242D6">
      <w:pPr>
        <w:pStyle w:val="Heading4"/>
        <w:shd w:val="clear" w:color="auto" w:fill="FFFFFF" w:themeFill="background1"/>
        <w:spacing w:before="99" w:after="99"/>
        <w:jc w:val="both"/>
        <w:rPr>
          <w:rFonts w:ascii="Times" w:eastAsia="Arial" w:hAnsi="Times" w:cs="Arial"/>
          <w:b/>
          <w:bCs/>
          <w:i w:val="0"/>
          <w:iCs w:val="0"/>
          <w:color w:val="000000" w:themeColor="text1"/>
          <w:sz w:val="19"/>
          <w:szCs w:val="19"/>
        </w:rPr>
      </w:pPr>
    </w:p>
    <w:p w14:paraId="51395F32" w14:textId="59D093C9" w:rsidR="27759E68" w:rsidRPr="00D22AA7" w:rsidRDefault="00780971" w:rsidP="3300C1C8">
      <w:pPr>
        <w:rPr>
          <w:rFonts w:ascii="Times" w:hAnsi="Times"/>
          <w:b/>
          <w:bCs/>
        </w:rPr>
      </w:pPr>
      <w:r w:rsidRPr="00D22AA7">
        <w:rPr>
          <w:rFonts w:ascii="Times" w:hAnsi="Times"/>
          <w:b/>
          <w:bCs/>
        </w:rPr>
        <w:t xml:space="preserve">6.4. </w:t>
      </w:r>
      <w:r w:rsidR="27759E68" w:rsidRPr="00D22AA7">
        <w:rPr>
          <w:rFonts w:ascii="Times" w:hAnsi="Times"/>
          <w:b/>
          <w:bCs/>
        </w:rPr>
        <w:t xml:space="preserve">In Vitro Evaluation of Curcumin </w:t>
      </w:r>
    </w:p>
    <w:p w14:paraId="42526F16" w14:textId="4DE986C7" w:rsidR="0F2E94BE" w:rsidRPr="00D22AA7" w:rsidRDefault="54389C83" w:rsidP="3B4CA44B">
      <w:pPr>
        <w:spacing w:before="240" w:after="240"/>
        <w:rPr>
          <w:rFonts w:ascii="Times" w:hAnsi="Times"/>
        </w:rPr>
      </w:pPr>
      <w:r w:rsidRPr="00D22AA7">
        <w:rPr>
          <w:rFonts w:ascii="Times" w:hAnsi="Times"/>
        </w:rPr>
        <w:t xml:space="preserve">The </w:t>
      </w:r>
      <w:r w:rsidR="75326250" w:rsidRPr="00D22AA7">
        <w:rPr>
          <w:rFonts w:ascii="Times" w:hAnsi="Times"/>
        </w:rPr>
        <w:t xml:space="preserve">synthesis </w:t>
      </w:r>
      <w:r w:rsidRPr="00D22AA7">
        <w:rPr>
          <w:rFonts w:ascii="Times" w:hAnsi="Times"/>
        </w:rPr>
        <w:t xml:space="preserve">of RANKL and its associated receptor, RANK, plays a pivotal role in </w:t>
      </w:r>
      <w:proofErr w:type="spellStart"/>
      <w:r w:rsidRPr="00D22AA7">
        <w:rPr>
          <w:rFonts w:ascii="Times" w:hAnsi="Times"/>
        </w:rPr>
        <w:t>osteoclastogenesis</w:t>
      </w:r>
      <w:proofErr w:type="spellEnd"/>
      <w:r w:rsidRPr="00D22AA7">
        <w:rPr>
          <w:rFonts w:ascii="Times" w:hAnsi="Times"/>
        </w:rPr>
        <w:t xml:space="preserve">. When RANK binds to RANKL, it triggers the differentiation of osteoclasts. Inflammatory cytokines can upregulate RANK expression, promoting the development of osteoclast precursors and increasing their sensitivity to RANKL, which may contribute to bone erosion in RA. Curcumin has been shown to inhibit the osteoclastogenic potential of peripheral blood mononuclear cells (PBMCs) from RA patients by suppressing the MAPK/RANK/c-Fos/NFATc1 signaling pathways. </w:t>
      </w:r>
    </w:p>
    <w:p w14:paraId="4614A6F4" w14:textId="79DAD015" w:rsidR="0F2E94BE" w:rsidRPr="00D22AA7" w:rsidRDefault="54389C83" w:rsidP="3B4CA44B">
      <w:pPr>
        <w:spacing w:before="240" w:after="240"/>
        <w:rPr>
          <w:rFonts w:ascii="Times" w:hAnsi="Times"/>
        </w:rPr>
      </w:pPr>
      <w:r w:rsidRPr="00D22AA7">
        <w:rPr>
          <w:rFonts w:ascii="Times" w:hAnsi="Times"/>
        </w:rPr>
        <w:t>Additionally, elevated IL-6 expression in RA synovial fibroblasts results from histone modification, specifically increased acetylation of histone H3 in the IL-6 promoter region. Curcumin inhibits histone acetyltransferase, which reduces histone H3 acetylation and consequently lowers IL-6 expression. Curcumin also diminishes cell proliferation and IFN-γ production in TEM cells. A 2014 study demonstrated that curcumin enhances the expression of miR-181b, while decreasing the levels of pro-inflammatory chemokines CXCL1 and CXCL2, further supporting its anti-inflammatory potential</w:t>
      </w:r>
      <w:r w:rsidR="000F75FE">
        <w:rPr>
          <w:rFonts w:ascii="Times" w:hAnsi="Times"/>
        </w:rPr>
        <w:t xml:space="preserve"> (figure 27)</w:t>
      </w:r>
      <w:r w:rsidRPr="00D22AA7">
        <w:rPr>
          <w:rFonts w:ascii="Times" w:hAnsi="Times"/>
        </w:rPr>
        <w:t>.</w:t>
      </w:r>
    </w:p>
    <w:p w14:paraId="0288DF13" w14:textId="597ECF02" w:rsidR="3B4CA44B" w:rsidRPr="00D22AA7" w:rsidRDefault="3B4CA44B">
      <w:pPr>
        <w:rPr>
          <w:rFonts w:ascii="Times" w:hAnsi="Times"/>
        </w:rPr>
      </w:pPr>
    </w:p>
    <w:p w14:paraId="419F941F" w14:textId="750DB92B" w:rsidR="001C20E8" w:rsidRDefault="002851E6" w:rsidP="0DE242D6">
      <w:pPr>
        <w:rPr>
          <w:rFonts w:ascii="Times" w:hAnsi="Times"/>
        </w:rPr>
      </w:pPr>
      <w:r>
        <w:rPr>
          <w:rFonts w:ascii="Times" w:hAnsi="Times"/>
        </w:rPr>
        <w:lastRenderedPageBreak/>
        <w:t xml:space="preserve">            </w:t>
      </w:r>
      <w:r w:rsidR="0032181D">
        <w:rPr>
          <w:rFonts w:ascii="Times" w:hAnsi="Times"/>
        </w:rPr>
        <w:t xml:space="preserve">                     </w:t>
      </w:r>
      <w:r>
        <w:rPr>
          <w:rFonts w:ascii="Times" w:hAnsi="Times"/>
        </w:rPr>
        <w:t xml:space="preserve">   </w:t>
      </w:r>
      <w:r w:rsidR="001C20E8" w:rsidRPr="00D22AA7">
        <w:rPr>
          <w:rFonts w:ascii="Times" w:hAnsi="Times"/>
        </w:rPr>
        <w:fldChar w:fldCharType="begin"/>
      </w:r>
      <w:r w:rsidR="001C20E8" w:rsidRPr="00D22AA7">
        <w:rPr>
          <w:rFonts w:ascii="Times" w:hAnsi="Times"/>
        </w:rPr>
        <w:instrText xml:space="preserve"> INCLUDEPICTURE "https://ars.els-cdn.com/content/image/1-s2.0-S1574789114000179-gr5_lrg.jpg" \* MERGEFORMATINET </w:instrText>
      </w:r>
      <w:r w:rsidR="001C20E8" w:rsidRPr="00D22AA7">
        <w:rPr>
          <w:rFonts w:ascii="Times" w:hAnsi="Times"/>
        </w:rPr>
        <w:fldChar w:fldCharType="separate"/>
      </w:r>
      <w:r w:rsidR="001C20E8" w:rsidRPr="00D22AA7">
        <w:rPr>
          <w:rFonts w:ascii="Times" w:hAnsi="Times"/>
          <w:noProof/>
        </w:rPr>
        <w:drawing>
          <wp:inline distT="0" distB="0" distL="0" distR="0" wp14:anchorId="0537A79E" wp14:editId="5E143489">
            <wp:extent cx="3579579" cy="3145134"/>
            <wp:effectExtent l="0" t="0" r="1905" b="5080"/>
            <wp:docPr id="126713069" name="Picture 2" descr="A graph of different types of cel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13069" name="Picture 2" descr="A graph of different types of cells&#10;&#10;Description automatically generated with medium confidenc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669713" cy="3224328"/>
                    </a:xfrm>
                    <a:prstGeom prst="rect">
                      <a:avLst/>
                    </a:prstGeom>
                    <a:noFill/>
                    <a:ln>
                      <a:noFill/>
                    </a:ln>
                  </pic:spPr>
                </pic:pic>
              </a:graphicData>
            </a:graphic>
          </wp:inline>
        </w:drawing>
      </w:r>
      <w:r w:rsidR="001C20E8" w:rsidRPr="00D22AA7">
        <w:rPr>
          <w:rFonts w:ascii="Times" w:hAnsi="Times"/>
        </w:rPr>
        <w:fldChar w:fldCharType="end"/>
      </w:r>
    </w:p>
    <w:p w14:paraId="2A1E4C6E" w14:textId="0FED0BC4" w:rsidR="000E6C86" w:rsidRPr="0032181D" w:rsidRDefault="00541014" w:rsidP="002851E6">
      <w:pPr>
        <w:jc w:val="both"/>
        <w:rPr>
          <w:rFonts w:ascii="Times" w:hAnsi="Times"/>
          <w:sz w:val="20"/>
          <w:szCs w:val="20"/>
        </w:rPr>
      </w:pPr>
      <w:r w:rsidRPr="0032181D">
        <w:rPr>
          <w:rFonts w:ascii="Times" w:hAnsi="Times"/>
          <w:b/>
          <w:bCs/>
          <w:sz w:val="20"/>
          <w:szCs w:val="20"/>
        </w:rPr>
        <w:t>Figure 2</w:t>
      </w:r>
      <w:r w:rsidR="000F75FE" w:rsidRPr="0032181D">
        <w:rPr>
          <w:rFonts w:ascii="Times" w:hAnsi="Times"/>
          <w:b/>
          <w:bCs/>
          <w:sz w:val="20"/>
          <w:szCs w:val="20"/>
        </w:rPr>
        <w:t>7</w:t>
      </w:r>
      <w:r w:rsidRPr="0032181D">
        <w:rPr>
          <w:rFonts w:ascii="Times" w:hAnsi="Times"/>
          <w:b/>
          <w:bCs/>
          <w:sz w:val="20"/>
          <w:szCs w:val="20"/>
        </w:rPr>
        <w:t>.</w:t>
      </w:r>
      <w:r w:rsidRPr="0032181D">
        <w:rPr>
          <w:rFonts w:ascii="Times" w:hAnsi="Times"/>
          <w:sz w:val="20"/>
          <w:szCs w:val="20"/>
        </w:rPr>
        <w:t xml:space="preserve"> </w:t>
      </w:r>
      <w:r w:rsidR="000E6C86" w:rsidRPr="0032181D">
        <w:rPr>
          <w:rFonts w:ascii="Times" w:hAnsi="Times"/>
          <w:sz w:val="20"/>
          <w:szCs w:val="20"/>
        </w:rPr>
        <w:t>Role of miR-181b in Tumor Cell Proliferation, Apoptosis, and Invasion</w:t>
      </w:r>
    </w:p>
    <w:p w14:paraId="525A28A8" w14:textId="75AC2275" w:rsidR="000E6C86" w:rsidRPr="0032181D" w:rsidRDefault="000E6C86" w:rsidP="002851E6">
      <w:pPr>
        <w:jc w:val="both"/>
        <w:rPr>
          <w:rFonts w:ascii="Times" w:hAnsi="Times"/>
          <w:sz w:val="20"/>
          <w:szCs w:val="20"/>
        </w:rPr>
      </w:pPr>
      <w:r w:rsidRPr="0032181D">
        <w:rPr>
          <w:rFonts w:ascii="Times" w:hAnsi="Times"/>
          <w:sz w:val="20"/>
          <w:szCs w:val="20"/>
        </w:rPr>
        <w:t>(A) Curcumin suppresses proliferation via miR-181b. Treatment of MDA-MB-231 breast cancer cells with curcumin (Cur) for 24 hours reduces cell proliferation. However, co-treatment with a miR-181b hairpin inhibitor (Cur &amp; 181b inh) negates curcumin’s anti-proliferative effect, restoring proliferation to control levels (P &lt; 0.001; Student’s t-test). "ns" denotes non-significance.</w:t>
      </w:r>
      <w:r w:rsidR="00282C35" w:rsidRPr="0032181D">
        <w:rPr>
          <w:rFonts w:ascii="Times" w:hAnsi="Times"/>
          <w:sz w:val="20"/>
          <w:szCs w:val="20"/>
        </w:rPr>
        <w:t xml:space="preserve"> </w:t>
      </w:r>
      <w:r w:rsidRPr="0032181D">
        <w:rPr>
          <w:rFonts w:ascii="Times" w:hAnsi="Times"/>
          <w:sz w:val="20"/>
          <w:szCs w:val="20"/>
        </w:rPr>
        <w:t xml:space="preserve">(B, C) miR-181b overexpression enhances apoptosis and necrosis. Functional assays show that miR-181b overexpression significantly increases apoptosis (left panel) and necrosis (middle panel). At 24 hours post-transfection with miR-181b oligos, apoptosis rates double compared to wild-type and control oligo-transfected MDA-MB-231 cells. Similarly, necrosis rates increase approximately fivefold compared to wild-type and over 2.5-fold relative to control oligo-expressing cells (P &lt; </w:t>
      </w:r>
      <w:proofErr w:type="gramStart"/>
      <w:r w:rsidRPr="0032181D">
        <w:rPr>
          <w:rFonts w:ascii="Times" w:hAnsi="Times"/>
          <w:sz w:val="20"/>
          <w:szCs w:val="20"/>
        </w:rPr>
        <w:t>0.01;*</w:t>
      </w:r>
      <w:proofErr w:type="gramEnd"/>
      <w:r w:rsidRPr="0032181D">
        <w:rPr>
          <w:rFonts w:ascii="Times" w:hAnsi="Times"/>
          <w:sz w:val="20"/>
          <w:szCs w:val="20"/>
        </w:rPr>
        <w:t xml:space="preserve"> P &lt; 0.001; ANOVA with Bonferroni’s post-test). Data represent mean ± SD from three independent experiments.</w:t>
      </w:r>
      <w:r w:rsidR="00282C35" w:rsidRPr="0032181D">
        <w:rPr>
          <w:rFonts w:ascii="Times" w:hAnsi="Times"/>
          <w:sz w:val="20"/>
          <w:szCs w:val="20"/>
        </w:rPr>
        <w:t xml:space="preserve"> </w:t>
      </w:r>
      <w:r w:rsidRPr="0032181D">
        <w:rPr>
          <w:rFonts w:ascii="Times" w:hAnsi="Times"/>
          <w:sz w:val="20"/>
          <w:szCs w:val="20"/>
        </w:rPr>
        <w:t>(D) Downregulation of apoptosis-related factors. Quantitative RT-PCR analysis at 72 hours post-transfection reveals a significant decrease in BCL2 and survivin/BIRC5 expression in miR-181b-overexpressing MDA-MB-231 cells compared to controls.</w:t>
      </w:r>
    </w:p>
    <w:p w14:paraId="35CD616F" w14:textId="0394B388" w:rsidR="00541014" w:rsidRPr="00527641" w:rsidRDefault="00AE7AB9" w:rsidP="0DE242D6">
      <w:pPr>
        <w:rPr>
          <w:rFonts w:ascii="Times" w:hAnsi="Times"/>
          <w:color w:val="000000" w:themeColor="text1"/>
          <w:sz w:val="20"/>
          <w:szCs w:val="20"/>
        </w:rPr>
      </w:pPr>
      <w:r w:rsidRPr="00527641">
        <w:rPr>
          <w:rFonts w:ascii="Times" w:hAnsi="Times"/>
          <w:color w:val="000000" w:themeColor="text1"/>
          <w:sz w:val="20"/>
          <w:szCs w:val="20"/>
        </w:rPr>
        <w:fldChar w:fldCharType="begin"/>
      </w:r>
      <w:r w:rsidR="0056095D" w:rsidRPr="00527641">
        <w:rPr>
          <w:rFonts w:ascii="Times" w:hAnsi="Times"/>
          <w:color w:val="000000" w:themeColor="text1"/>
          <w:sz w:val="20"/>
          <w:szCs w:val="20"/>
        </w:rPr>
        <w:instrText xml:space="preserve"> ADDIN ZOTERO_ITEM CSL_CITATION {"citationID":"GbsYouDl","properties":{"formattedCitation":"[207]","plainCitation":"[207]","noteIndex":0},"citationItems":[{"id":397,"uris":["http://zotero.org/users/9439317/items/S6IQW5IX"],"itemData":{"id":397,"type":"article-journal","abstract":"Chronic inflammation is a major risk factor for the development and metastatic progression of cancer. We have previously reported that the chemopreventive polyphenol Curcumin inhibits the expression of the proinflammatory cytokines CXCL1 and -2 leading to diminished formation of breast and prostate cancer metastases. In the present study, we have analyzed the effects of Curcumin on miRNA expression and its correlation to the anti-tumorigenic properties of this natural occurring polyphenol. Using microarray miRNA expression analyses, we show here that Curcumin modulates the expression of a series of miRNAs, including miR181b, in metastatic breast cancer cells. Interestingly, we found that miR181b down-modulates CXCL1 and -2 through a direct binding to their 3</w:instrText>
      </w:r>
      <w:r w:rsidR="0056095D" w:rsidRPr="00527641">
        <w:rPr>
          <w:color w:val="000000" w:themeColor="text1"/>
          <w:sz w:val="20"/>
          <w:szCs w:val="20"/>
        </w:rPr>
        <w:instrText>′</w:instrText>
      </w:r>
      <w:r w:rsidR="0056095D" w:rsidRPr="00527641">
        <w:rPr>
          <w:rFonts w:ascii="Times" w:hAnsi="Times"/>
          <w:color w:val="000000" w:themeColor="text1"/>
          <w:sz w:val="20"/>
          <w:szCs w:val="20"/>
        </w:rPr>
        <w:instrText xml:space="preserve">-UTR. Overexpression or inhibition of miR181b in metastatic breast cancer cells has a significant impact on CXCL1 and -2 and is required for the effect of Curcumin on these two cytokines. miR181b also mediates the effects of Curcumin on inhibition of proliferation and invasion as well as induction of apoptosis. Importantly, over-expression of miR181b in metastatic breast cancer cells inhibits metastasis formation in vivo in immunodeficient mice. Finally, we demonstrated that Curcumin up-regulates miR181b and down-regulates CXCL1 and -2 in cells isolated from several primary human breast cancers. Taken together, these data show that Curcumin provides a simple bridge to bring metastamir modulation into the clinic, placing it in a primary and tertiary preventive, as well as a therapeutic, setting.","container-title":"Molecular Oncology","DOI":"https://doi.org/10.1016/j.molonc.2014.01.005","ISSN":"1574-7891","issue":"3","page":"581-595","title":"miR181b is induced by the chemopreventive polyphenol curcumin and inhibits breast cancer metastasis via down-regulation of the inflammatory cytokines CXCL1 and -2","URL":"https://www.sciencedirect.com/science/article/pii/S1574789114000179","volume":"8","author":[{"family":"Kronski","given":"Emanuel"},{"family":"Fiori","given":"Micol E."},{"family":"Barbieri","given":"Ottavia"},{"family":"Astigiano","given":"Simonetta"},{"family":"Mirisola","given":"Valentina"},{"family":"Killian","given":"Peter H."},{"family":"Bruno","given":"Antonino"},{"family":"Pagani","given":"Arianna"},{"family":"Rovera","given":"Francesca"},{"family":"Pfeffer","given":"Ulrich"},{"family":"Sommerhoff","given":"Christian P."},{"family":"Noonan","given":"Douglas M."},{"family":"Nerlich","given":"Andreas G."},{"family":"Fontana","given":"Laura"},{"family":"Bachmeier","given":"Beatrice E."}],"issued":{"date-parts":[["2014"]]}}}],"schema":"https://github.com/citation-style-language/schema/raw/master/csl-citation.json"} </w:instrText>
      </w:r>
      <w:r w:rsidRPr="00527641">
        <w:rPr>
          <w:rFonts w:ascii="Times" w:hAnsi="Times"/>
          <w:color w:val="000000" w:themeColor="text1"/>
          <w:sz w:val="20"/>
          <w:szCs w:val="20"/>
        </w:rPr>
        <w:fldChar w:fldCharType="separate"/>
      </w:r>
      <w:r w:rsidR="0056095D" w:rsidRPr="00527641">
        <w:rPr>
          <w:rFonts w:ascii="Times" w:hAnsi="Times"/>
          <w:noProof/>
          <w:color w:val="000000" w:themeColor="text1"/>
          <w:sz w:val="20"/>
          <w:szCs w:val="20"/>
        </w:rPr>
        <w:t>[207]</w:t>
      </w:r>
      <w:r w:rsidRPr="00527641">
        <w:rPr>
          <w:rFonts w:ascii="Times" w:hAnsi="Times"/>
          <w:color w:val="000000" w:themeColor="text1"/>
          <w:sz w:val="20"/>
          <w:szCs w:val="20"/>
        </w:rPr>
        <w:fldChar w:fldCharType="end"/>
      </w:r>
      <w:r w:rsidR="0032181D" w:rsidRPr="00527641">
        <w:rPr>
          <w:rFonts w:ascii="Times" w:hAnsi="Times"/>
          <w:color w:val="000000" w:themeColor="text1"/>
          <w:sz w:val="20"/>
          <w:szCs w:val="20"/>
        </w:rPr>
        <w:t>.</w:t>
      </w:r>
    </w:p>
    <w:p w14:paraId="00966836" w14:textId="77777777" w:rsidR="0032181D" w:rsidRPr="00D22AA7" w:rsidRDefault="0032181D" w:rsidP="0DE242D6">
      <w:pPr>
        <w:rPr>
          <w:rFonts w:ascii="Times" w:hAnsi="Times"/>
        </w:rPr>
      </w:pPr>
    </w:p>
    <w:p w14:paraId="5DEF99B2" w14:textId="0FA46ACA" w:rsidR="001C20E8" w:rsidRDefault="00780971" w:rsidP="001C20E8">
      <w:pPr>
        <w:rPr>
          <w:rFonts w:ascii="Times" w:hAnsi="Times"/>
          <w:b/>
          <w:bCs/>
        </w:rPr>
      </w:pPr>
      <w:r w:rsidRPr="00D22AA7">
        <w:rPr>
          <w:rFonts w:ascii="Times" w:hAnsi="Times"/>
          <w:b/>
          <w:bCs/>
        </w:rPr>
        <w:t xml:space="preserve">6.5. </w:t>
      </w:r>
      <w:r w:rsidR="001C20E8" w:rsidRPr="00D22AA7">
        <w:rPr>
          <w:rFonts w:ascii="Times" w:hAnsi="Times"/>
          <w:b/>
          <w:bCs/>
        </w:rPr>
        <w:t xml:space="preserve">In Vitro Test with Stilbenes </w:t>
      </w:r>
    </w:p>
    <w:p w14:paraId="50FBCB3F" w14:textId="77777777" w:rsidR="00894E95" w:rsidRPr="00D22AA7" w:rsidRDefault="00894E95" w:rsidP="001C20E8">
      <w:pPr>
        <w:rPr>
          <w:rFonts w:ascii="Times" w:hAnsi="Times"/>
          <w:b/>
          <w:bCs/>
        </w:rPr>
      </w:pPr>
    </w:p>
    <w:p w14:paraId="42FFBE03" w14:textId="7254213E" w:rsidR="00D9075F" w:rsidRDefault="005C1FA9" w:rsidP="0032181D">
      <w:pPr>
        <w:jc w:val="both"/>
        <w:rPr>
          <w:rFonts w:ascii="Times" w:hAnsi="Times"/>
        </w:rPr>
      </w:pPr>
      <w:r>
        <w:rPr>
          <w:rFonts w:ascii="Times" w:hAnsi="Times"/>
        </w:rPr>
        <w:t>RSV</w:t>
      </w:r>
      <w:r w:rsidR="001C20E8" w:rsidRPr="00D22AA7">
        <w:rPr>
          <w:rFonts w:ascii="Times" w:hAnsi="Times"/>
        </w:rPr>
        <w:t xml:space="preserve"> increases the expression of heme oxygenase-1 (HO-1) and nuclear factor erythroid 2-related factor 2 in H</w:t>
      </w:r>
      <w:r w:rsidR="001C20E8" w:rsidRPr="00D22AA7">
        <w:rPr>
          <w:rFonts w:ascii="Times" w:hAnsi="Times"/>
          <w:vertAlign w:val="subscript"/>
        </w:rPr>
        <w:t>2</w:t>
      </w:r>
      <w:r w:rsidR="001C20E8" w:rsidRPr="00D22AA7">
        <w:rPr>
          <w:rFonts w:ascii="Times" w:hAnsi="Times"/>
        </w:rPr>
        <w:t>O</w:t>
      </w:r>
      <w:r w:rsidR="001C20E8" w:rsidRPr="00D22AA7">
        <w:rPr>
          <w:rFonts w:ascii="Times" w:hAnsi="Times"/>
          <w:vertAlign w:val="subscript"/>
        </w:rPr>
        <w:t>2</w:t>
      </w:r>
      <w:r w:rsidR="001C20E8" w:rsidRPr="00D22AA7">
        <w:rPr>
          <w:rFonts w:ascii="Times" w:hAnsi="Times"/>
        </w:rPr>
        <w:t> treated (RA-FLS) RA fibroblast-like synoviocyte cells. Furthermore, it also downregulates the expression of kelch-like ECH-related protein 1 (keap1), ROS, and MDA. It also blocks the expression of nuclear factor-κB (NF-κB) p65 and enhances the expression of Bcl-2/Bax, which leads to inhibition of cell proliferation and apoptosis</w:t>
      </w:r>
      <w:r w:rsidR="00D817CF" w:rsidRPr="00D22AA7">
        <w:rPr>
          <w:rFonts w:ascii="Times" w:hAnsi="Times"/>
        </w:rPr>
        <w:t xml:space="preserve"> </w:t>
      </w:r>
      <w:r w:rsidR="00D817CF" w:rsidRPr="00D22AA7">
        <w:rPr>
          <w:rFonts w:ascii="Times" w:hAnsi="Times"/>
        </w:rPr>
        <w:fldChar w:fldCharType="begin"/>
      </w:r>
      <w:r w:rsidR="0056095D">
        <w:rPr>
          <w:rFonts w:ascii="Times" w:hAnsi="Times"/>
        </w:rPr>
        <w:instrText xml:space="preserve"> ADDIN ZOTERO_ITEM CSL_CITATION {"citationID":"Up1N8HgJ","properties":{"formattedCitation":"[208]","plainCitation":"[208]","noteIndex":0},"citationItems":[{"id":138,"uris":["http://zotero.org/users/9439317/items/IXQFG3R7"],"itemData":{"id":138,"type":"article-journal","container-title":"Annals of the New York Academy of Sciences","DOI":"10.1111/nyas.14196","ISSN":"0077-8923, 1749-6632","issue":"1","journalAbbreviation":"Ann. N.Y. Acad. Sci.","language":"en","page":"166-178","source":"DOI.org (Crossref)","title":"Nrf2–Keap1 pathway–mediated effects of resveratrol on oxidative stress and apoptosis in hydrogen peroxide–treated rheumatoid arthritis fibroblast</w:instrText>
      </w:r>
      <w:r w:rsidR="0056095D">
        <w:rPr>
          <w:rFonts w:ascii="Cambria Math" w:hAnsi="Cambria Math" w:cs="Cambria Math"/>
        </w:rPr>
        <w:instrText>‐</w:instrText>
      </w:r>
      <w:r w:rsidR="0056095D">
        <w:rPr>
          <w:rFonts w:ascii="Times" w:hAnsi="Times"/>
        </w:rPr>
        <w:instrText xml:space="preserve">like synoviocytes","URL":"https://onlinelibrary.wiley.com/doi/10.1111/nyas.14196","volume":"1457","author":[{"family":"Zhang","given":"Ye"},{"family":"Wang","given":"Gaoyuan"},{"family":"Wang","given":"Taorong"},{"family":"Cao","given":"Wei"},{"family":"Zhang","given":"Lixia"},{"family":"Chen","given":"Xiaoyu"}],"accessed":{"date-parts":[["2022",6,23]]},"issued":{"date-parts":[["2019",12]]}}}],"schema":"https://github.com/citation-style-language/schema/raw/master/csl-citation.json"} </w:instrText>
      </w:r>
      <w:r w:rsidR="00D817CF" w:rsidRPr="00D22AA7">
        <w:rPr>
          <w:rFonts w:ascii="Times" w:hAnsi="Times"/>
        </w:rPr>
        <w:fldChar w:fldCharType="separate"/>
      </w:r>
      <w:r w:rsidR="0056095D">
        <w:rPr>
          <w:rFonts w:ascii="Times" w:hAnsi="Times"/>
          <w:noProof/>
        </w:rPr>
        <w:t>[208]</w:t>
      </w:r>
      <w:r w:rsidR="00D817CF" w:rsidRPr="00D22AA7">
        <w:rPr>
          <w:rFonts w:ascii="Times" w:hAnsi="Times"/>
        </w:rPr>
        <w:fldChar w:fldCharType="end"/>
      </w:r>
      <w:r w:rsidR="00132CF4">
        <w:rPr>
          <w:rFonts w:ascii="Times" w:hAnsi="Times"/>
        </w:rPr>
        <w:t xml:space="preserve"> (figure 28, 29, 30, and 31)</w:t>
      </w:r>
      <w:r w:rsidR="001C20E8" w:rsidRPr="00D22AA7">
        <w:rPr>
          <w:rFonts w:ascii="Times" w:hAnsi="Times"/>
        </w:rPr>
        <w:t xml:space="preserve">. </w:t>
      </w:r>
    </w:p>
    <w:p w14:paraId="34CFFA0E" w14:textId="77777777" w:rsidR="00010255" w:rsidRPr="00D22AA7" w:rsidRDefault="00010255" w:rsidP="001C20E8">
      <w:pPr>
        <w:rPr>
          <w:rFonts w:ascii="Times" w:hAnsi="Times"/>
        </w:rPr>
      </w:pPr>
    </w:p>
    <w:p w14:paraId="16285193" w14:textId="4A12FF49" w:rsidR="00D9075F" w:rsidRDefault="00894E95" w:rsidP="001C20E8">
      <w:pPr>
        <w:rPr>
          <w:rFonts w:ascii="Times" w:hAnsi="Times"/>
        </w:rPr>
      </w:pPr>
      <w:r>
        <w:rPr>
          <w:rFonts w:ascii="Times" w:hAnsi="Times"/>
        </w:rPr>
        <w:lastRenderedPageBreak/>
        <w:t xml:space="preserve">                          </w:t>
      </w:r>
      <w:r w:rsidR="00D9075F" w:rsidRPr="00D22AA7">
        <w:rPr>
          <w:rFonts w:ascii="Times" w:hAnsi="Times"/>
        </w:rPr>
        <w:fldChar w:fldCharType="begin"/>
      </w:r>
      <w:r w:rsidR="00D9075F" w:rsidRPr="00D22AA7">
        <w:rPr>
          <w:rFonts w:ascii="Times" w:hAnsi="Times"/>
        </w:rPr>
        <w:instrText xml:space="preserve"> INCLUDEPICTURE "https://nyaspubs.onlinelibrary.wiley.com/cms/asset/f8be5660-194a-479f-ad3c-ed15988360c8/nyas14196-fig-0002-m.jpg" \* MERGEFORMATINET </w:instrText>
      </w:r>
      <w:r w:rsidR="00D9075F" w:rsidRPr="00D22AA7">
        <w:rPr>
          <w:rFonts w:ascii="Times" w:hAnsi="Times"/>
        </w:rPr>
        <w:fldChar w:fldCharType="separate"/>
      </w:r>
      <w:r w:rsidR="00D9075F" w:rsidRPr="00D22AA7">
        <w:rPr>
          <w:rFonts w:ascii="Times" w:hAnsi="Times"/>
          <w:noProof/>
        </w:rPr>
        <w:drawing>
          <wp:inline distT="0" distB="0" distL="0" distR="0" wp14:anchorId="4E446F89" wp14:editId="3375B1B3">
            <wp:extent cx="3180285" cy="2059709"/>
            <wp:effectExtent l="0" t="0" r="0" b="0"/>
            <wp:docPr id="1743110491" name="Picture 3"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tails are in the caption following the imag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251174" cy="2105620"/>
                    </a:xfrm>
                    <a:prstGeom prst="rect">
                      <a:avLst/>
                    </a:prstGeom>
                    <a:noFill/>
                    <a:ln>
                      <a:noFill/>
                    </a:ln>
                  </pic:spPr>
                </pic:pic>
              </a:graphicData>
            </a:graphic>
          </wp:inline>
        </w:drawing>
      </w:r>
      <w:r w:rsidR="00D9075F" w:rsidRPr="00D22AA7">
        <w:rPr>
          <w:rFonts w:ascii="Times" w:hAnsi="Times"/>
        </w:rPr>
        <w:fldChar w:fldCharType="end"/>
      </w:r>
    </w:p>
    <w:p w14:paraId="2CB01494" w14:textId="77777777" w:rsidR="00010255" w:rsidRDefault="00010255" w:rsidP="001C20E8">
      <w:pPr>
        <w:rPr>
          <w:rFonts w:ascii="Times" w:hAnsi="Times"/>
        </w:rPr>
      </w:pPr>
    </w:p>
    <w:p w14:paraId="005F4D50" w14:textId="1EFC12CE" w:rsidR="00541014" w:rsidRPr="0032181D" w:rsidRDefault="00541014" w:rsidP="0032181D">
      <w:pPr>
        <w:jc w:val="both"/>
        <w:rPr>
          <w:rFonts w:ascii="Times" w:hAnsi="Times"/>
          <w:sz w:val="20"/>
          <w:szCs w:val="20"/>
        </w:rPr>
      </w:pPr>
      <w:r w:rsidRPr="0032181D">
        <w:rPr>
          <w:rFonts w:ascii="Times" w:hAnsi="Times"/>
          <w:b/>
          <w:bCs/>
          <w:sz w:val="20"/>
          <w:szCs w:val="20"/>
        </w:rPr>
        <w:t>Figure 2</w:t>
      </w:r>
      <w:r w:rsidR="000F75FE" w:rsidRPr="0032181D">
        <w:rPr>
          <w:rFonts w:ascii="Times" w:hAnsi="Times"/>
          <w:b/>
          <w:bCs/>
          <w:sz w:val="20"/>
          <w:szCs w:val="20"/>
        </w:rPr>
        <w:t>8</w:t>
      </w:r>
      <w:r w:rsidRPr="0032181D">
        <w:rPr>
          <w:rFonts w:ascii="Times" w:hAnsi="Times"/>
          <w:b/>
          <w:bCs/>
          <w:sz w:val="20"/>
          <w:szCs w:val="20"/>
        </w:rPr>
        <w:t>.</w:t>
      </w:r>
      <w:r w:rsidRPr="0032181D">
        <w:rPr>
          <w:rFonts w:ascii="Times" w:hAnsi="Times"/>
          <w:sz w:val="20"/>
          <w:szCs w:val="20"/>
        </w:rPr>
        <w:t xml:space="preserve"> </w:t>
      </w:r>
      <w:r w:rsidR="001C6F7C" w:rsidRPr="0032181D">
        <w:rPr>
          <w:rFonts w:ascii="Times" w:hAnsi="Times"/>
          <w:b/>
          <w:bCs/>
          <w:sz w:val="20"/>
          <w:szCs w:val="20"/>
        </w:rPr>
        <w:t>(A)</w:t>
      </w:r>
      <w:r w:rsidR="001C6F7C" w:rsidRPr="0032181D">
        <w:rPr>
          <w:rFonts w:ascii="Times" w:hAnsi="Times"/>
          <w:sz w:val="20"/>
          <w:szCs w:val="20"/>
        </w:rPr>
        <w:t xml:space="preserve"> The effects of different RSV concentrations on malondialdehyde (MDA) levels and intracellular reactive oxygen species (ROS) in RA-FLS supernatants following treatment with 5 µM H</w:t>
      </w:r>
      <w:r w:rsidR="001C6F7C" w:rsidRPr="0032181D">
        <w:rPr>
          <w:rFonts w:ascii="Cambria Math" w:hAnsi="Cambria Math" w:cs="Cambria Math"/>
          <w:sz w:val="20"/>
          <w:szCs w:val="20"/>
        </w:rPr>
        <w:t>₂</w:t>
      </w:r>
      <w:r w:rsidR="001C6F7C" w:rsidRPr="0032181D">
        <w:rPr>
          <w:rFonts w:ascii="Times" w:hAnsi="Times"/>
          <w:sz w:val="20"/>
          <w:szCs w:val="20"/>
        </w:rPr>
        <w:t>O</w:t>
      </w:r>
      <w:r w:rsidR="001C6F7C" w:rsidRPr="0032181D">
        <w:rPr>
          <w:rFonts w:ascii="Cambria Math" w:hAnsi="Cambria Math" w:cs="Cambria Math"/>
          <w:sz w:val="20"/>
          <w:szCs w:val="20"/>
        </w:rPr>
        <w:t>₂</w:t>
      </w:r>
      <w:r w:rsidR="001C6F7C" w:rsidRPr="0032181D">
        <w:rPr>
          <w:rFonts w:ascii="Times" w:hAnsi="Times"/>
          <w:sz w:val="20"/>
          <w:szCs w:val="20"/>
        </w:rPr>
        <w:t>.</w:t>
      </w:r>
      <w:r w:rsidR="00435472" w:rsidRPr="0032181D">
        <w:rPr>
          <w:rFonts w:ascii="Times" w:hAnsi="Times"/>
          <w:sz w:val="20"/>
          <w:szCs w:val="20"/>
        </w:rPr>
        <w:t xml:space="preserve"> </w:t>
      </w:r>
      <w:r w:rsidR="001C6F7C" w:rsidRPr="0032181D">
        <w:rPr>
          <w:rFonts w:ascii="Times" w:hAnsi="Times"/>
          <w:b/>
          <w:bCs/>
          <w:sz w:val="20"/>
          <w:szCs w:val="20"/>
        </w:rPr>
        <w:t>(B)</w:t>
      </w:r>
      <w:r w:rsidR="001C6F7C" w:rsidRPr="0032181D">
        <w:rPr>
          <w:rFonts w:ascii="Times" w:hAnsi="Times"/>
          <w:sz w:val="20"/>
          <w:szCs w:val="20"/>
        </w:rPr>
        <w:t xml:space="preserve"> RA-FLSs were treated with varying concentrations of Res (0, 1, 10, 20, and 40 µM) for 24 hours, and nuclear p65 levels were assessed via western blot analysis to evaluate NF-κB signaling activity</w:t>
      </w:r>
      <w:r w:rsidR="00435472" w:rsidRPr="0032181D">
        <w:rPr>
          <w:rFonts w:ascii="Times" w:hAnsi="Times"/>
          <w:sz w:val="20"/>
          <w:szCs w:val="20"/>
        </w:rPr>
        <w:t xml:space="preserve"> </w:t>
      </w:r>
      <w:r w:rsidR="008B4DB2" w:rsidRPr="0032181D">
        <w:rPr>
          <w:rFonts w:ascii="Times" w:hAnsi="Times"/>
          <w:sz w:val="20"/>
          <w:szCs w:val="20"/>
        </w:rPr>
        <w:fldChar w:fldCharType="begin"/>
      </w:r>
      <w:r w:rsidR="0056095D">
        <w:rPr>
          <w:rFonts w:ascii="Times" w:hAnsi="Times"/>
          <w:sz w:val="20"/>
          <w:szCs w:val="20"/>
        </w:rPr>
        <w:instrText xml:space="preserve"> ADDIN ZOTERO_ITEM CSL_CITATION {"citationID":"UvnFmlm8","properties":{"formattedCitation":"[208]","plainCitation":"[208]","noteIndex":0},"citationItems":[{"id":138,"uris":["http://zotero.org/users/9439317/items/IXQFG3R7"],"itemData":{"id":138,"type":"article-journal","container-title":"Annals of the New York Academy of Sciences","DOI":"10.1111/nyas.14196","ISSN":"0077-8923, 1749-6632","issue":"1","journalAbbreviation":"Ann. N.Y. Acad. Sci.","language":"en","page":"166-178","source":"DOI.org (Crossref)","title":"Nrf2–Keap1 pathway–mediated effects of resveratrol on oxidative stress and apoptosis in hydrogen peroxide–treated rheumatoid arthritis fibroblast</w:instrText>
      </w:r>
      <w:r w:rsidR="0056095D">
        <w:rPr>
          <w:rFonts w:ascii="Cambria Math" w:hAnsi="Cambria Math" w:cs="Cambria Math"/>
          <w:sz w:val="20"/>
          <w:szCs w:val="20"/>
        </w:rPr>
        <w:instrText>‐</w:instrText>
      </w:r>
      <w:r w:rsidR="0056095D">
        <w:rPr>
          <w:rFonts w:ascii="Times" w:hAnsi="Times"/>
          <w:sz w:val="20"/>
          <w:szCs w:val="20"/>
        </w:rPr>
        <w:instrText xml:space="preserve">like synoviocytes","URL":"https://onlinelibrary.wiley.com/doi/10.1111/nyas.14196","volume":"1457","author":[{"family":"Zhang","given":"Ye"},{"family":"Wang","given":"Gaoyuan"},{"family":"Wang","given":"Taorong"},{"family":"Cao","given":"Wei"},{"family":"Zhang","given":"Lixia"},{"family":"Chen","given":"Xiaoyu"}],"accessed":{"date-parts":[["2022",6,23]]},"issued":{"date-parts":[["2019",12]]}}}],"schema":"https://github.com/citation-style-language/schema/raw/master/csl-citation.json"} </w:instrText>
      </w:r>
      <w:r w:rsidR="008B4DB2" w:rsidRPr="0032181D">
        <w:rPr>
          <w:rFonts w:ascii="Times" w:hAnsi="Times"/>
          <w:sz w:val="20"/>
          <w:szCs w:val="20"/>
        </w:rPr>
        <w:fldChar w:fldCharType="separate"/>
      </w:r>
      <w:r w:rsidR="0056095D">
        <w:rPr>
          <w:rFonts w:ascii="Times" w:hAnsi="Times"/>
          <w:noProof/>
          <w:sz w:val="20"/>
          <w:szCs w:val="20"/>
        </w:rPr>
        <w:t>[208]</w:t>
      </w:r>
      <w:r w:rsidR="008B4DB2" w:rsidRPr="0032181D">
        <w:rPr>
          <w:rFonts w:ascii="Times" w:hAnsi="Times"/>
          <w:sz w:val="20"/>
          <w:szCs w:val="20"/>
        </w:rPr>
        <w:fldChar w:fldCharType="end"/>
      </w:r>
      <w:r w:rsidR="008B4DB2" w:rsidRPr="0032181D">
        <w:rPr>
          <w:rFonts w:ascii="Times" w:hAnsi="Times"/>
          <w:sz w:val="20"/>
          <w:szCs w:val="20"/>
        </w:rPr>
        <w:t>.</w:t>
      </w:r>
    </w:p>
    <w:p w14:paraId="0671D194" w14:textId="76508DAE" w:rsidR="00D9075F" w:rsidRDefault="00894E95" w:rsidP="001C20E8">
      <w:pPr>
        <w:rPr>
          <w:rFonts w:ascii="Times" w:hAnsi="Times"/>
        </w:rPr>
      </w:pPr>
      <w:r>
        <w:rPr>
          <w:rFonts w:ascii="Times" w:hAnsi="Times"/>
        </w:rPr>
        <w:t xml:space="preserve">                             </w:t>
      </w:r>
      <w:r w:rsidR="00D9075F" w:rsidRPr="00D22AA7">
        <w:rPr>
          <w:rFonts w:ascii="Times" w:hAnsi="Times"/>
        </w:rPr>
        <w:fldChar w:fldCharType="begin"/>
      </w:r>
      <w:r w:rsidR="00D9075F" w:rsidRPr="00D22AA7">
        <w:rPr>
          <w:rFonts w:ascii="Times" w:hAnsi="Times"/>
        </w:rPr>
        <w:instrText xml:space="preserve"> INCLUDEPICTURE "https://nyaspubs.onlinelibrary.wiley.com/cms/asset/c9b7f375-a060-4d31-84cd-23b2ba0c66af/nyas14196-fig-0003-m.jpg" \* MERGEFORMATINET </w:instrText>
      </w:r>
      <w:r w:rsidR="00D9075F" w:rsidRPr="00D22AA7">
        <w:rPr>
          <w:rFonts w:ascii="Times" w:hAnsi="Times"/>
        </w:rPr>
        <w:fldChar w:fldCharType="separate"/>
      </w:r>
      <w:r w:rsidR="00D9075F" w:rsidRPr="00D22AA7">
        <w:rPr>
          <w:rFonts w:ascii="Times" w:hAnsi="Times"/>
          <w:noProof/>
        </w:rPr>
        <w:drawing>
          <wp:inline distT="0" distB="0" distL="0" distR="0" wp14:anchorId="61FF70B2" wp14:editId="576E09AA">
            <wp:extent cx="3158944" cy="4147128"/>
            <wp:effectExtent l="0" t="0" r="3810" b="0"/>
            <wp:docPr id="1539219547" name="Picture 4"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tails are in the caption following the imag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219915" cy="4227172"/>
                    </a:xfrm>
                    <a:prstGeom prst="rect">
                      <a:avLst/>
                    </a:prstGeom>
                    <a:noFill/>
                    <a:ln>
                      <a:noFill/>
                    </a:ln>
                  </pic:spPr>
                </pic:pic>
              </a:graphicData>
            </a:graphic>
          </wp:inline>
        </w:drawing>
      </w:r>
      <w:r w:rsidR="00D9075F" w:rsidRPr="00D22AA7">
        <w:rPr>
          <w:rFonts w:ascii="Times" w:hAnsi="Times"/>
        </w:rPr>
        <w:fldChar w:fldCharType="end"/>
      </w:r>
    </w:p>
    <w:p w14:paraId="284D891D" w14:textId="77777777" w:rsidR="00010255" w:rsidRDefault="00010255" w:rsidP="001C20E8">
      <w:pPr>
        <w:rPr>
          <w:rFonts w:ascii="Times" w:hAnsi="Times"/>
        </w:rPr>
      </w:pPr>
    </w:p>
    <w:p w14:paraId="5E52540C" w14:textId="7017A7E0" w:rsidR="00541014" w:rsidRDefault="00541014" w:rsidP="001C20E8">
      <w:pPr>
        <w:rPr>
          <w:rFonts w:ascii="Times" w:hAnsi="Times"/>
          <w:sz w:val="22"/>
          <w:szCs w:val="22"/>
        </w:rPr>
      </w:pPr>
      <w:r w:rsidRPr="00894E95">
        <w:rPr>
          <w:rFonts w:ascii="Times" w:hAnsi="Times"/>
          <w:b/>
          <w:bCs/>
          <w:sz w:val="22"/>
          <w:szCs w:val="22"/>
        </w:rPr>
        <w:t xml:space="preserve">Figure </w:t>
      </w:r>
      <w:r w:rsidR="000F75FE">
        <w:rPr>
          <w:rFonts w:ascii="Times" w:hAnsi="Times"/>
          <w:b/>
          <w:bCs/>
          <w:sz w:val="22"/>
          <w:szCs w:val="22"/>
        </w:rPr>
        <w:t>29</w:t>
      </w:r>
      <w:r w:rsidRPr="00894E95">
        <w:rPr>
          <w:rFonts w:ascii="Times" w:hAnsi="Times"/>
          <w:b/>
          <w:bCs/>
          <w:sz w:val="22"/>
          <w:szCs w:val="22"/>
        </w:rPr>
        <w:t>.</w:t>
      </w:r>
      <w:r w:rsidR="001C6F7C" w:rsidRPr="00894E95">
        <w:rPr>
          <w:rFonts w:ascii="Times" w:hAnsi="Times"/>
          <w:sz w:val="22"/>
          <w:szCs w:val="22"/>
        </w:rPr>
        <w:t xml:space="preserve"> </w:t>
      </w:r>
      <w:r w:rsidR="001C6F7C" w:rsidRPr="00894E95">
        <w:rPr>
          <w:rFonts w:ascii="Times" w:hAnsi="Times"/>
          <w:b/>
          <w:bCs/>
          <w:sz w:val="22"/>
          <w:szCs w:val="22"/>
        </w:rPr>
        <w:t>(A)</w:t>
      </w:r>
      <w:r w:rsidR="001C6F7C" w:rsidRPr="00894E95">
        <w:rPr>
          <w:rFonts w:ascii="Times" w:hAnsi="Times"/>
          <w:sz w:val="22"/>
          <w:szCs w:val="22"/>
        </w:rPr>
        <w:t xml:space="preserve"> Western blot analysis of Nrf2, histone H3, Keap1, HO-1, and GAPDH in RA-FLSs treated with 5 µM H</w:t>
      </w:r>
      <w:r w:rsidR="001C6F7C" w:rsidRPr="00894E95">
        <w:rPr>
          <w:rFonts w:ascii="Cambria Math" w:hAnsi="Cambria Math" w:cs="Cambria Math"/>
          <w:sz w:val="22"/>
          <w:szCs w:val="22"/>
        </w:rPr>
        <w:t>₂</w:t>
      </w:r>
      <w:r w:rsidR="001C6F7C" w:rsidRPr="00894E95">
        <w:rPr>
          <w:rFonts w:ascii="Times" w:hAnsi="Times"/>
          <w:sz w:val="22"/>
          <w:szCs w:val="22"/>
        </w:rPr>
        <w:t>O</w:t>
      </w:r>
      <w:r w:rsidR="001C6F7C" w:rsidRPr="00894E95">
        <w:rPr>
          <w:rFonts w:ascii="Cambria Math" w:hAnsi="Cambria Math" w:cs="Cambria Math"/>
          <w:sz w:val="22"/>
          <w:szCs w:val="22"/>
        </w:rPr>
        <w:t>₂</w:t>
      </w:r>
      <w:r w:rsidR="001C6F7C" w:rsidRPr="00894E95">
        <w:rPr>
          <w:rFonts w:ascii="Times" w:hAnsi="Times"/>
          <w:sz w:val="22"/>
          <w:szCs w:val="22"/>
        </w:rPr>
        <w:t>. Protein expression levels were quantified relative to histone H3 and GAPDH across three independent experiments.</w:t>
      </w:r>
      <w:r w:rsidR="00435472" w:rsidRPr="00894E95">
        <w:rPr>
          <w:rFonts w:ascii="Times" w:hAnsi="Times"/>
          <w:sz w:val="22"/>
          <w:szCs w:val="22"/>
        </w:rPr>
        <w:t xml:space="preserve"> </w:t>
      </w:r>
      <w:r w:rsidR="001C6F7C" w:rsidRPr="001C6F7C">
        <w:rPr>
          <w:rFonts w:ascii="Times" w:hAnsi="Times"/>
          <w:b/>
          <w:bCs/>
          <w:sz w:val="22"/>
          <w:szCs w:val="22"/>
        </w:rPr>
        <w:t>(B)</w:t>
      </w:r>
      <w:r w:rsidR="001C6F7C" w:rsidRPr="001C6F7C">
        <w:rPr>
          <w:rFonts w:ascii="Times" w:hAnsi="Times"/>
          <w:sz w:val="22"/>
          <w:szCs w:val="22"/>
        </w:rPr>
        <w:t xml:space="preserve"> Immunofluorescence analysis showing Nrf2 localization in RA-FLSs (40× magnification). Red fluorescence represents Nrf2, while blue fluorescence indicates DAPI-stained nuclei</w:t>
      </w:r>
      <w:r w:rsidR="00435472" w:rsidRPr="00894E95">
        <w:rPr>
          <w:rFonts w:ascii="Times" w:hAnsi="Times"/>
          <w:sz w:val="22"/>
          <w:szCs w:val="22"/>
        </w:rPr>
        <w:t xml:space="preserve"> </w:t>
      </w:r>
      <w:r w:rsidR="008B4DB2" w:rsidRPr="00894E95">
        <w:rPr>
          <w:rFonts w:ascii="Times" w:hAnsi="Times"/>
          <w:sz w:val="22"/>
          <w:szCs w:val="22"/>
        </w:rPr>
        <w:fldChar w:fldCharType="begin"/>
      </w:r>
      <w:r w:rsidR="0056095D">
        <w:rPr>
          <w:rFonts w:ascii="Times" w:hAnsi="Times"/>
          <w:sz w:val="22"/>
          <w:szCs w:val="22"/>
        </w:rPr>
        <w:instrText xml:space="preserve"> ADDIN ZOTERO_ITEM CSL_CITATION {"citationID":"0bPqwlma","properties":{"formattedCitation":"[208]","plainCitation":"[208]","noteIndex":0},"citationItems":[{"id":138,"uris":["http://zotero.org/users/9439317/items/IXQFG3R7"],"itemData":{"id":138,"type":"article-journal","container-title":"Annals of the New York Academy of Sciences","DOI":"10.1111/nyas.14196","ISSN":"0077-8923, 1749-6632","issue":"1","journalAbbreviation":"Ann. N.Y. Acad. Sci.","language":"en","page":"166-178","source":"DOI.org (Crossref)","title":"Nrf2–Keap1 pathway–mediated effects of resveratrol on oxidative stress and apoptosis in hydrogen peroxide–treated rheumatoid arthritis fibroblast</w:instrText>
      </w:r>
      <w:r w:rsidR="0056095D">
        <w:rPr>
          <w:rFonts w:ascii="Cambria Math" w:hAnsi="Cambria Math" w:cs="Cambria Math"/>
          <w:sz w:val="22"/>
          <w:szCs w:val="22"/>
        </w:rPr>
        <w:instrText>‐</w:instrText>
      </w:r>
      <w:r w:rsidR="0056095D">
        <w:rPr>
          <w:rFonts w:ascii="Times" w:hAnsi="Times"/>
          <w:sz w:val="22"/>
          <w:szCs w:val="22"/>
        </w:rPr>
        <w:instrText xml:space="preserve">like synoviocytes","URL":"https://onlinelibrary.wiley.com/doi/10.1111/nyas.14196","volume":"1457","author":[{"family":"Zhang","given":"Ye"},{"family":"Wang","given":"Gaoyuan"},{"family":"Wang","given":"Taorong"},{"family":"Cao","given":"Wei"},{"family":"Zhang","given":"Lixia"},{"family":"Chen","given":"Xiaoyu"}],"accessed":{"date-parts":[["2022",6,23]]},"issued":{"date-parts":[["2019",12]]}}}],"schema":"https://github.com/citation-style-language/schema/raw/master/csl-citation.json"} </w:instrText>
      </w:r>
      <w:r w:rsidR="008B4DB2" w:rsidRPr="00894E95">
        <w:rPr>
          <w:rFonts w:ascii="Times" w:hAnsi="Times"/>
          <w:sz w:val="22"/>
          <w:szCs w:val="22"/>
        </w:rPr>
        <w:fldChar w:fldCharType="separate"/>
      </w:r>
      <w:r w:rsidR="0056095D">
        <w:rPr>
          <w:rFonts w:ascii="Times" w:hAnsi="Times"/>
          <w:noProof/>
          <w:sz w:val="22"/>
          <w:szCs w:val="22"/>
        </w:rPr>
        <w:t>[208]</w:t>
      </w:r>
      <w:r w:rsidR="008B4DB2" w:rsidRPr="00894E95">
        <w:rPr>
          <w:rFonts w:ascii="Times" w:hAnsi="Times"/>
          <w:sz w:val="22"/>
          <w:szCs w:val="22"/>
        </w:rPr>
        <w:fldChar w:fldCharType="end"/>
      </w:r>
      <w:r w:rsidR="008B4DB2" w:rsidRPr="00894E95">
        <w:rPr>
          <w:rFonts w:ascii="Times" w:hAnsi="Times"/>
          <w:sz w:val="22"/>
          <w:szCs w:val="22"/>
        </w:rPr>
        <w:t>.</w:t>
      </w:r>
    </w:p>
    <w:p w14:paraId="64052A49" w14:textId="77777777" w:rsidR="00F26FEF" w:rsidRDefault="00F26FEF" w:rsidP="001C20E8">
      <w:pPr>
        <w:rPr>
          <w:rFonts w:ascii="Times" w:hAnsi="Times"/>
          <w:sz w:val="22"/>
          <w:szCs w:val="22"/>
        </w:rPr>
      </w:pPr>
    </w:p>
    <w:p w14:paraId="2E11FA50" w14:textId="77777777" w:rsidR="00F26FEF" w:rsidRPr="00894E95" w:rsidRDefault="00F26FEF" w:rsidP="001C20E8">
      <w:pPr>
        <w:rPr>
          <w:rFonts w:ascii="Times" w:hAnsi="Times"/>
          <w:sz w:val="22"/>
          <w:szCs w:val="22"/>
        </w:rPr>
      </w:pPr>
    </w:p>
    <w:p w14:paraId="7946A3B5" w14:textId="4EDAA932" w:rsidR="00D9075F" w:rsidRDefault="00894E95" w:rsidP="001C20E8">
      <w:pPr>
        <w:rPr>
          <w:rFonts w:ascii="Times" w:hAnsi="Times"/>
        </w:rPr>
      </w:pPr>
      <w:r>
        <w:rPr>
          <w:rFonts w:ascii="Times" w:hAnsi="Times"/>
        </w:rPr>
        <w:t xml:space="preserve">                          </w:t>
      </w:r>
      <w:r w:rsidR="00F26FEF">
        <w:rPr>
          <w:rFonts w:ascii="Times" w:hAnsi="Times"/>
        </w:rPr>
        <w:t xml:space="preserve">        </w:t>
      </w:r>
      <w:r w:rsidR="00D9075F" w:rsidRPr="00D22AA7">
        <w:rPr>
          <w:rFonts w:ascii="Times" w:hAnsi="Times"/>
        </w:rPr>
        <w:fldChar w:fldCharType="begin"/>
      </w:r>
      <w:r w:rsidR="00D9075F" w:rsidRPr="00D22AA7">
        <w:rPr>
          <w:rFonts w:ascii="Times" w:hAnsi="Times"/>
        </w:rPr>
        <w:instrText xml:space="preserve"> INCLUDEPICTURE "https://nyaspubs.onlinelibrary.wiley.com/cms/asset/81374a4e-6113-494a-aa34-2801c72b1874/nyas14196-fig-0004-m.jpg" \* MERGEFORMATINET </w:instrText>
      </w:r>
      <w:r w:rsidR="00D9075F" w:rsidRPr="00D22AA7">
        <w:rPr>
          <w:rFonts w:ascii="Times" w:hAnsi="Times"/>
        </w:rPr>
        <w:fldChar w:fldCharType="separate"/>
      </w:r>
      <w:r w:rsidR="00D9075F" w:rsidRPr="00D22AA7">
        <w:rPr>
          <w:rFonts w:ascii="Times" w:hAnsi="Times"/>
          <w:noProof/>
        </w:rPr>
        <w:drawing>
          <wp:inline distT="0" distB="0" distL="0" distR="0" wp14:anchorId="2E9F072C" wp14:editId="29F8066A">
            <wp:extent cx="5010629" cy="5606980"/>
            <wp:effectExtent l="0" t="0" r="0" b="0"/>
            <wp:docPr id="518154611" name="Picture 5"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tails are in the caption following the imag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101580" cy="5708755"/>
                    </a:xfrm>
                    <a:prstGeom prst="rect">
                      <a:avLst/>
                    </a:prstGeom>
                    <a:noFill/>
                    <a:ln>
                      <a:noFill/>
                    </a:ln>
                  </pic:spPr>
                </pic:pic>
              </a:graphicData>
            </a:graphic>
          </wp:inline>
        </w:drawing>
      </w:r>
      <w:r w:rsidR="00D9075F" w:rsidRPr="00D22AA7">
        <w:rPr>
          <w:rFonts w:ascii="Times" w:hAnsi="Times"/>
        </w:rPr>
        <w:fldChar w:fldCharType="end"/>
      </w:r>
    </w:p>
    <w:p w14:paraId="17C898B3" w14:textId="77777777" w:rsidR="00F26FEF" w:rsidRDefault="00F26FEF" w:rsidP="001C20E8">
      <w:pPr>
        <w:rPr>
          <w:rFonts w:ascii="Times" w:hAnsi="Times"/>
        </w:rPr>
      </w:pPr>
    </w:p>
    <w:p w14:paraId="3A193C35" w14:textId="1AD04DBE" w:rsidR="00541014" w:rsidRPr="00894E95" w:rsidRDefault="00541014" w:rsidP="001C20E8">
      <w:pPr>
        <w:rPr>
          <w:rFonts w:ascii="Times" w:hAnsi="Times"/>
          <w:sz w:val="22"/>
          <w:szCs w:val="22"/>
        </w:rPr>
      </w:pPr>
      <w:r w:rsidRPr="00894E95">
        <w:rPr>
          <w:rFonts w:ascii="Times" w:hAnsi="Times"/>
          <w:b/>
          <w:bCs/>
          <w:sz w:val="22"/>
          <w:szCs w:val="22"/>
        </w:rPr>
        <w:t>Figure 3</w:t>
      </w:r>
      <w:r w:rsidR="000F75FE">
        <w:rPr>
          <w:rFonts w:ascii="Times" w:hAnsi="Times"/>
          <w:b/>
          <w:bCs/>
          <w:sz w:val="22"/>
          <w:szCs w:val="22"/>
        </w:rPr>
        <w:t>0</w:t>
      </w:r>
      <w:r w:rsidRPr="00894E95">
        <w:rPr>
          <w:rFonts w:ascii="Times" w:hAnsi="Times"/>
          <w:b/>
          <w:bCs/>
          <w:sz w:val="22"/>
          <w:szCs w:val="22"/>
        </w:rPr>
        <w:t>.</w:t>
      </w:r>
      <w:r w:rsidR="001C6F7C" w:rsidRPr="00894E95">
        <w:rPr>
          <w:rFonts w:ascii="Times" w:hAnsi="Times"/>
          <w:sz w:val="22"/>
          <w:szCs w:val="22"/>
        </w:rPr>
        <w:t xml:space="preserve"> </w:t>
      </w:r>
      <w:r w:rsidR="001C6F7C" w:rsidRPr="00894E95">
        <w:rPr>
          <w:rFonts w:ascii="Times" w:hAnsi="Times"/>
          <w:b/>
          <w:bCs/>
          <w:sz w:val="22"/>
          <w:szCs w:val="22"/>
        </w:rPr>
        <w:t>(A)</w:t>
      </w:r>
      <w:r w:rsidR="001C6F7C" w:rsidRPr="00894E95">
        <w:rPr>
          <w:rFonts w:ascii="Times" w:hAnsi="Times"/>
          <w:sz w:val="22"/>
          <w:szCs w:val="22"/>
        </w:rPr>
        <w:t xml:space="preserve"> Morphological changes indicative of apoptosis </w:t>
      </w:r>
      <w:proofErr w:type="gramStart"/>
      <w:r w:rsidR="001C6F7C" w:rsidRPr="00894E95">
        <w:rPr>
          <w:rFonts w:ascii="Times" w:hAnsi="Times"/>
          <w:sz w:val="22"/>
          <w:szCs w:val="22"/>
        </w:rPr>
        <w:t>were</w:t>
      </w:r>
      <w:proofErr w:type="gramEnd"/>
      <w:r w:rsidR="001C6F7C" w:rsidRPr="00894E95">
        <w:rPr>
          <w:rFonts w:ascii="Times" w:hAnsi="Times"/>
          <w:sz w:val="22"/>
          <w:szCs w:val="22"/>
        </w:rPr>
        <w:t xml:space="preserve"> assessed using Hoechst 33342 staining (40× magnification).</w:t>
      </w:r>
      <w:r w:rsidR="00077DAF" w:rsidRPr="00894E95">
        <w:rPr>
          <w:rFonts w:ascii="Times" w:hAnsi="Times"/>
          <w:sz w:val="22"/>
          <w:szCs w:val="22"/>
        </w:rPr>
        <w:t xml:space="preserve"> </w:t>
      </w:r>
      <w:r w:rsidR="001C6F7C" w:rsidRPr="001C6F7C">
        <w:rPr>
          <w:rFonts w:ascii="Times" w:hAnsi="Times"/>
          <w:b/>
          <w:bCs/>
          <w:sz w:val="22"/>
          <w:szCs w:val="22"/>
        </w:rPr>
        <w:t>(B)</w:t>
      </w:r>
      <w:r w:rsidR="001C6F7C" w:rsidRPr="001C6F7C">
        <w:rPr>
          <w:rFonts w:ascii="Times" w:hAnsi="Times"/>
          <w:sz w:val="22"/>
          <w:szCs w:val="22"/>
        </w:rPr>
        <w:t xml:space="preserve"> Western blot analysis of Bcl-2, Bax, and GAPDH in RA-FLSs. Protein expression levels were quantified relative to GAPDH across three independent experiments.</w:t>
      </w:r>
      <w:r w:rsidR="00077DAF" w:rsidRPr="00894E95">
        <w:rPr>
          <w:rFonts w:ascii="Times" w:hAnsi="Times"/>
          <w:sz w:val="22"/>
          <w:szCs w:val="22"/>
        </w:rPr>
        <w:t xml:space="preserve"> </w:t>
      </w:r>
      <w:r w:rsidR="001C6F7C" w:rsidRPr="001C6F7C">
        <w:rPr>
          <w:rFonts w:ascii="Times" w:hAnsi="Times"/>
          <w:b/>
          <w:bCs/>
          <w:sz w:val="22"/>
          <w:szCs w:val="22"/>
        </w:rPr>
        <w:t>(C)</w:t>
      </w:r>
      <w:r w:rsidR="001C6F7C" w:rsidRPr="001C6F7C">
        <w:rPr>
          <w:rFonts w:ascii="Times" w:hAnsi="Times"/>
          <w:sz w:val="22"/>
          <w:szCs w:val="22"/>
        </w:rPr>
        <w:t xml:space="preserve"> Apoptosis was analyzed using flow cytometry with Annexin V-FITC/PI double staining. The left upper quadrant indicates necrotic cells, the lower left quadrant represents normal cells, the upper right quadrant shows advanced apoptotic cells, and the lower right quadrant shows early apoptotic cells. Quantitative analysis of apoptotic cells is provided</w:t>
      </w:r>
      <w:r w:rsidR="00077DAF" w:rsidRPr="00894E95">
        <w:rPr>
          <w:rFonts w:ascii="Times" w:hAnsi="Times"/>
          <w:sz w:val="22"/>
          <w:szCs w:val="22"/>
        </w:rPr>
        <w:t xml:space="preserve"> </w:t>
      </w:r>
      <w:r w:rsidR="008B4DB2" w:rsidRPr="00894E95">
        <w:rPr>
          <w:rFonts w:ascii="Times" w:hAnsi="Times"/>
          <w:sz w:val="22"/>
          <w:szCs w:val="22"/>
        </w:rPr>
        <w:fldChar w:fldCharType="begin"/>
      </w:r>
      <w:r w:rsidR="0056095D">
        <w:rPr>
          <w:rFonts w:ascii="Times" w:hAnsi="Times"/>
          <w:sz w:val="22"/>
          <w:szCs w:val="22"/>
        </w:rPr>
        <w:instrText xml:space="preserve"> ADDIN ZOTERO_ITEM CSL_CITATION {"citationID":"LuupZnRc","properties":{"formattedCitation":"[208]","plainCitation":"[208]","noteIndex":0},"citationItems":[{"id":138,"uris":["http://zotero.org/users/9439317/items/IXQFG3R7"],"itemData":{"id":138,"type":"article-journal","container-title":"Annals of the New York Academy of Sciences","DOI":"10.1111/nyas.14196","ISSN":"0077-8923, 1749-6632","issue":"1","journalAbbreviation":"Ann. N.Y. Acad. Sci.","language":"en","page":"166-178","source":"DOI.org (Crossref)","title":"Nrf2–Keap1 pathway–mediated effects of resveratrol on oxidative stress and apoptosis in hydrogen peroxide–treated rheumatoid arthritis fibroblast</w:instrText>
      </w:r>
      <w:r w:rsidR="0056095D">
        <w:rPr>
          <w:rFonts w:ascii="Cambria Math" w:hAnsi="Cambria Math" w:cs="Cambria Math"/>
          <w:sz w:val="22"/>
          <w:szCs w:val="22"/>
        </w:rPr>
        <w:instrText>‐</w:instrText>
      </w:r>
      <w:r w:rsidR="0056095D">
        <w:rPr>
          <w:rFonts w:ascii="Times" w:hAnsi="Times"/>
          <w:sz w:val="22"/>
          <w:szCs w:val="22"/>
        </w:rPr>
        <w:instrText xml:space="preserve">like synoviocytes","URL":"https://onlinelibrary.wiley.com/doi/10.1111/nyas.14196","volume":"1457","author":[{"family":"Zhang","given":"Ye"},{"family":"Wang","given":"Gaoyuan"},{"family":"Wang","given":"Taorong"},{"family":"Cao","given":"Wei"},{"family":"Zhang","given":"Lixia"},{"family":"Chen","given":"Xiaoyu"}],"accessed":{"date-parts":[["2022",6,23]]},"issued":{"date-parts":[["2019",12]]}}}],"schema":"https://github.com/citation-style-language/schema/raw/master/csl-citation.json"} </w:instrText>
      </w:r>
      <w:r w:rsidR="008B4DB2" w:rsidRPr="00894E95">
        <w:rPr>
          <w:rFonts w:ascii="Times" w:hAnsi="Times"/>
          <w:sz w:val="22"/>
          <w:szCs w:val="22"/>
        </w:rPr>
        <w:fldChar w:fldCharType="separate"/>
      </w:r>
      <w:r w:rsidR="0056095D">
        <w:rPr>
          <w:rFonts w:ascii="Times" w:hAnsi="Times"/>
          <w:noProof/>
          <w:sz w:val="22"/>
          <w:szCs w:val="22"/>
        </w:rPr>
        <w:t>[208]</w:t>
      </w:r>
      <w:r w:rsidR="008B4DB2" w:rsidRPr="00894E95">
        <w:rPr>
          <w:rFonts w:ascii="Times" w:hAnsi="Times"/>
          <w:sz w:val="22"/>
          <w:szCs w:val="22"/>
        </w:rPr>
        <w:fldChar w:fldCharType="end"/>
      </w:r>
      <w:r w:rsidR="008B4DB2" w:rsidRPr="00894E95">
        <w:rPr>
          <w:rFonts w:ascii="Times" w:hAnsi="Times"/>
          <w:sz w:val="22"/>
          <w:szCs w:val="22"/>
        </w:rPr>
        <w:t>.</w:t>
      </w:r>
    </w:p>
    <w:p w14:paraId="524504F8" w14:textId="079902BF" w:rsidR="00D9075F" w:rsidRDefault="00894E95" w:rsidP="001C20E8">
      <w:pPr>
        <w:rPr>
          <w:rFonts w:ascii="Times" w:hAnsi="Times"/>
        </w:rPr>
      </w:pPr>
      <w:r>
        <w:rPr>
          <w:rFonts w:ascii="Times" w:hAnsi="Times"/>
        </w:rPr>
        <w:lastRenderedPageBreak/>
        <w:t xml:space="preserve">                       </w:t>
      </w:r>
      <w:r w:rsidR="00D9075F" w:rsidRPr="00D22AA7">
        <w:rPr>
          <w:rFonts w:ascii="Times" w:hAnsi="Times"/>
        </w:rPr>
        <w:fldChar w:fldCharType="begin"/>
      </w:r>
      <w:r w:rsidR="00D9075F" w:rsidRPr="00D22AA7">
        <w:rPr>
          <w:rFonts w:ascii="Times" w:hAnsi="Times"/>
        </w:rPr>
        <w:instrText xml:space="preserve"> INCLUDEPICTURE "https://nyaspubs.onlinelibrary.wiley.com/cms/asset/8e9f01fc-d7be-460a-bcaa-3fc2a5345344/nyas14196-fig-0005-m.jpg" \* MERGEFORMATINET </w:instrText>
      </w:r>
      <w:r w:rsidR="00D9075F" w:rsidRPr="00D22AA7">
        <w:rPr>
          <w:rFonts w:ascii="Times" w:hAnsi="Times"/>
        </w:rPr>
        <w:fldChar w:fldCharType="separate"/>
      </w:r>
      <w:r w:rsidR="00D9075F" w:rsidRPr="00D22AA7">
        <w:rPr>
          <w:rFonts w:ascii="Times" w:hAnsi="Times"/>
          <w:noProof/>
        </w:rPr>
        <w:drawing>
          <wp:inline distT="0" distB="0" distL="0" distR="0" wp14:anchorId="0EEC1D04" wp14:editId="754E7265">
            <wp:extent cx="5733807" cy="5084466"/>
            <wp:effectExtent l="0" t="0" r="0" b="0"/>
            <wp:docPr id="1127242902" name="Picture 6"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etails are in the caption following the imag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29672" cy="5169474"/>
                    </a:xfrm>
                    <a:prstGeom prst="rect">
                      <a:avLst/>
                    </a:prstGeom>
                    <a:noFill/>
                    <a:ln>
                      <a:noFill/>
                    </a:ln>
                  </pic:spPr>
                </pic:pic>
              </a:graphicData>
            </a:graphic>
          </wp:inline>
        </w:drawing>
      </w:r>
      <w:r w:rsidR="00D9075F" w:rsidRPr="00D22AA7">
        <w:rPr>
          <w:rFonts w:ascii="Times" w:hAnsi="Times"/>
        </w:rPr>
        <w:fldChar w:fldCharType="end"/>
      </w:r>
    </w:p>
    <w:p w14:paraId="17E8AE42" w14:textId="77777777" w:rsidR="00010255" w:rsidRDefault="00010255" w:rsidP="001C20E8">
      <w:pPr>
        <w:rPr>
          <w:rFonts w:ascii="Times" w:hAnsi="Times"/>
        </w:rPr>
      </w:pPr>
    </w:p>
    <w:p w14:paraId="44D5C3B7" w14:textId="100C17AD" w:rsidR="001C6F7C" w:rsidRPr="00F26FEF" w:rsidRDefault="00541014" w:rsidP="00F26FEF">
      <w:pPr>
        <w:jc w:val="both"/>
        <w:rPr>
          <w:rFonts w:ascii="Times" w:hAnsi="Times"/>
          <w:sz w:val="20"/>
          <w:szCs w:val="20"/>
        </w:rPr>
      </w:pPr>
      <w:r w:rsidRPr="00F26FEF">
        <w:rPr>
          <w:rFonts w:ascii="Times" w:hAnsi="Times"/>
          <w:b/>
          <w:bCs/>
          <w:sz w:val="20"/>
          <w:szCs w:val="20"/>
        </w:rPr>
        <w:t>Figure 3</w:t>
      </w:r>
      <w:r w:rsidR="000F75FE" w:rsidRPr="00F26FEF">
        <w:rPr>
          <w:rFonts w:ascii="Times" w:hAnsi="Times"/>
          <w:b/>
          <w:bCs/>
          <w:sz w:val="20"/>
          <w:szCs w:val="20"/>
        </w:rPr>
        <w:t>1</w:t>
      </w:r>
      <w:r w:rsidRPr="00F26FEF">
        <w:rPr>
          <w:rFonts w:ascii="Times" w:hAnsi="Times"/>
          <w:b/>
          <w:bCs/>
          <w:sz w:val="20"/>
          <w:szCs w:val="20"/>
        </w:rPr>
        <w:t>.</w:t>
      </w:r>
      <w:r w:rsidR="001C6F7C" w:rsidRPr="00F26FEF">
        <w:rPr>
          <w:rFonts w:ascii="Times" w:hAnsi="Times"/>
          <w:sz w:val="20"/>
          <w:szCs w:val="20"/>
        </w:rPr>
        <w:t xml:space="preserve"> </w:t>
      </w:r>
      <w:r w:rsidR="001C6F7C" w:rsidRPr="00F26FEF">
        <w:rPr>
          <w:rFonts w:ascii="Times" w:hAnsi="Times"/>
          <w:b/>
          <w:bCs/>
          <w:sz w:val="20"/>
          <w:szCs w:val="20"/>
        </w:rPr>
        <w:t>(A)</w:t>
      </w:r>
      <w:r w:rsidR="001C6F7C" w:rsidRPr="00F26FEF">
        <w:rPr>
          <w:rFonts w:ascii="Times" w:hAnsi="Times"/>
          <w:sz w:val="20"/>
          <w:szCs w:val="20"/>
        </w:rPr>
        <w:t xml:space="preserve"> RA-FLSs were infected with lentivirus at an MOI of 50, and GFP expression was observed using fluorescence microscopy (10× magnification) 72 hours post-</w:t>
      </w:r>
      <w:proofErr w:type="gramStart"/>
      <w:r w:rsidR="001C6F7C" w:rsidRPr="00F26FEF">
        <w:rPr>
          <w:rFonts w:ascii="Times" w:hAnsi="Times"/>
          <w:sz w:val="20"/>
          <w:szCs w:val="20"/>
        </w:rPr>
        <w:t>infection.</w:t>
      </w:r>
      <w:r w:rsidR="001C6F7C" w:rsidRPr="00F26FEF">
        <w:rPr>
          <w:rFonts w:ascii="Times" w:hAnsi="Times"/>
          <w:b/>
          <w:bCs/>
          <w:sz w:val="20"/>
          <w:szCs w:val="20"/>
        </w:rPr>
        <w:t>(</w:t>
      </w:r>
      <w:proofErr w:type="gramEnd"/>
      <w:r w:rsidR="001C6F7C" w:rsidRPr="00F26FEF">
        <w:rPr>
          <w:rFonts w:ascii="Times" w:hAnsi="Times"/>
          <w:b/>
          <w:bCs/>
          <w:sz w:val="20"/>
          <w:szCs w:val="20"/>
        </w:rPr>
        <w:t>B)</w:t>
      </w:r>
      <w:r w:rsidR="001C6F7C" w:rsidRPr="00F26FEF">
        <w:rPr>
          <w:rFonts w:ascii="Times" w:hAnsi="Times"/>
          <w:sz w:val="20"/>
          <w:szCs w:val="20"/>
        </w:rPr>
        <w:t xml:space="preserve"> Western blot analysis showing the inhibition of Nrf2 expression in the Nrf2 RNAi-treated group.</w:t>
      </w:r>
    </w:p>
    <w:p w14:paraId="7F5B9D4D" w14:textId="51BD6111" w:rsidR="00541014" w:rsidRPr="00F26FEF" w:rsidRDefault="001C6F7C" w:rsidP="00F26FEF">
      <w:pPr>
        <w:jc w:val="both"/>
        <w:rPr>
          <w:rFonts w:ascii="Times" w:hAnsi="Times"/>
          <w:sz w:val="20"/>
          <w:szCs w:val="20"/>
        </w:rPr>
      </w:pPr>
      <w:r w:rsidRPr="00F26FEF">
        <w:rPr>
          <w:rFonts w:ascii="Times" w:hAnsi="Times"/>
          <w:b/>
          <w:bCs/>
          <w:sz w:val="20"/>
          <w:szCs w:val="20"/>
        </w:rPr>
        <w:t>(C)</w:t>
      </w:r>
      <w:r w:rsidRPr="00F26FEF">
        <w:rPr>
          <w:rFonts w:ascii="Times" w:hAnsi="Times"/>
          <w:sz w:val="20"/>
          <w:szCs w:val="20"/>
        </w:rPr>
        <w:t xml:space="preserve"> Laser confocal microscopy was used to assess mitochondrial reactive oxygen species</w:t>
      </w:r>
      <w:r w:rsidR="00D70B93" w:rsidRPr="00F26FEF">
        <w:rPr>
          <w:rFonts w:ascii="Times" w:hAnsi="Times"/>
          <w:sz w:val="20"/>
          <w:szCs w:val="20"/>
        </w:rPr>
        <w:t xml:space="preserve"> </w:t>
      </w:r>
      <w:r w:rsidRPr="00F26FEF">
        <w:rPr>
          <w:rFonts w:ascii="Times" w:hAnsi="Times"/>
          <w:sz w:val="20"/>
          <w:szCs w:val="20"/>
        </w:rPr>
        <w:t>(mtROS) levels. The histogram quantifies mitochondrial superoxide levels, expressed as a percentage change relative to the negative control group.</w:t>
      </w:r>
      <w:r w:rsidR="00D70B93" w:rsidRPr="00F26FEF">
        <w:rPr>
          <w:rFonts w:ascii="Times" w:hAnsi="Times"/>
          <w:sz w:val="20"/>
          <w:szCs w:val="20"/>
        </w:rPr>
        <w:t xml:space="preserve"> </w:t>
      </w:r>
      <w:r w:rsidRPr="00F26FEF">
        <w:rPr>
          <w:rFonts w:ascii="Times" w:hAnsi="Times"/>
          <w:b/>
          <w:bCs/>
          <w:sz w:val="20"/>
          <w:szCs w:val="20"/>
        </w:rPr>
        <w:t>(D)</w:t>
      </w:r>
      <w:r w:rsidRPr="00F26FEF">
        <w:rPr>
          <w:rFonts w:ascii="Times" w:hAnsi="Times"/>
          <w:sz w:val="20"/>
          <w:szCs w:val="20"/>
        </w:rPr>
        <w:t xml:space="preserve"> Western blot analysis of Nrf2, histone H3, Keap1, HO-1, and GAPDH in each group, with corresponding quantitative analysis. Protein expression levels were measured relative to histone H3 and GAPDH across three independent experiments</w:t>
      </w:r>
      <w:r w:rsidR="00D70B93" w:rsidRPr="00F26FEF">
        <w:rPr>
          <w:rFonts w:ascii="Times" w:hAnsi="Times"/>
          <w:sz w:val="20"/>
          <w:szCs w:val="20"/>
        </w:rPr>
        <w:t xml:space="preserve"> </w:t>
      </w:r>
      <w:r w:rsidR="008B4DB2" w:rsidRPr="00F26FEF">
        <w:rPr>
          <w:rFonts w:ascii="Times" w:hAnsi="Times"/>
          <w:sz w:val="20"/>
          <w:szCs w:val="20"/>
        </w:rPr>
        <w:fldChar w:fldCharType="begin"/>
      </w:r>
      <w:r w:rsidR="0056095D">
        <w:rPr>
          <w:rFonts w:ascii="Times" w:hAnsi="Times"/>
          <w:sz w:val="20"/>
          <w:szCs w:val="20"/>
        </w:rPr>
        <w:instrText xml:space="preserve"> ADDIN ZOTERO_ITEM CSL_CITATION {"citationID":"YhaIroBX","properties":{"formattedCitation":"[208]","plainCitation":"[208]","noteIndex":0},"citationItems":[{"id":138,"uris":["http://zotero.org/users/9439317/items/IXQFG3R7"],"itemData":{"id":138,"type":"article-journal","container-title":"Annals of the New York Academy of Sciences","DOI":"10.1111/nyas.14196","ISSN":"0077-8923, 1749-6632","issue":"1","journalAbbreviation":"Ann. N.Y. Acad. Sci.","language":"en","page":"166-178","source":"DOI.org (Crossref)","title":"Nrf2–Keap1 pathway–mediated effects of resveratrol on oxidative stress and apoptosis in hydrogen peroxide–treated rheumatoid arthritis fibroblast</w:instrText>
      </w:r>
      <w:r w:rsidR="0056095D">
        <w:rPr>
          <w:rFonts w:ascii="Cambria Math" w:hAnsi="Cambria Math" w:cs="Cambria Math"/>
          <w:sz w:val="20"/>
          <w:szCs w:val="20"/>
        </w:rPr>
        <w:instrText>‐</w:instrText>
      </w:r>
      <w:r w:rsidR="0056095D">
        <w:rPr>
          <w:rFonts w:ascii="Times" w:hAnsi="Times"/>
          <w:sz w:val="20"/>
          <w:szCs w:val="20"/>
        </w:rPr>
        <w:instrText xml:space="preserve">like synoviocytes","URL":"https://onlinelibrary.wiley.com/doi/10.1111/nyas.14196","volume":"1457","author":[{"family":"Zhang","given":"Ye"},{"family":"Wang","given":"Gaoyuan"},{"family":"Wang","given":"Taorong"},{"family":"Cao","given":"Wei"},{"family":"Zhang","given":"Lixia"},{"family":"Chen","given":"Xiaoyu"}],"accessed":{"date-parts":[["2022",6,23]]},"issued":{"date-parts":[["2019",12]]}}}],"schema":"https://github.com/citation-style-language/schema/raw/master/csl-citation.json"} </w:instrText>
      </w:r>
      <w:r w:rsidR="008B4DB2" w:rsidRPr="00F26FEF">
        <w:rPr>
          <w:rFonts w:ascii="Times" w:hAnsi="Times"/>
          <w:sz w:val="20"/>
          <w:szCs w:val="20"/>
        </w:rPr>
        <w:fldChar w:fldCharType="separate"/>
      </w:r>
      <w:r w:rsidR="0056095D">
        <w:rPr>
          <w:rFonts w:ascii="Times" w:hAnsi="Times"/>
          <w:noProof/>
          <w:sz w:val="20"/>
          <w:szCs w:val="20"/>
        </w:rPr>
        <w:t>[208]</w:t>
      </w:r>
      <w:r w:rsidR="008B4DB2" w:rsidRPr="00F26FEF">
        <w:rPr>
          <w:rFonts w:ascii="Times" w:hAnsi="Times"/>
          <w:sz w:val="20"/>
          <w:szCs w:val="20"/>
        </w:rPr>
        <w:fldChar w:fldCharType="end"/>
      </w:r>
      <w:r w:rsidR="008B4DB2" w:rsidRPr="00F26FEF">
        <w:rPr>
          <w:rFonts w:ascii="Times" w:hAnsi="Times"/>
          <w:sz w:val="20"/>
          <w:szCs w:val="20"/>
        </w:rPr>
        <w:t>.</w:t>
      </w:r>
    </w:p>
    <w:p w14:paraId="7C91181B" w14:textId="58675BFA" w:rsidR="00541014" w:rsidRPr="00894E95" w:rsidRDefault="00894E95" w:rsidP="00132CF4">
      <w:pPr>
        <w:rPr>
          <w:rFonts w:ascii="Times" w:hAnsi="Times"/>
          <w:sz w:val="22"/>
          <w:szCs w:val="22"/>
        </w:rPr>
      </w:pPr>
      <w:r>
        <w:rPr>
          <w:rFonts w:ascii="Times" w:hAnsi="Times"/>
        </w:rPr>
        <w:t xml:space="preserve">                         </w:t>
      </w:r>
    </w:p>
    <w:p w14:paraId="7E47773D" w14:textId="4E355707" w:rsidR="00D817CF" w:rsidRPr="00894E95" w:rsidRDefault="00010255" w:rsidP="001C20E8">
      <w:pPr>
        <w:rPr>
          <w:rFonts w:ascii="Times" w:hAnsi="Times"/>
          <w:sz w:val="22"/>
          <w:szCs w:val="22"/>
        </w:rPr>
      </w:pPr>
      <w:r>
        <w:rPr>
          <w:rFonts w:ascii="Times" w:hAnsi="Times"/>
        </w:rPr>
        <w:t xml:space="preserve">RSV </w:t>
      </w:r>
      <w:r w:rsidR="00F010DB" w:rsidRPr="00010255">
        <w:rPr>
          <w:rFonts w:ascii="Times" w:hAnsi="Times"/>
        </w:rPr>
        <w:t xml:space="preserve">also </w:t>
      </w:r>
      <w:r w:rsidR="001C20E8" w:rsidRPr="00010255">
        <w:rPr>
          <w:rFonts w:ascii="Times" w:hAnsi="Times"/>
        </w:rPr>
        <w:t xml:space="preserve">induces cell apoptosis in the MH7A cell line by activation of caspase-9 and caspase-3 and disruption of mitochondria. Disruption of mitochondria causes the downregulation of the expression of Bcl-XL and the release of cytochrome c into the cytosol from mitochondria </w:t>
      </w:r>
      <w:r w:rsidR="00D817CF" w:rsidRPr="00894E95">
        <w:rPr>
          <w:rFonts w:ascii="Times" w:hAnsi="Times"/>
          <w:sz w:val="22"/>
          <w:szCs w:val="22"/>
        </w:rPr>
        <w:fldChar w:fldCharType="begin"/>
      </w:r>
      <w:r w:rsidR="0056095D">
        <w:rPr>
          <w:rFonts w:ascii="Times" w:hAnsi="Times"/>
          <w:sz w:val="22"/>
          <w:szCs w:val="22"/>
        </w:rPr>
        <w:instrText xml:space="preserve"> ADDIN ZOTERO_ITEM CSL_CITATION {"citationID":"WmrNSEGz","properties":{"formattedCitation":"[209]","plainCitation":"[209]","noteIndex":0},"citationItems":[{"id":162,"uris":["http://zotero.org/users/9439317/items/2NKD6UQH"],"itemData":{"id":162,"type":"article-journal","abstract":"Resveratrol, a phytoalexin, reduced the viability of MH7A cells, a human rheumatoid arthritis synovial cell line. In the apoptosis assay, resveratrol increased TUNEL-positive cells and stimulated H2A.X phosphorylation. Resveratrol disrupted mitochondrial membrane potentials in MH7A cells and stimulated cytochrome c release from the mitochondria to the cytosol. Resveratrol activated caspase-3 and caspase-9 but not caspase-8 in MH7A cells. Resveratrol upregulated the expression of the NAD-dependent deacetylase sirtuin 1 mRNA and downregulated the expression of the Bcl-XL mRNA, and resveratrol-induced MH7A cell death, mitochondrial damage, and caspase-3/-9 activation were prevented by sirtinol, an inhibitor of sirtuin 1. The results of the present study show that resveratrol induces MH7A cell apoptosis by activating caspase-9 and the effector caspase-3 along mitochondrial disruption as a result of reduced Bcl-XL expression, allowing cytochrome c release from the mitochondria into the cytosol, in a sirtuin 1-dependent manner. This suggests that resveratrol could suppress hyperplasia of synovial cells, a critical factor of rheumatoid arthritis.","container-title":"Rheumatology International","DOI":"10.1007/s00296-010-1598-8","ISSN":"0172-8172, 1437-160X","issue":"1","journalAbbreviation":"Rheumatol Int","language":"en","page":"151-157","source":"DOI.org (Crossref)","title":"Resveratrol induces apoptosis MH7A human rheumatoid arthritis synovial cells in a sirtuin 1-dependent manner","URL":"http://link.springer.com/10.1007/s00296-010-1598-8","volume":"32","author":[{"family":"Nakayama","given":"Hiroshi"},{"family":"Yaguchi","given":"Takahiro"},{"family":"Yoshiya","given":"Shinichi"},{"family":"Nishizaki","given":"Tomoyuki"}],"accessed":{"date-parts":[["2022",6,16]]},"issued":{"date-parts":[["2012",1]]}}}],"schema":"https://github.com/citation-style-language/schema/raw/master/csl-citation.json"} </w:instrText>
      </w:r>
      <w:r w:rsidR="00D817CF" w:rsidRPr="00894E95">
        <w:rPr>
          <w:rFonts w:ascii="Times" w:hAnsi="Times"/>
          <w:sz w:val="22"/>
          <w:szCs w:val="22"/>
        </w:rPr>
        <w:fldChar w:fldCharType="separate"/>
      </w:r>
      <w:r w:rsidR="0056095D">
        <w:rPr>
          <w:rFonts w:ascii="Times" w:hAnsi="Times"/>
          <w:noProof/>
          <w:sz w:val="22"/>
          <w:szCs w:val="22"/>
        </w:rPr>
        <w:t>[209]</w:t>
      </w:r>
      <w:r w:rsidR="00D817CF" w:rsidRPr="00894E95">
        <w:rPr>
          <w:rFonts w:ascii="Times" w:hAnsi="Times"/>
          <w:sz w:val="22"/>
          <w:szCs w:val="22"/>
        </w:rPr>
        <w:fldChar w:fldCharType="end"/>
      </w:r>
      <w:r w:rsidR="000E6C08">
        <w:rPr>
          <w:rFonts w:ascii="Times" w:hAnsi="Times"/>
          <w:sz w:val="22"/>
          <w:szCs w:val="22"/>
        </w:rPr>
        <w:t xml:space="preserve"> (figure)</w:t>
      </w:r>
      <w:r w:rsidR="001C20E8" w:rsidRPr="00894E95">
        <w:rPr>
          <w:rFonts w:ascii="Times" w:hAnsi="Times"/>
          <w:sz w:val="22"/>
          <w:szCs w:val="22"/>
        </w:rPr>
        <w:t xml:space="preserve">. </w:t>
      </w:r>
    </w:p>
    <w:p w14:paraId="6A9E052D" w14:textId="29795E4E" w:rsidR="00D817CF" w:rsidRDefault="00894E95" w:rsidP="001C20E8">
      <w:pPr>
        <w:rPr>
          <w:rFonts w:ascii="Times" w:hAnsi="Times"/>
        </w:rPr>
      </w:pPr>
      <w:r>
        <w:rPr>
          <w:rFonts w:ascii="Times" w:hAnsi="Times"/>
        </w:rPr>
        <w:t xml:space="preserve">                                        </w:t>
      </w:r>
    </w:p>
    <w:p w14:paraId="58535B46" w14:textId="77777777" w:rsidR="00010255" w:rsidRPr="00894E95" w:rsidRDefault="00010255" w:rsidP="001C20E8">
      <w:pPr>
        <w:rPr>
          <w:rFonts w:ascii="Times" w:hAnsi="Times"/>
          <w:sz w:val="22"/>
          <w:szCs w:val="22"/>
        </w:rPr>
      </w:pPr>
    </w:p>
    <w:p w14:paraId="7F4F60FA" w14:textId="30239773" w:rsidR="00541014" w:rsidRPr="00894E95" w:rsidRDefault="00894E95" w:rsidP="000E6C08">
      <w:pPr>
        <w:rPr>
          <w:rFonts w:ascii="Times" w:hAnsi="Times"/>
          <w:sz w:val="22"/>
          <w:szCs w:val="22"/>
        </w:rPr>
      </w:pPr>
      <w:r>
        <w:rPr>
          <w:rFonts w:ascii="Times" w:hAnsi="Times"/>
        </w:rPr>
        <w:t xml:space="preserve">                              </w:t>
      </w:r>
    </w:p>
    <w:p w14:paraId="41147DDF" w14:textId="77777777" w:rsidR="00D817CF" w:rsidRPr="00D22AA7" w:rsidRDefault="00D817CF" w:rsidP="001C20E8">
      <w:pPr>
        <w:rPr>
          <w:rFonts w:ascii="Times" w:hAnsi="Times"/>
        </w:rPr>
      </w:pPr>
    </w:p>
    <w:p w14:paraId="535F8DCB" w14:textId="67D91B0D" w:rsidR="00D817CF" w:rsidRDefault="00894E95" w:rsidP="001C20E8">
      <w:pPr>
        <w:rPr>
          <w:rFonts w:ascii="Times" w:hAnsi="Times"/>
        </w:rPr>
      </w:pPr>
      <w:r>
        <w:rPr>
          <w:rFonts w:ascii="Times" w:hAnsi="Times"/>
        </w:rPr>
        <w:lastRenderedPageBreak/>
        <w:t xml:space="preserve">              </w:t>
      </w:r>
      <w:r w:rsidR="00D817CF" w:rsidRPr="00D22AA7">
        <w:rPr>
          <w:rFonts w:ascii="Times" w:hAnsi="Times"/>
        </w:rPr>
        <w:fldChar w:fldCharType="begin"/>
      </w:r>
      <w:r w:rsidR="00D817CF" w:rsidRPr="00D22AA7">
        <w:rPr>
          <w:rFonts w:ascii="Times" w:hAnsi="Times"/>
        </w:rPr>
        <w:instrText xml:space="preserve"> INCLUDEPICTURE "https://media.springernature.com/full/springer-static/image/art%3A10.1007%2Fs00296-010-1598-8/MediaObjects/296_2010_1598_Fig4_HTML.gif" \* MERGEFORMATINET </w:instrText>
      </w:r>
      <w:r w:rsidR="00D817CF" w:rsidRPr="00D22AA7">
        <w:rPr>
          <w:rFonts w:ascii="Times" w:hAnsi="Times"/>
        </w:rPr>
        <w:fldChar w:fldCharType="separate"/>
      </w:r>
      <w:r w:rsidR="00D817CF" w:rsidRPr="00D22AA7">
        <w:rPr>
          <w:rFonts w:ascii="Times" w:hAnsi="Times"/>
          <w:noProof/>
        </w:rPr>
        <w:drawing>
          <wp:inline distT="0" distB="0" distL="0" distR="0" wp14:anchorId="01ACE42D" wp14:editId="1DD71907">
            <wp:extent cx="4989552" cy="7088863"/>
            <wp:effectExtent l="0" t="0" r="1905" b="0"/>
            <wp:docPr id="734532861" name="Picture 10" descr="Fi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ig.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17091" cy="7127989"/>
                    </a:xfrm>
                    <a:prstGeom prst="rect">
                      <a:avLst/>
                    </a:prstGeom>
                    <a:noFill/>
                    <a:ln>
                      <a:noFill/>
                    </a:ln>
                  </pic:spPr>
                </pic:pic>
              </a:graphicData>
            </a:graphic>
          </wp:inline>
        </w:drawing>
      </w:r>
      <w:r w:rsidR="00D817CF" w:rsidRPr="00D22AA7">
        <w:rPr>
          <w:rFonts w:ascii="Times" w:hAnsi="Times"/>
        </w:rPr>
        <w:fldChar w:fldCharType="end"/>
      </w:r>
    </w:p>
    <w:p w14:paraId="31625F25" w14:textId="77777777" w:rsidR="00010255" w:rsidRDefault="00010255" w:rsidP="001C20E8">
      <w:pPr>
        <w:rPr>
          <w:rFonts w:ascii="Times" w:hAnsi="Times"/>
        </w:rPr>
      </w:pPr>
    </w:p>
    <w:p w14:paraId="0A8DCAAE" w14:textId="2FC0C760" w:rsidR="00541014" w:rsidRPr="00894E95" w:rsidRDefault="00541014" w:rsidP="00F26FEF">
      <w:pPr>
        <w:jc w:val="both"/>
        <w:rPr>
          <w:rFonts w:ascii="Times" w:hAnsi="Times"/>
          <w:sz w:val="22"/>
          <w:szCs w:val="22"/>
        </w:rPr>
      </w:pPr>
      <w:r w:rsidRPr="00894E95">
        <w:rPr>
          <w:rFonts w:ascii="Times" w:hAnsi="Times"/>
          <w:b/>
          <w:bCs/>
          <w:sz w:val="22"/>
          <w:szCs w:val="22"/>
        </w:rPr>
        <w:t>Figure 3</w:t>
      </w:r>
      <w:r w:rsidR="000F75FE">
        <w:rPr>
          <w:rFonts w:ascii="Times" w:hAnsi="Times"/>
          <w:b/>
          <w:bCs/>
          <w:sz w:val="22"/>
          <w:szCs w:val="22"/>
        </w:rPr>
        <w:t>5</w:t>
      </w:r>
      <w:r w:rsidRPr="00894E95">
        <w:rPr>
          <w:rFonts w:ascii="Times" w:hAnsi="Times"/>
          <w:b/>
          <w:bCs/>
          <w:sz w:val="22"/>
          <w:szCs w:val="22"/>
        </w:rPr>
        <w:t>.</w:t>
      </w:r>
      <w:r w:rsidR="00DC6724" w:rsidRPr="00894E95">
        <w:rPr>
          <w:rFonts w:ascii="Times" w:hAnsi="Times"/>
          <w:sz w:val="22"/>
          <w:szCs w:val="22"/>
        </w:rPr>
        <w:t xml:space="preserve"> MH7A cells were either untreated (Control) or treated with resveratrol (100 μM) for 20–60 minutes or 0.5–3 hours in serum-free culture medium. RT-PCR was performed to analyze mRNA expression levels.</w:t>
      </w:r>
      <w:r w:rsidR="00641085" w:rsidRPr="00894E95">
        <w:rPr>
          <w:rFonts w:ascii="Times" w:hAnsi="Times"/>
          <w:sz w:val="22"/>
          <w:szCs w:val="22"/>
        </w:rPr>
        <w:t xml:space="preserve"> </w:t>
      </w:r>
      <w:r w:rsidR="00DC6724" w:rsidRPr="00DC6724">
        <w:rPr>
          <w:rFonts w:ascii="Times" w:hAnsi="Times"/>
          <w:sz w:val="22"/>
          <w:szCs w:val="22"/>
        </w:rPr>
        <w:t>In the graph, each point represents the ratio relative to the intensity at 0 min/h, which is set as 1.Similar results were obtained in three independent experiments</w:t>
      </w:r>
      <w:r w:rsidR="00894E95" w:rsidRPr="00894E95">
        <w:rPr>
          <w:rFonts w:ascii="Times" w:hAnsi="Times"/>
          <w:sz w:val="22"/>
          <w:szCs w:val="22"/>
        </w:rPr>
        <w:t xml:space="preserve"> </w:t>
      </w:r>
      <w:r w:rsidR="008B4DB2" w:rsidRPr="00894E95">
        <w:rPr>
          <w:rFonts w:ascii="Times" w:hAnsi="Times"/>
          <w:sz w:val="22"/>
          <w:szCs w:val="22"/>
        </w:rPr>
        <w:fldChar w:fldCharType="begin"/>
      </w:r>
      <w:r w:rsidR="0056095D">
        <w:rPr>
          <w:rFonts w:ascii="Times" w:hAnsi="Times"/>
          <w:sz w:val="22"/>
          <w:szCs w:val="22"/>
        </w:rPr>
        <w:instrText xml:space="preserve"> ADDIN ZOTERO_ITEM CSL_CITATION {"citationID":"I55ZIBy0","properties":{"formattedCitation":"[209]","plainCitation":"[209]","noteIndex":0},"citationItems":[{"id":162,"uris":["http://zotero.org/users/9439317/items/2NKD6UQH"],"itemData":{"id":162,"type":"article-journal","abstract":"Resveratrol, a phytoalexin, reduced the viability of MH7A cells, a human rheumatoid arthritis synovial cell line. In the apoptosis assay, resveratrol increased TUNEL-positive cells and stimulated H2A.X phosphorylation. Resveratrol disrupted mitochondrial membrane potentials in MH7A cells and stimulated cytochrome c release from the mitochondria to the cytosol. Resveratrol activated caspase-3 and caspase-9 but not caspase-8 in MH7A cells. Resveratrol upregulated the expression of the NAD-dependent deacetylase sirtuin 1 mRNA and downregulated the expression of the Bcl-XL mRNA, and resveratrol-induced MH7A cell death, mitochondrial damage, and caspase-3/-9 activation were prevented by sirtinol, an inhibitor of sirtuin 1. The results of the present study show that resveratrol induces MH7A cell apoptosis by activating caspase-9 and the effector caspase-3 along mitochondrial disruption as a result of reduced Bcl-XL expression, allowing cytochrome c release from the mitochondria into the cytosol, in a sirtuin 1-dependent manner. This suggests that resveratrol could suppress hyperplasia of synovial cells, a critical factor of rheumatoid arthritis.","container-title":"Rheumatology International","DOI":"10.1007/s00296-010-1598-8","ISSN":"0172-8172, 1437-160X","issue":"1","journalAbbreviation":"Rheumatol Int","language":"en","page":"151-157","source":"DOI.org (Crossref)","title":"Resveratrol induces apoptosis MH7A human rheumatoid arthritis synovial cells in a sirtuin 1-dependent manner","URL":"http://link.springer.com/10.1007/s00296-010-1598-8","volume":"32","author":[{"family":"Nakayama","given":"Hiroshi"},{"family":"Yaguchi","given":"Takahiro"},{"family":"Yoshiya","given":"Shinichi"},{"family":"Nishizaki","given":"Tomoyuki"}],"accessed":{"date-parts":[["2022",6,16]]},"issued":{"date-parts":[["2012",1]]}}}],"schema":"https://github.com/citation-style-language/schema/raw/master/csl-citation.json"} </w:instrText>
      </w:r>
      <w:r w:rsidR="008B4DB2" w:rsidRPr="00894E95">
        <w:rPr>
          <w:rFonts w:ascii="Times" w:hAnsi="Times"/>
          <w:sz w:val="22"/>
          <w:szCs w:val="22"/>
        </w:rPr>
        <w:fldChar w:fldCharType="separate"/>
      </w:r>
      <w:r w:rsidR="0056095D">
        <w:rPr>
          <w:rFonts w:ascii="Times" w:hAnsi="Times"/>
          <w:noProof/>
          <w:sz w:val="22"/>
          <w:szCs w:val="22"/>
        </w:rPr>
        <w:t>[209]</w:t>
      </w:r>
      <w:r w:rsidR="008B4DB2" w:rsidRPr="00894E95">
        <w:rPr>
          <w:rFonts w:ascii="Times" w:hAnsi="Times"/>
          <w:sz w:val="22"/>
          <w:szCs w:val="22"/>
        </w:rPr>
        <w:fldChar w:fldCharType="end"/>
      </w:r>
      <w:r w:rsidR="008B4DB2" w:rsidRPr="00894E95">
        <w:rPr>
          <w:rFonts w:ascii="Times" w:hAnsi="Times"/>
          <w:sz w:val="22"/>
          <w:szCs w:val="22"/>
        </w:rPr>
        <w:t>.</w:t>
      </w:r>
    </w:p>
    <w:p w14:paraId="2A801FEA" w14:textId="3BE106C0" w:rsidR="00D817CF" w:rsidRDefault="00894E95" w:rsidP="001C20E8">
      <w:pPr>
        <w:rPr>
          <w:rFonts w:ascii="Times" w:hAnsi="Times"/>
        </w:rPr>
      </w:pPr>
      <w:r>
        <w:rPr>
          <w:rFonts w:ascii="Times" w:hAnsi="Times"/>
        </w:rPr>
        <w:t xml:space="preserve">                                     </w:t>
      </w:r>
    </w:p>
    <w:p w14:paraId="49C009A7" w14:textId="77777777" w:rsidR="00D817CF" w:rsidRPr="00D22AA7" w:rsidRDefault="00D817CF" w:rsidP="001C20E8">
      <w:pPr>
        <w:rPr>
          <w:rFonts w:ascii="Times" w:hAnsi="Times"/>
        </w:rPr>
      </w:pPr>
    </w:p>
    <w:p w14:paraId="7F1E2069" w14:textId="4531AFF2" w:rsidR="00D817CF" w:rsidRDefault="00894E95" w:rsidP="001C20E8">
      <w:pPr>
        <w:rPr>
          <w:rFonts w:ascii="Times" w:hAnsi="Times"/>
        </w:rPr>
      </w:pPr>
      <w:r>
        <w:rPr>
          <w:rFonts w:ascii="Times" w:hAnsi="Times"/>
        </w:rPr>
        <w:t xml:space="preserve">                                   </w:t>
      </w:r>
      <w:r w:rsidR="00D817CF" w:rsidRPr="00D22AA7">
        <w:rPr>
          <w:rFonts w:ascii="Times" w:hAnsi="Times"/>
        </w:rPr>
        <w:fldChar w:fldCharType="begin"/>
      </w:r>
      <w:r w:rsidR="00D817CF" w:rsidRPr="00D22AA7">
        <w:rPr>
          <w:rFonts w:ascii="Times" w:hAnsi="Times"/>
        </w:rPr>
        <w:instrText xml:space="preserve"> INCLUDEPICTURE "https://media.springernature.com/full/springer-static/image/art%3A10.1007%2Fs00296-010-1598-8/MediaObjects/296_2010_1598_Fig6_HTML.gif" \* MERGEFORMATINET </w:instrText>
      </w:r>
      <w:r w:rsidR="00D817CF" w:rsidRPr="00D22AA7">
        <w:rPr>
          <w:rFonts w:ascii="Times" w:hAnsi="Times"/>
        </w:rPr>
        <w:fldChar w:fldCharType="separate"/>
      </w:r>
      <w:r w:rsidR="00D817CF" w:rsidRPr="00D22AA7">
        <w:rPr>
          <w:rFonts w:ascii="Times" w:hAnsi="Times"/>
          <w:noProof/>
        </w:rPr>
        <w:drawing>
          <wp:inline distT="0" distB="0" distL="0" distR="0" wp14:anchorId="3125B1B4" wp14:editId="22D4A60E">
            <wp:extent cx="3618865" cy="2986405"/>
            <wp:effectExtent l="0" t="0" r="635" b="0"/>
            <wp:docPr id="921151872" name="Picture 12" descr="Fi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Fig.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18865" cy="2986405"/>
                    </a:xfrm>
                    <a:prstGeom prst="rect">
                      <a:avLst/>
                    </a:prstGeom>
                    <a:noFill/>
                    <a:ln>
                      <a:noFill/>
                    </a:ln>
                  </pic:spPr>
                </pic:pic>
              </a:graphicData>
            </a:graphic>
          </wp:inline>
        </w:drawing>
      </w:r>
      <w:r w:rsidR="00D817CF" w:rsidRPr="00D22AA7">
        <w:rPr>
          <w:rFonts w:ascii="Times" w:hAnsi="Times"/>
        </w:rPr>
        <w:fldChar w:fldCharType="end"/>
      </w:r>
    </w:p>
    <w:p w14:paraId="72F8C5C4" w14:textId="77777777" w:rsidR="00010255" w:rsidRDefault="00010255" w:rsidP="001C20E8">
      <w:pPr>
        <w:rPr>
          <w:rFonts w:ascii="Times" w:hAnsi="Times"/>
        </w:rPr>
      </w:pPr>
    </w:p>
    <w:p w14:paraId="047EDD83" w14:textId="63B5EBB8" w:rsidR="00DC6724" w:rsidRPr="002F78F2" w:rsidRDefault="00541014" w:rsidP="002F78F2">
      <w:pPr>
        <w:jc w:val="both"/>
        <w:rPr>
          <w:rFonts w:ascii="Times" w:hAnsi="Times"/>
          <w:sz w:val="20"/>
          <w:szCs w:val="20"/>
        </w:rPr>
      </w:pPr>
      <w:r w:rsidRPr="002F78F2">
        <w:rPr>
          <w:rFonts w:ascii="Times" w:hAnsi="Times"/>
          <w:b/>
          <w:bCs/>
          <w:sz w:val="20"/>
          <w:szCs w:val="20"/>
        </w:rPr>
        <w:t>Figure 3</w:t>
      </w:r>
      <w:r w:rsidR="000F75FE" w:rsidRPr="002F78F2">
        <w:rPr>
          <w:rFonts w:ascii="Times" w:hAnsi="Times"/>
          <w:b/>
          <w:bCs/>
          <w:sz w:val="20"/>
          <w:szCs w:val="20"/>
        </w:rPr>
        <w:t>6</w:t>
      </w:r>
      <w:r w:rsidRPr="002F78F2">
        <w:rPr>
          <w:rFonts w:ascii="Times" w:hAnsi="Times"/>
          <w:b/>
          <w:bCs/>
          <w:sz w:val="20"/>
          <w:szCs w:val="20"/>
        </w:rPr>
        <w:t>.</w:t>
      </w:r>
      <w:r w:rsidRPr="002F78F2">
        <w:rPr>
          <w:rFonts w:ascii="Times" w:hAnsi="Times"/>
          <w:sz w:val="20"/>
          <w:szCs w:val="20"/>
        </w:rPr>
        <w:t xml:space="preserve"> </w:t>
      </w:r>
      <w:r w:rsidR="00DC6724" w:rsidRPr="002F78F2">
        <w:rPr>
          <w:rFonts w:ascii="Times" w:hAnsi="Times"/>
          <w:sz w:val="20"/>
          <w:szCs w:val="20"/>
        </w:rPr>
        <w:t>MH7A cells were treated with resveratrol (100 μM) for 3–6 hours in serum-free culture medium. After treatment, cells were fractionated into mitochondrial (M) and cytosolic (C) components, and Western blot analysis was performed.</w:t>
      </w:r>
      <w:r w:rsidR="002F78F2">
        <w:rPr>
          <w:rFonts w:ascii="Times" w:hAnsi="Times"/>
          <w:sz w:val="20"/>
          <w:szCs w:val="20"/>
        </w:rPr>
        <w:t xml:space="preserve"> </w:t>
      </w:r>
      <w:r w:rsidR="00DC6724" w:rsidRPr="002F78F2">
        <w:rPr>
          <w:rFonts w:ascii="Times" w:hAnsi="Times"/>
          <w:sz w:val="20"/>
          <w:szCs w:val="20"/>
        </w:rPr>
        <w:t>In the graph, each point represents the ratio relative to the immunoreactive intensity at 0 hours for the mitochondrial component, which is set as 1. Cyto c refers to cytochrome c.</w:t>
      </w:r>
    </w:p>
    <w:p w14:paraId="23913932" w14:textId="40BE6D25" w:rsidR="00541014" w:rsidRPr="002F78F2" w:rsidRDefault="00DC6724" w:rsidP="002F78F2">
      <w:pPr>
        <w:jc w:val="both"/>
        <w:rPr>
          <w:rFonts w:ascii="Times" w:hAnsi="Times"/>
          <w:sz w:val="20"/>
          <w:szCs w:val="20"/>
        </w:rPr>
      </w:pPr>
      <w:r w:rsidRPr="002F78F2">
        <w:rPr>
          <w:rFonts w:ascii="Times" w:hAnsi="Times"/>
          <w:sz w:val="20"/>
          <w:szCs w:val="20"/>
        </w:rPr>
        <w:t>Similar results were obtained in three independent experiments</w:t>
      </w:r>
      <w:r w:rsidR="008B4DB2" w:rsidRPr="002F78F2">
        <w:rPr>
          <w:rFonts w:ascii="Times" w:hAnsi="Times"/>
          <w:sz w:val="20"/>
          <w:szCs w:val="20"/>
        </w:rPr>
        <w:fldChar w:fldCharType="begin"/>
      </w:r>
      <w:r w:rsidR="0056095D">
        <w:rPr>
          <w:rFonts w:ascii="Times" w:hAnsi="Times"/>
          <w:sz w:val="20"/>
          <w:szCs w:val="20"/>
        </w:rPr>
        <w:instrText xml:space="preserve"> ADDIN ZOTERO_ITEM CSL_CITATION {"citationID":"zhfTIKO4","properties":{"formattedCitation":"[209]","plainCitation":"[209]","noteIndex":0},"citationItems":[{"id":162,"uris":["http://zotero.org/users/9439317/items/2NKD6UQH"],"itemData":{"id":162,"type":"article-journal","abstract":"Resveratrol, a phytoalexin, reduced the viability of MH7A cells, a human rheumatoid arthritis synovial cell line. In the apoptosis assay, resveratrol increased TUNEL-positive cells and stimulated H2A.X phosphorylation. Resveratrol disrupted mitochondrial membrane potentials in MH7A cells and stimulated cytochrome c release from the mitochondria to the cytosol. Resveratrol activated caspase-3 and caspase-9 but not caspase-8 in MH7A cells. Resveratrol upregulated the expression of the NAD-dependent deacetylase sirtuin 1 mRNA and downregulated the expression of the Bcl-XL mRNA, and resveratrol-induced MH7A cell death, mitochondrial damage, and caspase-3/-9 activation were prevented by sirtinol, an inhibitor of sirtuin 1. The results of the present study show that resveratrol induces MH7A cell apoptosis by activating caspase-9 and the effector caspase-3 along mitochondrial disruption as a result of reduced Bcl-XL expression, allowing cytochrome c release from the mitochondria into the cytosol, in a sirtuin 1-dependent manner. This suggests that resveratrol could suppress hyperplasia of synovial cells, a critical factor of rheumatoid arthritis.","container-title":"Rheumatology International","DOI":"10.1007/s00296-010-1598-8","ISSN":"0172-8172, 1437-160X","issue":"1","journalAbbreviation":"Rheumatol Int","language":"en","page":"151-157","source":"DOI.org (Crossref)","title":"Resveratrol induces apoptosis MH7A human rheumatoid arthritis synovial cells in a sirtuin 1-dependent manner","URL":"http://link.springer.com/10.1007/s00296-010-1598-8","volume":"32","author":[{"family":"Nakayama","given":"Hiroshi"},{"family":"Yaguchi","given":"Takahiro"},{"family":"Yoshiya","given":"Shinichi"},{"family":"Nishizaki","given":"Tomoyuki"}],"accessed":{"date-parts":[["2022",6,16]]},"issued":{"date-parts":[["2012",1]]}}}],"schema":"https://github.com/citation-style-language/schema/raw/master/csl-citation.json"} </w:instrText>
      </w:r>
      <w:r w:rsidR="008B4DB2" w:rsidRPr="002F78F2">
        <w:rPr>
          <w:rFonts w:ascii="Times" w:hAnsi="Times"/>
          <w:sz w:val="20"/>
          <w:szCs w:val="20"/>
        </w:rPr>
        <w:fldChar w:fldCharType="separate"/>
      </w:r>
      <w:r w:rsidR="0056095D">
        <w:rPr>
          <w:rFonts w:ascii="Times" w:hAnsi="Times"/>
          <w:noProof/>
          <w:sz w:val="20"/>
          <w:szCs w:val="20"/>
        </w:rPr>
        <w:t>[209]</w:t>
      </w:r>
      <w:r w:rsidR="008B4DB2" w:rsidRPr="002F78F2">
        <w:rPr>
          <w:rFonts w:ascii="Times" w:hAnsi="Times"/>
          <w:sz w:val="20"/>
          <w:szCs w:val="20"/>
        </w:rPr>
        <w:fldChar w:fldCharType="end"/>
      </w:r>
      <w:r w:rsidR="008B4DB2" w:rsidRPr="002F78F2">
        <w:rPr>
          <w:rFonts w:ascii="Times" w:hAnsi="Times"/>
          <w:sz w:val="20"/>
          <w:szCs w:val="20"/>
        </w:rPr>
        <w:t>.</w:t>
      </w:r>
    </w:p>
    <w:p w14:paraId="75797D1D" w14:textId="77777777" w:rsidR="00D817CF" w:rsidRPr="00D22AA7" w:rsidRDefault="00D817CF" w:rsidP="001C20E8">
      <w:pPr>
        <w:rPr>
          <w:rFonts w:ascii="Times" w:hAnsi="Times"/>
        </w:rPr>
      </w:pPr>
    </w:p>
    <w:p w14:paraId="12AE81EA" w14:textId="32AAE2A0" w:rsidR="00CA5234" w:rsidRPr="00CA5234" w:rsidRDefault="00CA5234" w:rsidP="00CA5234">
      <w:pPr>
        <w:rPr>
          <w:rFonts w:ascii="Times" w:hAnsi="Times"/>
          <w:b/>
          <w:bCs/>
        </w:rPr>
      </w:pPr>
      <w:r w:rsidRPr="00D22AA7">
        <w:rPr>
          <w:rFonts w:ascii="Times" w:hAnsi="Times"/>
          <w:b/>
          <w:bCs/>
        </w:rPr>
        <w:t>6.</w:t>
      </w:r>
      <w:r>
        <w:rPr>
          <w:rFonts w:ascii="Times" w:hAnsi="Times"/>
          <w:b/>
          <w:bCs/>
        </w:rPr>
        <w:t>6</w:t>
      </w:r>
      <w:r w:rsidRPr="00D22AA7">
        <w:rPr>
          <w:rFonts w:ascii="Times" w:hAnsi="Times"/>
          <w:b/>
          <w:bCs/>
        </w:rPr>
        <w:t xml:space="preserve">. In Vitro Evaluation of </w:t>
      </w:r>
      <w:proofErr w:type="spellStart"/>
      <w:r>
        <w:rPr>
          <w:rFonts w:ascii="Times" w:hAnsi="Times"/>
          <w:b/>
          <w:bCs/>
        </w:rPr>
        <w:t>Kaemperitrin</w:t>
      </w:r>
      <w:proofErr w:type="spellEnd"/>
    </w:p>
    <w:p w14:paraId="31688CAB" w14:textId="42C15253" w:rsidR="00675751" w:rsidRPr="00D22AA7" w:rsidRDefault="7B0F3611" w:rsidP="3300C1C8">
      <w:pPr>
        <w:spacing w:before="240" w:after="240"/>
        <w:rPr>
          <w:rFonts w:ascii="Times" w:hAnsi="Times"/>
          <w:noProof/>
        </w:rPr>
      </w:pPr>
      <w:r w:rsidRPr="00D22AA7">
        <w:rPr>
          <w:rFonts w:ascii="Times" w:hAnsi="Times"/>
          <w:noProof/>
        </w:rPr>
        <w:t>Kaempferitrin</w:t>
      </w:r>
      <w:r w:rsidR="385B8A8B" w:rsidRPr="00D22AA7">
        <w:rPr>
          <w:rFonts w:ascii="Times" w:hAnsi="Times"/>
          <w:noProof/>
        </w:rPr>
        <w:t xml:space="preserve"> </w:t>
      </w:r>
      <w:r w:rsidRPr="00D22AA7">
        <w:rPr>
          <w:rFonts w:ascii="Times" w:hAnsi="Times"/>
          <w:noProof/>
        </w:rPr>
        <w:t>has been demonstrated to reduce the levels of IL-6, IL-1β, MMP-1, MMP-3, and TNF-α in MH7A cell lines. Furthermore, kaempferitrin inhibits the activation of Akt and NF-κB, pathways that are involved in inflammation and immune response</w:t>
      </w:r>
      <w:r w:rsidR="454C5333" w:rsidRPr="00D22AA7">
        <w:rPr>
          <w:rFonts w:ascii="Times" w:hAnsi="Times"/>
          <w:noProof/>
        </w:rPr>
        <w:t xml:space="preserve"> </w:t>
      </w:r>
      <w:r w:rsidR="001C20E8" w:rsidRPr="00D22AA7">
        <w:rPr>
          <w:rFonts w:ascii="Times" w:hAnsi="Times"/>
        </w:rPr>
        <w:fldChar w:fldCharType="begin"/>
      </w:r>
      <w:r w:rsidR="0056095D">
        <w:rPr>
          <w:rFonts w:ascii="Times" w:hAnsi="Times"/>
        </w:rPr>
        <w:instrText xml:space="preserve"> ADDIN ZOTERO_ITEM CSL_CITATION {"citationID":"LU7SpvzL","properties":{"formattedCitation":"[210]","plainCitation":"[210]","noteIndex":0},"citationItems":[{"id":13090,"uris":["http://zotero.org/users/9439317/items/Z7C28VMF"],"itemData":{"id":13090,"type":"article-journal","container-title":"Phytotherapy Research","DOI":"10.1002/ptr.6364","ISSN":"0951-418X, 1099-1573","issue":"6","journalAbbreviation":"Phytotherapy Research","language":"en","page":"1726-1735","source":"DOI.org (Crossref)","title":"Kaempferitrin inhibits proliferation, induces apoptosis, and ameliorates inflammation in human rheumatoid arthritis fibroblast</w:instrText>
      </w:r>
      <w:r w:rsidR="0056095D">
        <w:rPr>
          <w:rFonts w:ascii="Cambria Math" w:hAnsi="Cambria Math" w:cs="Cambria Math"/>
        </w:rPr>
        <w:instrText>‐</w:instrText>
      </w:r>
      <w:r w:rsidR="0056095D">
        <w:rPr>
          <w:rFonts w:ascii="Times" w:hAnsi="Times"/>
        </w:rPr>
        <w:instrText xml:space="preserve">like synoviocytes","URL":"https://onlinelibrary.wiley.com/doi/10.1002/ptr.6364","volume":"33","author":[{"family":"Wang","given":"Jing"},{"family":"Zhao","given":"Qing"}],"accessed":{"date-parts":[["2022",6,21]]},"issued":{"date-parts":[["2019",6]]}}}],"schema":"https://github.com/citation-style-language/schema/raw/master/csl-citation.json"} </w:instrText>
      </w:r>
      <w:r w:rsidR="001C20E8" w:rsidRPr="00D22AA7">
        <w:rPr>
          <w:rFonts w:ascii="Times" w:hAnsi="Times"/>
        </w:rPr>
        <w:fldChar w:fldCharType="separate"/>
      </w:r>
      <w:r w:rsidR="0056095D">
        <w:rPr>
          <w:rFonts w:ascii="Times" w:hAnsi="Times"/>
          <w:noProof/>
        </w:rPr>
        <w:t>[210]</w:t>
      </w:r>
      <w:r w:rsidR="001C20E8" w:rsidRPr="00D22AA7">
        <w:rPr>
          <w:rFonts w:ascii="Times" w:hAnsi="Times"/>
        </w:rPr>
        <w:fldChar w:fldCharType="end"/>
      </w:r>
      <w:r w:rsidR="69EE438C" w:rsidRPr="00D22AA7">
        <w:rPr>
          <w:rFonts w:ascii="Times" w:hAnsi="Times"/>
        </w:rPr>
        <w:t xml:space="preserve">. </w:t>
      </w:r>
    </w:p>
    <w:p w14:paraId="1D1D89D5" w14:textId="07E81031" w:rsidR="00675751" w:rsidRDefault="00894E95" w:rsidP="001C20E8">
      <w:pPr>
        <w:rPr>
          <w:rFonts w:ascii="Times" w:hAnsi="Times"/>
        </w:rPr>
      </w:pPr>
      <w:r>
        <w:rPr>
          <w:rFonts w:ascii="Times" w:hAnsi="Times"/>
        </w:rPr>
        <w:t xml:space="preserve">            </w:t>
      </w:r>
      <w:r w:rsidR="00675751" w:rsidRPr="00D22AA7">
        <w:rPr>
          <w:rFonts w:ascii="Times" w:hAnsi="Times"/>
        </w:rPr>
        <w:fldChar w:fldCharType="begin"/>
      </w:r>
      <w:r w:rsidR="00675751" w:rsidRPr="00D22AA7">
        <w:rPr>
          <w:rFonts w:ascii="Times" w:hAnsi="Times"/>
        </w:rPr>
        <w:instrText xml:space="preserve"> INCLUDEPICTURE "https://onlinelibrary.wiley.com/cms/asset/4b7a3e0c-4a45-41e3-a3a1-2b654e8bf35a/ptr6364-fig-0003-m.jpg" \* MERGEFORMATINET </w:instrText>
      </w:r>
      <w:r w:rsidR="00675751" w:rsidRPr="00D22AA7">
        <w:rPr>
          <w:rFonts w:ascii="Times" w:hAnsi="Times"/>
        </w:rPr>
        <w:fldChar w:fldCharType="separate"/>
      </w:r>
      <w:r w:rsidR="00675751" w:rsidRPr="00D22AA7">
        <w:rPr>
          <w:rFonts w:ascii="Times" w:hAnsi="Times"/>
          <w:noProof/>
        </w:rPr>
        <w:drawing>
          <wp:inline distT="0" distB="0" distL="0" distR="0" wp14:anchorId="2C45B0BE" wp14:editId="5E13BEDE">
            <wp:extent cx="4815191" cy="2324256"/>
            <wp:effectExtent l="0" t="0" r="0" b="0"/>
            <wp:docPr id="1984650412" name="Picture 13"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etails are in the caption following the image"/>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844870" cy="2338582"/>
                    </a:xfrm>
                    <a:prstGeom prst="rect">
                      <a:avLst/>
                    </a:prstGeom>
                    <a:noFill/>
                    <a:ln>
                      <a:noFill/>
                    </a:ln>
                  </pic:spPr>
                </pic:pic>
              </a:graphicData>
            </a:graphic>
          </wp:inline>
        </w:drawing>
      </w:r>
      <w:r w:rsidR="00675751" w:rsidRPr="00D22AA7">
        <w:rPr>
          <w:rFonts w:ascii="Times" w:hAnsi="Times"/>
        </w:rPr>
        <w:fldChar w:fldCharType="end"/>
      </w:r>
    </w:p>
    <w:p w14:paraId="678E8E84" w14:textId="287EE81B" w:rsidR="00EA6263" w:rsidRPr="002F78F2" w:rsidRDefault="00541014" w:rsidP="00EA6263">
      <w:pPr>
        <w:rPr>
          <w:rFonts w:ascii="Times" w:hAnsi="Times"/>
          <w:sz w:val="20"/>
          <w:szCs w:val="20"/>
        </w:rPr>
      </w:pPr>
      <w:r w:rsidRPr="002F78F2">
        <w:rPr>
          <w:rFonts w:ascii="Times" w:hAnsi="Times"/>
          <w:b/>
          <w:bCs/>
          <w:sz w:val="20"/>
          <w:szCs w:val="20"/>
        </w:rPr>
        <w:t>Figure 3</w:t>
      </w:r>
      <w:r w:rsidR="000F75FE" w:rsidRPr="002F78F2">
        <w:rPr>
          <w:rFonts w:ascii="Times" w:hAnsi="Times"/>
          <w:b/>
          <w:bCs/>
          <w:sz w:val="20"/>
          <w:szCs w:val="20"/>
        </w:rPr>
        <w:t>7</w:t>
      </w:r>
      <w:r w:rsidRPr="002F78F2">
        <w:rPr>
          <w:rFonts w:ascii="Times" w:hAnsi="Times"/>
          <w:b/>
          <w:bCs/>
          <w:sz w:val="20"/>
          <w:szCs w:val="20"/>
        </w:rPr>
        <w:t>.</w:t>
      </w:r>
      <w:r w:rsidRPr="002F78F2">
        <w:rPr>
          <w:rFonts w:ascii="Times" w:hAnsi="Times"/>
          <w:sz w:val="20"/>
          <w:szCs w:val="20"/>
        </w:rPr>
        <w:t xml:space="preserve"> </w:t>
      </w:r>
      <w:r w:rsidR="00EA6263" w:rsidRPr="002F78F2">
        <w:rPr>
          <w:rFonts w:ascii="Times" w:hAnsi="Times"/>
          <w:sz w:val="20"/>
          <w:szCs w:val="20"/>
        </w:rPr>
        <w:t>MH7A cells and their supernatants were collected after incubation with different concentrations of kaempferitrin (0, 5, 10, and 20 μM) for 48 hours to assess the expression and secretion of IL-1β, IL-6, and TNF-α.</w:t>
      </w:r>
      <w:r w:rsidR="00641085" w:rsidRPr="002F78F2">
        <w:rPr>
          <w:rFonts w:ascii="Times" w:hAnsi="Times"/>
          <w:sz w:val="20"/>
          <w:szCs w:val="20"/>
        </w:rPr>
        <w:t xml:space="preserve"> </w:t>
      </w:r>
      <w:r w:rsidR="00EA6263" w:rsidRPr="002F78F2">
        <w:rPr>
          <w:rFonts w:ascii="Times" w:hAnsi="Times"/>
          <w:b/>
          <w:bCs/>
          <w:sz w:val="20"/>
          <w:szCs w:val="20"/>
        </w:rPr>
        <w:t>(a-c)</w:t>
      </w:r>
      <w:r w:rsidR="00EA6263" w:rsidRPr="002F78F2">
        <w:rPr>
          <w:rFonts w:ascii="Times" w:hAnsi="Times"/>
          <w:sz w:val="20"/>
          <w:szCs w:val="20"/>
        </w:rPr>
        <w:t xml:space="preserve"> qRT-PCR analysis was conducted to measure the mRNA levels of IL-1β, IL-6, and TNF-α.</w:t>
      </w:r>
      <w:r w:rsidR="00641085" w:rsidRPr="002F78F2">
        <w:rPr>
          <w:rFonts w:ascii="Times" w:hAnsi="Times"/>
          <w:sz w:val="20"/>
          <w:szCs w:val="20"/>
        </w:rPr>
        <w:t xml:space="preserve"> </w:t>
      </w:r>
      <w:r w:rsidR="00EA6263" w:rsidRPr="002F78F2">
        <w:rPr>
          <w:rFonts w:ascii="Times" w:hAnsi="Times"/>
          <w:b/>
          <w:bCs/>
          <w:sz w:val="20"/>
          <w:szCs w:val="20"/>
        </w:rPr>
        <w:t>(d-f)</w:t>
      </w:r>
      <w:r w:rsidR="00EA6263" w:rsidRPr="002F78F2">
        <w:rPr>
          <w:rFonts w:ascii="Times" w:hAnsi="Times"/>
          <w:sz w:val="20"/>
          <w:szCs w:val="20"/>
        </w:rPr>
        <w:t xml:space="preserve"> Enzyme-linked immunosorbent assay (ELISA) was used to evaluate the secretion of IL-1β, IL-6, and TNF-α.</w:t>
      </w:r>
    </w:p>
    <w:p w14:paraId="696208E8" w14:textId="62FE3C83" w:rsidR="00541014" w:rsidRPr="00D22AA7" w:rsidRDefault="00541014" w:rsidP="001C20E8">
      <w:pPr>
        <w:rPr>
          <w:rFonts w:ascii="Times" w:hAnsi="Times"/>
        </w:rPr>
      </w:pPr>
    </w:p>
    <w:p w14:paraId="1F6D5B5B" w14:textId="3B34D96C" w:rsidR="00675751" w:rsidRDefault="00894E95" w:rsidP="001C20E8">
      <w:pPr>
        <w:rPr>
          <w:rFonts w:ascii="Times" w:hAnsi="Times"/>
        </w:rPr>
      </w:pPr>
      <w:r>
        <w:rPr>
          <w:rFonts w:ascii="Times" w:hAnsi="Times"/>
        </w:rPr>
        <w:t xml:space="preserve">                          </w:t>
      </w:r>
      <w:r w:rsidR="00675751" w:rsidRPr="00D22AA7">
        <w:rPr>
          <w:rFonts w:ascii="Times" w:hAnsi="Times"/>
        </w:rPr>
        <w:fldChar w:fldCharType="begin"/>
      </w:r>
      <w:r w:rsidR="00675751" w:rsidRPr="00D22AA7">
        <w:rPr>
          <w:rFonts w:ascii="Times" w:hAnsi="Times"/>
        </w:rPr>
        <w:instrText xml:space="preserve"> INCLUDEPICTURE "https://onlinelibrary.wiley.com/cms/asset/c3f6eee9-14de-49ea-8713-e88a7a591bb0/ptr6364-fig-0004-m.jpg" \* MERGEFORMATINET </w:instrText>
      </w:r>
      <w:r w:rsidR="00675751" w:rsidRPr="00D22AA7">
        <w:rPr>
          <w:rFonts w:ascii="Times" w:hAnsi="Times"/>
        </w:rPr>
        <w:fldChar w:fldCharType="separate"/>
      </w:r>
      <w:r w:rsidR="00675751" w:rsidRPr="00D22AA7">
        <w:rPr>
          <w:rFonts w:ascii="Times" w:hAnsi="Times"/>
          <w:noProof/>
        </w:rPr>
        <w:drawing>
          <wp:inline distT="0" distB="0" distL="0" distR="0" wp14:anchorId="63E0F9DF" wp14:editId="2FF82798">
            <wp:extent cx="3809370" cy="3854545"/>
            <wp:effectExtent l="0" t="0" r="635" b="6350"/>
            <wp:docPr id="355817254" name="Picture 14" descr="Details are in the caption following th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etails are in the caption following the image"/>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835642" cy="3881129"/>
                    </a:xfrm>
                    <a:prstGeom prst="rect">
                      <a:avLst/>
                    </a:prstGeom>
                    <a:noFill/>
                    <a:ln>
                      <a:noFill/>
                    </a:ln>
                  </pic:spPr>
                </pic:pic>
              </a:graphicData>
            </a:graphic>
          </wp:inline>
        </w:drawing>
      </w:r>
      <w:r w:rsidR="00675751" w:rsidRPr="00D22AA7">
        <w:rPr>
          <w:rFonts w:ascii="Times" w:hAnsi="Times"/>
        </w:rPr>
        <w:fldChar w:fldCharType="end"/>
      </w:r>
    </w:p>
    <w:p w14:paraId="282D5126" w14:textId="665A93C9" w:rsidR="00EA6263" w:rsidRPr="002F78F2" w:rsidRDefault="00541014" w:rsidP="00EA6263">
      <w:pPr>
        <w:rPr>
          <w:rFonts w:ascii="Times" w:hAnsi="Times"/>
          <w:sz w:val="20"/>
          <w:szCs w:val="20"/>
        </w:rPr>
      </w:pPr>
      <w:r w:rsidRPr="002F78F2">
        <w:rPr>
          <w:rFonts w:ascii="Times" w:hAnsi="Times"/>
          <w:b/>
          <w:bCs/>
          <w:sz w:val="20"/>
          <w:szCs w:val="20"/>
        </w:rPr>
        <w:t xml:space="preserve">Figure </w:t>
      </w:r>
      <w:r w:rsidR="000F75FE" w:rsidRPr="002F78F2">
        <w:rPr>
          <w:rFonts w:ascii="Times" w:hAnsi="Times"/>
          <w:b/>
          <w:bCs/>
          <w:sz w:val="20"/>
          <w:szCs w:val="20"/>
        </w:rPr>
        <w:t>38</w:t>
      </w:r>
      <w:r w:rsidRPr="002F78F2">
        <w:rPr>
          <w:rFonts w:ascii="Times" w:hAnsi="Times"/>
          <w:b/>
          <w:bCs/>
          <w:sz w:val="20"/>
          <w:szCs w:val="20"/>
        </w:rPr>
        <w:t>.</w:t>
      </w:r>
      <w:r w:rsidRPr="002F78F2">
        <w:rPr>
          <w:rFonts w:ascii="Times" w:hAnsi="Times"/>
          <w:sz w:val="20"/>
          <w:szCs w:val="20"/>
        </w:rPr>
        <w:t xml:space="preserve"> </w:t>
      </w:r>
      <w:r w:rsidR="00EA6263" w:rsidRPr="002F78F2">
        <w:rPr>
          <w:rFonts w:ascii="Times" w:hAnsi="Times"/>
          <w:sz w:val="20"/>
          <w:szCs w:val="20"/>
        </w:rPr>
        <w:t>MH7A cells and their supernatants were collected after incubation with various concentrations of kaempferitrin (0, 5, 10, and 20 μM) for 48 hours to assess the expression of MMP-1 and MMP-3.</w:t>
      </w:r>
      <w:r w:rsidR="00641085" w:rsidRPr="002F78F2">
        <w:rPr>
          <w:rFonts w:ascii="Times" w:hAnsi="Times"/>
          <w:sz w:val="20"/>
          <w:szCs w:val="20"/>
        </w:rPr>
        <w:t xml:space="preserve"> </w:t>
      </w:r>
      <w:r w:rsidR="00EA6263" w:rsidRPr="002F78F2">
        <w:rPr>
          <w:rFonts w:ascii="Times" w:hAnsi="Times"/>
          <w:b/>
          <w:bCs/>
          <w:sz w:val="20"/>
          <w:szCs w:val="20"/>
        </w:rPr>
        <w:t>(a, b)</w:t>
      </w:r>
      <w:r w:rsidR="00EA6263" w:rsidRPr="002F78F2">
        <w:rPr>
          <w:rFonts w:ascii="Times" w:hAnsi="Times"/>
          <w:sz w:val="20"/>
          <w:szCs w:val="20"/>
        </w:rPr>
        <w:t xml:space="preserve"> Quantitative real-time polymerase chain reaction (qRT-PCR) analysis was performed to measure the mRNA levels of MMP-1 and MMP-3.</w:t>
      </w:r>
      <w:r w:rsidR="00641085" w:rsidRPr="002F78F2">
        <w:rPr>
          <w:rFonts w:ascii="Times" w:hAnsi="Times"/>
          <w:sz w:val="20"/>
          <w:szCs w:val="20"/>
        </w:rPr>
        <w:t xml:space="preserve"> </w:t>
      </w:r>
      <w:r w:rsidR="00EA6263" w:rsidRPr="002F78F2">
        <w:rPr>
          <w:rFonts w:ascii="Times" w:hAnsi="Times"/>
          <w:b/>
          <w:bCs/>
          <w:sz w:val="20"/>
          <w:szCs w:val="20"/>
        </w:rPr>
        <w:t>(c)</w:t>
      </w:r>
      <w:r w:rsidR="00EA6263" w:rsidRPr="002F78F2">
        <w:rPr>
          <w:rFonts w:ascii="Times" w:hAnsi="Times"/>
          <w:sz w:val="20"/>
          <w:szCs w:val="20"/>
        </w:rPr>
        <w:t xml:space="preserve"> Western blotting was used to evaluate the protein levels of MMP-1 and MMP-3.</w:t>
      </w:r>
      <w:r w:rsidR="00641085" w:rsidRPr="002F78F2">
        <w:rPr>
          <w:rFonts w:ascii="Times" w:hAnsi="Times"/>
          <w:sz w:val="20"/>
          <w:szCs w:val="20"/>
        </w:rPr>
        <w:t xml:space="preserve"> </w:t>
      </w:r>
      <w:r w:rsidR="00EA6263" w:rsidRPr="002F78F2">
        <w:rPr>
          <w:rFonts w:ascii="Times" w:hAnsi="Times"/>
          <w:b/>
          <w:bCs/>
          <w:sz w:val="20"/>
          <w:szCs w:val="20"/>
        </w:rPr>
        <w:t>(d, e)</w:t>
      </w:r>
      <w:r w:rsidR="00EA6263" w:rsidRPr="002F78F2">
        <w:rPr>
          <w:rFonts w:ascii="Times" w:hAnsi="Times"/>
          <w:sz w:val="20"/>
          <w:szCs w:val="20"/>
        </w:rPr>
        <w:t xml:space="preserve"> Enzyme-linked immunosorbent assay (ELISA) was conducted to determine the activities of MMP-1 and MMP-3.</w:t>
      </w:r>
    </w:p>
    <w:p w14:paraId="09905794" w14:textId="6D8EF69E" w:rsidR="00541014" w:rsidRPr="00D22AA7" w:rsidRDefault="00541014" w:rsidP="001C20E8">
      <w:pPr>
        <w:rPr>
          <w:rFonts w:ascii="Times" w:hAnsi="Times"/>
        </w:rPr>
      </w:pPr>
    </w:p>
    <w:p w14:paraId="16E2E460" w14:textId="1EE96F21" w:rsidR="001C20E8" w:rsidRPr="00D22AA7" w:rsidRDefault="6945105C" w:rsidP="001C20E8">
      <w:pPr>
        <w:rPr>
          <w:rFonts w:ascii="Times" w:hAnsi="Times"/>
        </w:rPr>
      </w:pPr>
      <w:proofErr w:type="spellStart"/>
      <w:r w:rsidRPr="00D22AA7">
        <w:rPr>
          <w:rFonts w:ascii="Times" w:hAnsi="Times"/>
        </w:rPr>
        <w:t>K</w:t>
      </w:r>
      <w:r w:rsidR="69EE438C" w:rsidRPr="00D22AA7">
        <w:rPr>
          <w:rFonts w:ascii="Times" w:hAnsi="Times"/>
        </w:rPr>
        <w:t>aemperitin</w:t>
      </w:r>
      <w:proofErr w:type="spellEnd"/>
      <w:r w:rsidRPr="00D22AA7">
        <w:rPr>
          <w:rFonts w:ascii="Times" w:hAnsi="Times"/>
        </w:rPr>
        <w:t xml:space="preserve"> also </w:t>
      </w:r>
      <w:r w:rsidR="69EE438C" w:rsidRPr="00D22AA7">
        <w:rPr>
          <w:rFonts w:ascii="Times" w:hAnsi="Times"/>
        </w:rPr>
        <w:t>inhibits the activation of NF-</w:t>
      </w:r>
      <w:proofErr w:type="spellStart"/>
      <w:r w:rsidR="69EE438C" w:rsidRPr="00D22AA7">
        <w:rPr>
          <w:rFonts w:ascii="Times" w:hAnsi="Times"/>
        </w:rPr>
        <w:t>jB</w:t>
      </w:r>
      <w:proofErr w:type="spellEnd"/>
      <w:r w:rsidR="69EE438C" w:rsidRPr="00D22AA7">
        <w:rPr>
          <w:rFonts w:ascii="Times" w:hAnsi="Times"/>
        </w:rPr>
        <w:t xml:space="preserve"> and MAPK</w:t>
      </w:r>
      <w:r w:rsidR="170F613A" w:rsidRPr="00D22AA7">
        <w:rPr>
          <w:rFonts w:ascii="Times" w:hAnsi="Times"/>
        </w:rPr>
        <w:t>, and decrease the expression level of MMP-1, MMP-3, CoX-2, and PGE</w:t>
      </w:r>
      <w:r w:rsidR="69EE438C" w:rsidRPr="00D22AA7">
        <w:rPr>
          <w:rFonts w:ascii="Times" w:hAnsi="Times"/>
        </w:rPr>
        <w:t xml:space="preserve"> in IL-1β-stimulated RASFs </w:t>
      </w:r>
      <w:r w:rsidR="001C20E8" w:rsidRPr="00D22AA7">
        <w:rPr>
          <w:rFonts w:ascii="Times" w:hAnsi="Times"/>
        </w:rPr>
        <w:fldChar w:fldCharType="begin"/>
      </w:r>
      <w:r w:rsidR="0056095D">
        <w:rPr>
          <w:rFonts w:ascii="Times" w:hAnsi="Times"/>
        </w:rPr>
        <w:instrText xml:space="preserve"> ADDIN ZOTERO_ITEM CSL_CITATION {"citationID":"NAZ0Wc4h","properties":{"formattedCitation":"[211]","plainCitation":"[211]","noteIndex":0},"citationItems":[{"id":13301,"uris":["http://zotero.org/users/9439317/items/A36963IJ"],"itemData":{"id":13301,"type":"article-journal","container-title":"International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1C20E8" w:rsidRPr="00D22AA7">
        <w:rPr>
          <w:rFonts w:ascii="Times" w:hAnsi="Times"/>
        </w:rPr>
        <w:fldChar w:fldCharType="separate"/>
      </w:r>
      <w:r w:rsidR="0056095D">
        <w:rPr>
          <w:rFonts w:ascii="Times" w:hAnsi="Times"/>
          <w:noProof/>
        </w:rPr>
        <w:t>[211]</w:t>
      </w:r>
      <w:r w:rsidR="001C20E8" w:rsidRPr="00D22AA7">
        <w:rPr>
          <w:rFonts w:ascii="Times" w:hAnsi="Times"/>
        </w:rPr>
        <w:fldChar w:fldCharType="end"/>
      </w:r>
      <w:r w:rsidR="69EE438C" w:rsidRPr="00D22AA7">
        <w:rPr>
          <w:rFonts w:ascii="Times" w:hAnsi="Times"/>
        </w:rPr>
        <w:t>.</w:t>
      </w:r>
    </w:p>
    <w:p w14:paraId="38CDEBE8" w14:textId="0483A260" w:rsidR="00A34272" w:rsidRDefault="00A34272" w:rsidP="001C20E8">
      <w:pPr>
        <w:rPr>
          <w:rFonts w:ascii="Times" w:hAnsi="Times"/>
        </w:rPr>
      </w:pPr>
      <w:r w:rsidRPr="00D22AA7">
        <w:rPr>
          <w:rFonts w:ascii="Times" w:hAnsi="Times"/>
        </w:rPr>
        <w:fldChar w:fldCharType="begin"/>
      </w:r>
      <w:r w:rsidRPr="00D22AA7">
        <w:rPr>
          <w:rFonts w:ascii="Times" w:hAnsi="Times"/>
        </w:rPr>
        <w:instrText xml:space="preserve"> INCLUDEPICTURE "https://www.spandidos-publications.com/article_images/ijmm/32/4/IJMM-32-04-0971-g00.jpg" \* MERGEFORMATINET </w:instrText>
      </w:r>
      <w:r w:rsidRPr="00D22AA7">
        <w:rPr>
          <w:rFonts w:ascii="Times" w:hAnsi="Times"/>
        </w:rPr>
        <w:fldChar w:fldCharType="separate"/>
      </w:r>
      <w:r w:rsidRPr="00D22AA7">
        <w:rPr>
          <w:rFonts w:ascii="Times" w:hAnsi="Times"/>
          <w:noProof/>
        </w:rPr>
        <w:drawing>
          <wp:inline distT="0" distB="0" distL="0" distR="0" wp14:anchorId="5B0D886E" wp14:editId="4BC6AF7E">
            <wp:extent cx="5943600" cy="1788160"/>
            <wp:effectExtent l="0" t="0" r="0" b="2540"/>
            <wp:docPr id="929241821" name="Picture 15" descr="A comparison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241821" name="Picture 15" descr="A comparison of a graph&#10;&#10;Description automatically generated"/>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3600" cy="1788160"/>
                    </a:xfrm>
                    <a:prstGeom prst="rect">
                      <a:avLst/>
                    </a:prstGeom>
                    <a:noFill/>
                    <a:ln>
                      <a:noFill/>
                    </a:ln>
                  </pic:spPr>
                </pic:pic>
              </a:graphicData>
            </a:graphic>
          </wp:inline>
        </w:drawing>
      </w:r>
      <w:r w:rsidRPr="00D22AA7">
        <w:rPr>
          <w:rFonts w:ascii="Times" w:hAnsi="Times"/>
        </w:rPr>
        <w:fldChar w:fldCharType="end"/>
      </w:r>
    </w:p>
    <w:p w14:paraId="7A6E5799" w14:textId="0FCDDB18" w:rsidR="00541014" w:rsidRPr="002F78F2" w:rsidRDefault="00541014" w:rsidP="001C20E8">
      <w:pPr>
        <w:rPr>
          <w:rFonts w:ascii="Times" w:hAnsi="Times"/>
          <w:sz w:val="20"/>
          <w:szCs w:val="20"/>
        </w:rPr>
      </w:pPr>
      <w:r w:rsidRPr="002F78F2">
        <w:rPr>
          <w:rFonts w:ascii="Times" w:hAnsi="Times"/>
          <w:b/>
          <w:bCs/>
          <w:sz w:val="20"/>
          <w:szCs w:val="20"/>
        </w:rPr>
        <w:t xml:space="preserve">Figure </w:t>
      </w:r>
      <w:r w:rsidR="000F75FE" w:rsidRPr="002F78F2">
        <w:rPr>
          <w:rFonts w:ascii="Times" w:hAnsi="Times"/>
          <w:b/>
          <w:bCs/>
          <w:sz w:val="20"/>
          <w:szCs w:val="20"/>
        </w:rPr>
        <w:t>39</w:t>
      </w:r>
      <w:r w:rsidRPr="002F78F2">
        <w:rPr>
          <w:rFonts w:ascii="Times" w:hAnsi="Times"/>
          <w:b/>
          <w:bCs/>
          <w:sz w:val="20"/>
          <w:szCs w:val="20"/>
        </w:rPr>
        <w:t>.</w:t>
      </w:r>
      <w:r w:rsidRPr="002F78F2">
        <w:rPr>
          <w:rFonts w:ascii="Times" w:hAnsi="Times"/>
          <w:sz w:val="20"/>
          <w:szCs w:val="20"/>
        </w:rPr>
        <w:t xml:space="preserve"> </w:t>
      </w:r>
      <w:r w:rsidR="008E4B42" w:rsidRPr="002F78F2">
        <w:rPr>
          <w:rFonts w:ascii="Times" w:hAnsi="Times"/>
          <w:b/>
          <w:bCs/>
          <w:sz w:val="20"/>
          <w:szCs w:val="20"/>
        </w:rPr>
        <w:t>(A)</w:t>
      </w:r>
      <w:r w:rsidR="008E4B42" w:rsidRPr="002F78F2">
        <w:rPr>
          <w:rFonts w:ascii="Times" w:hAnsi="Times"/>
          <w:sz w:val="20"/>
          <w:szCs w:val="20"/>
        </w:rPr>
        <w:t xml:space="preserve"> To evaluate the effects of kaempferol on IL-1β-induced RASF proliferation, kaempferol (100 μM) was added to RASF cultures with or without IL-1β (1.0 ng/ml) for 3 days, and a CCK-8 assay was performed. Kaempferol significantly inhibited IL-1β-induced proliferation of RASFs after 2–3 days of culture (P&lt;0.05). *P&lt;0.05 vs. no IL-1β and kaempferol (control), #P&lt;0.05 vs. IL-1β without kaempferol.</w:t>
      </w:r>
      <w:r w:rsidR="00641085" w:rsidRPr="002F78F2">
        <w:rPr>
          <w:rFonts w:ascii="Times" w:hAnsi="Times"/>
          <w:sz w:val="20"/>
          <w:szCs w:val="20"/>
        </w:rPr>
        <w:t xml:space="preserve"> </w:t>
      </w:r>
      <w:r w:rsidR="008E4B42" w:rsidRPr="002F78F2">
        <w:rPr>
          <w:rFonts w:ascii="Times" w:hAnsi="Times"/>
          <w:b/>
          <w:bCs/>
          <w:sz w:val="20"/>
          <w:szCs w:val="20"/>
        </w:rPr>
        <w:t>(B)</w:t>
      </w:r>
      <w:r w:rsidR="008E4B42" w:rsidRPr="002F78F2">
        <w:rPr>
          <w:rFonts w:ascii="Times" w:hAnsi="Times"/>
          <w:sz w:val="20"/>
          <w:szCs w:val="20"/>
        </w:rPr>
        <w:t xml:space="preserve"> To determine the dose-dependent effects of kaempferol on IL-1β-induced RASF proliferation, varying doses of kaempferol (10, 50, 100, and 200 μM) were added to RASF cultures with IL-1β (1.0 ng/ml) for 2 days, and a CCK-8 assay was performed. Kaempferol inhibited IL-1β-induced proliferation of RASFs in a dose-dependent manner</w:t>
      </w:r>
      <w:r w:rsidR="00641085" w:rsidRPr="002F78F2">
        <w:rPr>
          <w:rFonts w:ascii="Times" w:hAnsi="Times"/>
          <w:sz w:val="20"/>
          <w:szCs w:val="20"/>
        </w:rPr>
        <w:t xml:space="preserve"> </w:t>
      </w:r>
      <w:r w:rsidR="0064610C" w:rsidRPr="002F78F2">
        <w:rPr>
          <w:rFonts w:ascii="Times" w:hAnsi="Times"/>
          <w:sz w:val="20"/>
          <w:szCs w:val="20"/>
        </w:rPr>
        <w:fldChar w:fldCharType="begin"/>
      </w:r>
      <w:r w:rsidR="0056095D">
        <w:rPr>
          <w:rFonts w:ascii="Times" w:hAnsi="Times"/>
          <w:sz w:val="20"/>
          <w:szCs w:val="20"/>
        </w:rPr>
        <w:instrText xml:space="preserve"> ADDIN ZOTERO_ITEM CSL_CITATION {"citationID":"FpofL4j3","properties":{"formattedCitation":"[211]","plainCitation":"[211]","noteIndex":0},"citationItems":[{"id":13301,"uris":["http://zotero.org/users/9439317/items/A36963IJ"],"itemData":{"id":13301,"type":"article-journal","container-title":"International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64610C" w:rsidRPr="002F78F2">
        <w:rPr>
          <w:rFonts w:ascii="Times" w:hAnsi="Times"/>
          <w:sz w:val="20"/>
          <w:szCs w:val="20"/>
        </w:rPr>
        <w:fldChar w:fldCharType="separate"/>
      </w:r>
      <w:r w:rsidR="0056095D">
        <w:rPr>
          <w:rFonts w:ascii="Times" w:hAnsi="Times"/>
          <w:noProof/>
          <w:sz w:val="20"/>
          <w:szCs w:val="20"/>
        </w:rPr>
        <w:t>[211]</w:t>
      </w:r>
      <w:r w:rsidR="0064610C" w:rsidRPr="002F78F2">
        <w:rPr>
          <w:rFonts w:ascii="Times" w:hAnsi="Times"/>
          <w:sz w:val="20"/>
          <w:szCs w:val="20"/>
        </w:rPr>
        <w:fldChar w:fldCharType="end"/>
      </w:r>
      <w:r w:rsidR="0064610C" w:rsidRPr="002F78F2">
        <w:rPr>
          <w:rFonts w:ascii="Times" w:hAnsi="Times"/>
          <w:sz w:val="20"/>
          <w:szCs w:val="20"/>
        </w:rPr>
        <w:t>.</w:t>
      </w:r>
    </w:p>
    <w:p w14:paraId="17CC6C45" w14:textId="64B504FB" w:rsidR="00A34272" w:rsidRDefault="00A34272" w:rsidP="001C20E8">
      <w:pPr>
        <w:rPr>
          <w:rFonts w:ascii="Times" w:hAnsi="Times"/>
        </w:rPr>
      </w:pPr>
      <w:r w:rsidRPr="00D22AA7">
        <w:rPr>
          <w:rFonts w:ascii="Times" w:hAnsi="Times"/>
        </w:rPr>
        <w:lastRenderedPageBreak/>
        <w:fldChar w:fldCharType="begin"/>
      </w:r>
      <w:r w:rsidRPr="00D22AA7">
        <w:rPr>
          <w:rFonts w:ascii="Times" w:hAnsi="Times"/>
        </w:rPr>
        <w:instrText xml:space="preserve"> INCLUDEPICTURE "https://www.spandidos-publications.com/article_images/ijmm/32/4/IJMM-32-04-0971-g01.jpg" \* MERGEFORMATINET </w:instrText>
      </w:r>
      <w:r w:rsidRPr="00D22AA7">
        <w:rPr>
          <w:rFonts w:ascii="Times" w:hAnsi="Times"/>
        </w:rPr>
        <w:fldChar w:fldCharType="separate"/>
      </w:r>
      <w:r w:rsidRPr="00D22AA7">
        <w:rPr>
          <w:rFonts w:ascii="Times" w:hAnsi="Times"/>
          <w:noProof/>
        </w:rPr>
        <w:drawing>
          <wp:inline distT="0" distB="0" distL="0" distR="0" wp14:anchorId="34A31BD0" wp14:editId="2FDCFC45">
            <wp:extent cx="5943600" cy="1405890"/>
            <wp:effectExtent l="0" t="0" r="0" b="3810"/>
            <wp:docPr id="690584409" name="Picture 16" descr="A diagram of a cell&#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584409" name="Picture 16" descr="A diagram of a cell&#10;&#10;Description automatically generated with medium confidence"/>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3600" cy="1405890"/>
                    </a:xfrm>
                    <a:prstGeom prst="rect">
                      <a:avLst/>
                    </a:prstGeom>
                    <a:noFill/>
                    <a:ln>
                      <a:noFill/>
                    </a:ln>
                  </pic:spPr>
                </pic:pic>
              </a:graphicData>
            </a:graphic>
          </wp:inline>
        </w:drawing>
      </w:r>
      <w:r w:rsidRPr="00D22AA7">
        <w:rPr>
          <w:rFonts w:ascii="Times" w:hAnsi="Times"/>
        </w:rPr>
        <w:fldChar w:fldCharType="end"/>
      </w:r>
    </w:p>
    <w:p w14:paraId="39556F9D" w14:textId="77777777" w:rsidR="00557D2B" w:rsidRDefault="00557D2B" w:rsidP="001C20E8">
      <w:pPr>
        <w:rPr>
          <w:rFonts w:ascii="Times" w:hAnsi="Times"/>
        </w:rPr>
      </w:pPr>
    </w:p>
    <w:p w14:paraId="05B72368" w14:textId="0A79DDB9" w:rsidR="00541014" w:rsidRPr="00557D2B" w:rsidRDefault="00541014" w:rsidP="001C20E8">
      <w:pPr>
        <w:rPr>
          <w:rFonts w:ascii="Times" w:hAnsi="Times"/>
          <w:sz w:val="20"/>
          <w:szCs w:val="20"/>
        </w:rPr>
      </w:pPr>
      <w:r w:rsidRPr="00557D2B">
        <w:rPr>
          <w:rFonts w:ascii="Times" w:hAnsi="Times"/>
          <w:b/>
          <w:bCs/>
          <w:sz w:val="20"/>
          <w:szCs w:val="20"/>
        </w:rPr>
        <w:t xml:space="preserve">Figure </w:t>
      </w:r>
      <w:r w:rsidR="000F75FE" w:rsidRPr="00557D2B">
        <w:rPr>
          <w:rFonts w:ascii="Times" w:hAnsi="Times"/>
          <w:b/>
          <w:bCs/>
          <w:sz w:val="20"/>
          <w:szCs w:val="20"/>
        </w:rPr>
        <w:t>40</w:t>
      </w:r>
      <w:r w:rsidRPr="00557D2B">
        <w:rPr>
          <w:rFonts w:ascii="Times" w:hAnsi="Times"/>
          <w:b/>
          <w:bCs/>
          <w:sz w:val="20"/>
          <w:szCs w:val="20"/>
        </w:rPr>
        <w:t>.</w:t>
      </w:r>
      <w:r w:rsidRPr="00557D2B">
        <w:rPr>
          <w:rFonts w:ascii="Times" w:hAnsi="Times"/>
          <w:sz w:val="20"/>
          <w:szCs w:val="20"/>
        </w:rPr>
        <w:t xml:space="preserve"> </w:t>
      </w:r>
      <w:r w:rsidR="008E4B42" w:rsidRPr="00557D2B">
        <w:rPr>
          <w:rFonts w:ascii="Times" w:hAnsi="Times"/>
          <w:sz w:val="20"/>
          <w:szCs w:val="20"/>
        </w:rPr>
        <w:t xml:space="preserve"> To investigate the cause of the decreased proliferation induced by kaempferol, its effects on RASF apoptosis were assessed by flow cytometry. RASFs (1×10</w:t>
      </w:r>
      <w:r w:rsidR="008E4B42" w:rsidRPr="00557D2B">
        <w:rPr>
          <w:rFonts w:ascii="Cambria Math" w:hAnsi="Cambria Math" w:cs="Cambria Math"/>
          <w:sz w:val="20"/>
          <w:szCs w:val="20"/>
        </w:rPr>
        <w:t>⁵</w:t>
      </w:r>
      <w:r w:rsidR="008E4B42" w:rsidRPr="00557D2B">
        <w:rPr>
          <w:rFonts w:ascii="Times" w:hAnsi="Times"/>
          <w:sz w:val="20"/>
          <w:szCs w:val="20"/>
        </w:rPr>
        <w:t>) were cultured in 33-mm dishes in DMEM with DMSO, with or without kaempferol (100 μM). After 24 hours of culture, the cells were stained with Annexin V and propidium iodide (PI) and analyzed by flow cytometry. Kaempferol significantly increased the apoptosis of RASFs compared to control cells cultured in DMSO without kaempferol</w:t>
      </w:r>
      <w:r w:rsidR="00641085" w:rsidRPr="00557D2B">
        <w:rPr>
          <w:rFonts w:ascii="Times" w:hAnsi="Times"/>
          <w:sz w:val="20"/>
          <w:szCs w:val="20"/>
        </w:rPr>
        <w:t xml:space="preserve"> </w:t>
      </w:r>
      <w:r w:rsidR="0064610C" w:rsidRPr="00557D2B">
        <w:rPr>
          <w:rFonts w:ascii="Times" w:hAnsi="Times"/>
          <w:sz w:val="20"/>
          <w:szCs w:val="20"/>
        </w:rPr>
        <w:fldChar w:fldCharType="begin"/>
      </w:r>
      <w:r w:rsidR="0056095D">
        <w:rPr>
          <w:rFonts w:ascii="Times" w:hAnsi="Times"/>
          <w:sz w:val="20"/>
          <w:szCs w:val="20"/>
        </w:rPr>
        <w:instrText xml:space="preserve"> ADDIN ZOTERO_ITEM CSL_CITATION {"citationID":"zsTesA3K","properties":{"formattedCitation":"[211]","plainCitation":"[211]","noteIndex":0},"citationItems":[{"id":13301,"uris":["http://zotero.org/users/9439317/items/A36963IJ"],"itemData":{"id":13301,"type":"article-journal","container-title":"International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64610C" w:rsidRPr="00557D2B">
        <w:rPr>
          <w:rFonts w:ascii="Times" w:hAnsi="Times"/>
          <w:sz w:val="20"/>
          <w:szCs w:val="20"/>
        </w:rPr>
        <w:fldChar w:fldCharType="separate"/>
      </w:r>
      <w:r w:rsidR="0056095D">
        <w:rPr>
          <w:rFonts w:ascii="Times" w:hAnsi="Times"/>
          <w:noProof/>
          <w:sz w:val="20"/>
          <w:szCs w:val="20"/>
        </w:rPr>
        <w:t>[211]</w:t>
      </w:r>
      <w:r w:rsidR="0064610C" w:rsidRPr="00557D2B">
        <w:rPr>
          <w:rFonts w:ascii="Times" w:hAnsi="Times"/>
          <w:sz w:val="20"/>
          <w:szCs w:val="20"/>
        </w:rPr>
        <w:fldChar w:fldCharType="end"/>
      </w:r>
      <w:r w:rsidR="0064610C" w:rsidRPr="00557D2B">
        <w:rPr>
          <w:rFonts w:ascii="Times" w:hAnsi="Times"/>
          <w:sz w:val="20"/>
          <w:szCs w:val="20"/>
        </w:rPr>
        <w:t>.</w:t>
      </w:r>
    </w:p>
    <w:p w14:paraId="5AD94E2B" w14:textId="37564E45" w:rsidR="00A34272" w:rsidRDefault="00894E95" w:rsidP="001C20E8">
      <w:pPr>
        <w:rPr>
          <w:rFonts w:ascii="Times" w:hAnsi="Times"/>
        </w:rPr>
      </w:pPr>
      <w:r>
        <w:rPr>
          <w:rFonts w:ascii="Times" w:hAnsi="Times"/>
        </w:rPr>
        <w:t xml:space="preserve">        </w:t>
      </w:r>
      <w:r w:rsidR="00A34272" w:rsidRPr="00D22AA7">
        <w:rPr>
          <w:rFonts w:ascii="Times" w:hAnsi="Times"/>
        </w:rPr>
        <w:fldChar w:fldCharType="begin"/>
      </w:r>
      <w:r w:rsidR="00A34272" w:rsidRPr="00D22AA7">
        <w:rPr>
          <w:rFonts w:ascii="Times" w:hAnsi="Times"/>
        </w:rPr>
        <w:instrText xml:space="preserve"> INCLUDEPICTURE "https://www.spandidos-publications.com/article_images/ijmm/32/4/IJMM-32-04-0971-g02.jpg" \* MERGEFORMATINET </w:instrText>
      </w:r>
      <w:r w:rsidR="00A34272" w:rsidRPr="00D22AA7">
        <w:rPr>
          <w:rFonts w:ascii="Times" w:hAnsi="Times"/>
        </w:rPr>
        <w:fldChar w:fldCharType="separate"/>
      </w:r>
      <w:r w:rsidR="00A34272" w:rsidRPr="00D22AA7">
        <w:rPr>
          <w:rFonts w:ascii="Times" w:hAnsi="Times"/>
          <w:noProof/>
        </w:rPr>
        <w:drawing>
          <wp:inline distT="0" distB="0" distL="0" distR="0" wp14:anchorId="3A34A88F" wp14:editId="682007ED">
            <wp:extent cx="5857642" cy="4124131"/>
            <wp:effectExtent l="0" t="0" r="0" b="3810"/>
            <wp:docPr id="1125610257" name="Picture 17" descr="A close-up of several images of different types of ce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10257" name="Picture 17" descr="A close-up of several images of different types of cells&#10;&#10;Description automatically generated"/>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12963" cy="4163080"/>
                    </a:xfrm>
                    <a:prstGeom prst="rect">
                      <a:avLst/>
                    </a:prstGeom>
                    <a:noFill/>
                    <a:ln>
                      <a:noFill/>
                    </a:ln>
                  </pic:spPr>
                </pic:pic>
              </a:graphicData>
            </a:graphic>
          </wp:inline>
        </w:drawing>
      </w:r>
      <w:r w:rsidR="00A34272" w:rsidRPr="00D22AA7">
        <w:rPr>
          <w:rFonts w:ascii="Times" w:hAnsi="Times"/>
        </w:rPr>
        <w:fldChar w:fldCharType="end"/>
      </w:r>
    </w:p>
    <w:p w14:paraId="34340681" w14:textId="77777777" w:rsidR="00557D2B" w:rsidRDefault="00557D2B" w:rsidP="001C20E8">
      <w:pPr>
        <w:rPr>
          <w:rFonts w:ascii="Times" w:hAnsi="Times"/>
        </w:rPr>
      </w:pPr>
    </w:p>
    <w:p w14:paraId="06B69BA4" w14:textId="035BD8A0" w:rsidR="00541014" w:rsidRPr="00557D2B" w:rsidRDefault="00541014" w:rsidP="001C20E8">
      <w:pPr>
        <w:rPr>
          <w:rFonts w:ascii="Times" w:hAnsi="Times"/>
          <w:sz w:val="20"/>
          <w:szCs w:val="20"/>
        </w:rPr>
      </w:pPr>
      <w:r w:rsidRPr="00557D2B">
        <w:rPr>
          <w:rFonts w:ascii="Times" w:hAnsi="Times"/>
          <w:b/>
          <w:bCs/>
          <w:sz w:val="20"/>
          <w:szCs w:val="20"/>
        </w:rPr>
        <w:t>Figure 4</w:t>
      </w:r>
      <w:r w:rsidR="000F75FE" w:rsidRPr="00557D2B">
        <w:rPr>
          <w:rFonts w:ascii="Times" w:hAnsi="Times"/>
          <w:b/>
          <w:bCs/>
          <w:sz w:val="20"/>
          <w:szCs w:val="20"/>
        </w:rPr>
        <w:t>1</w:t>
      </w:r>
      <w:r w:rsidR="008E4B42" w:rsidRPr="00557D2B">
        <w:rPr>
          <w:rFonts w:ascii="Times" w:hAnsi="Times"/>
          <w:b/>
          <w:bCs/>
          <w:sz w:val="20"/>
          <w:szCs w:val="20"/>
        </w:rPr>
        <w:t>.</w:t>
      </w:r>
      <w:r w:rsidR="008E4B42" w:rsidRPr="00557D2B">
        <w:rPr>
          <w:rFonts w:ascii="Times" w:hAnsi="Times"/>
          <w:sz w:val="20"/>
          <w:szCs w:val="20"/>
        </w:rPr>
        <w:t xml:space="preserve"> Kaempferol Inhibits Interleukin-1β (IL-1β)-Induced Production of Matrix Metalloproteinases (MMPs) and Cyclooxygenase (COX)-2 in Rheumatoid Arthritis Synovial Fibroblasts (RASFs)</w:t>
      </w:r>
      <w:r w:rsidR="00641085" w:rsidRPr="00557D2B">
        <w:rPr>
          <w:rFonts w:ascii="Times" w:hAnsi="Times"/>
          <w:sz w:val="20"/>
          <w:szCs w:val="20"/>
        </w:rPr>
        <w:t xml:space="preserve">. </w:t>
      </w:r>
      <w:r w:rsidR="008E4B42" w:rsidRPr="00557D2B">
        <w:rPr>
          <w:rFonts w:ascii="Times" w:hAnsi="Times"/>
          <w:sz w:val="20"/>
          <w:szCs w:val="20"/>
        </w:rPr>
        <w:t>To assess the mRNA and protein expression of MMP-1, MMP-3, TIMP-1, COX-1, and COX-2, RASFs (1×10</w:t>
      </w:r>
      <w:r w:rsidR="008E4B42" w:rsidRPr="00557D2B">
        <w:rPr>
          <w:rFonts w:ascii="Cambria Math" w:hAnsi="Cambria Math" w:cs="Cambria Math"/>
          <w:sz w:val="20"/>
          <w:szCs w:val="20"/>
        </w:rPr>
        <w:t>⁶</w:t>
      </w:r>
      <w:r w:rsidR="008E4B42" w:rsidRPr="00557D2B">
        <w:rPr>
          <w:rFonts w:ascii="Times" w:hAnsi="Times"/>
          <w:sz w:val="20"/>
          <w:szCs w:val="20"/>
        </w:rPr>
        <w:t xml:space="preserve"> cells) were cultured for 2 days with or without IL-1β (1.0 ng/ml) and kaempferol (100 μM). RNA and protein were extracted from the RASFs and analyzed by:</w:t>
      </w:r>
      <w:r w:rsidR="00641085" w:rsidRPr="00557D2B">
        <w:rPr>
          <w:rFonts w:ascii="Times" w:hAnsi="Times"/>
          <w:sz w:val="20"/>
          <w:szCs w:val="20"/>
        </w:rPr>
        <w:t xml:space="preserve"> </w:t>
      </w:r>
      <w:r w:rsidR="008E4B42" w:rsidRPr="00557D2B">
        <w:rPr>
          <w:rFonts w:ascii="Times" w:hAnsi="Times"/>
          <w:b/>
          <w:bCs/>
          <w:sz w:val="20"/>
          <w:szCs w:val="20"/>
        </w:rPr>
        <w:t>(A)</w:t>
      </w:r>
      <w:r w:rsidR="008E4B42" w:rsidRPr="00557D2B">
        <w:rPr>
          <w:rFonts w:ascii="Times" w:hAnsi="Times"/>
          <w:sz w:val="20"/>
          <w:szCs w:val="20"/>
        </w:rPr>
        <w:t xml:space="preserve"> RT-PCR and</w:t>
      </w:r>
      <w:r w:rsidR="00641085" w:rsidRPr="00557D2B">
        <w:rPr>
          <w:rFonts w:ascii="Times" w:hAnsi="Times"/>
          <w:sz w:val="20"/>
          <w:szCs w:val="20"/>
        </w:rPr>
        <w:t xml:space="preserve"> </w:t>
      </w:r>
      <w:r w:rsidR="008E4B42" w:rsidRPr="00557D2B">
        <w:rPr>
          <w:rFonts w:ascii="Times" w:hAnsi="Times"/>
          <w:b/>
          <w:bCs/>
          <w:sz w:val="20"/>
          <w:szCs w:val="20"/>
        </w:rPr>
        <w:t>(B)</w:t>
      </w:r>
      <w:r w:rsidR="008E4B42" w:rsidRPr="00557D2B">
        <w:rPr>
          <w:rFonts w:ascii="Times" w:hAnsi="Times"/>
          <w:sz w:val="20"/>
          <w:szCs w:val="20"/>
        </w:rPr>
        <w:t xml:space="preserve"> Western blot analysis.</w:t>
      </w:r>
      <w:r w:rsidR="00894E95" w:rsidRPr="00557D2B">
        <w:rPr>
          <w:rFonts w:ascii="Times" w:hAnsi="Times"/>
          <w:sz w:val="20"/>
          <w:szCs w:val="20"/>
        </w:rPr>
        <w:t xml:space="preserve"> </w:t>
      </w:r>
      <w:r w:rsidR="008E4B42" w:rsidRPr="00557D2B">
        <w:rPr>
          <w:rFonts w:ascii="Times" w:hAnsi="Times"/>
          <w:sz w:val="20"/>
          <w:szCs w:val="20"/>
        </w:rPr>
        <w:t>IL-1β enhanced the protein expression of MMP-1, MMP-3, TIMP-1, and COX-2 compared to cells cultured without IL-1β. Kaempferol inhibited the IL-1β-induced protein expression of MMP-1, MMP-3, and COX-2</w:t>
      </w:r>
      <w:r w:rsidR="00641085" w:rsidRPr="00557D2B">
        <w:rPr>
          <w:rFonts w:ascii="Times" w:hAnsi="Times"/>
          <w:sz w:val="20"/>
          <w:szCs w:val="20"/>
        </w:rPr>
        <w:t xml:space="preserve"> </w:t>
      </w:r>
      <w:r w:rsidR="0064610C" w:rsidRPr="00557D2B">
        <w:rPr>
          <w:rFonts w:ascii="Times" w:hAnsi="Times"/>
          <w:sz w:val="20"/>
          <w:szCs w:val="20"/>
        </w:rPr>
        <w:fldChar w:fldCharType="begin"/>
      </w:r>
      <w:r w:rsidR="0056095D">
        <w:rPr>
          <w:rFonts w:ascii="Times" w:hAnsi="Times"/>
          <w:sz w:val="20"/>
          <w:szCs w:val="20"/>
        </w:rPr>
        <w:instrText xml:space="preserve"> ADDIN ZOTERO_ITEM CSL_CITATION {"citationID":"8haaPVTN","properties":{"formattedCitation":"[211]","plainCitation":"[211]","noteIndex":0},"citationItems":[{"id":13301,"uris":["http://zotero.org/users/9439317/items/A36963IJ"],"itemData":{"id":13301,"type":"article-journal","container-title":"International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64610C" w:rsidRPr="00557D2B">
        <w:rPr>
          <w:rFonts w:ascii="Times" w:hAnsi="Times"/>
          <w:sz w:val="20"/>
          <w:szCs w:val="20"/>
        </w:rPr>
        <w:fldChar w:fldCharType="separate"/>
      </w:r>
      <w:r w:rsidR="0056095D">
        <w:rPr>
          <w:rFonts w:ascii="Times" w:hAnsi="Times"/>
          <w:noProof/>
          <w:sz w:val="20"/>
          <w:szCs w:val="20"/>
        </w:rPr>
        <w:t>[211]</w:t>
      </w:r>
      <w:r w:rsidR="0064610C" w:rsidRPr="00557D2B">
        <w:rPr>
          <w:rFonts w:ascii="Times" w:hAnsi="Times"/>
          <w:sz w:val="20"/>
          <w:szCs w:val="20"/>
        </w:rPr>
        <w:fldChar w:fldCharType="end"/>
      </w:r>
      <w:r w:rsidR="0064610C" w:rsidRPr="00557D2B">
        <w:rPr>
          <w:rFonts w:ascii="Times" w:hAnsi="Times"/>
          <w:sz w:val="20"/>
          <w:szCs w:val="20"/>
        </w:rPr>
        <w:t>.</w:t>
      </w:r>
    </w:p>
    <w:p w14:paraId="0D30889B" w14:textId="652D20EE" w:rsidR="00A34272" w:rsidRDefault="00894E95" w:rsidP="001C20E8">
      <w:pPr>
        <w:rPr>
          <w:rFonts w:ascii="Times" w:hAnsi="Times"/>
        </w:rPr>
      </w:pPr>
      <w:r>
        <w:rPr>
          <w:rFonts w:ascii="Times" w:hAnsi="Times"/>
        </w:rPr>
        <w:lastRenderedPageBreak/>
        <w:t xml:space="preserve">                      </w:t>
      </w:r>
      <w:r w:rsidR="00A34272" w:rsidRPr="00D22AA7">
        <w:rPr>
          <w:rFonts w:ascii="Times" w:hAnsi="Times"/>
        </w:rPr>
        <w:fldChar w:fldCharType="begin"/>
      </w:r>
      <w:r w:rsidR="00A34272" w:rsidRPr="00D22AA7">
        <w:rPr>
          <w:rFonts w:ascii="Times" w:hAnsi="Times"/>
        </w:rPr>
        <w:instrText xml:space="preserve"> INCLUDEPICTURE "https://www.spandidos-publications.com/article_images/ijmm/32/4/IJMM-32-04-0971-g03.jpg" \* MERGEFORMATINET </w:instrText>
      </w:r>
      <w:r w:rsidR="00A34272" w:rsidRPr="00D22AA7">
        <w:rPr>
          <w:rFonts w:ascii="Times" w:hAnsi="Times"/>
        </w:rPr>
        <w:fldChar w:fldCharType="separate"/>
      </w:r>
      <w:r w:rsidR="00A34272" w:rsidRPr="00D22AA7">
        <w:rPr>
          <w:rFonts w:ascii="Times" w:hAnsi="Times"/>
          <w:noProof/>
        </w:rPr>
        <w:drawing>
          <wp:inline distT="0" distB="0" distL="0" distR="0" wp14:anchorId="51C0A5E7" wp14:editId="5E9A7FA7">
            <wp:extent cx="3247053" cy="1819876"/>
            <wp:effectExtent l="0" t="0" r="4445" b="0"/>
            <wp:docPr id="1264434610" name="Picture 18" descr="A graph of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434610" name="Picture 18" descr="A graph of a number of patients&#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320785" cy="1861201"/>
                    </a:xfrm>
                    <a:prstGeom prst="rect">
                      <a:avLst/>
                    </a:prstGeom>
                    <a:noFill/>
                    <a:ln>
                      <a:noFill/>
                    </a:ln>
                  </pic:spPr>
                </pic:pic>
              </a:graphicData>
            </a:graphic>
          </wp:inline>
        </w:drawing>
      </w:r>
      <w:r w:rsidR="00A34272" w:rsidRPr="00D22AA7">
        <w:rPr>
          <w:rFonts w:ascii="Times" w:hAnsi="Times"/>
        </w:rPr>
        <w:fldChar w:fldCharType="end"/>
      </w:r>
    </w:p>
    <w:p w14:paraId="1837E2C4" w14:textId="54789CFB" w:rsidR="00541014" w:rsidRPr="00557D2B" w:rsidRDefault="00541014" w:rsidP="00557D2B">
      <w:pPr>
        <w:jc w:val="both"/>
        <w:rPr>
          <w:rFonts w:ascii="Times" w:hAnsi="Times"/>
          <w:sz w:val="20"/>
          <w:szCs w:val="20"/>
        </w:rPr>
      </w:pPr>
      <w:r w:rsidRPr="00557D2B">
        <w:rPr>
          <w:rFonts w:ascii="Times" w:hAnsi="Times"/>
          <w:b/>
          <w:bCs/>
          <w:sz w:val="20"/>
          <w:szCs w:val="20"/>
        </w:rPr>
        <w:t>Figure 4</w:t>
      </w:r>
      <w:r w:rsidR="000F75FE" w:rsidRPr="00557D2B">
        <w:rPr>
          <w:rFonts w:ascii="Times" w:hAnsi="Times"/>
          <w:b/>
          <w:bCs/>
          <w:sz w:val="20"/>
          <w:szCs w:val="20"/>
        </w:rPr>
        <w:t>2</w:t>
      </w:r>
      <w:r w:rsidRPr="00557D2B">
        <w:rPr>
          <w:rFonts w:ascii="Times" w:hAnsi="Times"/>
          <w:b/>
          <w:bCs/>
          <w:sz w:val="20"/>
          <w:szCs w:val="20"/>
        </w:rPr>
        <w:t>.</w:t>
      </w:r>
      <w:r w:rsidR="008E4B42" w:rsidRPr="00557D2B">
        <w:rPr>
          <w:b/>
          <w:bCs/>
          <w:sz w:val="20"/>
          <w:szCs w:val="20"/>
        </w:rPr>
        <w:t xml:space="preserve"> </w:t>
      </w:r>
      <w:r w:rsidR="008E4B42" w:rsidRPr="00557D2B">
        <w:rPr>
          <w:rFonts w:ascii="Times" w:hAnsi="Times"/>
          <w:sz w:val="20"/>
          <w:szCs w:val="20"/>
        </w:rPr>
        <w:t>Kaempferol Inhibits Prostaglandin E2 (PGE2) Production in Rheumatoid Arthritis Synovial Fibroblasts (RASFs)</w:t>
      </w:r>
      <w:r w:rsidR="00641085" w:rsidRPr="00557D2B">
        <w:rPr>
          <w:rFonts w:ascii="Times" w:hAnsi="Times"/>
          <w:sz w:val="20"/>
          <w:szCs w:val="20"/>
        </w:rPr>
        <w:t xml:space="preserve"> </w:t>
      </w:r>
      <w:r w:rsidR="008E4B42" w:rsidRPr="00557D2B">
        <w:rPr>
          <w:rFonts w:ascii="Times" w:hAnsi="Times"/>
          <w:sz w:val="20"/>
          <w:szCs w:val="20"/>
        </w:rPr>
        <w:t>RASFs (1×10</w:t>
      </w:r>
      <w:r w:rsidR="008E4B42" w:rsidRPr="00557D2B">
        <w:rPr>
          <w:rFonts w:ascii="Cambria Math" w:hAnsi="Cambria Math" w:cs="Cambria Math"/>
          <w:sz w:val="20"/>
          <w:szCs w:val="20"/>
        </w:rPr>
        <w:t>⁴</w:t>
      </w:r>
      <w:r w:rsidR="008E4B42" w:rsidRPr="00557D2B">
        <w:rPr>
          <w:rFonts w:ascii="Times" w:hAnsi="Times"/>
          <w:sz w:val="20"/>
          <w:szCs w:val="20"/>
        </w:rPr>
        <w:t xml:space="preserve"> cells) were cultured in 25 cm² tissue-culture flasks for 48 hours, with serum starvation overnight prior to stimulation. RASFs were treated for 2 days with or without interleukin (IL)-1β (1.0 ng/ml) and kaempferol (100 μM).</w:t>
      </w:r>
      <w:r w:rsidR="00557D2B">
        <w:rPr>
          <w:rFonts w:ascii="Times" w:hAnsi="Times"/>
          <w:sz w:val="20"/>
          <w:szCs w:val="20"/>
        </w:rPr>
        <w:t xml:space="preserve"> </w:t>
      </w:r>
      <w:r w:rsidR="008E4B42" w:rsidRPr="00557D2B">
        <w:rPr>
          <w:rFonts w:ascii="Times" w:hAnsi="Times"/>
          <w:sz w:val="20"/>
          <w:szCs w:val="20"/>
        </w:rPr>
        <w:t>The production of PGE2 by RASFs was evaluated using ELISA. IL-1β-induced PGE2 production was significantly inhibited by kaempferol</w:t>
      </w:r>
      <w:r w:rsidR="00641085" w:rsidRPr="00557D2B">
        <w:rPr>
          <w:rFonts w:ascii="Times" w:hAnsi="Times"/>
          <w:sz w:val="20"/>
          <w:szCs w:val="20"/>
        </w:rPr>
        <w:t xml:space="preserve"> </w:t>
      </w:r>
      <w:r w:rsidR="0064610C" w:rsidRPr="00557D2B">
        <w:rPr>
          <w:rFonts w:ascii="Times" w:hAnsi="Times"/>
          <w:sz w:val="20"/>
          <w:szCs w:val="20"/>
        </w:rPr>
        <w:fldChar w:fldCharType="begin"/>
      </w:r>
      <w:r w:rsidR="0056095D">
        <w:rPr>
          <w:rFonts w:ascii="Times" w:hAnsi="Times"/>
          <w:sz w:val="20"/>
          <w:szCs w:val="20"/>
        </w:rPr>
        <w:instrText xml:space="preserve"> ADDIN ZOTERO_ITEM CSL_CITATION {"citationID":"sta7FV70","properties":{"formattedCitation":"[211]","plainCitation":"[211]","noteIndex":0},"citationItems":[{"id":13301,"uris":["http://zotero.org/users/9439317/items/A36963IJ"],"itemData":{"id":13301,"type":"article-journal","container-title":"International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64610C" w:rsidRPr="00557D2B">
        <w:rPr>
          <w:rFonts w:ascii="Times" w:hAnsi="Times"/>
          <w:sz w:val="20"/>
          <w:szCs w:val="20"/>
        </w:rPr>
        <w:fldChar w:fldCharType="separate"/>
      </w:r>
      <w:r w:rsidR="0056095D">
        <w:rPr>
          <w:rFonts w:ascii="Times" w:hAnsi="Times"/>
          <w:noProof/>
          <w:sz w:val="20"/>
          <w:szCs w:val="20"/>
        </w:rPr>
        <w:t>[211]</w:t>
      </w:r>
      <w:r w:rsidR="0064610C" w:rsidRPr="00557D2B">
        <w:rPr>
          <w:rFonts w:ascii="Times" w:hAnsi="Times"/>
          <w:sz w:val="20"/>
          <w:szCs w:val="20"/>
        </w:rPr>
        <w:fldChar w:fldCharType="end"/>
      </w:r>
      <w:r w:rsidR="0064610C" w:rsidRPr="00557D2B">
        <w:rPr>
          <w:rFonts w:ascii="Times" w:hAnsi="Times"/>
          <w:sz w:val="20"/>
          <w:szCs w:val="20"/>
        </w:rPr>
        <w:t>.</w:t>
      </w:r>
    </w:p>
    <w:p w14:paraId="706FDF63" w14:textId="77777777" w:rsidR="00894E95" w:rsidRPr="00894E95" w:rsidRDefault="00894E95" w:rsidP="001C20E8">
      <w:pPr>
        <w:rPr>
          <w:rFonts w:ascii="Times" w:hAnsi="Times"/>
          <w:sz w:val="22"/>
          <w:szCs w:val="22"/>
        </w:rPr>
      </w:pPr>
    </w:p>
    <w:p w14:paraId="2546BFC8" w14:textId="5B44CD58" w:rsidR="00A34272" w:rsidRDefault="00894E95" w:rsidP="001C20E8">
      <w:pPr>
        <w:rPr>
          <w:rFonts w:ascii="Times" w:hAnsi="Times"/>
        </w:rPr>
      </w:pPr>
      <w:r>
        <w:rPr>
          <w:rFonts w:ascii="Times" w:hAnsi="Times"/>
        </w:rPr>
        <w:t xml:space="preserve">                      </w:t>
      </w:r>
      <w:r w:rsidR="00557D2B">
        <w:rPr>
          <w:rFonts w:ascii="Times" w:hAnsi="Times"/>
        </w:rPr>
        <w:t xml:space="preserve">    </w:t>
      </w:r>
      <w:r w:rsidR="00A34272" w:rsidRPr="00D22AA7">
        <w:rPr>
          <w:rFonts w:ascii="Times" w:hAnsi="Times"/>
        </w:rPr>
        <w:fldChar w:fldCharType="begin"/>
      </w:r>
      <w:r w:rsidR="00A34272" w:rsidRPr="00D22AA7">
        <w:rPr>
          <w:rFonts w:ascii="Times" w:hAnsi="Times"/>
        </w:rPr>
        <w:instrText xml:space="preserve"> INCLUDEPICTURE "https://www.spandidos-publications.com/article_images/ijmm/32/4/IJMM-32-04-0971-g04.jpg" \* MERGEFORMATINET </w:instrText>
      </w:r>
      <w:r w:rsidR="00A34272" w:rsidRPr="00D22AA7">
        <w:rPr>
          <w:rFonts w:ascii="Times" w:hAnsi="Times"/>
        </w:rPr>
        <w:fldChar w:fldCharType="separate"/>
      </w:r>
      <w:r w:rsidR="04359BB8" w:rsidRPr="00D22AA7">
        <w:rPr>
          <w:rFonts w:ascii="Times" w:hAnsi="Times"/>
          <w:noProof/>
        </w:rPr>
        <w:drawing>
          <wp:inline distT="0" distB="0" distL="0" distR="0" wp14:anchorId="2A37EC29" wp14:editId="54E0933F">
            <wp:extent cx="4076305" cy="2920481"/>
            <wp:effectExtent l="0" t="0" r="635" b="635"/>
            <wp:docPr id="1212511117" name="Picture 19" descr="A close-up of several images of a number of cel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193686" cy="3004579"/>
                    </a:xfrm>
                    <a:prstGeom prst="rect">
                      <a:avLst/>
                    </a:prstGeom>
                  </pic:spPr>
                </pic:pic>
              </a:graphicData>
            </a:graphic>
          </wp:inline>
        </w:drawing>
      </w:r>
      <w:r w:rsidR="00A34272" w:rsidRPr="00D22AA7">
        <w:rPr>
          <w:rFonts w:ascii="Times" w:hAnsi="Times"/>
        </w:rPr>
        <w:fldChar w:fldCharType="end"/>
      </w:r>
    </w:p>
    <w:p w14:paraId="37139B5F" w14:textId="1F3FD40E" w:rsidR="00541014" w:rsidRDefault="00541014" w:rsidP="00894E95">
      <w:pPr>
        <w:jc w:val="both"/>
        <w:rPr>
          <w:rFonts w:ascii="Times" w:hAnsi="Times"/>
          <w:sz w:val="20"/>
          <w:szCs w:val="20"/>
        </w:rPr>
      </w:pPr>
      <w:r w:rsidRPr="00557D2B">
        <w:rPr>
          <w:rFonts w:ascii="Times" w:hAnsi="Times"/>
          <w:b/>
          <w:bCs/>
          <w:sz w:val="20"/>
          <w:szCs w:val="20"/>
        </w:rPr>
        <w:t>Figure 4</w:t>
      </w:r>
      <w:r w:rsidR="000F75FE" w:rsidRPr="00557D2B">
        <w:rPr>
          <w:rFonts w:ascii="Times" w:hAnsi="Times"/>
          <w:b/>
          <w:bCs/>
          <w:sz w:val="20"/>
          <w:szCs w:val="20"/>
        </w:rPr>
        <w:t>3</w:t>
      </w:r>
      <w:r w:rsidRPr="00557D2B">
        <w:rPr>
          <w:rFonts w:ascii="Times" w:hAnsi="Times"/>
          <w:b/>
          <w:bCs/>
          <w:sz w:val="20"/>
          <w:szCs w:val="20"/>
        </w:rPr>
        <w:t>.</w:t>
      </w:r>
      <w:r w:rsidR="008E4B42" w:rsidRPr="00557D2B">
        <w:rPr>
          <w:rFonts w:ascii="Times" w:hAnsi="Times"/>
          <w:sz w:val="20"/>
          <w:szCs w:val="20"/>
        </w:rPr>
        <w:t xml:space="preserve"> Effects of Kaempferol on IL-1β-Induced Activation of MAPK Signaling Pathways and NF-κB in Rheumatoid Arthritis Synovial Fibroblasts (RASFs)</w:t>
      </w:r>
      <w:r w:rsidR="00641085" w:rsidRPr="00557D2B">
        <w:rPr>
          <w:rFonts w:ascii="Times" w:hAnsi="Times"/>
          <w:sz w:val="20"/>
          <w:szCs w:val="20"/>
        </w:rPr>
        <w:t xml:space="preserve">. </w:t>
      </w:r>
      <w:r w:rsidR="008E4B42" w:rsidRPr="00557D2B">
        <w:rPr>
          <w:rFonts w:ascii="Times" w:hAnsi="Times"/>
          <w:sz w:val="20"/>
          <w:szCs w:val="20"/>
        </w:rPr>
        <w:t>To investigate the mechanisms underlying the effects of kaempferol on IL-1β in RASFs, MAPK signaling pathways (ERK, p38, and JNK) as well as NF-κB and IκBα activation were evaluated by immunoblotting.</w:t>
      </w:r>
      <w:r w:rsidR="00894E95" w:rsidRPr="00557D2B">
        <w:rPr>
          <w:rFonts w:ascii="Times" w:hAnsi="Times"/>
          <w:b/>
          <w:bCs/>
          <w:sz w:val="20"/>
          <w:szCs w:val="20"/>
        </w:rPr>
        <w:t xml:space="preserve"> </w:t>
      </w:r>
      <w:r w:rsidR="008E4B42" w:rsidRPr="00557D2B">
        <w:rPr>
          <w:rFonts w:ascii="Times" w:hAnsi="Times"/>
          <w:sz w:val="20"/>
          <w:szCs w:val="20"/>
        </w:rPr>
        <w:t>RASFs were cultured for 10 minutes with or without IL-1β (1.0 ng/ml) and kaempferol (100 μM).</w:t>
      </w:r>
      <w:r w:rsidR="00641085" w:rsidRPr="00557D2B">
        <w:rPr>
          <w:rFonts w:ascii="Times" w:hAnsi="Times"/>
          <w:sz w:val="20"/>
          <w:szCs w:val="20"/>
        </w:rPr>
        <w:t xml:space="preserve"> </w:t>
      </w:r>
      <w:r w:rsidR="008E4B42" w:rsidRPr="00557D2B">
        <w:rPr>
          <w:rFonts w:ascii="Times" w:hAnsi="Times"/>
          <w:b/>
          <w:bCs/>
          <w:sz w:val="20"/>
          <w:szCs w:val="20"/>
        </w:rPr>
        <w:t>(A)</w:t>
      </w:r>
      <w:r w:rsidR="008E4B42" w:rsidRPr="00557D2B">
        <w:rPr>
          <w:rFonts w:ascii="Times" w:hAnsi="Times"/>
          <w:sz w:val="20"/>
          <w:szCs w:val="20"/>
        </w:rPr>
        <w:t xml:space="preserve"> IL-1β induced the phosphorylation of ERK, p38, and JNK. Kaempferol inhibited the IL-1β-induced activation of p38 and JNK.</w:t>
      </w:r>
      <w:r w:rsidR="00641085" w:rsidRPr="00557D2B">
        <w:rPr>
          <w:rFonts w:ascii="Times" w:hAnsi="Times"/>
          <w:sz w:val="20"/>
          <w:szCs w:val="20"/>
        </w:rPr>
        <w:t xml:space="preserve"> </w:t>
      </w:r>
      <w:r w:rsidR="008E4B42" w:rsidRPr="00557D2B">
        <w:rPr>
          <w:rFonts w:ascii="Times" w:hAnsi="Times"/>
          <w:b/>
          <w:bCs/>
          <w:sz w:val="20"/>
          <w:szCs w:val="20"/>
        </w:rPr>
        <w:t>(B)</w:t>
      </w:r>
      <w:r w:rsidR="008E4B42" w:rsidRPr="00557D2B">
        <w:rPr>
          <w:rFonts w:ascii="Times" w:hAnsi="Times"/>
          <w:sz w:val="20"/>
          <w:szCs w:val="20"/>
        </w:rPr>
        <w:t xml:space="preserve"> IL-1β activated nuclear NF-κB and decreased cytoplasmic IκBα. Kaempferol inhibited the IL-1β-induced activation of NF-κB</w:t>
      </w:r>
      <w:r w:rsidR="00316766" w:rsidRPr="00557D2B">
        <w:rPr>
          <w:rFonts w:ascii="Times" w:hAnsi="Times"/>
          <w:sz w:val="20"/>
          <w:szCs w:val="20"/>
        </w:rPr>
        <w:t xml:space="preserve"> </w:t>
      </w:r>
      <w:r w:rsidR="0064610C" w:rsidRPr="00557D2B">
        <w:rPr>
          <w:rFonts w:ascii="Times" w:hAnsi="Times"/>
          <w:sz w:val="20"/>
          <w:szCs w:val="20"/>
        </w:rPr>
        <w:fldChar w:fldCharType="begin"/>
      </w:r>
      <w:r w:rsidR="0056095D">
        <w:rPr>
          <w:rFonts w:ascii="Times" w:hAnsi="Times"/>
          <w:sz w:val="20"/>
          <w:szCs w:val="20"/>
        </w:rPr>
        <w:instrText xml:space="preserve"> ADDIN ZOTERO_ITEM CSL_CITATION {"citationID":"O6OWhFiL","properties":{"formattedCitation":"[211]","plainCitation":"[211]","noteIndex":0},"citationItems":[{"id":13301,"uris":["http://zotero.org/users/9439317/items/A36963IJ"],"itemData":{"id":13301,"type":"article-journal","container-title":"International Journal of Molecular Medicine","DOI":"10.3892/ijmm.2013.1468","ISSN":"1107-3756, 1791-244X","issue":"4","language":"en","page":"971-977","source":"DOI.org (Crossref)","title":"Kaempferol inhibits IL-1β-induced proliferation of rheumatoid arthritis synovial fibroblasts and the production of COX-2, PGE2 and MMPs","URL":"https://www.spandidos-publications.com/10.3892/ijmm.2013.1468","volume":"32","author":[{"family":"Yoon","given":"Ha-Yong"},{"family":"Lee","given":"Eun-Gyeong"},{"family":"Lee","given":"Hyun"},{"family":"Cho","given":"In Jin"},{"family":"Choi","given":"Yun Jung"},{"family":"Sung","given":"Myung-Soon"},{"family":"Yoo","given":"Han-Gyul"},{"family":"Yoo","given":"Wan-Hee"}],"accessed":{"date-parts":[["2022",7,3]]},"issued":{"date-parts":[["2013",10]]}}}],"schema":"https://github.com/citation-style-language/schema/raw/master/csl-citation.json"} </w:instrText>
      </w:r>
      <w:r w:rsidR="0064610C" w:rsidRPr="00557D2B">
        <w:rPr>
          <w:rFonts w:ascii="Times" w:hAnsi="Times"/>
          <w:sz w:val="20"/>
          <w:szCs w:val="20"/>
        </w:rPr>
        <w:fldChar w:fldCharType="separate"/>
      </w:r>
      <w:r w:rsidR="0056095D">
        <w:rPr>
          <w:rFonts w:ascii="Times" w:hAnsi="Times"/>
          <w:noProof/>
          <w:sz w:val="20"/>
          <w:szCs w:val="20"/>
        </w:rPr>
        <w:t>[211]</w:t>
      </w:r>
      <w:r w:rsidR="0064610C" w:rsidRPr="00557D2B">
        <w:rPr>
          <w:rFonts w:ascii="Times" w:hAnsi="Times"/>
          <w:sz w:val="20"/>
          <w:szCs w:val="20"/>
        </w:rPr>
        <w:fldChar w:fldCharType="end"/>
      </w:r>
      <w:r w:rsidR="0064610C" w:rsidRPr="00557D2B">
        <w:rPr>
          <w:rFonts w:ascii="Times" w:hAnsi="Times"/>
          <w:sz w:val="20"/>
          <w:szCs w:val="20"/>
        </w:rPr>
        <w:t>.</w:t>
      </w:r>
    </w:p>
    <w:p w14:paraId="3A8597A7" w14:textId="77777777" w:rsidR="00557D2B" w:rsidRPr="00557D2B" w:rsidRDefault="00557D2B" w:rsidP="00894E95">
      <w:pPr>
        <w:jc w:val="both"/>
        <w:rPr>
          <w:rFonts w:ascii="Times" w:hAnsi="Times"/>
          <w:sz w:val="20"/>
          <w:szCs w:val="20"/>
        </w:rPr>
      </w:pPr>
    </w:p>
    <w:p w14:paraId="5A1F2D67" w14:textId="0B285D88" w:rsidR="00CA5234" w:rsidRPr="00CA5234" w:rsidRDefault="00CA5234" w:rsidP="00CA5234">
      <w:pPr>
        <w:rPr>
          <w:rFonts w:ascii="Times" w:hAnsi="Times"/>
          <w:b/>
          <w:bCs/>
        </w:rPr>
      </w:pPr>
      <w:r w:rsidRPr="00D22AA7">
        <w:rPr>
          <w:rFonts w:ascii="Times" w:hAnsi="Times"/>
          <w:b/>
          <w:bCs/>
        </w:rPr>
        <w:t>6.</w:t>
      </w:r>
      <w:r>
        <w:rPr>
          <w:rFonts w:ascii="Times" w:hAnsi="Times"/>
          <w:b/>
          <w:bCs/>
        </w:rPr>
        <w:t>7</w:t>
      </w:r>
      <w:r w:rsidRPr="00D22AA7">
        <w:rPr>
          <w:rFonts w:ascii="Times" w:hAnsi="Times"/>
          <w:b/>
          <w:bCs/>
        </w:rPr>
        <w:t xml:space="preserve">. In Vitro Evaluation of </w:t>
      </w:r>
      <w:r>
        <w:rPr>
          <w:rFonts w:ascii="Times" w:hAnsi="Times"/>
          <w:b/>
          <w:bCs/>
        </w:rPr>
        <w:t>Gallic acid</w:t>
      </w:r>
    </w:p>
    <w:p w14:paraId="0B0E68C5" w14:textId="77777777" w:rsidR="00CA5234" w:rsidRPr="00894E95" w:rsidRDefault="00CA5234" w:rsidP="00894E95">
      <w:pPr>
        <w:jc w:val="both"/>
        <w:rPr>
          <w:rFonts w:ascii="Times" w:hAnsi="Times"/>
          <w:b/>
          <w:bCs/>
          <w:sz w:val="22"/>
          <w:szCs w:val="22"/>
        </w:rPr>
      </w:pPr>
    </w:p>
    <w:p w14:paraId="1960027B" w14:textId="43F24A8F" w:rsidR="001C20E8" w:rsidRPr="00D22AA7" w:rsidRDefault="1EC29C8C" w:rsidP="00894E95">
      <w:pPr>
        <w:jc w:val="both"/>
        <w:rPr>
          <w:rFonts w:ascii="Times" w:hAnsi="Times"/>
        </w:rPr>
      </w:pPr>
      <w:r w:rsidRPr="00D22AA7">
        <w:rPr>
          <w:rFonts w:ascii="Times" w:hAnsi="Times"/>
          <w:noProof/>
        </w:rPr>
        <w:t xml:space="preserve">Gallic acid suppresses the expression of various chemokines, proinflammatory cytokines, MMP-9, and COX-2, while promoting cell apoptosis through the regulation of Bcl-2, caspase-3, p53, and Bax </w:t>
      </w:r>
      <w:r w:rsidR="001C20E8" w:rsidRPr="00D22AA7">
        <w:rPr>
          <w:rFonts w:ascii="Times" w:hAnsi="Times"/>
        </w:rPr>
        <w:fldChar w:fldCharType="begin"/>
      </w:r>
      <w:r w:rsidR="0056095D">
        <w:rPr>
          <w:rFonts w:ascii="Times" w:hAnsi="Times"/>
        </w:rPr>
        <w:instrText xml:space="preserve"> ADDIN ZOTERO_ITEM CSL_CITATION {"citationID":"IMpkAoji","properties":{"formattedCitation":"[212]","plainCitation":"[212]","noteIndex":0},"citationItems":[{"id":129,"uris":["http://zotero.org/users/9439317/items/B7QP6I7H"],"itemData":{"id":129,"type":"article-journal","abstract":"Objectives: To investigate whether gallic acid (3, 4, 5-trihydroxybenzoic acid), a natural polyphenolic acid found in gall nuts, sumac, oak bark, tea leaves, grapes and wine, has pro-apoptotic and anti-inﬂammatory effects on ﬁbroblast-like synoviocytes (FLS) from patients with rheumatoid arthritis (RA).\nMethods: Viability of RA FLS was assessed using a MTT assay after gallic acid treatment. Apoptosis was assessed by TUNEL assay and caspase-3 activity was determined by a colorimetric assay. The levels of apoptosis-related proteins including Bcl-2, p-Akt, p53, and Bax were determined using western blot analyses, and the mRNA expressions of various pro-inﬂammatory mediators were measured using quantitative real-time PCR.\nResults: Cell viability of RA FLS was signiﬁcantly decreased by treatment with 10 or more ␮M of gallic acid. Gallic acid treatment at the concentrations that do not affect cell viability (0.1 and 1 ␮M) induced cellular apoptosis of RA FLS. Treatment with 0.1 and 1 ␮M of gallic acid also resulted in a signiﬁcant increase in caspase-3 activity and regulated the productions of Bcl-2, Bax, p53 and pAkt. The mRNA expression levels of pro-inﬂammatory cytokines (IL-1</w:instrText>
      </w:r>
      <w:r w:rsidR="0056095D">
        <w:rPr>
          <w:rFonts w:ascii="Segoe UI Symbol" w:hAnsi="Segoe UI Symbol" w:cs="Segoe UI Symbol"/>
        </w:rPr>
        <w:instrText>␤</w:instrText>
      </w:r>
      <w:r w:rsidR="0056095D">
        <w:rPr>
          <w:rFonts w:ascii="Times" w:hAnsi="Times"/>
        </w:rPr>
        <w:instrText xml:space="preserve">, IL-6), chemokines (CCL-2/MCP-1, CCL-7/MCP3), cyclooxygenase-2, and matrix metalloproteinase-9 from RA FLS were suppressed by the gallic acid treatment in dose-dependent manners.\nConclusion: Gallic acid treatment was found to induce apoptosis of RA FLS through regulation of apoptosisrelated protein expressions and to reduce the expression of pro-inﬂammatory genes in RA FLS. These data suggest that pro-apoptotic and anti-inﬂammatory activities of gallic acid may be used as a possible therapeutic option for RA.","container-title":"Joint Bone Spine","DOI":"10.1016/j.jbspin.2012.08.010","ISSN":"1297319X","issue":"3","journalAbbreviation":"Joint Bone Spine","language":"en","page":"274-279","source":"DOI.org (Crossref)","title":"Gallic acid, a natural polyphenolic acid, induces apoptosis and inhibits proinflammatory gene expressions in rheumatoid arthritis fibroblast-like synoviocytes","URL":"https://linkinghub.elsevier.com/retrieve/pii/S1297319X1200200X","volume":"80","author":[{"family":"Yoon","given":"Chong-Hyeon"},{"family":"Chung","given":"Soo-Jin"},{"family":"Lee","given":"Sang-Won"},{"family":"Park","given":"Yong-Beom"},{"family":"Lee","given":"Soo-Kon"},{"family":"Park","given":"Min-Chan"}],"accessed":{"date-parts":[["2022",6,24]]},"issued":{"date-parts":[["2013",5]]}}}],"schema":"https://github.com/citation-style-language/schema/raw/master/csl-citation.json"} </w:instrText>
      </w:r>
      <w:r w:rsidR="001C20E8" w:rsidRPr="00D22AA7">
        <w:rPr>
          <w:rFonts w:ascii="Times" w:hAnsi="Times"/>
        </w:rPr>
        <w:fldChar w:fldCharType="separate"/>
      </w:r>
      <w:r w:rsidR="0056095D">
        <w:rPr>
          <w:rFonts w:ascii="Times" w:hAnsi="Times"/>
          <w:noProof/>
        </w:rPr>
        <w:t>[212]</w:t>
      </w:r>
      <w:r w:rsidR="001C20E8" w:rsidRPr="00D22AA7">
        <w:rPr>
          <w:rFonts w:ascii="Times" w:hAnsi="Times"/>
        </w:rPr>
        <w:fldChar w:fldCharType="end"/>
      </w:r>
      <w:r w:rsidR="1D5B9BD9" w:rsidRPr="00D22AA7">
        <w:rPr>
          <w:rFonts w:ascii="Times" w:hAnsi="Times"/>
        </w:rPr>
        <w:t>.</w:t>
      </w:r>
    </w:p>
    <w:p w14:paraId="739855BE" w14:textId="5DC5DCC5" w:rsidR="001303F4" w:rsidRDefault="00894E95" w:rsidP="001C20E8">
      <w:pPr>
        <w:rPr>
          <w:rFonts w:ascii="Times" w:hAnsi="Times"/>
        </w:rPr>
      </w:pPr>
      <w:r>
        <w:rPr>
          <w:rFonts w:ascii="Times" w:hAnsi="Times"/>
        </w:rPr>
        <w:lastRenderedPageBreak/>
        <w:t xml:space="preserve">                                </w:t>
      </w:r>
      <w:r w:rsidR="001303F4" w:rsidRPr="00D22AA7">
        <w:rPr>
          <w:rFonts w:ascii="Times" w:hAnsi="Times"/>
        </w:rPr>
        <w:fldChar w:fldCharType="begin"/>
      </w:r>
      <w:r w:rsidR="001303F4" w:rsidRPr="00D22AA7">
        <w:rPr>
          <w:rFonts w:ascii="Times" w:hAnsi="Times"/>
        </w:rPr>
        <w:instrText xml:space="preserve"> INCLUDEPICTURE "https://ars.els-cdn.com/content/image/1-s2.0-S1297319X1200200X-gr1.jpg" \* MERGEFORMATINET </w:instrText>
      </w:r>
      <w:r w:rsidR="001303F4" w:rsidRPr="00D22AA7">
        <w:rPr>
          <w:rFonts w:ascii="Times" w:hAnsi="Times"/>
        </w:rPr>
        <w:fldChar w:fldCharType="separate"/>
      </w:r>
      <w:r w:rsidR="001303F4" w:rsidRPr="00D22AA7">
        <w:rPr>
          <w:rFonts w:ascii="Times" w:hAnsi="Times"/>
          <w:noProof/>
        </w:rPr>
        <w:drawing>
          <wp:inline distT="0" distB="0" distL="0" distR="0" wp14:anchorId="34744E78" wp14:editId="6030637A">
            <wp:extent cx="3390263" cy="2247090"/>
            <wp:effectExtent l="0" t="0" r="1270" b="1270"/>
            <wp:docPr id="1099221691" name="Picture 24" descr="A graph of a number of ce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221691" name="Picture 24" descr="A graph of a number of cells&#10;&#10;Description automatically generated"/>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416016" cy="2264159"/>
                    </a:xfrm>
                    <a:prstGeom prst="rect">
                      <a:avLst/>
                    </a:prstGeom>
                    <a:noFill/>
                    <a:ln>
                      <a:noFill/>
                    </a:ln>
                  </pic:spPr>
                </pic:pic>
              </a:graphicData>
            </a:graphic>
          </wp:inline>
        </w:drawing>
      </w:r>
      <w:r w:rsidR="001303F4" w:rsidRPr="00D22AA7">
        <w:rPr>
          <w:rFonts w:ascii="Times" w:hAnsi="Times"/>
        </w:rPr>
        <w:fldChar w:fldCharType="end"/>
      </w:r>
    </w:p>
    <w:p w14:paraId="56817B21" w14:textId="10E4F378" w:rsidR="00541014" w:rsidRPr="00D9531D" w:rsidRDefault="00541014" w:rsidP="00894E95">
      <w:pPr>
        <w:jc w:val="both"/>
        <w:rPr>
          <w:rFonts w:ascii="Times" w:hAnsi="Times"/>
          <w:sz w:val="20"/>
          <w:szCs w:val="20"/>
        </w:rPr>
      </w:pPr>
      <w:r w:rsidRPr="00D9531D">
        <w:rPr>
          <w:rFonts w:ascii="Times" w:hAnsi="Times"/>
          <w:b/>
          <w:bCs/>
          <w:sz w:val="20"/>
          <w:szCs w:val="20"/>
        </w:rPr>
        <w:t>Figure 4</w:t>
      </w:r>
      <w:r w:rsidR="000F75FE" w:rsidRPr="00D9531D">
        <w:rPr>
          <w:rFonts w:ascii="Times" w:hAnsi="Times"/>
          <w:b/>
          <w:bCs/>
          <w:sz w:val="20"/>
          <w:szCs w:val="20"/>
        </w:rPr>
        <w:t>4</w:t>
      </w:r>
      <w:r w:rsidRPr="00D9531D">
        <w:rPr>
          <w:rFonts w:ascii="Times" w:hAnsi="Times"/>
          <w:b/>
          <w:bCs/>
          <w:sz w:val="20"/>
          <w:szCs w:val="20"/>
        </w:rPr>
        <w:t>.</w:t>
      </w:r>
      <w:r w:rsidR="00547AC3" w:rsidRPr="00D9531D">
        <w:rPr>
          <w:rFonts w:ascii="Times" w:hAnsi="Times"/>
          <w:sz w:val="20"/>
          <w:szCs w:val="20"/>
        </w:rPr>
        <w:t xml:space="preserve"> Effect of Gallic Acid on Cell Viability of Rheumatoid Arthritis (RA) Fibroblast-Like Synoviocytes (FLS)</w:t>
      </w:r>
      <w:r w:rsidR="00641085" w:rsidRPr="00D9531D">
        <w:rPr>
          <w:rFonts w:ascii="Times" w:hAnsi="Times"/>
          <w:sz w:val="20"/>
          <w:szCs w:val="20"/>
        </w:rPr>
        <w:t xml:space="preserve"> </w:t>
      </w:r>
      <w:r w:rsidR="00547AC3" w:rsidRPr="00D9531D">
        <w:rPr>
          <w:rFonts w:ascii="Times" w:hAnsi="Times"/>
          <w:sz w:val="20"/>
          <w:szCs w:val="20"/>
        </w:rPr>
        <w:t>RA FLS were treated with varying concentrations of gallic acid (0.1-100 μM) or DMSO vehicle for 24 and 48 hours. Cell viability was assessed using the MTT assay. Results are presented as the mean ± SEM from 5 independent experiments</w:t>
      </w:r>
      <w:r w:rsidR="00641085" w:rsidRPr="00D9531D">
        <w:rPr>
          <w:rFonts w:ascii="Times" w:hAnsi="Times"/>
          <w:sz w:val="20"/>
          <w:szCs w:val="20"/>
        </w:rPr>
        <w:t xml:space="preserve"> </w:t>
      </w:r>
      <w:r w:rsidR="0064610C" w:rsidRPr="00D9531D">
        <w:rPr>
          <w:rFonts w:ascii="Times" w:hAnsi="Times"/>
          <w:sz w:val="20"/>
          <w:szCs w:val="20"/>
        </w:rPr>
        <w:fldChar w:fldCharType="begin"/>
      </w:r>
      <w:r w:rsidR="0056095D">
        <w:rPr>
          <w:rFonts w:ascii="Times" w:hAnsi="Times"/>
          <w:sz w:val="20"/>
          <w:szCs w:val="20"/>
        </w:rPr>
        <w:instrText xml:space="preserve"> ADDIN ZOTERO_ITEM CSL_CITATION {"citationID":"OlcVdg6m","properties":{"formattedCitation":"[212]","plainCitation":"[212]","noteIndex":0},"citationItems":[{"id":129,"uris":["http://zotero.org/users/9439317/items/B7QP6I7H"],"itemData":{"id":129,"type":"article-journal","abstract":"Objectives: To investigate whether gallic acid (3, 4, 5-trihydroxybenzoic acid), a natural polyphenolic acid found in gall nuts, sumac, oak bark, tea leaves, grapes and wine, has pro-apoptotic and anti-inﬂammatory effects on ﬁbroblast-like synoviocytes (FLS) from patients with rheumatoid arthritis (RA).\nMethods: Viability of RA FLS was assessed using a MTT assay after gallic acid treatment. Apoptosis was assessed by TUNEL assay and caspase-3 activity was determined by a colorimetric assay. The levels of apoptosis-related proteins including Bcl-2, p-Akt, p53, and Bax were determined using western blot analyses, and the mRNA expressions of various pro-inﬂammatory mediators were measured using quantitative real-time PCR.\nResults: Cell viability of RA FLS was signiﬁcantly decreased by treatment with 10 or more ␮M of gallic acid. Gallic acid treatment at the concentrations that do not affect cell viability (0.1 and 1 ␮M) induced cellular apoptosis of RA FLS. Treatment with 0.1 and 1 ␮M of gallic acid also resulted in a signiﬁcant increase in caspase-3 activity and regulated the productions of Bcl-2, Bax, p53 and pAkt. The mRNA expression levels of pro-inﬂammatory cytokines (IL-1</w:instrText>
      </w:r>
      <w:r w:rsidR="0056095D">
        <w:rPr>
          <w:rFonts w:ascii="Segoe UI Symbol" w:hAnsi="Segoe UI Symbol" w:cs="Segoe UI Symbol"/>
          <w:sz w:val="20"/>
          <w:szCs w:val="20"/>
        </w:rPr>
        <w:instrText>␤</w:instrText>
      </w:r>
      <w:r w:rsidR="0056095D">
        <w:rPr>
          <w:rFonts w:ascii="Times" w:hAnsi="Times"/>
          <w:sz w:val="20"/>
          <w:szCs w:val="20"/>
        </w:rPr>
        <w:instrText xml:space="preserve">, IL-6), chemokines (CCL-2/MCP-1, CCL-7/MCP3), cyclooxygenase-2, and matrix metalloproteinase-9 from RA FLS were suppressed by the gallic acid treatment in dose-dependent manners.\nConclusion: Gallic acid treatment was found to induce apoptosis of RA FLS through regulation of apoptosisrelated protein expressions and to reduce the expression of pro-inﬂammatory genes in RA FLS. These data suggest that pro-apoptotic and anti-inﬂammatory activities of gallic acid may be used as a possible therapeutic option for RA.","container-title":"Joint Bone Spine","DOI":"10.1016/j.jbspin.2012.08.010","ISSN":"1297319X","issue":"3","journalAbbreviation":"Joint Bone Spine","language":"en","page":"274-279","source":"DOI.org (Crossref)","title":"Gallic acid, a natural polyphenolic acid, induces apoptosis and inhibits proinflammatory gene expressions in rheumatoid arthritis fibroblast-like synoviocytes","URL":"https://linkinghub.elsevier.com/retrieve/pii/S1297319X1200200X","volume":"80","author":[{"family":"Yoon","given":"Chong-Hyeon"},{"family":"Chung","given":"Soo-Jin"},{"family":"Lee","given":"Sang-Won"},{"family":"Park","given":"Yong-Beom"},{"family":"Lee","given":"Soo-Kon"},{"family":"Park","given":"Min-Chan"}],"accessed":{"date-parts":[["2022",6,24]]},"issued":{"date-parts":[["2013",5]]}}}],"schema":"https://github.com/citation-style-language/schema/raw/master/csl-citation.json"} </w:instrText>
      </w:r>
      <w:r w:rsidR="0064610C" w:rsidRPr="00D9531D">
        <w:rPr>
          <w:rFonts w:ascii="Times" w:hAnsi="Times"/>
          <w:sz w:val="20"/>
          <w:szCs w:val="20"/>
        </w:rPr>
        <w:fldChar w:fldCharType="separate"/>
      </w:r>
      <w:r w:rsidR="0056095D">
        <w:rPr>
          <w:rFonts w:ascii="Times" w:hAnsi="Times"/>
          <w:noProof/>
          <w:sz w:val="20"/>
          <w:szCs w:val="20"/>
        </w:rPr>
        <w:t>[212]</w:t>
      </w:r>
      <w:r w:rsidR="0064610C" w:rsidRPr="00D9531D">
        <w:rPr>
          <w:rFonts w:ascii="Times" w:hAnsi="Times"/>
          <w:sz w:val="20"/>
          <w:szCs w:val="20"/>
        </w:rPr>
        <w:fldChar w:fldCharType="end"/>
      </w:r>
      <w:r w:rsidR="0064610C" w:rsidRPr="00D9531D">
        <w:rPr>
          <w:rFonts w:ascii="Times" w:hAnsi="Times"/>
          <w:sz w:val="20"/>
          <w:szCs w:val="20"/>
        </w:rPr>
        <w:t>.</w:t>
      </w:r>
    </w:p>
    <w:p w14:paraId="00962E7A" w14:textId="3B8A90A5" w:rsidR="001303F4" w:rsidRDefault="00894E95" w:rsidP="001C20E8">
      <w:pPr>
        <w:rPr>
          <w:rFonts w:ascii="Times" w:hAnsi="Times"/>
        </w:rPr>
      </w:pPr>
      <w:r>
        <w:rPr>
          <w:rFonts w:ascii="Times" w:hAnsi="Times"/>
        </w:rPr>
        <w:t xml:space="preserve">                                       </w:t>
      </w:r>
      <w:r w:rsidR="001303F4" w:rsidRPr="00D22AA7">
        <w:rPr>
          <w:rFonts w:ascii="Times" w:hAnsi="Times"/>
        </w:rPr>
        <w:fldChar w:fldCharType="begin"/>
      </w:r>
      <w:r w:rsidR="001303F4" w:rsidRPr="00D22AA7">
        <w:rPr>
          <w:rFonts w:ascii="Times" w:hAnsi="Times"/>
        </w:rPr>
        <w:instrText xml:space="preserve"> INCLUDEPICTURE "https://ars.els-cdn.com/content/image/1-s2.0-S1297319X1200200X-gr2.jpg" \* MERGEFORMATINET </w:instrText>
      </w:r>
      <w:r w:rsidR="001303F4" w:rsidRPr="00D22AA7">
        <w:rPr>
          <w:rFonts w:ascii="Times" w:hAnsi="Times"/>
        </w:rPr>
        <w:fldChar w:fldCharType="separate"/>
      </w:r>
      <w:r w:rsidR="001303F4" w:rsidRPr="00D22AA7">
        <w:rPr>
          <w:rFonts w:ascii="Times" w:hAnsi="Times"/>
          <w:noProof/>
        </w:rPr>
        <w:drawing>
          <wp:inline distT="0" distB="0" distL="0" distR="0" wp14:anchorId="440FEEAF" wp14:editId="77ECDCD3">
            <wp:extent cx="2401136" cy="4385388"/>
            <wp:effectExtent l="0" t="0" r="0" b="0"/>
            <wp:docPr id="1438132562" name="Picture 25" descr="A graph of a number of cel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132562" name="Picture 25" descr="A graph of a number of cells&#10;&#10;Description automatically generated with medium confidence"/>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84041" cy="4536804"/>
                    </a:xfrm>
                    <a:prstGeom prst="rect">
                      <a:avLst/>
                    </a:prstGeom>
                    <a:noFill/>
                    <a:ln>
                      <a:noFill/>
                    </a:ln>
                  </pic:spPr>
                </pic:pic>
              </a:graphicData>
            </a:graphic>
          </wp:inline>
        </w:drawing>
      </w:r>
      <w:r w:rsidR="001303F4" w:rsidRPr="00D22AA7">
        <w:rPr>
          <w:rFonts w:ascii="Times" w:hAnsi="Times"/>
        </w:rPr>
        <w:fldChar w:fldCharType="end"/>
      </w:r>
    </w:p>
    <w:p w14:paraId="72FF9F96" w14:textId="7D999571" w:rsidR="00541014" w:rsidRPr="00D9531D" w:rsidRDefault="00541014" w:rsidP="00894E95">
      <w:pPr>
        <w:jc w:val="both"/>
        <w:rPr>
          <w:rFonts w:ascii="Times" w:hAnsi="Times"/>
          <w:sz w:val="20"/>
          <w:szCs w:val="20"/>
        </w:rPr>
      </w:pPr>
      <w:r w:rsidRPr="00D9531D">
        <w:rPr>
          <w:rFonts w:ascii="Times" w:hAnsi="Times"/>
          <w:b/>
          <w:bCs/>
          <w:sz w:val="20"/>
          <w:szCs w:val="20"/>
        </w:rPr>
        <w:t>Figure 4</w:t>
      </w:r>
      <w:r w:rsidR="000F75FE" w:rsidRPr="00D9531D">
        <w:rPr>
          <w:rFonts w:ascii="Times" w:hAnsi="Times"/>
          <w:b/>
          <w:bCs/>
          <w:sz w:val="20"/>
          <w:szCs w:val="20"/>
        </w:rPr>
        <w:t>5</w:t>
      </w:r>
      <w:r w:rsidRPr="00D9531D">
        <w:rPr>
          <w:rFonts w:ascii="Times" w:hAnsi="Times"/>
          <w:b/>
          <w:bCs/>
          <w:sz w:val="20"/>
          <w:szCs w:val="20"/>
        </w:rPr>
        <w:t>.</w:t>
      </w:r>
      <w:r w:rsidRPr="00D9531D">
        <w:rPr>
          <w:rFonts w:ascii="Times" w:hAnsi="Times"/>
          <w:sz w:val="20"/>
          <w:szCs w:val="20"/>
        </w:rPr>
        <w:t xml:space="preserve"> </w:t>
      </w:r>
      <w:r w:rsidR="00547AC3" w:rsidRPr="00D9531D">
        <w:rPr>
          <w:rFonts w:ascii="Times" w:hAnsi="Times"/>
          <w:sz w:val="20"/>
          <w:szCs w:val="20"/>
        </w:rPr>
        <w:t>Effect of Gallic Acid on Cellular Apoptosis of Rheumatoid Arthritis (RA) Fibroblast-Like Synoviocytes (FLS)</w:t>
      </w:r>
      <w:r w:rsidR="00EE4A69" w:rsidRPr="00D9531D">
        <w:rPr>
          <w:rFonts w:ascii="Times" w:hAnsi="Times"/>
          <w:sz w:val="20"/>
          <w:szCs w:val="20"/>
        </w:rPr>
        <w:t xml:space="preserve">. </w:t>
      </w:r>
      <w:r w:rsidR="00547AC3" w:rsidRPr="00D9531D">
        <w:rPr>
          <w:rFonts w:ascii="Times" w:hAnsi="Times"/>
          <w:sz w:val="20"/>
          <w:szCs w:val="20"/>
        </w:rPr>
        <w:t>A. RA FLS were treated with gallic acid (0.1 and 1 μM) or DMSO vehicle for 48 hours. Apoptotic cell death was measured by the TUNEL assay (×100 magnification). Bright spots represent TUNEL-positive apoptotic cells. Corresponding phase contrast microscopy images are shown in the upper panels.</w:t>
      </w:r>
      <w:r w:rsidR="00EE4A69" w:rsidRPr="00D9531D">
        <w:rPr>
          <w:rFonts w:ascii="Times" w:hAnsi="Times"/>
          <w:sz w:val="20"/>
          <w:szCs w:val="20"/>
        </w:rPr>
        <w:t xml:space="preserve"> </w:t>
      </w:r>
      <w:r w:rsidR="00547AC3" w:rsidRPr="00D9531D">
        <w:rPr>
          <w:rFonts w:ascii="Times" w:hAnsi="Times"/>
          <w:b/>
          <w:bCs/>
          <w:sz w:val="20"/>
          <w:szCs w:val="20"/>
        </w:rPr>
        <w:t>B.</w:t>
      </w:r>
      <w:r w:rsidR="00547AC3" w:rsidRPr="00D9531D">
        <w:rPr>
          <w:rFonts w:ascii="Times" w:hAnsi="Times"/>
          <w:sz w:val="20"/>
          <w:szCs w:val="20"/>
        </w:rPr>
        <w:t xml:space="preserve"> The apoptosis index of RA FLS treated with 0.1 and 1 μM of gallic acid or DMSO vehicle.</w:t>
      </w:r>
      <w:r w:rsidR="00EE4A69" w:rsidRPr="00D9531D">
        <w:rPr>
          <w:rFonts w:ascii="Times" w:hAnsi="Times"/>
          <w:sz w:val="20"/>
          <w:szCs w:val="20"/>
        </w:rPr>
        <w:t xml:space="preserve"> </w:t>
      </w:r>
      <w:r w:rsidR="00547AC3" w:rsidRPr="00D9531D">
        <w:rPr>
          <w:rFonts w:ascii="Times" w:hAnsi="Times"/>
          <w:b/>
          <w:bCs/>
          <w:sz w:val="20"/>
          <w:szCs w:val="20"/>
        </w:rPr>
        <w:t>C.</w:t>
      </w:r>
      <w:r w:rsidR="00547AC3" w:rsidRPr="00D9531D">
        <w:rPr>
          <w:rFonts w:ascii="Times" w:hAnsi="Times"/>
          <w:sz w:val="20"/>
          <w:szCs w:val="20"/>
        </w:rPr>
        <w:t xml:space="preserve"> Caspase-3 activity in RA FLS treated with 0.1 and 1 μM of gallic acid or DMSO vehicle</w:t>
      </w:r>
      <w:r w:rsidR="00EE4A69" w:rsidRPr="00D9531D">
        <w:rPr>
          <w:rFonts w:ascii="Times" w:hAnsi="Times"/>
          <w:sz w:val="20"/>
          <w:szCs w:val="20"/>
        </w:rPr>
        <w:t xml:space="preserve"> </w:t>
      </w:r>
      <w:r w:rsidR="0064610C" w:rsidRPr="00D9531D">
        <w:rPr>
          <w:rFonts w:ascii="Times" w:hAnsi="Times"/>
          <w:sz w:val="20"/>
          <w:szCs w:val="20"/>
        </w:rPr>
        <w:fldChar w:fldCharType="begin"/>
      </w:r>
      <w:r w:rsidR="0056095D">
        <w:rPr>
          <w:rFonts w:ascii="Times" w:hAnsi="Times"/>
          <w:sz w:val="20"/>
          <w:szCs w:val="20"/>
        </w:rPr>
        <w:instrText xml:space="preserve"> ADDIN ZOTERO_ITEM CSL_CITATION {"citationID":"0vQO5MSW","properties":{"formattedCitation":"[212]","plainCitation":"[212]","noteIndex":0},"citationItems":[{"id":129,"uris":["http://zotero.org/users/9439317/items/B7QP6I7H"],"itemData":{"id":129,"type":"article-journal","abstract":"Objectives: To investigate whether gallic acid (3, 4, 5-trihydroxybenzoic acid), a natural polyphenolic acid found in gall nuts, sumac, oak bark, tea leaves, grapes and wine, has pro-apoptotic and anti-inﬂammatory effects on ﬁbroblast-like synoviocytes (FLS) from patients with rheumatoid arthritis (RA).\nMethods: Viability of RA FLS was assessed using a MTT assay after gallic acid treatment. Apoptosis was assessed by TUNEL assay and caspase-3 activity was determined by a colorimetric assay. The levels of apoptosis-related proteins including Bcl-2, p-Akt, p53, and Bax were determined using western blot analyses, and the mRNA expressions of various pro-inﬂammatory mediators were measured using quantitative real-time PCR.\nResults: Cell viability of RA FLS was signiﬁcantly decreased by treatment with 10 or more ␮M of gallic acid. Gallic acid treatment at the concentrations that do not affect cell viability (0.1 and 1 ␮M) induced cellular apoptosis of RA FLS. Treatment with 0.1 and 1 ␮M of gallic acid also resulted in a signiﬁcant increase in caspase-3 activity and regulated the productions of Bcl-2, Bax, p53 and pAkt. The mRNA expression levels of pro-inﬂammatory cytokines (IL-1</w:instrText>
      </w:r>
      <w:r w:rsidR="0056095D">
        <w:rPr>
          <w:rFonts w:ascii="Segoe UI Symbol" w:hAnsi="Segoe UI Symbol" w:cs="Segoe UI Symbol"/>
          <w:sz w:val="20"/>
          <w:szCs w:val="20"/>
        </w:rPr>
        <w:instrText>␤</w:instrText>
      </w:r>
      <w:r w:rsidR="0056095D">
        <w:rPr>
          <w:rFonts w:ascii="Times" w:hAnsi="Times"/>
          <w:sz w:val="20"/>
          <w:szCs w:val="20"/>
        </w:rPr>
        <w:instrText xml:space="preserve">, IL-6), chemokines (CCL-2/MCP-1, CCL-7/MCP3), cyclooxygenase-2, and matrix metalloproteinase-9 from RA FLS were suppressed by the gallic acid treatment in dose-dependent manners.\nConclusion: Gallic acid treatment was found to induce apoptosis of RA FLS through regulation of apoptosisrelated protein expressions and to reduce the expression of pro-inﬂammatory genes in RA FLS. These data suggest that pro-apoptotic and anti-inﬂammatory activities of gallic acid may be used as a possible therapeutic option for RA.","container-title":"Joint Bone Spine","DOI":"10.1016/j.jbspin.2012.08.010","ISSN":"1297319X","issue":"3","journalAbbreviation":"Joint Bone Spine","language":"en","page":"274-279","source":"DOI.org (Crossref)","title":"Gallic acid, a natural polyphenolic acid, induces apoptosis and inhibits proinflammatory gene expressions in rheumatoid arthritis fibroblast-like synoviocytes","URL":"https://linkinghub.elsevier.com/retrieve/pii/S1297319X1200200X","volume":"80","author":[{"family":"Yoon","given":"Chong-Hyeon"},{"family":"Chung","given":"Soo-Jin"},{"family":"Lee","given":"Sang-Won"},{"family":"Park","given":"Yong-Beom"},{"family":"Lee","given":"Soo-Kon"},{"family":"Park","given":"Min-Chan"}],"accessed":{"date-parts":[["2022",6,24]]},"issued":{"date-parts":[["2013",5]]}}}],"schema":"https://github.com/citation-style-language/schema/raw/master/csl-citation.json"} </w:instrText>
      </w:r>
      <w:r w:rsidR="0064610C" w:rsidRPr="00D9531D">
        <w:rPr>
          <w:rFonts w:ascii="Times" w:hAnsi="Times"/>
          <w:sz w:val="20"/>
          <w:szCs w:val="20"/>
        </w:rPr>
        <w:fldChar w:fldCharType="separate"/>
      </w:r>
      <w:r w:rsidR="0056095D">
        <w:rPr>
          <w:rFonts w:ascii="Times" w:hAnsi="Times"/>
          <w:noProof/>
          <w:sz w:val="20"/>
          <w:szCs w:val="20"/>
        </w:rPr>
        <w:t>[212]</w:t>
      </w:r>
      <w:r w:rsidR="0064610C" w:rsidRPr="00D9531D">
        <w:rPr>
          <w:rFonts w:ascii="Times" w:hAnsi="Times"/>
          <w:sz w:val="20"/>
          <w:szCs w:val="20"/>
        </w:rPr>
        <w:fldChar w:fldCharType="end"/>
      </w:r>
      <w:r w:rsidR="0064610C" w:rsidRPr="00D9531D">
        <w:rPr>
          <w:rFonts w:ascii="Times" w:hAnsi="Times"/>
          <w:sz w:val="20"/>
          <w:szCs w:val="20"/>
        </w:rPr>
        <w:t>.</w:t>
      </w:r>
    </w:p>
    <w:p w14:paraId="307A6BF5" w14:textId="3120183B" w:rsidR="001303F4" w:rsidRDefault="004D3243" w:rsidP="001C20E8">
      <w:pPr>
        <w:rPr>
          <w:rFonts w:ascii="Times" w:hAnsi="Times"/>
        </w:rPr>
      </w:pPr>
      <w:r>
        <w:rPr>
          <w:rFonts w:ascii="Times" w:hAnsi="Times"/>
        </w:rPr>
        <w:lastRenderedPageBreak/>
        <w:t xml:space="preserve">                                  </w:t>
      </w:r>
      <w:r w:rsidR="001303F4" w:rsidRPr="00D22AA7">
        <w:rPr>
          <w:rFonts w:ascii="Times" w:hAnsi="Times"/>
        </w:rPr>
        <w:fldChar w:fldCharType="begin"/>
      </w:r>
      <w:r w:rsidR="001303F4" w:rsidRPr="00D22AA7">
        <w:rPr>
          <w:rFonts w:ascii="Times" w:hAnsi="Times"/>
        </w:rPr>
        <w:instrText xml:space="preserve"> INCLUDEPICTURE "https://ars.els-cdn.com/content/image/1-s2.0-S1297319X1200200X-gr3.jpg" \* MERGEFORMATINET </w:instrText>
      </w:r>
      <w:r w:rsidR="001303F4" w:rsidRPr="00D22AA7">
        <w:rPr>
          <w:rFonts w:ascii="Times" w:hAnsi="Times"/>
        </w:rPr>
        <w:fldChar w:fldCharType="separate"/>
      </w:r>
      <w:r w:rsidR="47D9D5B3" w:rsidRPr="00D22AA7">
        <w:rPr>
          <w:rFonts w:ascii="Times" w:hAnsi="Times"/>
          <w:noProof/>
        </w:rPr>
        <w:drawing>
          <wp:inline distT="0" distB="0" distL="0" distR="0" wp14:anchorId="5E5B9045" wp14:editId="110902D5">
            <wp:extent cx="3508310" cy="4889490"/>
            <wp:effectExtent l="0" t="0" r="0" b="635"/>
            <wp:docPr id="1167939024" name="Picture 26"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61">
                      <a:extLst>
                        <a:ext uri="{28A0092B-C50C-407E-A947-70E740481C1C}">
                          <a14:useLocalDpi xmlns:a14="http://schemas.microsoft.com/office/drawing/2010/main" val="0"/>
                        </a:ext>
                      </a:extLst>
                    </a:blip>
                    <a:stretch>
                      <a:fillRect/>
                    </a:stretch>
                  </pic:blipFill>
                  <pic:spPr>
                    <a:xfrm>
                      <a:off x="0" y="0"/>
                      <a:ext cx="3611504" cy="5033310"/>
                    </a:xfrm>
                    <a:prstGeom prst="rect">
                      <a:avLst/>
                    </a:prstGeom>
                  </pic:spPr>
                </pic:pic>
              </a:graphicData>
            </a:graphic>
          </wp:inline>
        </w:drawing>
      </w:r>
      <w:r w:rsidR="001303F4" w:rsidRPr="00D22AA7">
        <w:rPr>
          <w:rFonts w:ascii="Times" w:hAnsi="Times"/>
        </w:rPr>
        <w:fldChar w:fldCharType="end"/>
      </w:r>
    </w:p>
    <w:p w14:paraId="3AA7CFA5" w14:textId="77777777" w:rsidR="006F5419" w:rsidRDefault="006F5419" w:rsidP="001C20E8">
      <w:pPr>
        <w:rPr>
          <w:rFonts w:ascii="Times" w:hAnsi="Times"/>
        </w:rPr>
      </w:pPr>
    </w:p>
    <w:p w14:paraId="5D181248" w14:textId="0C264FAE" w:rsidR="002C530E" w:rsidRPr="006F5419" w:rsidRDefault="002C530E" w:rsidP="006F5419">
      <w:pPr>
        <w:jc w:val="both"/>
        <w:rPr>
          <w:rFonts w:ascii="Times" w:hAnsi="Times"/>
          <w:sz w:val="20"/>
          <w:szCs w:val="20"/>
        </w:rPr>
      </w:pPr>
      <w:r w:rsidRPr="006F5419">
        <w:rPr>
          <w:rFonts w:ascii="Times" w:hAnsi="Times"/>
          <w:b/>
          <w:bCs/>
          <w:sz w:val="20"/>
          <w:szCs w:val="20"/>
        </w:rPr>
        <w:t>Figure 4</w:t>
      </w:r>
      <w:r w:rsidR="000F75FE" w:rsidRPr="006F5419">
        <w:rPr>
          <w:rFonts w:ascii="Times" w:hAnsi="Times"/>
          <w:b/>
          <w:bCs/>
          <w:sz w:val="20"/>
          <w:szCs w:val="20"/>
        </w:rPr>
        <w:t>6</w:t>
      </w:r>
      <w:r w:rsidRPr="006F5419">
        <w:rPr>
          <w:rFonts w:ascii="Times" w:hAnsi="Times"/>
          <w:b/>
          <w:bCs/>
          <w:sz w:val="20"/>
          <w:szCs w:val="20"/>
        </w:rPr>
        <w:t>.</w:t>
      </w:r>
      <w:r w:rsidRPr="006F5419">
        <w:rPr>
          <w:rFonts w:ascii="Times" w:hAnsi="Times"/>
          <w:sz w:val="20"/>
          <w:szCs w:val="20"/>
        </w:rPr>
        <w:t xml:space="preserve"> </w:t>
      </w:r>
      <w:r w:rsidR="00547AC3" w:rsidRPr="006F5419">
        <w:rPr>
          <w:rFonts w:ascii="Times" w:hAnsi="Times"/>
          <w:sz w:val="20"/>
          <w:szCs w:val="20"/>
        </w:rPr>
        <w:t>Effect of Gallic Acid on Pro-/Anti-Apoptotic Protein Production in RA Fibroblast-Like Synoviocytes (FLS)</w:t>
      </w:r>
      <w:r w:rsidR="006F7CF1" w:rsidRPr="006F5419">
        <w:rPr>
          <w:rFonts w:ascii="Times" w:hAnsi="Times"/>
          <w:sz w:val="20"/>
          <w:szCs w:val="20"/>
        </w:rPr>
        <w:t xml:space="preserve"> </w:t>
      </w:r>
      <w:r w:rsidR="00547AC3" w:rsidRPr="006F5419">
        <w:rPr>
          <w:rFonts w:ascii="Times" w:hAnsi="Times"/>
          <w:b/>
          <w:bCs/>
          <w:sz w:val="20"/>
          <w:szCs w:val="20"/>
        </w:rPr>
        <w:t>A.</w:t>
      </w:r>
      <w:r w:rsidR="00547AC3" w:rsidRPr="006F5419">
        <w:rPr>
          <w:rFonts w:ascii="Times" w:hAnsi="Times"/>
          <w:sz w:val="20"/>
          <w:szCs w:val="20"/>
        </w:rPr>
        <w:t xml:space="preserve"> The production of Bcl-2, pAkt, p53, and Bax in RA FLS treated with gallic acid (0.1 and 1 μM) or DMSO vehicle for 48 hours was determined by Western blot analysis.</w:t>
      </w:r>
      <w:r w:rsidR="006F7CF1" w:rsidRPr="006F5419">
        <w:rPr>
          <w:rFonts w:ascii="Times" w:hAnsi="Times"/>
          <w:sz w:val="20"/>
          <w:szCs w:val="20"/>
        </w:rPr>
        <w:t xml:space="preserve"> </w:t>
      </w:r>
      <w:r w:rsidR="00547AC3" w:rsidRPr="006F5419">
        <w:rPr>
          <w:rFonts w:ascii="Times" w:hAnsi="Times"/>
          <w:b/>
          <w:bCs/>
          <w:sz w:val="20"/>
          <w:szCs w:val="20"/>
        </w:rPr>
        <w:t>B.</w:t>
      </w:r>
      <w:r w:rsidR="00547AC3" w:rsidRPr="006F5419">
        <w:rPr>
          <w:rFonts w:ascii="Times" w:hAnsi="Times"/>
          <w:sz w:val="20"/>
          <w:szCs w:val="20"/>
        </w:rPr>
        <w:t xml:space="preserve"> Time-dependent changes in the production of Bcl-2, pAkt, p53, and Bax in RA FLS treated with 1 μM gallic acid for the indicated times.</w:t>
      </w:r>
      <w:r w:rsidR="006F7CF1" w:rsidRPr="006F5419">
        <w:rPr>
          <w:rFonts w:ascii="Times" w:hAnsi="Times"/>
          <w:sz w:val="20"/>
          <w:szCs w:val="20"/>
        </w:rPr>
        <w:t xml:space="preserve"> </w:t>
      </w:r>
      <w:r w:rsidR="00547AC3" w:rsidRPr="006F5419">
        <w:rPr>
          <w:rFonts w:ascii="Times" w:hAnsi="Times"/>
          <w:b/>
          <w:bCs/>
          <w:sz w:val="20"/>
          <w:szCs w:val="20"/>
        </w:rPr>
        <w:t>C.</w:t>
      </w:r>
      <w:r w:rsidR="00547AC3" w:rsidRPr="006F5419">
        <w:rPr>
          <w:rFonts w:ascii="Times" w:hAnsi="Times"/>
          <w:sz w:val="20"/>
          <w:szCs w:val="20"/>
        </w:rPr>
        <w:t xml:space="preserve"> The optical density (OD) ratio of Bcl-2, Bax, or pAkt expression to β-actin</w:t>
      </w:r>
      <w:r w:rsidR="006F7CF1" w:rsidRPr="006F5419">
        <w:rPr>
          <w:rFonts w:ascii="Times" w:hAnsi="Times"/>
          <w:sz w:val="20"/>
          <w:szCs w:val="20"/>
        </w:rPr>
        <w:t xml:space="preserve"> </w:t>
      </w:r>
      <w:r w:rsidR="0064610C" w:rsidRPr="006F5419">
        <w:rPr>
          <w:rFonts w:ascii="Times" w:hAnsi="Times"/>
          <w:sz w:val="20"/>
          <w:szCs w:val="20"/>
        </w:rPr>
        <w:fldChar w:fldCharType="begin"/>
      </w:r>
      <w:r w:rsidR="0056095D">
        <w:rPr>
          <w:rFonts w:ascii="Times" w:hAnsi="Times"/>
          <w:sz w:val="20"/>
          <w:szCs w:val="20"/>
        </w:rPr>
        <w:instrText xml:space="preserve"> ADDIN ZOTERO_ITEM CSL_CITATION {"citationID":"bULB3Ur3","properties":{"formattedCitation":"[212]","plainCitation":"[212]","noteIndex":0},"citationItems":[{"id":129,"uris":["http://zotero.org/users/9439317/items/B7QP6I7H"],"itemData":{"id":129,"type":"article-journal","abstract":"Objectives: To investigate whether gallic acid (3, 4, 5-trihydroxybenzoic acid), a natural polyphenolic acid found in gall nuts, sumac, oak bark, tea leaves, grapes and wine, has pro-apoptotic and anti-inﬂammatory effects on ﬁbroblast-like synoviocytes (FLS) from patients with rheumatoid arthritis (RA).\nMethods: Viability of RA FLS was assessed using a MTT assay after gallic acid treatment. Apoptosis was assessed by TUNEL assay and caspase-3 activity was determined by a colorimetric assay. The levels of apoptosis-related proteins including Bcl-2, p-Akt, p53, and Bax were determined using western blot analyses, and the mRNA expressions of various pro-inﬂammatory mediators were measured using quantitative real-time PCR.\nResults: Cell viability of RA FLS was signiﬁcantly decreased by treatment with 10 or more ␮M of gallic acid. Gallic acid treatment at the concentrations that do not affect cell viability (0.1 and 1 ␮M) induced cellular apoptosis of RA FLS. Treatment with 0.1 and 1 ␮M of gallic acid also resulted in a signiﬁcant increase in caspase-3 activity and regulated the productions of Bcl-2, Bax, p53 and pAkt. The mRNA expression levels of pro-inﬂammatory cytokines (IL-1</w:instrText>
      </w:r>
      <w:r w:rsidR="0056095D">
        <w:rPr>
          <w:rFonts w:ascii="Segoe UI Symbol" w:hAnsi="Segoe UI Symbol" w:cs="Segoe UI Symbol"/>
          <w:sz w:val="20"/>
          <w:szCs w:val="20"/>
        </w:rPr>
        <w:instrText>␤</w:instrText>
      </w:r>
      <w:r w:rsidR="0056095D">
        <w:rPr>
          <w:rFonts w:ascii="Times" w:hAnsi="Times"/>
          <w:sz w:val="20"/>
          <w:szCs w:val="20"/>
        </w:rPr>
        <w:instrText xml:space="preserve">, IL-6), chemokines (CCL-2/MCP-1, CCL-7/MCP3), cyclooxygenase-2, and matrix metalloproteinase-9 from RA FLS were suppressed by the gallic acid treatment in dose-dependent manners.\nConclusion: Gallic acid treatment was found to induce apoptosis of RA FLS through regulation of apoptosisrelated protein expressions and to reduce the expression of pro-inﬂammatory genes in RA FLS. These data suggest that pro-apoptotic and anti-inﬂammatory activities of gallic acid may be used as a possible therapeutic option for RA.","container-title":"Joint Bone Spine","DOI":"10.1016/j.jbspin.2012.08.010","ISSN":"1297319X","issue":"3","journalAbbreviation":"Joint Bone Spine","language":"en","page":"274-279","source":"DOI.org (Crossref)","title":"Gallic acid, a natural polyphenolic acid, induces apoptosis and inhibits proinflammatory gene expressions in rheumatoid arthritis fibroblast-like synoviocytes","URL":"https://linkinghub.elsevier.com/retrieve/pii/S1297319X1200200X","volume":"80","author":[{"family":"Yoon","given":"Chong-Hyeon"},{"family":"Chung","given":"Soo-Jin"},{"family":"Lee","given":"Sang-Won"},{"family":"Park","given":"Yong-Beom"},{"family":"Lee","given":"Soo-Kon"},{"family":"Park","given":"Min-Chan"}],"accessed":{"date-parts":[["2022",6,24]]},"issued":{"date-parts":[["2013",5]]}}}],"schema":"https://github.com/citation-style-language/schema/raw/master/csl-citation.json"} </w:instrText>
      </w:r>
      <w:r w:rsidR="0064610C" w:rsidRPr="006F5419">
        <w:rPr>
          <w:rFonts w:ascii="Times" w:hAnsi="Times"/>
          <w:sz w:val="20"/>
          <w:szCs w:val="20"/>
        </w:rPr>
        <w:fldChar w:fldCharType="separate"/>
      </w:r>
      <w:r w:rsidR="0056095D">
        <w:rPr>
          <w:rFonts w:ascii="Times" w:hAnsi="Times"/>
          <w:noProof/>
          <w:sz w:val="20"/>
          <w:szCs w:val="20"/>
        </w:rPr>
        <w:t>[212]</w:t>
      </w:r>
      <w:r w:rsidR="0064610C" w:rsidRPr="006F5419">
        <w:rPr>
          <w:rFonts w:ascii="Times" w:hAnsi="Times"/>
          <w:sz w:val="20"/>
          <w:szCs w:val="20"/>
        </w:rPr>
        <w:fldChar w:fldCharType="end"/>
      </w:r>
      <w:r w:rsidR="0064610C" w:rsidRPr="006F5419">
        <w:rPr>
          <w:rFonts w:ascii="Times" w:hAnsi="Times"/>
          <w:sz w:val="20"/>
          <w:szCs w:val="20"/>
        </w:rPr>
        <w:t>.</w:t>
      </w:r>
    </w:p>
    <w:p w14:paraId="15BF057D" w14:textId="77777777" w:rsidR="002A5712" w:rsidRDefault="002A5712" w:rsidP="001C20E8">
      <w:pPr>
        <w:rPr>
          <w:rFonts w:ascii="Times" w:hAnsi="Times"/>
          <w:sz w:val="22"/>
          <w:szCs w:val="22"/>
        </w:rPr>
      </w:pPr>
    </w:p>
    <w:p w14:paraId="4089D5A4" w14:textId="00DADEF4" w:rsidR="00CA5234" w:rsidRPr="00CA5234" w:rsidRDefault="00CA5234" w:rsidP="00CA5234">
      <w:pPr>
        <w:rPr>
          <w:rFonts w:ascii="Times" w:hAnsi="Times"/>
          <w:b/>
          <w:bCs/>
        </w:rPr>
      </w:pPr>
      <w:r w:rsidRPr="00D22AA7">
        <w:rPr>
          <w:rFonts w:ascii="Times" w:hAnsi="Times"/>
          <w:b/>
          <w:bCs/>
        </w:rPr>
        <w:t>6.</w:t>
      </w:r>
      <w:r>
        <w:rPr>
          <w:rFonts w:ascii="Times" w:hAnsi="Times"/>
          <w:b/>
          <w:bCs/>
        </w:rPr>
        <w:t>8</w:t>
      </w:r>
      <w:r w:rsidRPr="00D22AA7">
        <w:rPr>
          <w:rFonts w:ascii="Times" w:hAnsi="Times"/>
          <w:b/>
          <w:bCs/>
        </w:rPr>
        <w:t xml:space="preserve">. In Vitro Evaluation of </w:t>
      </w:r>
      <w:r>
        <w:rPr>
          <w:rFonts w:ascii="Times" w:hAnsi="Times"/>
          <w:b/>
          <w:bCs/>
        </w:rPr>
        <w:t>Quercetin</w:t>
      </w:r>
    </w:p>
    <w:p w14:paraId="4E26C614" w14:textId="77777777" w:rsidR="00CA5234" w:rsidRPr="004D3243" w:rsidRDefault="00CA5234" w:rsidP="001C20E8">
      <w:pPr>
        <w:rPr>
          <w:rFonts w:ascii="Times" w:hAnsi="Times"/>
          <w:sz w:val="22"/>
          <w:szCs w:val="22"/>
        </w:rPr>
      </w:pPr>
    </w:p>
    <w:p w14:paraId="134BE6BA" w14:textId="3933BF2D" w:rsidR="001C20E8" w:rsidRPr="00D22AA7" w:rsidRDefault="1B42F3C9" w:rsidP="3300C1C8">
      <w:pPr>
        <w:rPr>
          <w:rFonts w:ascii="Times" w:hAnsi="Times"/>
        </w:rPr>
      </w:pPr>
      <w:r w:rsidRPr="00D22AA7">
        <w:rPr>
          <w:rFonts w:ascii="Times" w:hAnsi="Times"/>
        </w:rPr>
        <w:t>Quercetin inhibits the proliferation of both IL-1β-stimulated and unstimulated RASFs. It reduces the expression of PGE2, COX-2, and MMPs by blocking several signaling pathways, such as ERK1/2, p-38, JNK, NF-kB, and MAP kinases. These findings suggest that quercetin could be an effective option for the prevention and treatment of RA</w:t>
      </w:r>
      <w:r w:rsidR="69EE438C" w:rsidRPr="00D22AA7">
        <w:rPr>
          <w:rFonts w:ascii="Times" w:hAnsi="Times"/>
        </w:rPr>
        <w:t xml:space="preserve"> </w:t>
      </w:r>
      <w:r w:rsidR="001C20E8" w:rsidRPr="00D22AA7">
        <w:rPr>
          <w:rFonts w:ascii="Times" w:hAnsi="Times"/>
        </w:rPr>
        <w:fldChar w:fldCharType="begin"/>
      </w:r>
      <w:r w:rsidR="0056095D">
        <w:rPr>
          <w:rFonts w:ascii="Times" w:hAnsi="Times"/>
        </w:rPr>
        <w:instrText xml:space="preserve"> ADDIN ZOTERO_ITEM CSL_CITATION {"citationID":"vDtaywOi","properties":{"formattedCitation":"[213]","plainCitation":"[213]","noteIndex":0},"citationItems":[{"id":13087,"uris":["http://zotero.org/users/9439317/items/AVQZXSJD"],"itemData":{"id":13087,"type":"article-journal","abstract":"This study was aimed to determine the effects of quercetin on the interleukin-1β (IL-1β)-induced proliferation of rheumatoid synovial fibroblasts (RASFs) and production of matrix metalloproteinases (MMPs), cyclooxygenase (COX), and prostaglandin E2 (PGE2) by RASFs. The proliferation and apoptosis of RASFs was evaluated with CCK-8 reagent and flow cytometry in the presence of IL-1with CCK-8 reagquercetin. The expression of MMPs, IL-1β enhanced the expression of MMP-1, MMP-3, tissue inhibitor of metalloproteinase (TIMP)-1, COXs, PGE2, and intracellular mitogen-activated protein kinase (MAPK) signalings including phosphorylated extracellular signal-regulated kinase (p-ERK), p-p38, phosphorylated c-Jun N-terminal kinase (p-JNK), and nuclear factor kB (NF-kB) were examined by immunoblotting or semiquantitative reverse transcription-polymerase chain reaction (RT-PCR) and enzyme-linked immunosorbent assay (ELISA) in conditions as described above. Quercetin inhibits unstimulated and IL-1β-induced proliferation of RASFs and MMP-1, 3, COX-2 messenger ribonucleic acid and protein expression, PGE2 production induced with IL-1β. Quercetin also inhibits the phosphorylation of ERK-1/2, p38, JNK and activation of NF-kB by IL-1ed. These results indicate that quercetin inhibits synovial fibroblasts proliferation and MMPs, COX-2, and PGE2 production, which involved joint destruction in rheumatoid arthritis (RA), and suggest that it might be a new therapeutic agent for management of RA.","container-title":"Inflammation","DOI":"10.1007/s10753-012-9473-2","ISSN":"1573-2576","issue":"4","journalAbbreviation":"Inflammation","page":"1585-1594","title":"Quercetin Inhibits IL-1β-Induced Proliferation and Production of MMPs, COX-2, and PGE2 by Rheumatoid Synovial Fibroblast","URL":"https://doi.org/10.1007/s10753-012-9473-2","volume":"35","author":[{"family":"Sung","given":"Myung-Soon"},{"family":"Lee","given":"Eun-Gyeong"},{"family":"Jeon","given":"Hyun-Soon"},{"family":"Chae","given":"Han-Jung"},{"family":"Park","given":"Seoung Ju"},{"family":"Lee","given":"Yong Chul"},{"family":"Yoo","given":"Wan-Hee"}],"issued":{"date-parts":[["2012",8,1]]}}}],"schema":"https://github.com/citation-style-language/schema/raw/master/csl-citation.json"} </w:instrText>
      </w:r>
      <w:r w:rsidR="001C20E8" w:rsidRPr="00D22AA7">
        <w:rPr>
          <w:rFonts w:ascii="Times" w:hAnsi="Times"/>
        </w:rPr>
        <w:fldChar w:fldCharType="separate"/>
      </w:r>
      <w:r w:rsidR="0056095D">
        <w:rPr>
          <w:rFonts w:ascii="Times" w:hAnsi="Times"/>
          <w:noProof/>
        </w:rPr>
        <w:t>[213]</w:t>
      </w:r>
      <w:r w:rsidR="001C20E8" w:rsidRPr="00D22AA7">
        <w:rPr>
          <w:rFonts w:ascii="Times" w:hAnsi="Times"/>
        </w:rPr>
        <w:fldChar w:fldCharType="end"/>
      </w:r>
      <w:r w:rsidR="69EE438C" w:rsidRPr="00D22AA7">
        <w:rPr>
          <w:rFonts w:ascii="Times" w:hAnsi="Times"/>
        </w:rPr>
        <w:t>.</w:t>
      </w:r>
    </w:p>
    <w:p w14:paraId="7A14D512" w14:textId="3F0B0B0D" w:rsidR="001303F4" w:rsidRDefault="004D3243" w:rsidP="001C20E8">
      <w:pPr>
        <w:rPr>
          <w:rFonts w:ascii="Times" w:hAnsi="Times"/>
        </w:rPr>
      </w:pPr>
      <w:r>
        <w:rPr>
          <w:rFonts w:ascii="Times" w:hAnsi="Times"/>
        </w:rPr>
        <w:lastRenderedPageBreak/>
        <w:t xml:space="preserve">                                      </w:t>
      </w:r>
      <w:r w:rsidR="001303F4" w:rsidRPr="00D22AA7">
        <w:rPr>
          <w:rFonts w:ascii="Times" w:hAnsi="Times"/>
        </w:rPr>
        <w:fldChar w:fldCharType="begin"/>
      </w:r>
      <w:r w:rsidR="001303F4" w:rsidRPr="00D22AA7">
        <w:rPr>
          <w:rFonts w:ascii="Times" w:hAnsi="Times"/>
        </w:rPr>
        <w:instrText xml:space="preserve"> INCLUDEPICTURE "https://media.springernature.com/full/springer-static/image/art%3A10.1007%2Fs10753-012-9473-2/MediaObjects/10753_2012_9473_Fig2_HTML.gif" \* MERGEFORMATINET </w:instrText>
      </w:r>
      <w:r w:rsidR="001303F4" w:rsidRPr="00D22AA7">
        <w:rPr>
          <w:rFonts w:ascii="Times" w:hAnsi="Times"/>
        </w:rPr>
        <w:fldChar w:fldCharType="separate"/>
      </w:r>
      <w:r w:rsidR="001303F4" w:rsidRPr="00D22AA7">
        <w:rPr>
          <w:rFonts w:ascii="Times" w:hAnsi="Times"/>
          <w:noProof/>
        </w:rPr>
        <w:drawing>
          <wp:inline distT="0" distB="0" distL="0" distR="0" wp14:anchorId="54D0DC88" wp14:editId="56223EEF">
            <wp:extent cx="2846228" cy="3051110"/>
            <wp:effectExtent l="0" t="0" r="0" b="0"/>
            <wp:docPr id="1335112367" name="Picture 20"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ig.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958208" cy="3171150"/>
                    </a:xfrm>
                    <a:prstGeom prst="rect">
                      <a:avLst/>
                    </a:prstGeom>
                    <a:noFill/>
                    <a:ln>
                      <a:noFill/>
                    </a:ln>
                  </pic:spPr>
                </pic:pic>
              </a:graphicData>
            </a:graphic>
          </wp:inline>
        </w:drawing>
      </w:r>
      <w:r w:rsidR="001303F4" w:rsidRPr="00D22AA7">
        <w:rPr>
          <w:rFonts w:ascii="Times" w:hAnsi="Times"/>
        </w:rPr>
        <w:fldChar w:fldCharType="end"/>
      </w:r>
    </w:p>
    <w:p w14:paraId="7BD4B928" w14:textId="77777777" w:rsidR="00CE1D00" w:rsidRDefault="00CE1D00" w:rsidP="001C20E8">
      <w:pPr>
        <w:rPr>
          <w:rFonts w:ascii="Times" w:hAnsi="Times"/>
        </w:rPr>
      </w:pPr>
    </w:p>
    <w:p w14:paraId="05A3531F" w14:textId="344C5D1D" w:rsidR="00822179" w:rsidRPr="00CE1D00" w:rsidRDefault="002C530E" w:rsidP="004D3243">
      <w:pPr>
        <w:jc w:val="both"/>
        <w:rPr>
          <w:rFonts w:ascii="Times" w:hAnsi="Times"/>
          <w:sz w:val="20"/>
          <w:szCs w:val="20"/>
        </w:rPr>
      </w:pPr>
      <w:r w:rsidRPr="00CE1D00">
        <w:rPr>
          <w:rFonts w:ascii="Times" w:hAnsi="Times"/>
          <w:b/>
          <w:bCs/>
          <w:sz w:val="20"/>
          <w:szCs w:val="20"/>
        </w:rPr>
        <w:t>Figure 4</w:t>
      </w:r>
      <w:r w:rsidR="000F75FE" w:rsidRPr="00CE1D00">
        <w:rPr>
          <w:rFonts w:ascii="Times" w:hAnsi="Times"/>
          <w:b/>
          <w:bCs/>
          <w:sz w:val="20"/>
          <w:szCs w:val="20"/>
        </w:rPr>
        <w:t>7</w:t>
      </w:r>
      <w:r w:rsidRPr="00CE1D00">
        <w:rPr>
          <w:rFonts w:ascii="Times" w:hAnsi="Times"/>
          <w:b/>
          <w:bCs/>
          <w:sz w:val="20"/>
          <w:szCs w:val="20"/>
        </w:rPr>
        <w:t>.</w:t>
      </w:r>
      <w:r w:rsidR="00822179" w:rsidRPr="00CE1D00">
        <w:rPr>
          <w:rFonts w:ascii="Times" w:hAnsi="Times"/>
          <w:sz w:val="20"/>
          <w:szCs w:val="20"/>
        </w:rPr>
        <w:t xml:space="preserve"> Quercetin Induces Apoptosis of Rheumatoid Arthritis Synovial Fibroblasts (RASFs)</w:t>
      </w:r>
    </w:p>
    <w:p w14:paraId="4DC6C787" w14:textId="23B8489D" w:rsidR="002C530E" w:rsidRPr="00CE1D00" w:rsidRDefault="00822179" w:rsidP="004D3243">
      <w:pPr>
        <w:jc w:val="both"/>
        <w:rPr>
          <w:rFonts w:ascii="Times" w:hAnsi="Times"/>
          <w:sz w:val="20"/>
          <w:szCs w:val="20"/>
        </w:rPr>
      </w:pPr>
      <w:r w:rsidRPr="00CE1D00">
        <w:rPr>
          <w:rFonts w:ascii="Times" w:hAnsi="Times"/>
          <w:sz w:val="20"/>
          <w:szCs w:val="20"/>
        </w:rPr>
        <w:t>To investigate the exact cause of the decreased proliferation induced by quercetin, the effect of quercetin on apoptosis in RASFs was assessed using flow cytometry. RASFs (1 × 10^5) were cultured in 33 mm dishes in DMEM media with DMSO, with or without quercetin (100 μM). After 24 hours of culture, the cells were stained with Annexin-V and PI and analyzed by flow cytometry. Quercetin treatment significantly increased apoptosis in RASFs compared to the DMSO control group, which had no quercetin</w:t>
      </w:r>
      <w:r w:rsidR="00892209" w:rsidRPr="00CE1D00">
        <w:rPr>
          <w:rFonts w:ascii="Times" w:hAnsi="Times"/>
          <w:sz w:val="20"/>
          <w:szCs w:val="20"/>
        </w:rPr>
        <w:t xml:space="preserve"> </w:t>
      </w:r>
      <w:r w:rsidR="00985456" w:rsidRPr="00CE1D00">
        <w:rPr>
          <w:rFonts w:ascii="Times" w:hAnsi="Times"/>
          <w:sz w:val="20"/>
          <w:szCs w:val="20"/>
        </w:rPr>
        <w:fldChar w:fldCharType="begin"/>
      </w:r>
      <w:r w:rsidR="0056095D">
        <w:rPr>
          <w:rFonts w:ascii="Times" w:hAnsi="Times"/>
          <w:sz w:val="20"/>
          <w:szCs w:val="20"/>
        </w:rPr>
        <w:instrText xml:space="preserve"> ADDIN ZOTERO_ITEM CSL_CITATION {"citationID":"7rCNVB38","properties":{"formattedCitation":"[213]","plainCitation":"[213]","noteIndex":0},"citationItems":[{"id":13087,"uris":["http://zotero.org/users/9439317/items/AVQZXSJD"],"itemData":{"id":13087,"type":"article-journal","abstract":"This study was aimed to determine the effects of quercetin on the interleukin-1β (IL-1β)-induced proliferation of rheumatoid synovial fibroblasts (RASFs) and production of matrix metalloproteinases (MMPs), cyclooxygenase (COX), and prostaglandin E2 (PGE2) by RASFs. The proliferation and apoptosis of RASFs was evaluated with CCK-8 reagent and flow cytometry in the presence of IL-1with CCK-8 reagquercetin. The expression of MMPs, IL-1β enhanced the expression of MMP-1, MMP-3, tissue inhibitor of metalloproteinase (TIMP)-1, COXs, PGE2, and intracellular mitogen-activated protein kinase (MAPK) signalings including phosphorylated extracellular signal-regulated kinase (p-ERK), p-p38, phosphorylated c-Jun N-terminal kinase (p-JNK), and nuclear factor kB (NF-kB) were examined by immunoblotting or semiquantitative reverse transcription-polymerase chain reaction (RT-PCR) and enzyme-linked immunosorbent assay (ELISA) in conditions as described above. Quercetin inhibits unstimulated and IL-1β-induced proliferation of RASFs and MMP-1, 3, COX-2 messenger ribonucleic acid and protein expression, PGE2 production induced with IL-1β. Quercetin also inhibits the phosphorylation of ERK-1/2, p38, JNK and activation of NF-kB by IL-1ed. These results indicate that quercetin inhibits synovial fibroblasts proliferation and MMPs, COX-2, and PGE2 production, which involved joint destruction in rheumatoid arthritis (RA), and suggest that it might be a new therapeutic agent for management of RA.","container-title":"Inflammation","DOI":"10.1007/s10753-012-9473-2","ISSN":"1573-2576","issue":"4","journalAbbreviation":"Inflammation","page":"1585-1594","title":"Quercetin Inhibits IL-1β-Induced Proliferation and Production of MMPs, COX-2, and PGE2 by Rheumatoid Synovial Fibroblast","URL":"https://doi.org/10.1007/s10753-012-9473-2","volume":"35","author":[{"family":"Sung","given":"Myung-Soon"},{"family":"Lee","given":"Eun-Gyeong"},{"family":"Jeon","given":"Hyun-Soon"},{"family":"Chae","given":"Han-Jung"},{"family":"Park","given":"Seoung Ju"},{"family":"Lee","given":"Yong Chul"},{"family":"Yoo","given":"Wan-Hee"}],"issued":{"date-parts":[["2012",8,1]]}}}],"schema":"https://github.com/citation-style-language/schema/raw/master/csl-citation.json"} </w:instrText>
      </w:r>
      <w:r w:rsidR="00985456" w:rsidRPr="00CE1D00">
        <w:rPr>
          <w:rFonts w:ascii="Times" w:hAnsi="Times"/>
          <w:sz w:val="20"/>
          <w:szCs w:val="20"/>
        </w:rPr>
        <w:fldChar w:fldCharType="separate"/>
      </w:r>
      <w:r w:rsidR="0056095D">
        <w:rPr>
          <w:rFonts w:ascii="Times" w:hAnsi="Times"/>
          <w:noProof/>
          <w:sz w:val="20"/>
          <w:szCs w:val="20"/>
        </w:rPr>
        <w:t>[213]</w:t>
      </w:r>
      <w:r w:rsidR="00985456" w:rsidRPr="00CE1D00">
        <w:rPr>
          <w:rFonts w:ascii="Times" w:hAnsi="Times"/>
          <w:sz w:val="20"/>
          <w:szCs w:val="20"/>
        </w:rPr>
        <w:fldChar w:fldCharType="end"/>
      </w:r>
      <w:r w:rsidR="00985456" w:rsidRPr="00CE1D00">
        <w:rPr>
          <w:rFonts w:ascii="Times" w:hAnsi="Times"/>
          <w:sz w:val="20"/>
          <w:szCs w:val="20"/>
        </w:rPr>
        <w:t>.</w:t>
      </w:r>
    </w:p>
    <w:p w14:paraId="0B55A403" w14:textId="48D978AE" w:rsidR="001303F4" w:rsidRPr="00CE1D00" w:rsidRDefault="004D3243" w:rsidP="001C20E8">
      <w:pPr>
        <w:rPr>
          <w:rFonts w:ascii="Times" w:hAnsi="Times"/>
          <w:sz w:val="20"/>
          <w:szCs w:val="20"/>
        </w:rPr>
      </w:pPr>
      <w:r w:rsidRPr="00CE1D00">
        <w:rPr>
          <w:rFonts w:ascii="Times" w:hAnsi="Times"/>
          <w:sz w:val="20"/>
          <w:szCs w:val="20"/>
        </w:rPr>
        <w:t xml:space="preserve">                        </w:t>
      </w:r>
      <w:r w:rsidR="001303F4" w:rsidRPr="00CE1D00">
        <w:rPr>
          <w:rFonts w:ascii="Times" w:hAnsi="Times"/>
          <w:sz w:val="20"/>
          <w:szCs w:val="20"/>
        </w:rPr>
        <w:fldChar w:fldCharType="begin"/>
      </w:r>
      <w:r w:rsidR="001303F4" w:rsidRPr="00CE1D00">
        <w:rPr>
          <w:rFonts w:ascii="Times" w:hAnsi="Times"/>
          <w:sz w:val="20"/>
          <w:szCs w:val="20"/>
        </w:rPr>
        <w:instrText xml:space="preserve"> INCLUDEPICTURE "https://media.springernature.com/full/springer-static/image/art%3A10.1007%2Fs10753-012-9473-2/MediaObjects/10753_2012_9473_Fig3_HTML.gif" \* MERGEFORMATINET </w:instrText>
      </w:r>
      <w:r w:rsidR="001303F4" w:rsidRPr="00CE1D00">
        <w:rPr>
          <w:rFonts w:ascii="Times" w:hAnsi="Times"/>
          <w:sz w:val="20"/>
          <w:szCs w:val="20"/>
        </w:rPr>
        <w:fldChar w:fldCharType="separate"/>
      </w:r>
      <w:r w:rsidR="001303F4" w:rsidRPr="00CE1D00">
        <w:rPr>
          <w:rFonts w:ascii="Times" w:hAnsi="Times"/>
          <w:noProof/>
          <w:sz w:val="20"/>
          <w:szCs w:val="20"/>
        </w:rPr>
        <w:drawing>
          <wp:inline distT="0" distB="0" distL="0" distR="0" wp14:anchorId="292A37D8" wp14:editId="16B58298">
            <wp:extent cx="3883937" cy="3173542"/>
            <wp:effectExtent l="0" t="0" r="2540" b="1905"/>
            <wp:docPr id="2059943309" name="Picture 21" descr="Fi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ig.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939568" cy="3218997"/>
                    </a:xfrm>
                    <a:prstGeom prst="rect">
                      <a:avLst/>
                    </a:prstGeom>
                    <a:noFill/>
                    <a:ln>
                      <a:noFill/>
                    </a:ln>
                  </pic:spPr>
                </pic:pic>
              </a:graphicData>
            </a:graphic>
          </wp:inline>
        </w:drawing>
      </w:r>
      <w:r w:rsidR="001303F4" w:rsidRPr="00CE1D00">
        <w:rPr>
          <w:rFonts w:ascii="Times" w:hAnsi="Times"/>
          <w:sz w:val="20"/>
          <w:szCs w:val="20"/>
        </w:rPr>
        <w:fldChar w:fldCharType="end"/>
      </w:r>
    </w:p>
    <w:p w14:paraId="603196E5" w14:textId="439058B0" w:rsidR="002C530E" w:rsidRPr="00CE1D00" w:rsidRDefault="002C530E" w:rsidP="001C20E8">
      <w:pPr>
        <w:rPr>
          <w:rFonts w:ascii="Times" w:hAnsi="Times"/>
          <w:sz w:val="20"/>
          <w:szCs w:val="20"/>
        </w:rPr>
      </w:pPr>
      <w:r w:rsidRPr="00CE1D00">
        <w:rPr>
          <w:rFonts w:ascii="Times" w:hAnsi="Times"/>
          <w:b/>
          <w:bCs/>
          <w:sz w:val="20"/>
          <w:szCs w:val="20"/>
        </w:rPr>
        <w:t xml:space="preserve">Figure </w:t>
      </w:r>
      <w:r w:rsidR="000F75FE" w:rsidRPr="00CE1D00">
        <w:rPr>
          <w:rFonts w:ascii="Times" w:hAnsi="Times"/>
          <w:b/>
          <w:bCs/>
          <w:sz w:val="20"/>
          <w:szCs w:val="20"/>
        </w:rPr>
        <w:t>48</w:t>
      </w:r>
      <w:r w:rsidRPr="00CE1D00">
        <w:rPr>
          <w:rFonts w:ascii="Times" w:hAnsi="Times"/>
          <w:sz w:val="20"/>
          <w:szCs w:val="20"/>
        </w:rPr>
        <w:t>.</w:t>
      </w:r>
      <w:r w:rsidR="00822179" w:rsidRPr="00CE1D00">
        <w:rPr>
          <w:rFonts w:ascii="Times" w:hAnsi="Times"/>
          <w:sz w:val="20"/>
          <w:szCs w:val="20"/>
        </w:rPr>
        <w:t xml:space="preserve"> Quercetin Inhibits IL-1β-Induced Production of MMPs and COX-2 in Rheumatoid Arthritis Synovial Fibroblasts (RASFs)</w:t>
      </w:r>
      <w:r w:rsidR="00410DDA" w:rsidRPr="00CE1D00">
        <w:rPr>
          <w:rFonts w:ascii="Times" w:hAnsi="Times"/>
          <w:sz w:val="20"/>
          <w:szCs w:val="20"/>
        </w:rPr>
        <w:t xml:space="preserve">. </w:t>
      </w:r>
      <w:r w:rsidR="00822179" w:rsidRPr="00CE1D00">
        <w:rPr>
          <w:rFonts w:ascii="Times" w:hAnsi="Times"/>
          <w:sz w:val="20"/>
          <w:szCs w:val="20"/>
        </w:rPr>
        <w:t>To assess the expression of MMP-1, MMP-3, TIMP-1, and COX-1 and COX-2 at both the mRNA and protein levels, RASFs (1 × 10^6 cells) were cultured for 2 days with or without IL-1β (1.0 ng/ml) and quercetin (100 μM). RNA and protein were extracted and analyzed using RT-PCR (a) and Western blotting (b). IL-1β treatment enhanced the expression of MMP-1, MMP-3, TIMP-1, and COX-2 proteins compared to the control group. However, quercetin inhibited the IL-1β-induced expression of MMP-1, MMP-3, and COX-2 proteins</w:t>
      </w:r>
      <w:r w:rsidR="00410DDA" w:rsidRPr="00CE1D00">
        <w:rPr>
          <w:rFonts w:ascii="Times" w:hAnsi="Times"/>
          <w:sz w:val="20"/>
          <w:szCs w:val="20"/>
        </w:rPr>
        <w:t xml:space="preserve"> </w:t>
      </w:r>
      <w:r w:rsidR="00985456" w:rsidRPr="00CE1D00">
        <w:rPr>
          <w:rFonts w:ascii="Times" w:hAnsi="Times"/>
          <w:sz w:val="20"/>
          <w:szCs w:val="20"/>
        </w:rPr>
        <w:fldChar w:fldCharType="begin"/>
      </w:r>
      <w:r w:rsidR="0056095D">
        <w:rPr>
          <w:rFonts w:ascii="Times" w:hAnsi="Times"/>
          <w:sz w:val="20"/>
          <w:szCs w:val="20"/>
        </w:rPr>
        <w:instrText xml:space="preserve"> ADDIN ZOTERO_ITEM CSL_CITATION {"citationID":"W4XEW3oW","properties":{"formattedCitation":"[213]","plainCitation":"[213]","noteIndex":0},"citationItems":[{"id":13087,"uris":["http://zotero.org/users/9439317/items/AVQZXSJD"],"itemData":{"id":13087,"type":"article-journal","abstract":"This study was aimed to determine the effects of quercetin on the interleukin-1β (IL-1β)-induced proliferation of rheumatoid synovial fibroblasts (RASFs) and production of matrix metalloproteinases (MMPs), cyclooxygenase (COX), and prostaglandin E2 (PGE2) by RASFs. The proliferation and apoptosis of RASFs was evaluated with CCK-8 reagent and flow cytometry in the presence of IL-1with CCK-8 reagquercetin. The expression of MMPs, IL-1β enhanced the expression of MMP-1, MMP-3, tissue inhibitor of metalloproteinase (TIMP)-1, COXs, PGE2, and intracellular mitogen-activated protein kinase (MAPK) signalings including phosphorylated extracellular signal-regulated kinase (p-ERK), p-p38, phosphorylated c-Jun N-terminal kinase (p-JNK), and nuclear factor kB (NF-kB) were examined by immunoblotting or semiquantitative reverse transcription-polymerase chain reaction (RT-PCR) and enzyme-linked immunosorbent assay (ELISA) in conditions as described above. Quercetin inhibits unstimulated and IL-1β-induced proliferation of RASFs and MMP-1, 3, COX-2 messenger ribonucleic acid and protein expression, PGE2 production induced with IL-1β. Quercetin also inhibits the phosphorylation of ERK-1/2, p38, JNK and activation of NF-kB by IL-1ed. These results indicate that quercetin inhibits synovial fibroblasts proliferation and MMPs, COX-2, and PGE2 production, which involved joint destruction in rheumatoid arthritis (RA), and suggest that it might be a new therapeutic agent for management of RA.","container-title":"Inflammation","DOI":"10.1007/s10753-012-9473-2","ISSN":"1573-2576","issue":"4","journalAbbreviation":"Inflammation","page":"1585-1594","title":"Quercetin Inhibits IL-1β-Induced Proliferation and Production of MMPs, COX-2, and PGE2 by Rheumatoid Synovial Fibroblast","URL":"https://doi.org/10.1007/s10753-012-9473-2","volume":"35","author":[{"family":"Sung","given":"Myung-Soon"},{"family":"Lee","given":"Eun-Gyeong"},{"family":"Jeon","given":"Hyun-Soon"},{"family":"Chae","given":"Han-Jung"},{"family":"Park","given":"Seoung Ju"},{"family":"Lee","given":"Yong Chul"},{"family":"Yoo","given":"Wan-Hee"}],"issued":{"date-parts":[["2012",8,1]]}}}],"schema":"https://github.com/citation-style-language/schema/raw/master/csl-citation.json"} </w:instrText>
      </w:r>
      <w:r w:rsidR="00985456" w:rsidRPr="00CE1D00">
        <w:rPr>
          <w:rFonts w:ascii="Times" w:hAnsi="Times"/>
          <w:sz w:val="20"/>
          <w:szCs w:val="20"/>
        </w:rPr>
        <w:fldChar w:fldCharType="separate"/>
      </w:r>
      <w:r w:rsidR="0056095D">
        <w:rPr>
          <w:rFonts w:ascii="Times" w:hAnsi="Times"/>
          <w:noProof/>
          <w:sz w:val="20"/>
          <w:szCs w:val="20"/>
        </w:rPr>
        <w:t>[213]</w:t>
      </w:r>
      <w:r w:rsidR="00985456" w:rsidRPr="00CE1D00">
        <w:rPr>
          <w:rFonts w:ascii="Times" w:hAnsi="Times"/>
          <w:sz w:val="20"/>
          <w:szCs w:val="20"/>
        </w:rPr>
        <w:fldChar w:fldCharType="end"/>
      </w:r>
      <w:r w:rsidR="00985456" w:rsidRPr="00CE1D00">
        <w:rPr>
          <w:rFonts w:ascii="Times" w:hAnsi="Times"/>
          <w:sz w:val="20"/>
          <w:szCs w:val="20"/>
        </w:rPr>
        <w:t>.</w:t>
      </w:r>
    </w:p>
    <w:p w14:paraId="3B8A4E3D" w14:textId="3162F91F" w:rsidR="001303F4" w:rsidRDefault="004D3243" w:rsidP="001C20E8">
      <w:pPr>
        <w:rPr>
          <w:rFonts w:ascii="Times" w:hAnsi="Times"/>
        </w:rPr>
      </w:pPr>
      <w:r>
        <w:rPr>
          <w:rFonts w:ascii="Times" w:hAnsi="Times"/>
        </w:rPr>
        <w:lastRenderedPageBreak/>
        <w:t xml:space="preserve">                            </w:t>
      </w:r>
      <w:r w:rsidR="001303F4" w:rsidRPr="00D22AA7">
        <w:rPr>
          <w:rFonts w:ascii="Times" w:hAnsi="Times"/>
        </w:rPr>
        <w:fldChar w:fldCharType="begin"/>
      </w:r>
      <w:r w:rsidR="001303F4" w:rsidRPr="00D22AA7">
        <w:rPr>
          <w:rFonts w:ascii="Times" w:hAnsi="Times"/>
        </w:rPr>
        <w:instrText xml:space="preserve"> INCLUDEPICTURE "https://media.springernature.com/full/springer-static/image/art%3A10.1007%2Fs10753-012-9473-2/MediaObjects/10753_2012_9473_Fig4_HTML.gif" \* MERGEFORMATINET </w:instrText>
      </w:r>
      <w:r w:rsidR="001303F4" w:rsidRPr="00D22AA7">
        <w:rPr>
          <w:rFonts w:ascii="Times" w:hAnsi="Times"/>
        </w:rPr>
        <w:fldChar w:fldCharType="separate"/>
      </w:r>
      <w:r w:rsidR="001303F4" w:rsidRPr="00D22AA7">
        <w:rPr>
          <w:rFonts w:ascii="Times" w:hAnsi="Times"/>
          <w:noProof/>
        </w:rPr>
        <w:drawing>
          <wp:inline distT="0" distB="0" distL="0" distR="0" wp14:anchorId="2067FAA2" wp14:editId="713C008B">
            <wp:extent cx="3650941" cy="1955549"/>
            <wp:effectExtent l="0" t="0" r="0" b="635"/>
            <wp:docPr id="1138942059" name="Picture 22" descr="Fi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ig.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697942" cy="1980724"/>
                    </a:xfrm>
                    <a:prstGeom prst="rect">
                      <a:avLst/>
                    </a:prstGeom>
                    <a:noFill/>
                    <a:ln>
                      <a:noFill/>
                    </a:ln>
                  </pic:spPr>
                </pic:pic>
              </a:graphicData>
            </a:graphic>
          </wp:inline>
        </w:drawing>
      </w:r>
      <w:r w:rsidR="001303F4" w:rsidRPr="00D22AA7">
        <w:rPr>
          <w:rFonts w:ascii="Times" w:hAnsi="Times"/>
        </w:rPr>
        <w:fldChar w:fldCharType="end"/>
      </w:r>
    </w:p>
    <w:p w14:paraId="5D3F61DA" w14:textId="4B4505B8" w:rsidR="002C530E" w:rsidRPr="00CE1D00" w:rsidRDefault="002C530E" w:rsidP="001C20E8">
      <w:pPr>
        <w:rPr>
          <w:rFonts w:ascii="Times" w:hAnsi="Times"/>
          <w:sz w:val="20"/>
          <w:szCs w:val="20"/>
        </w:rPr>
      </w:pPr>
      <w:r w:rsidRPr="00CE1D00">
        <w:rPr>
          <w:rFonts w:ascii="Times" w:hAnsi="Times"/>
          <w:b/>
          <w:bCs/>
          <w:sz w:val="20"/>
          <w:szCs w:val="20"/>
        </w:rPr>
        <w:t xml:space="preserve">Figure </w:t>
      </w:r>
      <w:r w:rsidR="000F75FE" w:rsidRPr="00CE1D00">
        <w:rPr>
          <w:rFonts w:ascii="Times" w:hAnsi="Times"/>
          <w:b/>
          <w:bCs/>
          <w:sz w:val="20"/>
          <w:szCs w:val="20"/>
        </w:rPr>
        <w:t>49</w:t>
      </w:r>
      <w:r w:rsidRPr="00CE1D00">
        <w:rPr>
          <w:rFonts w:ascii="Times" w:hAnsi="Times"/>
          <w:b/>
          <w:bCs/>
          <w:sz w:val="20"/>
          <w:szCs w:val="20"/>
        </w:rPr>
        <w:t>.</w:t>
      </w:r>
      <w:r w:rsidR="00822179" w:rsidRPr="00CE1D00">
        <w:rPr>
          <w:rFonts w:ascii="Times" w:hAnsi="Times"/>
          <w:sz w:val="20"/>
          <w:szCs w:val="20"/>
        </w:rPr>
        <w:t xml:space="preserve"> Quercetin Inhibits PGE2 Production in RASFs</w:t>
      </w:r>
      <w:r w:rsidR="002261FD" w:rsidRPr="00CE1D00">
        <w:rPr>
          <w:rFonts w:ascii="Times" w:hAnsi="Times"/>
          <w:sz w:val="20"/>
          <w:szCs w:val="20"/>
        </w:rPr>
        <w:t xml:space="preserve"> </w:t>
      </w:r>
      <w:r w:rsidR="00822179" w:rsidRPr="00CE1D00">
        <w:rPr>
          <w:rFonts w:ascii="Times" w:hAnsi="Times"/>
          <w:sz w:val="20"/>
          <w:szCs w:val="20"/>
        </w:rPr>
        <w:t>RASFs (1 × 10^4 cells) were cultured in 25 cm² tissue-culture flasks for 48 hours, with serum starvation overnight before stimulation. The cells were then cultured for 2 days with or without IL-1β (1.0 ng/ml) and quercetin (100 μM). The production of PGE2 was measured using an ELISA kit. IL-1β-induced PGE2 production was significantly inhibited by quercetin treatment</w:t>
      </w:r>
      <w:r w:rsidRPr="00CE1D00">
        <w:rPr>
          <w:rFonts w:ascii="Times" w:hAnsi="Times"/>
          <w:sz w:val="20"/>
          <w:szCs w:val="20"/>
        </w:rPr>
        <w:t xml:space="preserve"> </w:t>
      </w:r>
      <w:r w:rsidR="00985456" w:rsidRPr="00CE1D00">
        <w:rPr>
          <w:rFonts w:ascii="Times" w:hAnsi="Times"/>
          <w:sz w:val="20"/>
          <w:szCs w:val="20"/>
        </w:rPr>
        <w:fldChar w:fldCharType="begin"/>
      </w:r>
      <w:r w:rsidR="0056095D">
        <w:rPr>
          <w:rFonts w:ascii="Times" w:hAnsi="Times"/>
          <w:sz w:val="20"/>
          <w:szCs w:val="20"/>
        </w:rPr>
        <w:instrText xml:space="preserve"> ADDIN ZOTERO_ITEM CSL_CITATION {"citationID":"AEcv6ZYS","properties":{"formattedCitation":"[213]","plainCitation":"[213]","noteIndex":0},"citationItems":[{"id":13087,"uris":["http://zotero.org/users/9439317/items/AVQZXSJD"],"itemData":{"id":13087,"type":"article-journal","abstract":"This study was aimed to determine the effects of quercetin on the interleukin-1β (IL-1β)-induced proliferation of rheumatoid synovial fibroblasts (RASFs) and production of matrix metalloproteinases (MMPs), cyclooxygenase (COX), and prostaglandin E2 (PGE2) by RASFs. The proliferation and apoptosis of RASFs was evaluated with CCK-8 reagent and flow cytometry in the presence of IL-1with CCK-8 reagquercetin. The expression of MMPs, IL-1β enhanced the expression of MMP-1, MMP-3, tissue inhibitor of metalloproteinase (TIMP)-1, COXs, PGE2, and intracellular mitogen-activated protein kinase (MAPK) signalings including phosphorylated extracellular signal-regulated kinase (p-ERK), p-p38, phosphorylated c-Jun N-terminal kinase (p-JNK), and nuclear factor kB (NF-kB) were examined by immunoblotting or semiquantitative reverse transcription-polymerase chain reaction (RT-PCR) and enzyme-linked immunosorbent assay (ELISA) in conditions as described above. Quercetin inhibits unstimulated and IL-1β-induced proliferation of RASFs and MMP-1, 3, COX-2 messenger ribonucleic acid and protein expression, PGE2 production induced with IL-1β. Quercetin also inhibits the phosphorylation of ERK-1/2, p38, JNK and activation of NF-kB by IL-1ed. These results indicate that quercetin inhibits synovial fibroblasts proliferation and MMPs, COX-2, and PGE2 production, which involved joint destruction in rheumatoid arthritis (RA), and suggest that it might be a new therapeutic agent for management of RA.","container-title":"Inflammation","DOI":"10.1007/s10753-012-9473-2","ISSN":"1573-2576","issue":"4","journalAbbreviation":"Inflammation","page":"1585-1594","title":"Quercetin Inhibits IL-1β-Induced Proliferation and Production of MMPs, COX-2, and PGE2 by Rheumatoid Synovial Fibroblast","URL":"https://doi.org/10.1007/s10753-012-9473-2","volume":"35","author":[{"family":"Sung","given":"Myung-Soon"},{"family":"Lee","given":"Eun-Gyeong"},{"family":"Jeon","given":"Hyun-Soon"},{"family":"Chae","given":"Han-Jung"},{"family":"Park","given":"Seoung Ju"},{"family":"Lee","given":"Yong Chul"},{"family":"Yoo","given":"Wan-Hee"}],"issued":{"date-parts":[["2012",8,1]]}}}],"schema":"https://github.com/citation-style-language/schema/raw/master/csl-citation.json"} </w:instrText>
      </w:r>
      <w:r w:rsidR="00985456" w:rsidRPr="00CE1D00">
        <w:rPr>
          <w:rFonts w:ascii="Times" w:hAnsi="Times"/>
          <w:sz w:val="20"/>
          <w:szCs w:val="20"/>
        </w:rPr>
        <w:fldChar w:fldCharType="separate"/>
      </w:r>
      <w:r w:rsidR="0056095D">
        <w:rPr>
          <w:rFonts w:ascii="Times" w:hAnsi="Times"/>
          <w:noProof/>
          <w:sz w:val="20"/>
          <w:szCs w:val="20"/>
        </w:rPr>
        <w:t>[213]</w:t>
      </w:r>
      <w:r w:rsidR="00985456" w:rsidRPr="00CE1D00">
        <w:rPr>
          <w:rFonts w:ascii="Times" w:hAnsi="Times"/>
          <w:sz w:val="20"/>
          <w:szCs w:val="20"/>
        </w:rPr>
        <w:fldChar w:fldCharType="end"/>
      </w:r>
      <w:r w:rsidR="00985456" w:rsidRPr="00CE1D00">
        <w:rPr>
          <w:rFonts w:ascii="Times" w:hAnsi="Times"/>
          <w:sz w:val="20"/>
          <w:szCs w:val="20"/>
        </w:rPr>
        <w:t>.</w:t>
      </w:r>
    </w:p>
    <w:p w14:paraId="4214602D" w14:textId="77777777" w:rsidR="001303F4" w:rsidRPr="00D22AA7" w:rsidRDefault="001303F4" w:rsidP="001C20E8">
      <w:pPr>
        <w:rPr>
          <w:rFonts w:ascii="Times" w:hAnsi="Times"/>
        </w:rPr>
      </w:pPr>
    </w:p>
    <w:p w14:paraId="67F1EBFA" w14:textId="6C610554" w:rsidR="001303F4" w:rsidRDefault="004D3243" w:rsidP="001C20E8">
      <w:pPr>
        <w:rPr>
          <w:rFonts w:ascii="Times" w:hAnsi="Times"/>
        </w:rPr>
      </w:pPr>
      <w:r>
        <w:rPr>
          <w:rFonts w:ascii="Times" w:hAnsi="Times"/>
        </w:rPr>
        <w:t xml:space="preserve">                </w:t>
      </w:r>
      <w:r w:rsidR="001303F4" w:rsidRPr="00D22AA7">
        <w:rPr>
          <w:rFonts w:ascii="Times" w:hAnsi="Times"/>
        </w:rPr>
        <w:fldChar w:fldCharType="begin"/>
      </w:r>
      <w:r w:rsidR="001303F4" w:rsidRPr="00D22AA7">
        <w:rPr>
          <w:rFonts w:ascii="Times" w:hAnsi="Times"/>
        </w:rPr>
        <w:instrText xml:space="preserve"> INCLUDEPICTURE "https://media.springernature.com/full/springer-static/image/art%3A10.1007%2Fs10753-012-9473-2/MediaObjects/10753_2012_9473_Fig5_HTML.gif" \* MERGEFORMATINET </w:instrText>
      </w:r>
      <w:r w:rsidR="001303F4" w:rsidRPr="00D22AA7">
        <w:rPr>
          <w:rFonts w:ascii="Times" w:hAnsi="Times"/>
        </w:rPr>
        <w:fldChar w:fldCharType="separate"/>
      </w:r>
      <w:r w:rsidR="47D9D5B3" w:rsidRPr="00D22AA7">
        <w:rPr>
          <w:rFonts w:ascii="Times" w:hAnsi="Times"/>
          <w:noProof/>
        </w:rPr>
        <w:drawing>
          <wp:inline distT="0" distB="0" distL="0" distR="0" wp14:anchorId="1ED6A6E2" wp14:editId="0C5744D4">
            <wp:extent cx="4586405" cy="3458424"/>
            <wp:effectExtent l="0" t="0" r="0" b="0"/>
            <wp:docPr id="1669091216" name="Picture 23" descr="Fi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65">
                      <a:extLst>
                        <a:ext uri="{28A0092B-C50C-407E-A947-70E740481C1C}">
                          <a14:useLocalDpi xmlns:a14="http://schemas.microsoft.com/office/drawing/2010/main" val="0"/>
                        </a:ext>
                      </a:extLst>
                    </a:blip>
                    <a:stretch>
                      <a:fillRect/>
                    </a:stretch>
                  </pic:blipFill>
                  <pic:spPr>
                    <a:xfrm>
                      <a:off x="0" y="0"/>
                      <a:ext cx="4641691" cy="3500113"/>
                    </a:xfrm>
                    <a:prstGeom prst="rect">
                      <a:avLst/>
                    </a:prstGeom>
                  </pic:spPr>
                </pic:pic>
              </a:graphicData>
            </a:graphic>
          </wp:inline>
        </w:drawing>
      </w:r>
      <w:r w:rsidR="001303F4" w:rsidRPr="00D22AA7">
        <w:rPr>
          <w:rFonts w:ascii="Times" w:hAnsi="Times"/>
        </w:rPr>
        <w:fldChar w:fldCharType="end"/>
      </w:r>
    </w:p>
    <w:p w14:paraId="232A51E2" w14:textId="6F5533C1" w:rsidR="00822179" w:rsidRPr="00CE1D00" w:rsidRDefault="002C530E" w:rsidP="00822179">
      <w:pPr>
        <w:rPr>
          <w:rFonts w:ascii="Times" w:hAnsi="Times"/>
          <w:sz w:val="20"/>
          <w:szCs w:val="20"/>
        </w:rPr>
      </w:pPr>
      <w:r w:rsidRPr="00CE1D00">
        <w:rPr>
          <w:rFonts w:ascii="Times" w:hAnsi="Times"/>
          <w:b/>
          <w:bCs/>
          <w:sz w:val="20"/>
          <w:szCs w:val="20"/>
        </w:rPr>
        <w:t>Figure 5</w:t>
      </w:r>
      <w:r w:rsidR="000F75FE" w:rsidRPr="00CE1D00">
        <w:rPr>
          <w:rFonts w:ascii="Times" w:hAnsi="Times"/>
          <w:b/>
          <w:bCs/>
          <w:sz w:val="20"/>
          <w:szCs w:val="20"/>
        </w:rPr>
        <w:t>0</w:t>
      </w:r>
      <w:r w:rsidRPr="00CE1D00">
        <w:rPr>
          <w:rFonts w:ascii="Times" w:hAnsi="Times"/>
          <w:b/>
          <w:bCs/>
          <w:sz w:val="20"/>
          <w:szCs w:val="20"/>
        </w:rPr>
        <w:t>.</w:t>
      </w:r>
      <w:r w:rsidR="00822179" w:rsidRPr="00CE1D00">
        <w:rPr>
          <w:rFonts w:ascii="Times" w:hAnsi="Times"/>
          <w:sz w:val="20"/>
          <w:szCs w:val="20"/>
        </w:rPr>
        <w:t xml:space="preserve"> Effects of Quercetin on IL-1β-Induced MAPK Pathways and NF-κB Activation in RASFs</w:t>
      </w:r>
    </w:p>
    <w:p w14:paraId="3FFF0723" w14:textId="6151AD36" w:rsidR="002C530E" w:rsidRPr="00CE1D00" w:rsidRDefault="00822179" w:rsidP="001C20E8">
      <w:pPr>
        <w:rPr>
          <w:rFonts w:ascii="Times" w:hAnsi="Times"/>
          <w:sz w:val="20"/>
          <w:szCs w:val="20"/>
        </w:rPr>
      </w:pPr>
      <w:r w:rsidRPr="00CE1D00">
        <w:rPr>
          <w:rFonts w:ascii="Times" w:hAnsi="Times"/>
          <w:sz w:val="20"/>
          <w:szCs w:val="20"/>
        </w:rPr>
        <w:t xml:space="preserve">To investigate the mechanism behind quercetin's effects on IL-1β in RASFs, MAPK signaling pathways (ERK, p38, JNK) and NF-κB activation were assessed by immunoblotting. RASFs were treated with or without IL-1β (1.0 ng/ml) and quercetin (100 μM) for 10 minutes. IL-1β enhanced the phosphorylation of ERK, p38, and JNK, and quercetin inhibited the IL-1β-induced activation of p38 and JNK (panel a). Additionally, IL-1β activated nuclear NF-κB and decreased cytoplasmic IκBα, while quercetin inhibited the IL-1β-induced activation of NF-κB (panel b). Results are presented as mean ± SD (n = 3) </w:t>
      </w:r>
      <w:r w:rsidR="00985456" w:rsidRPr="00CE1D00">
        <w:rPr>
          <w:rFonts w:ascii="Times" w:hAnsi="Times"/>
          <w:sz w:val="20"/>
          <w:szCs w:val="20"/>
        </w:rPr>
        <w:fldChar w:fldCharType="begin"/>
      </w:r>
      <w:r w:rsidR="0056095D">
        <w:rPr>
          <w:rFonts w:ascii="Times" w:hAnsi="Times"/>
          <w:sz w:val="20"/>
          <w:szCs w:val="20"/>
        </w:rPr>
        <w:instrText xml:space="preserve"> ADDIN ZOTERO_ITEM CSL_CITATION {"citationID":"p5PdBZgG","properties":{"formattedCitation":"[213]","plainCitation":"[213]","noteIndex":0},"citationItems":[{"id":13087,"uris":["http://zotero.org/users/9439317/items/AVQZXSJD"],"itemData":{"id":13087,"type":"article-journal","abstract":"This study was aimed to determine the effects of quercetin on the interleukin-1β (IL-1β)-induced proliferation of rheumatoid synovial fibroblasts (RASFs) and production of matrix metalloproteinases (MMPs), cyclooxygenase (COX), and prostaglandin E2 (PGE2) by RASFs. The proliferation and apoptosis of RASFs was evaluated with CCK-8 reagent and flow cytometry in the presence of IL-1with CCK-8 reagquercetin. The expression of MMPs, IL-1β enhanced the expression of MMP-1, MMP-3, tissue inhibitor of metalloproteinase (TIMP)-1, COXs, PGE2, and intracellular mitogen-activated protein kinase (MAPK) signalings including phosphorylated extracellular signal-regulated kinase (p-ERK), p-p38, phosphorylated c-Jun N-terminal kinase (p-JNK), and nuclear factor kB (NF-kB) were examined by immunoblotting or semiquantitative reverse transcription-polymerase chain reaction (RT-PCR) and enzyme-linked immunosorbent assay (ELISA) in conditions as described above. Quercetin inhibits unstimulated and IL-1β-induced proliferation of RASFs and MMP-1, 3, COX-2 messenger ribonucleic acid and protein expression, PGE2 production induced with IL-1β. Quercetin also inhibits the phosphorylation of ERK-1/2, p38, JNK and activation of NF-kB by IL-1ed. These results indicate that quercetin inhibits synovial fibroblasts proliferation and MMPs, COX-2, and PGE2 production, which involved joint destruction in rheumatoid arthritis (RA), and suggest that it might be a new therapeutic agent for management of RA.","container-title":"Inflammation","DOI":"10.1007/s10753-012-9473-2","ISSN":"1573-2576","issue":"4","journalAbbreviation":"Inflammation","page":"1585-1594","title":"Quercetin Inhibits IL-1β-Induced Proliferation and Production of MMPs, COX-2, and PGE2 by Rheumatoid Synovial Fibroblast","URL":"https://doi.org/10.1007/s10753-012-9473-2","volume":"35","author":[{"family":"Sung","given":"Myung-Soon"},{"family":"Lee","given":"Eun-Gyeong"},{"family":"Jeon","given":"Hyun-Soon"},{"family":"Chae","given":"Han-Jung"},{"family":"Park","given":"Seoung Ju"},{"family":"Lee","given":"Yong Chul"},{"family":"Yoo","given":"Wan-Hee"}],"issued":{"date-parts":[["2012",8,1]]}}}],"schema":"https://github.com/citation-style-language/schema/raw/master/csl-citation.json"} </w:instrText>
      </w:r>
      <w:r w:rsidR="00985456" w:rsidRPr="00CE1D00">
        <w:rPr>
          <w:rFonts w:ascii="Times" w:hAnsi="Times"/>
          <w:sz w:val="20"/>
          <w:szCs w:val="20"/>
        </w:rPr>
        <w:fldChar w:fldCharType="separate"/>
      </w:r>
      <w:r w:rsidR="0056095D">
        <w:rPr>
          <w:rFonts w:ascii="Times" w:hAnsi="Times"/>
          <w:noProof/>
          <w:sz w:val="20"/>
          <w:szCs w:val="20"/>
        </w:rPr>
        <w:t>[213]</w:t>
      </w:r>
      <w:r w:rsidR="00985456" w:rsidRPr="00CE1D00">
        <w:rPr>
          <w:rFonts w:ascii="Times" w:hAnsi="Times"/>
          <w:sz w:val="20"/>
          <w:szCs w:val="20"/>
        </w:rPr>
        <w:fldChar w:fldCharType="end"/>
      </w:r>
      <w:r w:rsidR="00985456" w:rsidRPr="00CE1D00">
        <w:rPr>
          <w:rFonts w:ascii="Times" w:hAnsi="Times"/>
          <w:sz w:val="20"/>
          <w:szCs w:val="20"/>
        </w:rPr>
        <w:t>.</w:t>
      </w:r>
    </w:p>
    <w:p w14:paraId="5FA8CE3A" w14:textId="77777777" w:rsidR="001C65C0" w:rsidRPr="00D22AA7" w:rsidRDefault="001C65C0" w:rsidP="001C20E8">
      <w:pPr>
        <w:rPr>
          <w:rFonts w:ascii="Times" w:hAnsi="Times"/>
        </w:rPr>
      </w:pPr>
    </w:p>
    <w:p w14:paraId="1AFD2DF5" w14:textId="611661CC" w:rsidR="00D17D7D" w:rsidRDefault="7002327E">
      <w:pPr>
        <w:rPr>
          <w:rFonts w:ascii="Times" w:hAnsi="Times"/>
        </w:rPr>
      </w:pPr>
      <w:r w:rsidRPr="00D22AA7">
        <w:rPr>
          <w:rFonts w:ascii="Times" w:hAnsi="Times"/>
        </w:rPr>
        <w:t xml:space="preserve"> </w:t>
      </w:r>
    </w:p>
    <w:p w14:paraId="0D8C26FC" w14:textId="77777777" w:rsidR="004D3243" w:rsidRDefault="004D3243">
      <w:pPr>
        <w:rPr>
          <w:rFonts w:ascii="Times" w:hAnsi="Times"/>
        </w:rPr>
      </w:pPr>
    </w:p>
    <w:p w14:paraId="62C3B861" w14:textId="77777777" w:rsidR="00CE1D00" w:rsidRPr="004D3243" w:rsidRDefault="00CE1D00">
      <w:pPr>
        <w:rPr>
          <w:rFonts w:ascii="Times" w:hAnsi="Times"/>
        </w:rPr>
      </w:pPr>
    </w:p>
    <w:p w14:paraId="7403BBF7" w14:textId="423F2734" w:rsidR="00183E0A" w:rsidRPr="00D22AA7" w:rsidRDefault="00D45672">
      <w:pPr>
        <w:spacing w:beforeAutospacing="1" w:afterAutospacing="1"/>
        <w:rPr>
          <w:rFonts w:ascii="Times" w:hAnsi="Times"/>
          <w:b/>
          <w:bCs/>
          <w:sz w:val="40"/>
          <w:szCs w:val="40"/>
        </w:rPr>
      </w:pPr>
      <w:r w:rsidRPr="00D22AA7">
        <w:rPr>
          <w:rFonts w:ascii="Times" w:hAnsi="Times"/>
          <w:b/>
          <w:bCs/>
          <w:sz w:val="40"/>
          <w:szCs w:val="40"/>
        </w:rPr>
        <w:lastRenderedPageBreak/>
        <w:t xml:space="preserve">Chapter </w:t>
      </w:r>
      <w:r w:rsidR="00083055">
        <w:rPr>
          <w:rFonts w:ascii="Times" w:hAnsi="Times"/>
          <w:b/>
          <w:bCs/>
          <w:sz w:val="40"/>
          <w:szCs w:val="40"/>
        </w:rPr>
        <w:t>7</w:t>
      </w:r>
    </w:p>
    <w:p w14:paraId="6C546FAD" w14:textId="179BD67C" w:rsidR="00386CA0" w:rsidRPr="00D22AA7" w:rsidRDefault="00183E0A">
      <w:pPr>
        <w:rPr>
          <w:rFonts w:ascii="Times" w:hAnsi="Times"/>
          <w:b/>
          <w:bCs/>
          <w:color w:val="000000"/>
          <w:sz w:val="40"/>
          <w:szCs w:val="40"/>
        </w:rPr>
      </w:pPr>
      <w:r w:rsidRPr="00D22AA7">
        <w:rPr>
          <w:rFonts w:ascii="Times" w:hAnsi="Times" w:cs="Arial"/>
          <w:b/>
          <w:bCs/>
          <w:color w:val="000000" w:themeColor="text1"/>
          <w:sz w:val="40"/>
          <w:szCs w:val="40"/>
        </w:rPr>
        <w:t>The result of nanoparticles for delivery of Resveratrol</w:t>
      </w:r>
      <w:r w:rsidR="00D45672" w:rsidRPr="00D22AA7">
        <w:rPr>
          <w:rFonts w:ascii="Times" w:hAnsi="Times"/>
          <w:b/>
          <w:bCs/>
          <w:sz w:val="36"/>
          <w:szCs w:val="36"/>
        </w:rPr>
        <w:t xml:space="preserve"> </w:t>
      </w:r>
    </w:p>
    <w:p w14:paraId="6BA4E607" w14:textId="78AEE5F6" w:rsidR="00386CA0" w:rsidRPr="00D22AA7" w:rsidRDefault="1BD7583E" w:rsidP="3300C1C8">
      <w:pPr>
        <w:spacing w:beforeAutospacing="1" w:afterAutospacing="1"/>
        <w:rPr>
          <w:rFonts w:ascii="Times" w:hAnsi="Times"/>
          <w:b/>
          <w:bCs/>
        </w:rPr>
      </w:pPr>
      <w:r w:rsidRPr="00D22AA7">
        <w:rPr>
          <w:rFonts w:ascii="Times" w:eastAsia="Arial;Arial;Helvetica;sans-seri" w:hAnsi="Times" w:cs="Arial;Arial;Helvetica;sans-seri"/>
          <w:noProof/>
        </w:rPr>
        <w:t xml:space="preserve">RSV-loaded liposomes were prepared and their antiproliferative effects were thoroughly evaluated in vitro using U-87 MG cells. The results demonstrated that these nanoparticles exhibited remarkable anticancer activity, significantly surpassing the effects observed with free RSV. This suggests that the liposomal formulation enhanced the therapeutic potential of RSV, offering a more effective approach for targeting and inhibiting the growth of cancer cells compared to the unencapsulated compound </w:t>
      </w:r>
      <w:r w:rsidR="00AB007D" w:rsidRPr="00D22AA7">
        <w:rPr>
          <w:rFonts w:ascii="Times" w:hAnsi="Times"/>
          <w:color w:val="222222"/>
        </w:rPr>
        <w:fldChar w:fldCharType="begin"/>
      </w:r>
      <w:r w:rsidR="0056095D">
        <w:rPr>
          <w:rFonts w:ascii="Times" w:hAnsi="Times"/>
          <w:color w:val="222222"/>
        </w:rPr>
        <w:instrText xml:space="preserve"> ADDIN ZOTERO_ITEM CSL_CITATION {"citationID":"OY4U3Nyc","properties":{"formattedCitation":"[214]","plainCitation":"[214]","noteIndex":0},"citationItems":[{"id":2441,"uris":["http://zotero.org/users/9439317/items/CW5FH95W"],"itemData":{"id":2441,"type":"article-journal","abstract":"Glioblastomas (GBMs) are highly aggressive brain tumors with a very grim prognosis even after multi-modal therapeutic regimens. Conventional chemotherapeutic agents frequently lead to drug resistance and result in severe toxicities to non-cancerous tissues. Resveratrol (RES), a natural polyphenol with pleiotropic health benefits, has proven chemopreventive effects in all the stages of cancer including initiation, promotion and progression. However the poor physico-chemical properties of RES severely limit its use as a free drug. In this study, RES was loaded into PEGylated liposomes (RES-L) to counter its drawbacks as a free drug. Since transferrin receptors (TfRs) are up-regulated in GBM, the liposome surface was modified with transferrin moieties (TfRES-L) to make them cancer cell-specific. The liposomal nanomedicines developed in this project were aimed at enhancing the physico-chemical properties of RES and exploiting the passive and active targeting capabilities of liposomes to effectively treat GBM.","container-title":"Journal of Controlled Release","DOI":"10.1016/j.jconrel.2018.03.006","ISSN":"01683659","journalAbbreviation":"Journal of Controlled Release","language":"en","page":"89-101","source":"DOI.org (Crossref)","title":"Transferrin-targeted, resveratrol-loaded liposomes for the treatment of glioblastoma","URL":"https://linkinghub.elsevier.com/retrieve/pii/S0168365918301287","volume":"277","author":[{"family":"Jhaveri","given":"Aditi"},{"family":"Deshpande","given":"Pranali"},{"family":"Pattni","given":"Bhushan"},{"family":"Torchilin","given":"Vladimir"}],"accessed":{"date-parts":[["2023",3,6]]},"issued":{"date-parts":[["2018",5]]}}}],"schema":"https://github.com/citation-style-language/schema/raw/master/csl-citation.json"} </w:instrText>
      </w:r>
      <w:r w:rsidR="00AB007D" w:rsidRPr="00D22AA7">
        <w:rPr>
          <w:rFonts w:ascii="Times" w:hAnsi="Times"/>
          <w:color w:val="222222"/>
        </w:rPr>
        <w:fldChar w:fldCharType="separate"/>
      </w:r>
      <w:r w:rsidR="0056095D">
        <w:rPr>
          <w:rFonts w:ascii="Times" w:hAnsi="Times"/>
          <w:noProof/>
          <w:color w:val="222222"/>
        </w:rPr>
        <w:t>[214]</w:t>
      </w:r>
      <w:r w:rsidR="00AB007D" w:rsidRPr="00D22AA7">
        <w:rPr>
          <w:rFonts w:ascii="Times" w:hAnsi="Times"/>
          <w:color w:val="222222"/>
        </w:rPr>
        <w:fldChar w:fldCharType="end"/>
      </w:r>
      <w:r w:rsidR="2660E54D" w:rsidRPr="00D22AA7">
        <w:rPr>
          <w:rFonts w:ascii="Times" w:hAnsi="Times"/>
          <w:color w:val="222222"/>
        </w:rPr>
        <w:t xml:space="preserve">. </w:t>
      </w:r>
    </w:p>
    <w:p w14:paraId="112EAEFA" w14:textId="6161E214" w:rsidR="00386CA0" w:rsidRPr="00D22AA7" w:rsidRDefault="60AB2992" w:rsidP="3F226BC9">
      <w:pPr>
        <w:spacing w:beforeAutospacing="1" w:afterAutospacing="1"/>
        <w:rPr>
          <w:rFonts w:ascii="Times" w:hAnsi="Times"/>
          <w:b/>
          <w:bCs/>
        </w:rPr>
      </w:pPr>
      <w:r w:rsidRPr="00D22AA7">
        <w:rPr>
          <w:rFonts w:ascii="Times" w:hAnsi="Times"/>
          <w:noProof/>
        </w:rPr>
        <w:drawing>
          <wp:inline distT="0" distB="0" distL="0" distR="0" wp14:anchorId="7D74CEEC" wp14:editId="6F26091F">
            <wp:extent cx="5012783" cy="3823854"/>
            <wp:effectExtent l="0" t="0" r="3810" b="0"/>
            <wp:docPr id="1678898817" name="Picture 1678898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102676" cy="3892426"/>
                    </a:xfrm>
                    <a:prstGeom prst="rect">
                      <a:avLst/>
                    </a:prstGeom>
                  </pic:spPr>
                </pic:pic>
              </a:graphicData>
            </a:graphic>
          </wp:inline>
        </w:drawing>
      </w:r>
    </w:p>
    <w:p w14:paraId="224E5373" w14:textId="0D1BFC4E" w:rsidR="00386CA0" w:rsidRPr="003732FF" w:rsidRDefault="04878B3B" w:rsidP="00F56C0B">
      <w:pPr>
        <w:rPr>
          <w:rFonts w:ascii="Times" w:hAnsi="Times"/>
          <w:b/>
          <w:bCs/>
          <w:sz w:val="20"/>
          <w:szCs w:val="20"/>
        </w:rPr>
      </w:pPr>
      <w:r w:rsidRPr="003732FF">
        <w:rPr>
          <w:rFonts w:ascii="Times" w:eastAsia="Georgia" w:hAnsi="Times" w:cs="Georgia"/>
          <w:b/>
          <w:bCs/>
          <w:color w:val="1F1F1F"/>
          <w:sz w:val="20"/>
          <w:szCs w:val="20"/>
        </w:rPr>
        <w:t>Fig</w:t>
      </w:r>
      <w:r w:rsidR="00183E0A" w:rsidRPr="003732FF">
        <w:rPr>
          <w:rFonts w:ascii="Times" w:eastAsia="Georgia" w:hAnsi="Times" w:cs="Georgia"/>
          <w:b/>
          <w:bCs/>
          <w:color w:val="1F1F1F"/>
          <w:sz w:val="20"/>
          <w:szCs w:val="20"/>
        </w:rPr>
        <w:t>ure</w:t>
      </w:r>
      <w:r w:rsidR="002C530E" w:rsidRPr="003732FF">
        <w:rPr>
          <w:rFonts w:ascii="Times" w:eastAsia="Georgia" w:hAnsi="Times" w:cs="Georgia"/>
          <w:b/>
          <w:bCs/>
          <w:color w:val="1F1F1F"/>
          <w:sz w:val="20"/>
          <w:szCs w:val="20"/>
        </w:rPr>
        <w:t xml:space="preserve"> 5</w:t>
      </w:r>
      <w:r w:rsidR="000F75FE" w:rsidRPr="003732FF">
        <w:rPr>
          <w:rFonts w:ascii="Times" w:eastAsia="Georgia" w:hAnsi="Times" w:cs="Georgia"/>
          <w:b/>
          <w:bCs/>
          <w:color w:val="1F1F1F"/>
          <w:sz w:val="20"/>
          <w:szCs w:val="20"/>
        </w:rPr>
        <w:t>1</w:t>
      </w:r>
      <w:r w:rsidR="002C530E" w:rsidRPr="003732FF">
        <w:rPr>
          <w:rFonts w:ascii="Times" w:eastAsia="Georgia" w:hAnsi="Times" w:cs="Georgia"/>
          <w:b/>
          <w:bCs/>
          <w:color w:val="1F1F1F"/>
          <w:sz w:val="20"/>
          <w:szCs w:val="20"/>
        </w:rPr>
        <w:t>.</w:t>
      </w:r>
      <w:r w:rsidRPr="003732FF">
        <w:rPr>
          <w:rFonts w:ascii="Times" w:eastAsia="Georgia" w:hAnsi="Times" w:cs="Georgia"/>
          <w:color w:val="1F1F1F"/>
          <w:sz w:val="20"/>
          <w:szCs w:val="20"/>
        </w:rPr>
        <w:t xml:space="preserve"> </w:t>
      </w:r>
      <w:r w:rsidR="6F82D38C" w:rsidRPr="003732FF">
        <w:rPr>
          <w:rFonts w:ascii="Times" w:hAnsi="Times" w:cs="Segoe UI"/>
          <w:color w:val="000000" w:themeColor="text1"/>
          <w:sz w:val="20"/>
          <w:szCs w:val="20"/>
        </w:rPr>
        <w:t>The study investigated the cellular association and uptake of transferrin-conjugated liposomes (Tf-L) in U-87 MG cells. Cells were treated with Rh-labeled Tf-L at varying Tf densities (0.05–2 mol%) for 4 hours, and competitive inhibition was tested by pre-treating cells with free transferrin. Both U-87 MG and HA cells were also treated with Rh-labeled plain liposomes (PL) and 1% Tf-L for 4 hours. Fluorescence intensity was measured, and confocal microscopy was used to visualize intracellular localization at 1 and 4 hours, with Hoechst 33,342 staining the nucleus and Tf-Alexa Fluor 680® marking endosomes. Orthogonal projections (XY, YZ, XZ planes) provided detailed spatial insights. The experiments aimed to understand Tf-L uptake mechanisms and competitive inhibition in these cells.</w:t>
      </w:r>
    </w:p>
    <w:p w14:paraId="0F82B0C9" w14:textId="764B154B" w:rsidR="00386CA0" w:rsidRPr="003732FF" w:rsidRDefault="2FC3A681" w:rsidP="3300C1C8">
      <w:pPr>
        <w:spacing w:beforeAutospacing="1" w:afterAutospacing="1"/>
        <w:rPr>
          <w:rFonts w:ascii="Times" w:hAnsi="Times"/>
          <w:b/>
          <w:bCs/>
        </w:rPr>
      </w:pPr>
      <w:r w:rsidRPr="003732FF">
        <w:rPr>
          <w:rFonts w:ascii="Times" w:eastAsia="Arial;Arial;Helvetica;sans-seri" w:hAnsi="Times" w:cs="Arial;Arial;Helvetica;sans-seri"/>
          <w:noProof/>
        </w:rPr>
        <w:t xml:space="preserve">RSV-loaded liposomes demonstrated outstanding anticancer efficacy in xenografted A549/cDDP </w:t>
      </w:r>
      <w:r w:rsidR="5F5175D4" w:rsidRPr="003732FF">
        <w:rPr>
          <w:rFonts w:ascii="Times" w:eastAsia="Arial;Arial;Helvetica;sans-seri" w:hAnsi="Times" w:cs="Arial;Arial;Helvetica;sans-seri"/>
          <w:noProof/>
        </w:rPr>
        <w:t>model.</w:t>
      </w:r>
      <w:r w:rsidRPr="003732FF">
        <w:rPr>
          <w:rFonts w:ascii="Times" w:eastAsia="Arial;Arial;Helvetica;sans-seri" w:hAnsi="Times" w:cs="Arial;Arial;Helvetica;sans-seri"/>
          <w:noProof/>
        </w:rPr>
        <w:t xml:space="preserve"> This research highlighted the enhanced therapeutic potential of the RSV-loaded </w:t>
      </w:r>
      <w:r w:rsidRPr="003732FF">
        <w:rPr>
          <w:rFonts w:ascii="Times" w:eastAsia="Arial;Arial;Helvetica;sans-seri" w:hAnsi="Times" w:cs="Arial;Arial;Helvetica;sans-seri"/>
          <w:noProof/>
        </w:rPr>
        <w:lastRenderedPageBreak/>
        <w:t>liposomes in overcoming resistance to chemotherapy, suggesting their promising role in improving cancer treatment outcomes, particularly in resistant tumor models</w:t>
      </w:r>
      <w:r w:rsidRPr="003732FF">
        <w:rPr>
          <w:rFonts w:ascii="Times" w:hAnsi="Times"/>
          <w:noProof/>
          <w:color w:val="222222"/>
        </w:rPr>
        <w:t xml:space="preserve"> </w:t>
      </w:r>
      <w:r w:rsidR="00AB007D" w:rsidRPr="003732FF">
        <w:rPr>
          <w:rFonts w:ascii="Times" w:hAnsi="Times"/>
          <w:color w:val="222222"/>
        </w:rPr>
        <w:fldChar w:fldCharType="begin"/>
      </w:r>
      <w:r w:rsidR="0056095D">
        <w:rPr>
          <w:rFonts w:ascii="Times" w:hAnsi="Times"/>
          <w:color w:val="222222"/>
        </w:rPr>
        <w:instrText xml:space="preserve"> ADDIN ZOTERO_ITEM CSL_CITATION {"citationID":"hk6E9PAP","properties":{"formattedCitation":"[215]","plainCitation":"[215]","noteIndex":0},"citationItems":[{"id":2397,"uris":["http://zotero.org/users/9439317/items/48G5TI8F"],"itemData":{"id":2397,"type":"article-journal","abstract":"Intrinsic multidrug resistance (MDR) of cancers remains a major obstacle to successful chemotherapy. A dequalinium polyethylene glycol-distearoylphosphatidylethanolamine (DQA-PEG2000-DSPE) conjugate was synthesized as a mitochondriotropic molecule, and mitochondrial targeting resveratrol liposomes were developed by modifying DQA-PEG2000-DSPE on the surface of liposomes for overcoming the resistance. Evaluations were performed on the human lung adenocarcinoma A549 cells and resistant A549/cDDP cells, A549 and A549/cDDP tumor spheroids as well as the xenografted resistant A549/cDDP cancers in nude mice. The yield of DQA-PEG2000-DSPE conjugate synthesized was about 87% and the particle size of mitochondrial targeting resveratrol liposomes was approximately 70 nm. The mitochondrial targeting liposomes significantly enhanced the cellular uptake, and selectively accumulated into mitochondria when encapsulating coumarin as the fluorescent probe. Furthermore, mitochondrial targeting resveratrol liposomes induced apoptosis of both non-resistant and resistant cancer cells by dissipating mitochondria membrane potential, releasing cytochrome c and increasing the activities of caspase 9 and 3. They also exhibited significant antitumor efficacy in two kinds of cancer cells, in tumor spheroids by penetrating deeply into the core, and in xenografted resistant A549/cDDP cancers in nude mice. Mitochondrial targeting resveratrol liposomes co-treating with vinorelbine liposomes significantly enhanced the anticancer efficacy against the resistant A549/cDDP cells. In conclusion, mitochondrial targeting resveratrol liposomes would provide a potential strategy to treat the intrinsic resistant lung cancers by inducing apoptosis via mitochondria signaling pathway.","container-title":"Biomaterials","DOI":"10.1016/j.biomaterials.2011.04.029","ISSN":"0142-9612","issue":"24","journalAbbreviation":"Biomaterials","page":"5673-5687","title":"The use of mitochondrial targeting resveratrol liposomes modified with a dequalinium polyethylene glycol-distearoylphosphatidyl ethanolamine conjugate to induce apoptosis in resistant lung cancer cells","URL":"https://www.sciencedirect.com/science/article/pii/S0142961211004248","volume":"32","author":[{"family":"Wang","given":"Xiao-Xing"},{"family":"Li","given":"Yang-Bing"},{"family":"Yao","given":"Hong-Juan"},{"family":"Ju","given":"Rui-Jun"},{"family":"Zhang","given":"Yan"},{"family":"Li","given":"Ruo-Jing"},{"family":"Yu","given":"Yang"},{"family":"Zhang","given":"Liang"},{"family":"Lu","given":"Wan-Liang"}],"issued":{"date-parts":[["2011",8,1]]}}}],"schema":"https://github.com/citation-style-language/schema/raw/master/csl-citation.json"} </w:instrText>
      </w:r>
      <w:r w:rsidR="00AB007D" w:rsidRPr="003732FF">
        <w:rPr>
          <w:rFonts w:ascii="Times" w:hAnsi="Times"/>
          <w:color w:val="222222"/>
        </w:rPr>
        <w:fldChar w:fldCharType="separate"/>
      </w:r>
      <w:r w:rsidR="0056095D">
        <w:rPr>
          <w:rFonts w:ascii="Times" w:hAnsi="Times"/>
          <w:noProof/>
          <w:color w:val="222222"/>
        </w:rPr>
        <w:t>[215]</w:t>
      </w:r>
      <w:r w:rsidR="00AB007D" w:rsidRPr="003732FF">
        <w:rPr>
          <w:rFonts w:ascii="Times" w:hAnsi="Times"/>
          <w:color w:val="222222"/>
        </w:rPr>
        <w:fldChar w:fldCharType="end"/>
      </w:r>
      <w:r w:rsidR="2660E54D" w:rsidRPr="003732FF">
        <w:rPr>
          <w:rFonts w:ascii="Times" w:hAnsi="Times"/>
          <w:color w:val="222222"/>
        </w:rPr>
        <w:t xml:space="preserve">. </w:t>
      </w:r>
    </w:p>
    <w:p w14:paraId="7B99793C" w14:textId="4CBD6251" w:rsidR="00386CA0" w:rsidRPr="00D22AA7" w:rsidRDefault="002851E6" w:rsidP="3F226BC9">
      <w:pPr>
        <w:spacing w:beforeAutospacing="1" w:afterAutospacing="1"/>
        <w:rPr>
          <w:rFonts w:ascii="Times" w:hAnsi="Times"/>
        </w:rPr>
      </w:pPr>
      <w:r>
        <w:rPr>
          <w:rFonts w:ascii="Times" w:hAnsi="Times"/>
        </w:rPr>
        <w:t xml:space="preserve">             </w:t>
      </w:r>
      <w:r w:rsidR="00853841">
        <w:rPr>
          <w:rFonts w:ascii="Times" w:hAnsi="Times"/>
        </w:rPr>
        <w:t xml:space="preserve">      </w:t>
      </w:r>
      <w:r>
        <w:rPr>
          <w:rFonts w:ascii="Times" w:hAnsi="Times"/>
        </w:rPr>
        <w:t xml:space="preserve">        </w:t>
      </w:r>
      <w:r w:rsidR="75D2BEB2" w:rsidRPr="00D22AA7">
        <w:rPr>
          <w:rFonts w:ascii="Times" w:hAnsi="Times"/>
          <w:noProof/>
        </w:rPr>
        <w:drawing>
          <wp:inline distT="0" distB="0" distL="0" distR="0" wp14:anchorId="2E8F1ADD" wp14:editId="45037F9A">
            <wp:extent cx="3621386" cy="2727646"/>
            <wp:effectExtent l="0" t="0" r="0" b="3175"/>
            <wp:docPr id="1865064887" name="Picture 1865064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652477" cy="2751064"/>
                    </a:xfrm>
                    <a:prstGeom prst="rect">
                      <a:avLst/>
                    </a:prstGeom>
                  </pic:spPr>
                </pic:pic>
              </a:graphicData>
            </a:graphic>
          </wp:inline>
        </w:drawing>
      </w:r>
    </w:p>
    <w:p w14:paraId="240BDF4B" w14:textId="083AC1B2" w:rsidR="00386CA0" w:rsidRPr="00A95A84" w:rsidRDefault="75D2BEB2" w:rsidP="00A95A84">
      <w:pPr>
        <w:spacing w:beforeAutospacing="1" w:afterAutospacing="1"/>
        <w:jc w:val="both"/>
        <w:rPr>
          <w:rFonts w:ascii="Times" w:hAnsi="Times"/>
          <w:sz w:val="20"/>
          <w:szCs w:val="20"/>
        </w:rPr>
      </w:pPr>
      <w:r w:rsidRPr="00A95A84">
        <w:rPr>
          <w:rFonts w:ascii="Times" w:eastAsia="Georgia" w:hAnsi="Times" w:cs="Georgia"/>
          <w:b/>
          <w:bCs/>
          <w:color w:val="1F1F1F"/>
          <w:sz w:val="20"/>
          <w:szCs w:val="20"/>
        </w:rPr>
        <w:t>Fig</w:t>
      </w:r>
      <w:r w:rsidR="00183E0A" w:rsidRPr="00A95A84">
        <w:rPr>
          <w:rFonts w:ascii="Times" w:eastAsia="Georgia" w:hAnsi="Times" w:cs="Georgia"/>
          <w:b/>
          <w:bCs/>
          <w:color w:val="1F1F1F"/>
          <w:sz w:val="20"/>
          <w:szCs w:val="20"/>
        </w:rPr>
        <w:t>ure</w:t>
      </w:r>
      <w:r w:rsidR="002C530E" w:rsidRPr="00A95A84">
        <w:rPr>
          <w:rFonts w:ascii="Times" w:eastAsia="Georgia" w:hAnsi="Times" w:cs="Georgia"/>
          <w:b/>
          <w:bCs/>
          <w:color w:val="1F1F1F"/>
          <w:sz w:val="20"/>
          <w:szCs w:val="20"/>
        </w:rPr>
        <w:t xml:space="preserve"> 5</w:t>
      </w:r>
      <w:r w:rsidR="000F75FE" w:rsidRPr="00A95A84">
        <w:rPr>
          <w:rFonts w:ascii="Times" w:eastAsia="Georgia" w:hAnsi="Times" w:cs="Georgia"/>
          <w:b/>
          <w:bCs/>
          <w:color w:val="1F1F1F"/>
          <w:sz w:val="20"/>
          <w:szCs w:val="20"/>
        </w:rPr>
        <w:t>2</w:t>
      </w:r>
      <w:r w:rsidR="00183E0A" w:rsidRPr="00A95A84">
        <w:rPr>
          <w:rFonts w:ascii="Times" w:eastAsia="Georgia" w:hAnsi="Times" w:cs="Georgia"/>
          <w:b/>
          <w:bCs/>
          <w:color w:val="1F1F1F"/>
          <w:sz w:val="20"/>
          <w:szCs w:val="20"/>
        </w:rPr>
        <w:t>.</w:t>
      </w:r>
      <w:r w:rsidRPr="00A95A84">
        <w:rPr>
          <w:rFonts w:ascii="Times" w:eastAsia="Georgia" w:hAnsi="Times" w:cs="Georgia"/>
          <w:color w:val="1F1F1F"/>
          <w:sz w:val="20"/>
          <w:szCs w:val="20"/>
        </w:rPr>
        <w:t xml:space="preserve"> The inhibitory effects on (A, C) A549 and (B, D) A549/cDDP tumor spheroids after applying different formulations of resveratrol, vinorelbine liposomes or vinorelbine liposomes in combination with mitochondrial targeting resveratrol liposomes. Data are presented as mean ± standard deviation (</w:t>
      </w:r>
      <w:r w:rsidRPr="00A95A84">
        <w:rPr>
          <w:rFonts w:ascii="Times" w:eastAsia="Georgia" w:hAnsi="Times" w:cs="Georgia"/>
          <w:i/>
          <w:iCs/>
          <w:color w:val="1F1F1F"/>
          <w:sz w:val="20"/>
          <w:szCs w:val="20"/>
        </w:rPr>
        <w:t>n</w:t>
      </w:r>
      <w:r w:rsidRPr="00A95A84">
        <w:rPr>
          <w:rFonts w:ascii="Times" w:eastAsia="Georgia" w:hAnsi="Times" w:cs="Georgia"/>
          <w:color w:val="1F1F1F"/>
          <w:sz w:val="20"/>
          <w:szCs w:val="20"/>
        </w:rPr>
        <w:t xml:space="preserve"> = 6). Notes: a, </w:t>
      </w:r>
      <w:r w:rsidRPr="00A95A84">
        <w:rPr>
          <w:rFonts w:ascii="Times" w:eastAsia="Georgia" w:hAnsi="Times" w:cs="Georgia"/>
          <w:i/>
          <w:iCs/>
          <w:color w:val="1F1F1F"/>
          <w:sz w:val="20"/>
          <w:szCs w:val="20"/>
        </w:rPr>
        <w:t>p</w:t>
      </w:r>
      <w:r w:rsidRPr="00A95A84">
        <w:rPr>
          <w:rFonts w:ascii="Times" w:eastAsia="Georgia" w:hAnsi="Times" w:cs="Georgia"/>
          <w:color w:val="1F1F1F"/>
          <w:sz w:val="20"/>
          <w:szCs w:val="20"/>
        </w:rPr>
        <w:t xml:space="preserve"> &lt; 0.05, vs blank control; b, </w:t>
      </w:r>
      <w:r w:rsidRPr="00A95A84">
        <w:rPr>
          <w:rFonts w:ascii="Times" w:eastAsia="Georgia" w:hAnsi="Times" w:cs="Georgia"/>
          <w:i/>
          <w:iCs/>
          <w:color w:val="1F1F1F"/>
          <w:sz w:val="20"/>
          <w:szCs w:val="20"/>
        </w:rPr>
        <w:t>p</w:t>
      </w:r>
      <w:r w:rsidRPr="00A95A84">
        <w:rPr>
          <w:rFonts w:ascii="Times" w:eastAsia="Georgia" w:hAnsi="Times" w:cs="Georgia"/>
          <w:color w:val="1F1F1F"/>
          <w:sz w:val="20"/>
          <w:szCs w:val="20"/>
        </w:rPr>
        <w:t xml:space="preserve"> &lt; 0.05, vs free resveratrol; c, </w:t>
      </w:r>
      <w:r w:rsidRPr="00A95A84">
        <w:rPr>
          <w:rFonts w:ascii="Times" w:eastAsia="Georgia" w:hAnsi="Times" w:cs="Georgia"/>
          <w:i/>
          <w:iCs/>
          <w:color w:val="1F1F1F"/>
          <w:sz w:val="20"/>
          <w:szCs w:val="20"/>
        </w:rPr>
        <w:t>p</w:t>
      </w:r>
      <w:r w:rsidRPr="00A95A84">
        <w:rPr>
          <w:rFonts w:ascii="Times" w:eastAsia="Georgia" w:hAnsi="Times" w:cs="Georgia"/>
          <w:color w:val="1F1F1F"/>
          <w:sz w:val="20"/>
          <w:szCs w:val="20"/>
        </w:rPr>
        <w:t xml:space="preserve"> &lt; 0.05, vs resveratrol liposomes; d, </w:t>
      </w:r>
      <w:r w:rsidRPr="00A95A84">
        <w:rPr>
          <w:rFonts w:ascii="Times" w:eastAsia="Georgia" w:hAnsi="Times" w:cs="Georgia"/>
          <w:i/>
          <w:iCs/>
          <w:color w:val="1F1F1F"/>
          <w:sz w:val="20"/>
          <w:szCs w:val="20"/>
        </w:rPr>
        <w:t>p</w:t>
      </w:r>
      <w:r w:rsidRPr="00A95A84">
        <w:rPr>
          <w:rFonts w:ascii="Times" w:eastAsia="Georgia" w:hAnsi="Times" w:cs="Georgia"/>
          <w:color w:val="1F1F1F"/>
          <w:sz w:val="20"/>
          <w:szCs w:val="20"/>
        </w:rPr>
        <w:t xml:space="preserve"> &lt; 0.05, vs blank mitochondrial targeting liposomes; e, </w:t>
      </w:r>
      <w:r w:rsidRPr="00A95A84">
        <w:rPr>
          <w:rFonts w:ascii="Times" w:eastAsia="Georgia" w:hAnsi="Times" w:cs="Georgia"/>
          <w:i/>
          <w:iCs/>
          <w:color w:val="1F1F1F"/>
          <w:sz w:val="20"/>
          <w:szCs w:val="20"/>
        </w:rPr>
        <w:t>p</w:t>
      </w:r>
      <w:r w:rsidRPr="00A95A84">
        <w:rPr>
          <w:rFonts w:ascii="Times" w:eastAsia="Georgia" w:hAnsi="Times" w:cs="Georgia"/>
          <w:color w:val="1F1F1F"/>
          <w:sz w:val="20"/>
          <w:szCs w:val="20"/>
        </w:rPr>
        <w:t xml:space="preserve"> &lt; 0.05, vs vinorelbine liposomes.</w:t>
      </w:r>
    </w:p>
    <w:p w14:paraId="7099F2C4" w14:textId="5FFB9611" w:rsidR="00386CA0" w:rsidRPr="00D22AA7" w:rsidRDefault="00183E0A" w:rsidP="3300C1C8">
      <w:pPr>
        <w:spacing w:beforeAutospacing="1" w:afterAutospacing="1"/>
        <w:rPr>
          <w:rFonts w:ascii="Times" w:hAnsi="Times"/>
          <w:b/>
          <w:bCs/>
        </w:rPr>
      </w:pPr>
      <w:r w:rsidRPr="00D22AA7">
        <w:rPr>
          <w:rFonts w:ascii="Times" w:eastAsia="Arial;Arial;Helvetica;sans-seri" w:hAnsi="Times" w:cs="Arial;Arial;Helvetica;sans-seri"/>
          <w:noProof/>
        </w:rPr>
        <w:t>L</w:t>
      </w:r>
      <w:r w:rsidR="29ED08DE" w:rsidRPr="00D22AA7">
        <w:rPr>
          <w:rFonts w:ascii="Times" w:eastAsia="Arial;Arial;Helvetica;sans-seri" w:hAnsi="Times" w:cs="Arial;Arial;Helvetica;sans-seri"/>
          <w:noProof/>
        </w:rPr>
        <w:t xml:space="preserve">iposomes that were co-loaded with paclitaxel and RSV. The study highlighted several important outcomes, including the enhanced tumor retention and improved bioavailability of the liposomes in mice bearing drug-resistant tumors. These advancements were especially notable in the context of overcoming the challenges posed by drug resistance. Additionally, the RSV-paclitaxel-loaded liposomes were shown to effectively induce cytotoxicity in MCF-7/ADR cells, a drug-resistant breast cancer cell line, underscoring their promising potential as a therapeutic strategy for combating drug-resistant cancers. This approach not only improved drug delivery but also contributed to enhanced anti-tumor activity in resistant cancer models </w:t>
      </w:r>
      <w:r w:rsidR="00AB007D" w:rsidRPr="00D22AA7">
        <w:rPr>
          <w:rFonts w:ascii="Times" w:hAnsi="Times"/>
          <w:color w:val="222222"/>
        </w:rPr>
        <w:fldChar w:fldCharType="begin"/>
      </w:r>
      <w:r w:rsidR="0056095D">
        <w:rPr>
          <w:rFonts w:ascii="Times" w:hAnsi="Times"/>
          <w:color w:val="222222"/>
        </w:rPr>
        <w:instrText xml:space="preserve"> ADDIN ZOTERO_ITEM CSL_CITATION {"citationID":"22gkmLsU","properties":{"formattedCitation":"[94]","plainCitation":"[94]","noteIndex":0},"citationItems":[{"id":4563,"uris":["http://zotero.org/users/9439317/items/LQXSDTGX"],"itemData":{"id":4563,"type":"article-journal","abstract":"Abstract\n\nMultidrug resistance (MDR) is a major impediment to cancer treatment. A promising strategy for treating MDR is the joint delivery of combined anticancer agents to tumor cells in a single nanocarrier. Here, for the first time, Resveratrol (Res) was co-encapsulated with paclitaxel (PTX) in a PEGylated liposome to construct a carrier-delivered form of combination therapy for drug-resistant tumors. The composite liposome had an average diameter of 50</w:instrText>
      </w:r>
      <w:r w:rsidR="0056095D">
        <w:rPr>
          <w:color w:val="222222"/>
        </w:rPr>
        <w:instrText> </w:instrText>
      </w:r>
      <w:r w:rsidR="0056095D">
        <w:rPr>
          <w:rFonts w:ascii="Times" w:hAnsi="Times"/>
          <w:color w:val="222222"/>
        </w:rPr>
        <w:instrText>nm with encapsulated efficiencies of above 50%. The studies demonstrated that the composite liposome could generate potent cytotoxicity against the drug-resistant MCF-7/Adr tumor cells\nin vitro\nand enhance the bioavailability and the tumor-retention of the drugs\nin vivo\n. Moreover, systemic therapy with the composite liposome effectively inhibited drug-resistant tumor in mice (\np\n&lt;</w:instrText>
      </w:r>
      <w:r w:rsidR="0056095D">
        <w:rPr>
          <w:color w:val="222222"/>
        </w:rPr>
        <w:instrText> </w:instrText>
      </w:r>
      <w:r w:rsidR="0056095D">
        <w:rPr>
          <w:rFonts w:ascii="Times" w:hAnsi="Times"/>
          <w:color w:val="222222"/>
        </w:rPr>
        <w:instrText xml:space="preserve">0.01), without any notable increase in the toxicity. These results suggested that the co-delivery of Res and a cytotoxic agent in a nanocarrier may potentially improve the treatment of drug-resistant tumors.","container-title":"Scientific Reports","DOI":"10.1038/srep22390","ISSN":"2045-2322","issue":"1","journalAbbreviation":"Sci Rep","language":"en","page":"22390","source":"DOI.org (Crossref)","title":"Combination Therapy using Co-encapsulated Resveratrol and Paclitaxel in Liposomes for Drug Resistance Reversal in Breast Cancer Cells in vivo","URL":"https://www.nature.com/articles/srep22390","volume":"6","author":[{"family":"Meng","given":"Jie"},{"family":"Guo","given":"Fangqin"},{"family":"Xu","given":"Haiyan"},{"family":"Liang","given":"Wei"},{"family":"Wang","given":"Chen"},{"family":"Yang","given":"Xian-Da"}],"accessed":{"date-parts":[["2023",3,7]]},"issued":{"date-parts":[["2016",3,7]]}}}],"schema":"https://github.com/citation-style-language/schema/raw/master/csl-citation.json"} </w:instrText>
      </w:r>
      <w:r w:rsidR="00AB007D" w:rsidRPr="00D22AA7">
        <w:rPr>
          <w:rFonts w:ascii="Times" w:hAnsi="Times"/>
          <w:color w:val="222222"/>
        </w:rPr>
        <w:fldChar w:fldCharType="separate"/>
      </w:r>
      <w:r w:rsidR="0056095D">
        <w:rPr>
          <w:rFonts w:ascii="Times" w:hAnsi="Times"/>
          <w:noProof/>
          <w:color w:val="222222"/>
        </w:rPr>
        <w:t>[94]</w:t>
      </w:r>
      <w:r w:rsidR="00AB007D" w:rsidRPr="00D22AA7">
        <w:rPr>
          <w:rFonts w:ascii="Times" w:hAnsi="Times"/>
          <w:color w:val="222222"/>
        </w:rPr>
        <w:fldChar w:fldCharType="end"/>
      </w:r>
      <w:r w:rsidR="2660E54D" w:rsidRPr="00D22AA7">
        <w:rPr>
          <w:rFonts w:ascii="Times" w:hAnsi="Times"/>
          <w:color w:val="222222"/>
        </w:rPr>
        <w:t>.</w:t>
      </w:r>
    </w:p>
    <w:p w14:paraId="4F58B4D8" w14:textId="0E863FF0" w:rsidR="3C5103DA" w:rsidRPr="00D22AA7" w:rsidRDefault="002851E6" w:rsidP="3F226BC9">
      <w:pPr>
        <w:spacing w:beforeAutospacing="1" w:afterAutospacing="1"/>
        <w:rPr>
          <w:rFonts w:ascii="Times" w:hAnsi="Times"/>
        </w:rPr>
      </w:pPr>
      <w:r>
        <w:rPr>
          <w:rFonts w:ascii="Times" w:hAnsi="Times"/>
        </w:rPr>
        <w:t xml:space="preserve">                          </w:t>
      </w:r>
      <w:r w:rsidR="3C5103DA" w:rsidRPr="00D22AA7">
        <w:rPr>
          <w:rFonts w:ascii="Times" w:hAnsi="Times"/>
          <w:noProof/>
        </w:rPr>
        <w:drawing>
          <wp:inline distT="0" distB="0" distL="0" distR="0" wp14:anchorId="2F0D5220" wp14:editId="0F1AEEA6">
            <wp:extent cx="3620813" cy="1514475"/>
            <wp:effectExtent l="0" t="0" r="0" b="0"/>
            <wp:docPr id="1321708450" name="Picture 1321708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3640532" cy="1522723"/>
                    </a:xfrm>
                    <a:prstGeom prst="rect">
                      <a:avLst/>
                    </a:prstGeom>
                  </pic:spPr>
                </pic:pic>
              </a:graphicData>
            </a:graphic>
          </wp:inline>
        </w:drawing>
      </w:r>
    </w:p>
    <w:p w14:paraId="18D2022A" w14:textId="29101F4A" w:rsidR="3C5103DA" w:rsidRPr="00A95A84" w:rsidRDefault="494CF377" w:rsidP="00A95A84">
      <w:pPr>
        <w:spacing w:beforeAutospacing="1" w:afterAutospacing="1"/>
        <w:jc w:val="both"/>
        <w:rPr>
          <w:rFonts w:ascii="Times" w:eastAsia="Segoe UI" w:hAnsi="Times" w:cs="Segoe UI"/>
          <w:sz w:val="20"/>
          <w:szCs w:val="20"/>
        </w:rPr>
      </w:pPr>
      <w:r w:rsidRPr="00A95A84">
        <w:rPr>
          <w:rFonts w:ascii="Times" w:eastAsia="Segoe UI" w:hAnsi="Times" w:cs="Segoe UI"/>
          <w:b/>
          <w:bCs/>
          <w:color w:val="222222"/>
          <w:sz w:val="20"/>
          <w:szCs w:val="20"/>
        </w:rPr>
        <w:t>Figure</w:t>
      </w:r>
      <w:r w:rsidR="002C530E" w:rsidRPr="00A95A84">
        <w:rPr>
          <w:rFonts w:ascii="Times" w:eastAsia="Segoe UI" w:hAnsi="Times" w:cs="Segoe UI"/>
          <w:b/>
          <w:bCs/>
          <w:color w:val="222222"/>
          <w:sz w:val="20"/>
          <w:szCs w:val="20"/>
        </w:rPr>
        <w:t xml:space="preserve"> 5</w:t>
      </w:r>
      <w:r w:rsidR="000F75FE" w:rsidRPr="00A95A84">
        <w:rPr>
          <w:rFonts w:ascii="Times" w:eastAsia="Segoe UI" w:hAnsi="Times" w:cs="Segoe UI"/>
          <w:b/>
          <w:bCs/>
          <w:color w:val="222222"/>
          <w:sz w:val="20"/>
          <w:szCs w:val="20"/>
        </w:rPr>
        <w:t>3</w:t>
      </w:r>
      <w:r w:rsidR="002C530E" w:rsidRPr="00A95A84">
        <w:rPr>
          <w:rFonts w:ascii="Times" w:eastAsia="Segoe UI" w:hAnsi="Times" w:cs="Segoe UI"/>
          <w:b/>
          <w:bCs/>
          <w:color w:val="222222"/>
          <w:sz w:val="20"/>
          <w:szCs w:val="20"/>
        </w:rPr>
        <w:t>.</w:t>
      </w:r>
      <w:r w:rsidR="00183E0A" w:rsidRPr="00A95A84">
        <w:rPr>
          <w:rFonts w:ascii="Times" w:eastAsia="Segoe UI" w:hAnsi="Times" w:cs="Segoe UI"/>
          <w:b/>
          <w:bCs/>
          <w:color w:val="222222"/>
          <w:sz w:val="20"/>
          <w:szCs w:val="20"/>
        </w:rPr>
        <w:t xml:space="preserve"> </w:t>
      </w:r>
      <w:r w:rsidRPr="00A95A84">
        <w:rPr>
          <w:rFonts w:ascii="Times" w:eastAsia="Segoe UI" w:hAnsi="Times" w:cs="Segoe UI"/>
          <w:b/>
          <w:bCs/>
          <w:color w:val="222222"/>
          <w:sz w:val="20"/>
          <w:szCs w:val="20"/>
        </w:rPr>
        <w:t xml:space="preserve"> </w:t>
      </w:r>
      <w:r w:rsidR="45B58881" w:rsidRPr="00A95A84">
        <w:rPr>
          <w:rFonts w:ascii="Times" w:eastAsia="Segoe UI" w:hAnsi="Times" w:cs="Segoe UI"/>
          <w:sz w:val="20"/>
          <w:szCs w:val="20"/>
        </w:rPr>
        <w:t xml:space="preserve">The in vivo antitumor effects were evaluated for the saline solution, blank liposome, </w:t>
      </w:r>
      <w:proofErr w:type="gramStart"/>
      <w:r w:rsidR="45B58881" w:rsidRPr="00A95A84">
        <w:rPr>
          <w:rFonts w:ascii="Times" w:eastAsia="Segoe UI" w:hAnsi="Times" w:cs="Segoe UI"/>
          <w:sz w:val="20"/>
          <w:szCs w:val="20"/>
        </w:rPr>
        <w:t>Res</w:t>
      </w:r>
      <w:proofErr w:type="gramEnd"/>
      <w:r w:rsidR="45B58881" w:rsidRPr="00A95A84">
        <w:rPr>
          <w:rFonts w:ascii="Times" w:eastAsia="Segoe UI" w:hAnsi="Times" w:cs="Segoe UI"/>
          <w:sz w:val="20"/>
          <w:szCs w:val="20"/>
        </w:rPr>
        <w:t xml:space="preserve"> liposome, PTX liposome, and the composite liposome containing both Res and PTX. Tumor growth was monitored for MCF-7 (A) and MCF-7/</w:t>
      </w:r>
      <w:proofErr w:type="spellStart"/>
      <w:r w:rsidR="45B58881" w:rsidRPr="00A95A84">
        <w:rPr>
          <w:rFonts w:ascii="Times" w:eastAsia="Segoe UI" w:hAnsi="Times" w:cs="Segoe UI"/>
          <w:sz w:val="20"/>
          <w:szCs w:val="20"/>
        </w:rPr>
        <w:t>Adr</w:t>
      </w:r>
      <w:proofErr w:type="spellEnd"/>
      <w:r w:rsidR="45B58881" w:rsidRPr="00A95A84">
        <w:rPr>
          <w:rFonts w:ascii="Times" w:eastAsia="Segoe UI" w:hAnsi="Times" w:cs="Segoe UI"/>
          <w:sz w:val="20"/>
          <w:szCs w:val="20"/>
        </w:rPr>
        <w:t xml:space="preserve"> (B) cell lines, with error bars representing the 95% confidence intervals. Tumor volumes were measured on days 0, 3, 8, 10, and 14 following the injection of tumor cells.</w:t>
      </w:r>
    </w:p>
    <w:p w14:paraId="3A0AB1D8" w14:textId="3D7918A9" w:rsidR="005C4704" w:rsidRPr="00D22AA7" w:rsidRDefault="28D689A4" w:rsidP="00A95A84">
      <w:pPr>
        <w:spacing w:beforeAutospacing="1" w:afterAutospacing="1"/>
        <w:jc w:val="both"/>
        <w:rPr>
          <w:rFonts w:ascii="Times" w:hAnsi="Times"/>
          <w:color w:val="222222"/>
        </w:rPr>
      </w:pPr>
      <w:r w:rsidRPr="00D22AA7">
        <w:rPr>
          <w:rFonts w:ascii="Times" w:hAnsi="Times"/>
          <w:color w:val="222222"/>
        </w:rPr>
        <w:lastRenderedPageBreak/>
        <w:t>Cancer cells exhibit a higher expression of transferrin receptors (</w:t>
      </w:r>
      <w:proofErr w:type="spellStart"/>
      <w:r w:rsidRPr="00D22AA7">
        <w:rPr>
          <w:rFonts w:ascii="Times" w:hAnsi="Times"/>
          <w:color w:val="222222"/>
        </w:rPr>
        <w:t>TfRs</w:t>
      </w:r>
      <w:proofErr w:type="spellEnd"/>
      <w:r w:rsidRPr="00D22AA7">
        <w:rPr>
          <w:rFonts w:ascii="Times" w:hAnsi="Times"/>
          <w:color w:val="222222"/>
        </w:rPr>
        <w:t>) compared to normal cells, leading to an elevated demand for iron. Transferrin (</w:t>
      </w:r>
      <w:proofErr w:type="spellStart"/>
      <w:r w:rsidRPr="00D22AA7">
        <w:rPr>
          <w:rFonts w:ascii="Times" w:hAnsi="Times"/>
          <w:color w:val="222222"/>
        </w:rPr>
        <w:t>Tf</w:t>
      </w:r>
      <w:proofErr w:type="spellEnd"/>
      <w:r w:rsidRPr="00D22AA7">
        <w:rPr>
          <w:rFonts w:ascii="Times" w:hAnsi="Times"/>
          <w:color w:val="222222"/>
        </w:rPr>
        <w:t xml:space="preserve">), a serum glycoprotein, facilitates iron transport into cells by binding to </w:t>
      </w:r>
      <w:proofErr w:type="spellStart"/>
      <w:r w:rsidRPr="00D22AA7">
        <w:rPr>
          <w:rFonts w:ascii="Times" w:hAnsi="Times"/>
          <w:color w:val="222222"/>
        </w:rPr>
        <w:t>TfRs</w:t>
      </w:r>
      <w:proofErr w:type="spellEnd"/>
      <w:r w:rsidRPr="00D22AA7">
        <w:rPr>
          <w:rFonts w:ascii="Times" w:hAnsi="Times"/>
          <w:color w:val="222222"/>
        </w:rPr>
        <w:t xml:space="preserve">. Due to the overexpression of </w:t>
      </w:r>
      <w:proofErr w:type="spellStart"/>
      <w:r w:rsidRPr="00D22AA7">
        <w:rPr>
          <w:rFonts w:ascii="Times" w:hAnsi="Times"/>
          <w:color w:val="222222"/>
        </w:rPr>
        <w:t>TfRs</w:t>
      </w:r>
      <w:proofErr w:type="spellEnd"/>
      <w:r w:rsidRPr="00D22AA7">
        <w:rPr>
          <w:rFonts w:ascii="Times" w:hAnsi="Times"/>
          <w:color w:val="222222"/>
        </w:rPr>
        <w:t xml:space="preserve"> in cancer cells, these receptors serve as an effective target for directed drug delivery. Studies have demonstrated that resveratrol-loaded liposomes targeted with transferrin (</w:t>
      </w:r>
      <w:proofErr w:type="spellStart"/>
      <w:r w:rsidRPr="00D22AA7">
        <w:rPr>
          <w:rFonts w:ascii="Times" w:hAnsi="Times"/>
          <w:color w:val="222222"/>
        </w:rPr>
        <w:t>Tf</w:t>
      </w:r>
      <w:proofErr w:type="spellEnd"/>
      <w:r w:rsidRPr="00D22AA7">
        <w:rPr>
          <w:rFonts w:ascii="Times" w:hAnsi="Times"/>
          <w:color w:val="222222"/>
        </w:rPr>
        <w:t xml:space="preserve">-resveratrol-L) exhibit greater cytotoxicity, induce higher apoptosis rates in glioblastoma cells, </w:t>
      </w:r>
      <w:proofErr w:type="gramStart"/>
      <w:r w:rsidRPr="00D22AA7">
        <w:rPr>
          <w:rFonts w:ascii="Times" w:hAnsi="Times"/>
          <w:color w:val="222222"/>
        </w:rPr>
        <w:t>and  reduce</w:t>
      </w:r>
      <w:proofErr w:type="gramEnd"/>
      <w:r w:rsidRPr="00D22AA7">
        <w:rPr>
          <w:rFonts w:ascii="Times" w:hAnsi="Times"/>
          <w:color w:val="222222"/>
        </w:rPr>
        <w:t xml:space="preserve"> </w:t>
      </w:r>
      <w:r w:rsidR="150FCDDB" w:rsidRPr="00D22AA7">
        <w:rPr>
          <w:rFonts w:ascii="Times" w:hAnsi="Times"/>
          <w:color w:val="222222"/>
        </w:rPr>
        <w:t xml:space="preserve">the growth of </w:t>
      </w:r>
      <w:r w:rsidRPr="00D22AA7">
        <w:rPr>
          <w:rFonts w:ascii="Times" w:hAnsi="Times"/>
          <w:color w:val="222222"/>
        </w:rPr>
        <w:t xml:space="preserve"> in mice compared to non-targeted RSV-PEGylated liposomes.</w:t>
      </w:r>
    </w:p>
    <w:p w14:paraId="6D8F1F32" w14:textId="1429EAB8" w:rsidR="00D45672" w:rsidRPr="00D22AA7" w:rsidRDefault="00CF6CAB" w:rsidP="00A95A84">
      <w:pPr>
        <w:spacing w:beforeAutospacing="1" w:afterAutospacing="1"/>
        <w:jc w:val="both"/>
        <w:rPr>
          <w:rFonts w:ascii="Times" w:hAnsi="Times"/>
          <w:color w:val="222222"/>
        </w:rPr>
      </w:pPr>
      <w:r>
        <w:rPr>
          <w:rFonts w:ascii="Times" w:hAnsi="Times"/>
          <w:color w:val="222222"/>
        </w:rPr>
        <w:t xml:space="preserve">A </w:t>
      </w:r>
      <w:r w:rsidR="005C4704" w:rsidRPr="00D22AA7">
        <w:rPr>
          <w:rFonts w:ascii="Times" w:hAnsi="Times"/>
          <w:color w:val="222222"/>
        </w:rPr>
        <w:t xml:space="preserve">folate-conjugated </w:t>
      </w:r>
      <w:r>
        <w:rPr>
          <w:rFonts w:ascii="Times" w:hAnsi="Times"/>
          <w:color w:val="222222"/>
        </w:rPr>
        <w:t>RSV</w:t>
      </w:r>
      <w:r w:rsidR="005C4704" w:rsidRPr="00D22AA7">
        <w:rPr>
          <w:rFonts w:ascii="Times" w:hAnsi="Times"/>
          <w:color w:val="222222"/>
        </w:rPr>
        <w:t xml:space="preserve"> nanostructure</w:t>
      </w:r>
      <w:r>
        <w:rPr>
          <w:rFonts w:ascii="Times" w:hAnsi="Times"/>
          <w:color w:val="222222"/>
        </w:rPr>
        <w:t xml:space="preserve"> was synthesized</w:t>
      </w:r>
      <w:r w:rsidR="005C4704" w:rsidRPr="00D22AA7">
        <w:rPr>
          <w:rFonts w:ascii="Times" w:hAnsi="Times"/>
          <w:color w:val="222222"/>
        </w:rPr>
        <w:t xml:space="preserve">. This folate-targeted formulation demonstrated significantly enhanced cytotoxicity against MCF-7 breast cancer cells compared to its non-targeted counterpart. When administered intravenously in rats, the folate-targeted nanocarrier showed a ninefold increase in bioavailability relative to free RSV, highlighting its potential for improved therapeutic delivery </w:t>
      </w:r>
      <w:r w:rsidR="00920C86" w:rsidRPr="00D22AA7">
        <w:rPr>
          <w:rFonts w:ascii="Times" w:hAnsi="Times"/>
          <w:color w:val="222222"/>
        </w:rPr>
        <w:fldChar w:fldCharType="begin"/>
      </w:r>
      <w:r w:rsidR="0056095D">
        <w:rPr>
          <w:rFonts w:ascii="Times" w:hAnsi="Times"/>
          <w:color w:val="222222"/>
        </w:rPr>
        <w:instrText xml:space="preserve"> ADDIN ZOTERO_ITEM CSL_CITATION {"citationID":"geXdNImh","properties":{"formattedCitation":"[216]","plainCitation":"[216]","noteIndex":0},"citationItems":[{"id":2422,"uris":["http://zotero.org/users/9439317/items/9ZZ3FH7V"],"itemData":{"id":2422,"type":"article-journal","abstract":"Resveratrol (RSV) has shown to possess anti-cancer potential in various studies; however, its poor water solubility, extensive first-pass metabolism, and photostability issues have limited its clinical application. Therefore, the aim of the current investigation was to formulate and optimize a nanostructured lipid carriers (NLCs) based parenteral formulation of RSV for its effective delivery to breast cancer cells. NLCs loaded with RSV (RSV-NLCs) were formulated by the modified solvent injection technique and were systematically optimized using a three level-three factor Box-Behnken design. The optimized RSV-NLCs exhibited an optimum particle size of 88.3</w:instrText>
      </w:r>
      <w:r w:rsidR="0056095D">
        <w:rPr>
          <w:color w:val="222222"/>
        </w:rPr>
        <w:instrText> </w:instrText>
      </w:r>
      <w:r w:rsidR="0056095D">
        <w:rPr>
          <w:rFonts w:ascii="Times" w:hAnsi="Times"/>
          <w:color w:val="222222"/>
        </w:rPr>
        <w:instrText>±</w:instrText>
      </w:r>
      <w:r w:rsidR="0056095D">
        <w:rPr>
          <w:color w:val="222222"/>
        </w:rPr>
        <w:instrText> </w:instrText>
      </w:r>
      <w:r w:rsidR="0056095D">
        <w:rPr>
          <w:rFonts w:ascii="Times" w:hAnsi="Times"/>
          <w:color w:val="222222"/>
        </w:rPr>
        <w:instrText>3.1</w:instrText>
      </w:r>
      <w:r w:rsidR="0056095D">
        <w:rPr>
          <w:color w:val="222222"/>
        </w:rPr>
        <w:instrText> </w:instrText>
      </w:r>
      <w:r w:rsidR="0056095D">
        <w:rPr>
          <w:rFonts w:ascii="Times" w:hAnsi="Times"/>
          <w:color w:val="222222"/>
        </w:rPr>
        <w:instrText>nm and high entrapment efficiency of 88.0</w:instrText>
      </w:r>
      <w:r w:rsidR="0056095D">
        <w:rPr>
          <w:color w:val="222222"/>
        </w:rPr>
        <w:instrText> </w:instrText>
      </w:r>
      <w:r w:rsidR="0056095D">
        <w:rPr>
          <w:rFonts w:ascii="Times" w:hAnsi="Times"/>
          <w:color w:val="222222"/>
        </w:rPr>
        <w:instrText>±</w:instrText>
      </w:r>
      <w:r w:rsidR="0056095D">
        <w:rPr>
          <w:color w:val="222222"/>
        </w:rPr>
        <w:instrText> </w:instrText>
      </w:r>
      <w:r w:rsidR="0056095D">
        <w:rPr>
          <w:rFonts w:ascii="Times" w:hAnsi="Times"/>
          <w:color w:val="222222"/>
        </w:rPr>
        <w:instrText>2.6%. These optimized NLCs were further investigated for the targeting potential using folic acid as the targeting moiety and cell cytotoxicity experiments revealed high cytotoxic effects of folate modified NLCs (RSV-FA-NLCs) compared to unmodified NLCs on MCF-7 cells with high levels of over-expressed folate receptors suggesting the high potential of targeted NLCs in enhancing the therapeutic concentration of RSV to breast cancer cells. In vivo pharmacokinetic studies demonstrated a nine-fold increase in AUC values obtained with RSV-FA-NLCs (57.92</w:instrText>
      </w:r>
      <w:r w:rsidR="0056095D">
        <w:rPr>
          <w:color w:val="222222"/>
        </w:rPr>
        <w:instrText> </w:instrText>
      </w:r>
      <w:r w:rsidR="0056095D">
        <w:rPr>
          <w:rFonts w:ascii="Times" w:hAnsi="Times"/>
          <w:color w:val="222222"/>
        </w:rPr>
        <w:instrText>±</w:instrText>
      </w:r>
      <w:r w:rsidR="0056095D">
        <w:rPr>
          <w:color w:val="222222"/>
        </w:rPr>
        <w:instrText> </w:instrText>
      </w:r>
      <w:r w:rsidR="0056095D">
        <w:rPr>
          <w:rFonts w:ascii="Times" w:hAnsi="Times"/>
          <w:color w:val="222222"/>
        </w:rPr>
        <w:instrText>4.15</w:instrText>
      </w:r>
      <w:r w:rsidR="0056095D">
        <w:rPr>
          <w:color w:val="222222"/>
        </w:rPr>
        <w:instrText> </w:instrText>
      </w:r>
      <w:r w:rsidR="0056095D">
        <w:rPr>
          <w:rFonts w:ascii="Times" w:hAnsi="Times"/>
          <w:color w:val="222222"/>
        </w:rPr>
        <w:instrText>μg</w:instrText>
      </w:r>
      <w:r w:rsidR="0056095D">
        <w:rPr>
          <w:color w:val="222222"/>
        </w:rPr>
        <w:instrText> </w:instrText>
      </w:r>
      <w:r w:rsidR="0056095D">
        <w:rPr>
          <w:rFonts w:ascii="Times" w:hAnsi="Times"/>
          <w:color w:val="222222"/>
        </w:rPr>
        <w:instrText>h/mLh) in comparison to free RSV (6.37</w:instrText>
      </w:r>
      <w:r w:rsidR="0056095D">
        <w:rPr>
          <w:color w:val="222222"/>
        </w:rPr>
        <w:instrText> </w:instrText>
      </w:r>
      <w:r w:rsidR="0056095D">
        <w:rPr>
          <w:rFonts w:ascii="Times" w:hAnsi="Times"/>
          <w:color w:val="222222"/>
        </w:rPr>
        <w:instrText>±</w:instrText>
      </w:r>
      <w:r w:rsidR="0056095D">
        <w:rPr>
          <w:color w:val="222222"/>
        </w:rPr>
        <w:instrText> </w:instrText>
      </w:r>
      <w:r w:rsidR="0056095D">
        <w:rPr>
          <w:rFonts w:ascii="Times" w:hAnsi="Times"/>
          <w:color w:val="222222"/>
        </w:rPr>
        <w:instrText>1.16</w:instrText>
      </w:r>
      <w:r w:rsidR="0056095D">
        <w:rPr>
          <w:color w:val="222222"/>
        </w:rPr>
        <w:instrText> </w:instrText>
      </w:r>
      <w:r w:rsidR="0056095D">
        <w:rPr>
          <w:rFonts w:ascii="Times" w:hAnsi="Times"/>
          <w:color w:val="222222"/>
        </w:rPr>
        <w:instrText>μg</w:instrText>
      </w:r>
      <w:r w:rsidR="0056095D">
        <w:rPr>
          <w:color w:val="222222"/>
        </w:rPr>
        <w:instrText> </w:instrText>
      </w:r>
      <w:r w:rsidR="0056095D">
        <w:rPr>
          <w:rFonts w:ascii="Times" w:hAnsi="Times"/>
          <w:color w:val="222222"/>
        </w:rPr>
        <w:instrText xml:space="preserve">h/mLh). The promising results from this investigation corroborated the tremendous potential of lipidic nanocarriers in augmenting the therapeutic potential of RSV.","container-title":"Colloids and Surfaces B: Biointerfaces","DOI":"10.1016/j.colsurfb.2019.06.004","ISSN":"0927-7765","journalAbbreviation":"Colloids and Surfaces B: Biointerfaces","page":"756-766","title":"Resveratrol loaded functionalized nanostructured lipid carriers for breast cancer targeting: Systematic development, characterization and pharmacokinetic evaluation","URL":"https://www.sciencedirect.com/science/article/pii/S0927776519304023","volume":"181","author":[{"family":"Poonia","given":"Neelam"},{"family":"Kaur Narang","given":"Jasjeet"},{"family":"Lather","given":"Viney"},{"family":"Beg","given":"Sarwar"},{"family":"Sharma","given":"Teenu"},{"family":"Singh","given":"Bhupinder"},{"family":"Pandita","given":"Deepti"}],"issued":{"date-parts":[["2019",9,1]]}}}],"schema":"https://github.com/citation-style-language/schema/raw/master/csl-citation.json"} </w:instrText>
      </w:r>
      <w:r w:rsidR="00920C86" w:rsidRPr="00D22AA7">
        <w:rPr>
          <w:rFonts w:ascii="Times" w:hAnsi="Times"/>
          <w:color w:val="222222"/>
        </w:rPr>
        <w:fldChar w:fldCharType="separate"/>
      </w:r>
      <w:r w:rsidR="0056095D">
        <w:rPr>
          <w:rFonts w:ascii="Times" w:hAnsi="Times"/>
          <w:noProof/>
          <w:color w:val="222222"/>
        </w:rPr>
        <w:t>[216]</w:t>
      </w:r>
      <w:r w:rsidR="00920C86" w:rsidRPr="00D22AA7">
        <w:rPr>
          <w:rFonts w:ascii="Times" w:hAnsi="Times"/>
          <w:color w:val="222222"/>
        </w:rPr>
        <w:fldChar w:fldCharType="end"/>
      </w:r>
      <w:r w:rsidR="00D45672" w:rsidRPr="00D22AA7">
        <w:rPr>
          <w:rFonts w:ascii="Times" w:hAnsi="Times"/>
          <w:color w:val="222222"/>
        </w:rPr>
        <w:t xml:space="preserve">. </w:t>
      </w:r>
    </w:p>
    <w:p w14:paraId="2F487F1F" w14:textId="60B2083A" w:rsidR="0C890939" w:rsidRDefault="002851E6" w:rsidP="3F226BC9">
      <w:pPr>
        <w:jc w:val="both"/>
        <w:rPr>
          <w:rFonts w:ascii="Times" w:hAnsi="Times"/>
        </w:rPr>
      </w:pPr>
      <w:r>
        <w:rPr>
          <w:rFonts w:ascii="Times" w:hAnsi="Times"/>
        </w:rPr>
        <w:t xml:space="preserve">                                           </w:t>
      </w:r>
      <w:r w:rsidR="0C890939" w:rsidRPr="00D22AA7">
        <w:rPr>
          <w:rFonts w:ascii="Times" w:hAnsi="Times"/>
          <w:noProof/>
        </w:rPr>
        <w:drawing>
          <wp:inline distT="0" distB="0" distL="0" distR="0" wp14:anchorId="68999063" wp14:editId="174ECC62">
            <wp:extent cx="2063436" cy="4952246"/>
            <wp:effectExtent l="0" t="0" r="0" b="1270"/>
            <wp:docPr id="1363276627" name="Picture 1363276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082958" cy="4999099"/>
                    </a:xfrm>
                    <a:prstGeom prst="rect">
                      <a:avLst/>
                    </a:prstGeom>
                  </pic:spPr>
                </pic:pic>
              </a:graphicData>
            </a:graphic>
          </wp:inline>
        </w:drawing>
      </w:r>
    </w:p>
    <w:p w14:paraId="1D06A5BF" w14:textId="77777777" w:rsidR="00A95A84" w:rsidRPr="00D22AA7" w:rsidRDefault="00A95A84" w:rsidP="3F226BC9">
      <w:pPr>
        <w:jc w:val="both"/>
        <w:rPr>
          <w:rFonts w:ascii="Times" w:hAnsi="Times"/>
        </w:rPr>
      </w:pPr>
    </w:p>
    <w:p w14:paraId="39F6F38A" w14:textId="462B7033" w:rsidR="0C890939" w:rsidRPr="00A95A84" w:rsidRDefault="0C890939" w:rsidP="3F226BC9">
      <w:pPr>
        <w:jc w:val="both"/>
        <w:rPr>
          <w:rFonts w:ascii="Times" w:hAnsi="Times"/>
          <w:sz w:val="20"/>
          <w:szCs w:val="20"/>
        </w:rPr>
      </w:pPr>
      <w:r w:rsidRPr="00A95A84">
        <w:rPr>
          <w:rFonts w:ascii="Times" w:eastAsia="Georgia" w:hAnsi="Times" w:cs="Georgia"/>
          <w:b/>
          <w:bCs/>
          <w:color w:val="1F1F1F"/>
          <w:sz w:val="20"/>
          <w:szCs w:val="20"/>
        </w:rPr>
        <w:t>Fig</w:t>
      </w:r>
      <w:r w:rsidR="00183E0A" w:rsidRPr="00A95A84">
        <w:rPr>
          <w:rFonts w:ascii="Times" w:eastAsia="Georgia" w:hAnsi="Times" w:cs="Georgia"/>
          <w:b/>
          <w:bCs/>
          <w:color w:val="1F1F1F"/>
          <w:sz w:val="20"/>
          <w:szCs w:val="20"/>
        </w:rPr>
        <w:t>ure</w:t>
      </w:r>
      <w:r w:rsidR="00183E0A" w:rsidRPr="00A95A84">
        <w:rPr>
          <w:rFonts w:ascii="Times" w:eastAsia="Georgia" w:hAnsi="Times" w:cs="Georgia"/>
          <w:color w:val="1F1F1F"/>
          <w:sz w:val="20"/>
          <w:szCs w:val="20"/>
        </w:rPr>
        <w:t xml:space="preserve"> </w:t>
      </w:r>
      <w:r w:rsidR="002C530E" w:rsidRPr="00A95A84">
        <w:rPr>
          <w:rFonts w:ascii="Times" w:eastAsia="Georgia" w:hAnsi="Times" w:cs="Georgia"/>
          <w:b/>
          <w:bCs/>
          <w:color w:val="1F1F1F"/>
          <w:sz w:val="20"/>
          <w:szCs w:val="20"/>
        </w:rPr>
        <w:t>5</w:t>
      </w:r>
      <w:r w:rsidR="000F75FE" w:rsidRPr="00A95A84">
        <w:rPr>
          <w:rFonts w:ascii="Times" w:eastAsia="Georgia" w:hAnsi="Times" w:cs="Georgia"/>
          <w:b/>
          <w:bCs/>
          <w:color w:val="1F1F1F"/>
          <w:sz w:val="20"/>
          <w:szCs w:val="20"/>
        </w:rPr>
        <w:t>4</w:t>
      </w:r>
      <w:r w:rsidR="002C530E" w:rsidRPr="00A95A84">
        <w:rPr>
          <w:rFonts w:ascii="Times" w:eastAsia="Georgia" w:hAnsi="Times" w:cs="Georgia"/>
          <w:b/>
          <w:bCs/>
          <w:color w:val="1F1F1F"/>
          <w:sz w:val="20"/>
          <w:szCs w:val="20"/>
        </w:rPr>
        <w:t>.</w:t>
      </w:r>
      <w:r w:rsidR="002C530E" w:rsidRPr="00A95A84">
        <w:rPr>
          <w:rFonts w:ascii="Times" w:eastAsia="Georgia" w:hAnsi="Times" w:cs="Georgia"/>
          <w:color w:val="1F1F1F"/>
          <w:sz w:val="20"/>
          <w:szCs w:val="20"/>
        </w:rPr>
        <w:t xml:space="preserve"> </w:t>
      </w:r>
      <w:r w:rsidR="00156426" w:rsidRPr="00A95A84">
        <w:rPr>
          <w:rFonts w:ascii="Times" w:eastAsia="Georgia" w:hAnsi="Times" w:cs="Georgia"/>
          <w:color w:val="1F1F1F"/>
          <w:sz w:val="20"/>
          <w:szCs w:val="20"/>
        </w:rPr>
        <w:t>(A) A transmission electron microscopy (TEM) image of resveratrol-folic acid nanostructured lipid carriers (RSV-FA-NLCs); (B) Differential scanning calorimetry (DSC) thermograms comparing RSV (a), RSV-FA-NLCs (b), RSV-NLCs (c), and a mixture of RSV with stearic acid (d); (C) An in vitro drug release profile illustrating the release of RSV from various formulations.</w:t>
      </w:r>
    </w:p>
    <w:p w14:paraId="245F542A" w14:textId="77D77151" w:rsidR="00183E0A" w:rsidRDefault="002851E6" w:rsidP="00183E0A">
      <w:pPr>
        <w:jc w:val="both"/>
        <w:rPr>
          <w:rFonts w:ascii="Times" w:eastAsia="Georgia" w:hAnsi="Times" w:cs="Georgia"/>
          <w:b/>
          <w:bCs/>
          <w:color w:val="1F1F1F"/>
          <w:sz w:val="22"/>
          <w:szCs w:val="22"/>
        </w:rPr>
      </w:pPr>
      <w:r>
        <w:rPr>
          <w:rFonts w:ascii="Times" w:eastAsia="Georgia" w:hAnsi="Times" w:cs="Georgia"/>
          <w:b/>
          <w:bCs/>
          <w:color w:val="1F1F1F"/>
          <w:sz w:val="22"/>
          <w:szCs w:val="22"/>
        </w:rPr>
        <w:lastRenderedPageBreak/>
        <w:t xml:space="preserve">                  </w:t>
      </w:r>
      <w:r w:rsidR="444097C8" w:rsidRPr="00D22AA7">
        <w:rPr>
          <w:rFonts w:ascii="Times" w:hAnsi="Times"/>
          <w:noProof/>
        </w:rPr>
        <w:drawing>
          <wp:inline distT="0" distB="0" distL="0" distR="0" wp14:anchorId="4FE3E524" wp14:editId="782C84FA">
            <wp:extent cx="4509634" cy="3982065"/>
            <wp:effectExtent l="0" t="0" r="0" b="6350"/>
            <wp:docPr id="2016742598" name="Picture 2016742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6742598"/>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582052" cy="4046011"/>
                    </a:xfrm>
                    <a:prstGeom prst="rect">
                      <a:avLst/>
                    </a:prstGeom>
                  </pic:spPr>
                </pic:pic>
              </a:graphicData>
            </a:graphic>
          </wp:inline>
        </w:drawing>
      </w:r>
    </w:p>
    <w:p w14:paraId="0D0AD4FC" w14:textId="77777777" w:rsidR="00093D08" w:rsidRPr="00D22AA7" w:rsidRDefault="00093D08" w:rsidP="00183E0A">
      <w:pPr>
        <w:jc w:val="both"/>
        <w:rPr>
          <w:rFonts w:ascii="Times" w:eastAsia="Georgia" w:hAnsi="Times" w:cs="Georgia"/>
          <w:b/>
          <w:bCs/>
          <w:color w:val="1F1F1F"/>
          <w:sz w:val="22"/>
          <w:szCs w:val="22"/>
        </w:rPr>
      </w:pPr>
    </w:p>
    <w:p w14:paraId="453FDB8C" w14:textId="33B2D8DA" w:rsidR="0DE242D6" w:rsidRPr="00A95A84" w:rsidRDefault="444097C8" w:rsidP="00183E0A">
      <w:pPr>
        <w:jc w:val="both"/>
        <w:rPr>
          <w:rFonts w:ascii="Times" w:hAnsi="Times"/>
          <w:sz w:val="20"/>
          <w:szCs w:val="20"/>
        </w:rPr>
      </w:pPr>
      <w:r w:rsidRPr="00A95A84">
        <w:rPr>
          <w:rFonts w:ascii="Times" w:eastAsia="Georgia" w:hAnsi="Times" w:cs="Georgia"/>
          <w:b/>
          <w:bCs/>
          <w:color w:val="1F1F1F"/>
          <w:sz w:val="20"/>
          <w:szCs w:val="20"/>
        </w:rPr>
        <w:t>Fig</w:t>
      </w:r>
      <w:r w:rsidR="00183E0A" w:rsidRPr="00A95A84">
        <w:rPr>
          <w:rFonts w:ascii="Times" w:eastAsia="Georgia" w:hAnsi="Times" w:cs="Georgia"/>
          <w:b/>
          <w:bCs/>
          <w:color w:val="1F1F1F"/>
          <w:sz w:val="20"/>
          <w:szCs w:val="20"/>
        </w:rPr>
        <w:t>ure</w:t>
      </w:r>
      <w:r w:rsidR="002C530E" w:rsidRPr="00A95A84">
        <w:rPr>
          <w:rFonts w:ascii="Times" w:eastAsia="Georgia" w:hAnsi="Times" w:cs="Georgia"/>
          <w:b/>
          <w:bCs/>
          <w:color w:val="1F1F1F"/>
          <w:sz w:val="20"/>
          <w:szCs w:val="20"/>
        </w:rPr>
        <w:t xml:space="preserve"> 5</w:t>
      </w:r>
      <w:r w:rsidR="000F75FE" w:rsidRPr="00A95A84">
        <w:rPr>
          <w:rFonts w:ascii="Times" w:eastAsia="Georgia" w:hAnsi="Times" w:cs="Georgia"/>
          <w:b/>
          <w:bCs/>
          <w:color w:val="1F1F1F"/>
          <w:sz w:val="20"/>
          <w:szCs w:val="20"/>
        </w:rPr>
        <w:t>5</w:t>
      </w:r>
      <w:r w:rsidR="00183E0A" w:rsidRPr="00A95A84">
        <w:rPr>
          <w:rFonts w:ascii="Times" w:eastAsia="Georgia" w:hAnsi="Times" w:cs="Georgia"/>
          <w:b/>
          <w:bCs/>
          <w:color w:val="1F1F1F"/>
          <w:sz w:val="20"/>
          <w:szCs w:val="20"/>
        </w:rPr>
        <w:t>.</w:t>
      </w:r>
      <w:r w:rsidRPr="00A95A84">
        <w:rPr>
          <w:rFonts w:ascii="Times" w:eastAsia="Georgia" w:hAnsi="Times" w:cs="Georgia"/>
          <w:color w:val="1F1F1F"/>
          <w:sz w:val="20"/>
          <w:szCs w:val="20"/>
        </w:rPr>
        <w:t xml:space="preserve"> </w:t>
      </w:r>
      <w:r w:rsidR="77DDA024" w:rsidRPr="00A95A84">
        <w:rPr>
          <w:rFonts w:ascii="Times" w:eastAsia="Georgia" w:hAnsi="Times" w:cs="Georgia"/>
          <w:color w:val="1F1F1F"/>
          <w:sz w:val="20"/>
          <w:szCs w:val="20"/>
        </w:rPr>
        <w:t xml:space="preserve">The in vitro cell viability of (A) MCF-7 and (B) A549 cells was assessed at varying drug concentrations following a 72-hour treatment period. (C) The plasma concentration-time profile of RSV </w:t>
      </w:r>
      <w:proofErr w:type="gramStart"/>
      <w:r w:rsidR="77DDA024" w:rsidRPr="00A95A84">
        <w:rPr>
          <w:rFonts w:ascii="Times" w:eastAsia="Georgia" w:hAnsi="Times" w:cs="Georgia"/>
          <w:color w:val="1F1F1F"/>
          <w:sz w:val="20"/>
          <w:szCs w:val="20"/>
        </w:rPr>
        <w:t>in  was</w:t>
      </w:r>
      <w:proofErr w:type="gramEnd"/>
      <w:r w:rsidR="77DDA024" w:rsidRPr="00A95A84">
        <w:rPr>
          <w:rFonts w:ascii="Times" w:eastAsia="Georgia" w:hAnsi="Times" w:cs="Georgia"/>
          <w:color w:val="1F1F1F"/>
          <w:sz w:val="20"/>
          <w:szCs w:val="20"/>
        </w:rPr>
        <w:t xml:space="preserve"> evaluated after intravenous administration of free RSV, RSV-loaded nanostructured lipid carriers (RSV-NLCs), and folic acid-conjugated RSV-NLCs (RSV-FA-NLCs). The inset displays a representative high-performance liquid chromatography (HPLC) chromatogram of RSV detected in rat plasma.</w:t>
      </w:r>
    </w:p>
    <w:p w14:paraId="5A3E5862" w14:textId="77777777" w:rsidR="00183E0A" w:rsidRPr="00D22AA7" w:rsidRDefault="00183E0A" w:rsidP="00183E0A">
      <w:pPr>
        <w:jc w:val="both"/>
        <w:rPr>
          <w:rFonts w:ascii="Times" w:hAnsi="Times"/>
        </w:rPr>
      </w:pPr>
    </w:p>
    <w:p w14:paraId="65020FED" w14:textId="46F517CD" w:rsidR="00386CA0" w:rsidRPr="00D22AA7" w:rsidRDefault="00183E0A" w:rsidP="3300C1C8">
      <w:pPr>
        <w:jc w:val="both"/>
        <w:rPr>
          <w:rFonts w:ascii="Times" w:hAnsi="Times"/>
          <w:b/>
          <w:bCs/>
        </w:rPr>
      </w:pPr>
      <w:r w:rsidRPr="00D22AA7">
        <w:rPr>
          <w:rFonts w:ascii="Times" w:eastAsia="Arial;Arial;Helvetica;sans-seri" w:hAnsi="Times" w:cs="Arial;Arial;Helvetica;sans-seri"/>
          <w:noProof/>
        </w:rPr>
        <w:t>T</w:t>
      </w:r>
      <w:r w:rsidR="02074FCD" w:rsidRPr="00D22AA7">
        <w:rPr>
          <w:rFonts w:ascii="Times" w:eastAsia="Arial;Arial;Helvetica;sans-seri" w:hAnsi="Times" w:cs="Arial;Arial;Helvetica;sans-seri"/>
          <w:noProof/>
        </w:rPr>
        <w:t xml:space="preserve">he anticancer potential of resveratrol-loaded transferrin-modified polyethylene glycol-polylactic acid nanoparticles (Tf-PEG-PLA-RSV) in a rat model </w:t>
      </w:r>
      <w:r w:rsidR="6F82242D" w:rsidRPr="00D22AA7">
        <w:rPr>
          <w:rFonts w:ascii="Times" w:eastAsia="Arial;Arial;Helvetica;sans-seri" w:hAnsi="Times" w:cs="Arial;Arial;Helvetica;sans-seri"/>
          <w:noProof/>
        </w:rPr>
        <w:t>xenografted with</w:t>
      </w:r>
      <w:r w:rsidR="02074FCD" w:rsidRPr="00D22AA7">
        <w:rPr>
          <w:rFonts w:ascii="Times" w:eastAsia="Arial;Arial;Helvetica;sans-seri" w:hAnsi="Times" w:cs="Arial;Arial;Helvetica;sans-seri"/>
          <w:noProof/>
        </w:rPr>
        <w:t xml:space="preserve"> C6 glioma tumors. The results demonstrated that the RSV-conjugated nanoparticles exhibited significantly enhanced anticancer effects compared to free RSV. These nanoparticles not only led to a noticeable reduction in tumor volume but also promoted a higher accumulation of the drug specifically within the tumor cells. This finding underscores the effectiveness of the nanoparticle formulation in improving the targeted delivery of resveratrol, thereby potentially overcoming limitations associated with conventional treatment methods and enhancing therapeutic outcomes in glioma.</w:t>
      </w:r>
      <w:r w:rsidR="02074FCD" w:rsidRPr="00D22AA7">
        <w:rPr>
          <w:rFonts w:ascii="Times" w:hAnsi="Times"/>
          <w:noProof/>
          <w:color w:val="222222"/>
        </w:rPr>
        <w:t xml:space="preserve"> </w:t>
      </w:r>
      <w:r w:rsidR="00156426" w:rsidRPr="00D22AA7">
        <w:rPr>
          <w:rFonts w:ascii="Times" w:hAnsi="Times"/>
          <w:color w:val="222222"/>
        </w:rPr>
        <w:fldChar w:fldCharType="begin"/>
      </w:r>
      <w:r w:rsidR="0056095D">
        <w:rPr>
          <w:rFonts w:ascii="Times" w:hAnsi="Times"/>
          <w:color w:val="222222"/>
        </w:rPr>
        <w:instrText xml:space="preserve"> ADDIN ZOTERO_ITEM CSL_CITATION {"citationID":"Esj2zts7","properties":{"formattedCitation":"[217]","plainCitation":"[217]","noteIndex":0},"citationItems":[{"id":2396,"uris":["http://zotero.org/users/9439317/items/A6NQB6KH"],"itemData":{"id":2396,"type":"article-journal","abstract":"Glioblastoma is one of the most malignant brain tumors with a poor prognosis. In this study, we examined the effects of transferrin (Tf)-modiﬁed poly ethyleneglycol-poly lactic acid (PEG-PLA) nanoparticles conjugated with resveratrol (Tf-PEG-PLA-RSV) to glioma therapy in vitro and in vivo. The cell viability of Tf-PEG-PLA-RSV on C6 and U87 glioma cells was determined by the MTT assay. In vivo biodistribution and antitumor activity were investigated in Brain glioma bearing rat model of C6 glioma by i.p. administration of RSV-polymer conjugates. We found that the average diameter of each Tf-PEGPLA-RSV is around 150 nm with 32 molecules of Tf on surface. In vitro cytotoxicity of PEG-PLA-RSV against C6 and U87 cells was higher than that of free RSV, and further the modiﬁcation of Tf enhanced the cytotoxicity of the RSV-polymer conjugates as a result of the increased cellular uptake of the RSVmodiﬁed conjugates by glioma cells. In comparison with free RSV, RSV conjugates could signiﬁcantly decrease tumor volume and accumulate in brain tumor, which resulted in prolonging the survival of C6 glioma-bearing rats. These results suggest that Tf-NP-RSV had a potential of therapeutic effect to glioma both in vitro and in vivo and might be a potential candidate for targeted therapy of glioma and worthy of further investigation.","container-title":"European Journal of Pharmacology","DOI":"10.1016/j.ejphar.2013.09.034","ISSN":"00142999","issue":"1-3","journalAbbreviation":"European Journal of Pharmacology","language":"en","page":"41-47","source":"DOI.org (Crossref)","title":"Transferrin modified PEG-PLA-resveratrol conjugates: In vitro and in vivo studies for glioma","title-short":"Transferrin modified PEG-PLA-resveratrol conjugates","URL":"https://linkinghub.elsevier.com/retrieve/pii/S0014299913006870","volume":"718","author":[{"family":"Guo","given":"Wanhua"},{"family":"Li","given":"Aimei"},{"family":"Jia","given":"Zhijun"},{"family":"Yuan","given":"Yi"},{"family":"Dai","given":"Haifeng"},{"family":"Li","given":"Hongxiu"}],"accessed":{"date-parts":[["2023",3,10]]},"issued":{"date-parts":[["2013",10]]}}}],"schema":"https://github.com/citation-style-language/schema/raw/master/csl-citation.json"} </w:instrText>
      </w:r>
      <w:r w:rsidR="00156426" w:rsidRPr="00D22AA7">
        <w:rPr>
          <w:rFonts w:ascii="Times" w:hAnsi="Times"/>
          <w:color w:val="222222"/>
        </w:rPr>
        <w:fldChar w:fldCharType="separate"/>
      </w:r>
      <w:r w:rsidR="0056095D">
        <w:rPr>
          <w:rFonts w:ascii="Times" w:hAnsi="Times"/>
          <w:noProof/>
          <w:color w:val="222222"/>
        </w:rPr>
        <w:t>[217]</w:t>
      </w:r>
      <w:r w:rsidR="00156426" w:rsidRPr="00D22AA7">
        <w:rPr>
          <w:rFonts w:ascii="Times" w:hAnsi="Times"/>
          <w:color w:val="222222"/>
        </w:rPr>
        <w:fldChar w:fldCharType="end"/>
      </w:r>
      <w:r w:rsidR="66779EFB" w:rsidRPr="00D22AA7">
        <w:rPr>
          <w:rFonts w:ascii="Times" w:hAnsi="Times"/>
          <w:color w:val="222222"/>
        </w:rPr>
        <w:t>.</w:t>
      </w:r>
    </w:p>
    <w:p w14:paraId="03BE825D" w14:textId="13DDE382" w:rsidR="1CF44304" w:rsidRPr="00D22AA7" w:rsidRDefault="002851E6" w:rsidP="0DE242D6">
      <w:pPr>
        <w:jc w:val="both"/>
        <w:rPr>
          <w:rFonts w:ascii="Times" w:hAnsi="Times"/>
        </w:rPr>
      </w:pPr>
      <w:r>
        <w:rPr>
          <w:rFonts w:ascii="Times" w:hAnsi="Times"/>
        </w:rPr>
        <w:lastRenderedPageBreak/>
        <w:t xml:space="preserve">                                        </w:t>
      </w:r>
      <w:r w:rsidR="69253C43" w:rsidRPr="00D22AA7">
        <w:rPr>
          <w:rFonts w:ascii="Times" w:hAnsi="Times"/>
          <w:noProof/>
        </w:rPr>
        <w:drawing>
          <wp:inline distT="0" distB="0" distL="0" distR="0" wp14:anchorId="6475677E" wp14:editId="2380496D">
            <wp:extent cx="2921300" cy="4591665"/>
            <wp:effectExtent l="0" t="0" r="0" b="6350"/>
            <wp:docPr id="27184420" name="Picture 27184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84420"/>
                    <pic:cNvPicPr/>
                  </pic:nvPicPr>
                  <pic:blipFill>
                    <a:blip r:embed="rId71">
                      <a:extLst>
                        <a:ext uri="{28A0092B-C50C-407E-A947-70E740481C1C}">
                          <a14:useLocalDpi xmlns:a14="http://schemas.microsoft.com/office/drawing/2010/main" val="0"/>
                        </a:ext>
                      </a:extLst>
                    </a:blip>
                    <a:stretch>
                      <a:fillRect/>
                    </a:stretch>
                  </pic:blipFill>
                  <pic:spPr>
                    <a:xfrm>
                      <a:off x="0" y="0"/>
                      <a:ext cx="2971236" cy="4670154"/>
                    </a:xfrm>
                    <a:prstGeom prst="rect">
                      <a:avLst/>
                    </a:prstGeom>
                  </pic:spPr>
                </pic:pic>
              </a:graphicData>
            </a:graphic>
          </wp:inline>
        </w:drawing>
      </w:r>
    </w:p>
    <w:p w14:paraId="17E9B7FD" w14:textId="02001910" w:rsidR="5FC39EE0" w:rsidRPr="00A95A84" w:rsidRDefault="5FC39EE0" w:rsidP="3300C1C8">
      <w:pPr>
        <w:jc w:val="both"/>
        <w:rPr>
          <w:rFonts w:ascii="Times" w:eastAsia="Arial" w:hAnsi="Times" w:cs="Arial"/>
          <w:sz w:val="20"/>
          <w:szCs w:val="20"/>
        </w:rPr>
      </w:pPr>
      <w:r w:rsidRPr="00A95A84">
        <w:rPr>
          <w:rFonts w:ascii="Times" w:eastAsia="Arial" w:hAnsi="Times" w:cs="Arial"/>
          <w:b/>
          <w:bCs/>
          <w:sz w:val="20"/>
          <w:szCs w:val="20"/>
        </w:rPr>
        <w:t>Figure</w:t>
      </w:r>
      <w:r w:rsidR="002C530E" w:rsidRPr="00A95A84">
        <w:rPr>
          <w:rFonts w:ascii="Times" w:eastAsia="Arial" w:hAnsi="Times" w:cs="Arial"/>
          <w:b/>
          <w:bCs/>
          <w:sz w:val="20"/>
          <w:szCs w:val="20"/>
        </w:rPr>
        <w:t xml:space="preserve"> 5</w:t>
      </w:r>
      <w:r w:rsidR="000F75FE" w:rsidRPr="00A95A84">
        <w:rPr>
          <w:rFonts w:ascii="Times" w:eastAsia="Arial" w:hAnsi="Times" w:cs="Arial"/>
          <w:b/>
          <w:bCs/>
          <w:sz w:val="20"/>
          <w:szCs w:val="20"/>
        </w:rPr>
        <w:t>6</w:t>
      </w:r>
      <w:r w:rsidR="002C530E" w:rsidRPr="00A95A84">
        <w:rPr>
          <w:rFonts w:ascii="Times" w:eastAsia="Arial" w:hAnsi="Times" w:cs="Arial"/>
          <w:b/>
          <w:bCs/>
          <w:sz w:val="20"/>
          <w:szCs w:val="20"/>
        </w:rPr>
        <w:t>.</w:t>
      </w:r>
      <w:r w:rsidRPr="00A95A84">
        <w:rPr>
          <w:rFonts w:ascii="Times" w:eastAsia="Arial" w:hAnsi="Times" w:cs="Arial"/>
          <w:sz w:val="20"/>
          <w:szCs w:val="20"/>
        </w:rPr>
        <w:t xml:space="preserve">  examines the effects of RSV conjugates on survival and tumor volume in C6 glioma-bearing rats. (A) The in vivo impact of RSV and RSV-polymer conjugates was observed after intraperitoneal injection at a dose of 15 mg RSV-equivalent/kg, focusing on their influence on the survival rates of rats with brain tumors. (B) The tumor volume inhibitory ratios in brain-glioma-bearing rats were assessed following treatment with either RSV solution or RSV-polymer conjugates, providing a comparison of their efficacy in reducing tumor growth.</w:t>
      </w:r>
    </w:p>
    <w:p w14:paraId="36B4A27F" w14:textId="344090DE" w:rsidR="0DE242D6" w:rsidRPr="00D22AA7" w:rsidRDefault="0DE242D6" w:rsidP="0DE242D6">
      <w:pPr>
        <w:jc w:val="both"/>
        <w:rPr>
          <w:rFonts w:ascii="Times" w:eastAsia="Arial" w:hAnsi="Times" w:cs="Arial"/>
          <w:color w:val="222222"/>
          <w:sz w:val="19"/>
          <w:szCs w:val="19"/>
        </w:rPr>
      </w:pPr>
    </w:p>
    <w:p w14:paraId="7947B910" w14:textId="12BB9B9D" w:rsidR="00156426" w:rsidRPr="00D22AA7" w:rsidRDefault="77DDA024" w:rsidP="3300C1C8">
      <w:pPr>
        <w:spacing w:beforeAutospacing="1" w:afterAutospacing="1"/>
        <w:jc w:val="both"/>
        <w:rPr>
          <w:rFonts w:ascii="Times" w:hAnsi="Times"/>
          <w:b/>
          <w:bCs/>
        </w:rPr>
      </w:pPr>
      <w:r w:rsidRPr="00D22AA7">
        <w:rPr>
          <w:rFonts w:ascii="Times" w:hAnsi="Times"/>
          <w:b/>
          <w:bCs/>
        </w:rPr>
        <w:t xml:space="preserve"> </w:t>
      </w:r>
      <w:r w:rsidRPr="00D22AA7">
        <w:rPr>
          <w:rFonts w:ascii="Times" w:hAnsi="Times"/>
          <w:color w:val="222222"/>
          <w:sz w:val="20"/>
          <w:szCs w:val="20"/>
        </w:rPr>
        <w:t xml:space="preserve"> </w:t>
      </w:r>
      <w:r w:rsidR="3BDC8082" w:rsidRPr="00D22AA7">
        <w:rPr>
          <w:rFonts w:ascii="Times" w:eastAsia="Arial;Arial;Helvetica;sans-seri" w:hAnsi="Times" w:cs="Arial;Arial;Helvetica;sans-seri"/>
        </w:rPr>
        <w:t xml:space="preserve">PAMAM dendrimer nanoparticles were employed for the delivery of resveratrol (RSV) in both in vitro and in vivo environments. These dendrimers were functionalized with polyethylene glycol (PEG), </w:t>
      </w:r>
      <w:proofErr w:type="spellStart"/>
      <w:r w:rsidR="3BDC8082" w:rsidRPr="00D22AA7">
        <w:rPr>
          <w:rFonts w:ascii="Times" w:eastAsia="Arial;Arial;Helvetica;sans-seri" w:hAnsi="Times" w:cs="Arial;Arial;Helvetica;sans-seri"/>
        </w:rPr>
        <w:t>RGDyC</w:t>
      </w:r>
      <w:proofErr w:type="spellEnd"/>
      <w:r w:rsidR="3BDC8082" w:rsidRPr="00D22AA7">
        <w:rPr>
          <w:rFonts w:ascii="Times" w:eastAsia="Arial;Arial;Helvetica;sans-seri" w:hAnsi="Times" w:cs="Arial;Arial;Helvetica;sans-seri"/>
        </w:rPr>
        <w:t>, and 4-Hydroxy-phenylboronic acid (PBA) to enhance their drug delivery capabilities. The in vitro cytotoxicity of two formulations—</w:t>
      </w:r>
      <w:proofErr w:type="spellStart"/>
      <w:r w:rsidR="3BDC8082" w:rsidRPr="00D22AA7">
        <w:rPr>
          <w:rFonts w:ascii="Times" w:eastAsia="Arial;Arial;Helvetica;sans-seri" w:hAnsi="Times" w:cs="Arial;Arial;Helvetica;sans-seri"/>
        </w:rPr>
        <w:t>RGDyC</w:t>
      </w:r>
      <w:proofErr w:type="spellEnd"/>
      <w:r w:rsidR="3BDC8082" w:rsidRPr="00D22AA7">
        <w:rPr>
          <w:rFonts w:ascii="Times" w:eastAsia="Arial;Arial;Helvetica;sans-seri" w:hAnsi="Times" w:cs="Arial;Arial;Helvetica;sans-seri"/>
        </w:rPr>
        <w:t>-PEG-PAMAM-PBA-RSV (RPPPR) and PEG-PAMAM-PBA-RSV (PPPR)—was evaluated. The results showed a significant increase in cytotoxic effects when compared to free RSV, indicating improved therapeutic efficacy. Further in vivo studies confirmed that these functionalized dendrimer formulations effectively induced apoptosis in tumor cells and inhibited tumor growth. Importantly, these formulations did not show any signs of toxicity to major organs, suggesting a high level of biocompatibility and safety. This combination of enhanced cytotoxicity and minimal systemic toxicity underscores the potential of PAMAM dendrimer-based delivery systems for more effective and targeted cancer therapy</w:t>
      </w:r>
      <w:r w:rsidR="3BDC8082" w:rsidRPr="00D22AA7">
        <w:rPr>
          <w:rFonts w:ascii="Times" w:hAnsi="Times"/>
          <w:noProof/>
          <w:color w:val="222222"/>
        </w:rPr>
        <w:t xml:space="preserve"> </w:t>
      </w:r>
      <w:r w:rsidR="00156426" w:rsidRPr="00D22AA7">
        <w:rPr>
          <w:rFonts w:ascii="Times" w:hAnsi="Times"/>
          <w:color w:val="222222"/>
        </w:rPr>
        <w:fldChar w:fldCharType="begin"/>
      </w:r>
      <w:r w:rsidR="0056095D">
        <w:rPr>
          <w:rFonts w:ascii="Times" w:hAnsi="Times"/>
          <w:color w:val="222222"/>
        </w:rPr>
        <w:instrText xml:space="preserve"> ADDIN ZOTERO_ITEM CSL_CITATION {"citationID":"WqtFUOv3","properties":{"formattedCitation":"[218]","plainCitation":"[218]","noteIndex":0},"citationItems":[{"id":3050,"uris":["http://zotero.org/users/9439317/items/7N8SRXU3"],"itemData":{"id":3050,"type":"article-journal","abstract":"Nanomaterial-based drug delivery systems have demonstrated powerful applications in tumor therapy. PAMAM dendrimers by virtue of multivalent modification and biocompatible components were widely used to construction multifunctional targeted chemotherapeutics. In this report, we present a PAMAM dendrimer-based nano-prodrug delivery system for targeted tumor therapy. The RGDyC-PEG-PAMAM-PBA-Res (RPPPR) nano-prodrug was characterized by 1H NMR, zetasizer, and TEM, the drug loading and pH-sensitive drug release behaviors were investigated. In vitro cell viability assay revealed that the group treated with the nano-prodrug exhibited lower cell viability compared to the control group as concentration increased, confirming the nano-prodrug’s effectiveness in treating tumors. In vitro studies on cellular uptake of the nano-prodrug demonstrated that RPPPR had a high targeting ability, primarily attributed to the RGD-mediated target effect. Relevant data from our hemolysis assay indicated that the nano-prodrug maintained good blood compatibility within the concentration range of 0.1 to 0.3 mg/mL. In vivo experiments focusing on tumor therapy showed that RPPPR suppressed tumor growth and promoted tumor apoptosis. H&amp;E staining, TUNEL assay, and immunohistochemistry results further validated the enhanced therapeutic effect. Importantly, no toxicity was observed in the vital organs such as the heart, liver, lung, kidneys, or spleen. These results suggest the superior antitumor efficacy of RPPPR compared to Resveratrol alone, and thus may be useful for tumor therapy. It is expected to explore new directions to establish a general strategy with dendritic prodrugs for synergistic tumor targeting therapy.","container-title":"European Polymer Journal","DOI":"10.1016/j.eurpolymj.2023.112486","ISSN":"0014-3057","journalAbbreviation":"European Polymer Journal","page":"112486","title":"Construction of multifunctional targeted nano-prodrugs based on PAMAM dendrimers for tumor therapy","URL":"https://www.sciencedirect.com/science/article/pii/S0014305723006699","volume":"200","author":[{"family":"Gu","given":"Yuan"},{"family":"Cai","given":"Yanjun"},{"family":"Kou","given":"Yige"},{"family":"Cheng","given":"Erzhuo"},{"family":"Bi","given":"Hanjie"},{"family":"Hu","given":"Min"},{"family":"Wu","given":"Songyao"},{"family":"Jiang","given":"Yong"},{"family":"Zhang","given":"Jingxi"},{"family":"Wu","given":"Qingting"},{"family":"Li","given":"Yunyi"},{"family":"Yang","given":"Bin"}],"issued":{"date-parts":[["2023",11,22]]}}}],"schema":"https://github.com/citation-style-language/schema/raw/master/csl-citation.json"} </w:instrText>
      </w:r>
      <w:r w:rsidR="00156426" w:rsidRPr="00D22AA7">
        <w:rPr>
          <w:rFonts w:ascii="Times" w:hAnsi="Times"/>
          <w:color w:val="222222"/>
        </w:rPr>
        <w:fldChar w:fldCharType="separate"/>
      </w:r>
      <w:r w:rsidR="0056095D">
        <w:rPr>
          <w:rFonts w:ascii="Times" w:hAnsi="Times"/>
          <w:noProof/>
          <w:color w:val="222222"/>
        </w:rPr>
        <w:t>[218]</w:t>
      </w:r>
      <w:r w:rsidR="00156426" w:rsidRPr="00D22AA7">
        <w:rPr>
          <w:rFonts w:ascii="Times" w:hAnsi="Times"/>
          <w:color w:val="222222"/>
        </w:rPr>
        <w:fldChar w:fldCharType="end"/>
      </w:r>
      <w:r w:rsidR="001C42F6" w:rsidRPr="00D22AA7">
        <w:rPr>
          <w:rFonts w:ascii="Times" w:hAnsi="Times"/>
          <w:color w:val="222222"/>
        </w:rPr>
        <w:t>.</w:t>
      </w:r>
    </w:p>
    <w:p w14:paraId="548957F9" w14:textId="2D6A0B22" w:rsidR="00386CA0" w:rsidRPr="00D22AA7" w:rsidRDefault="00386CA0" w:rsidP="0DE242D6">
      <w:pPr>
        <w:spacing w:beforeAutospacing="1" w:afterAutospacing="1"/>
        <w:jc w:val="both"/>
        <w:rPr>
          <w:rFonts w:ascii="Times" w:hAnsi="Times"/>
          <w:color w:val="222222"/>
          <w:sz w:val="20"/>
          <w:szCs w:val="20"/>
        </w:rPr>
      </w:pPr>
    </w:p>
    <w:p w14:paraId="7B2992CE" w14:textId="334BA7A2" w:rsidR="00386CA0" w:rsidRPr="00D22AA7" w:rsidRDefault="002851E6" w:rsidP="0DE242D6">
      <w:pPr>
        <w:spacing w:beforeAutospacing="1" w:afterAutospacing="1"/>
        <w:jc w:val="both"/>
        <w:rPr>
          <w:rFonts w:ascii="Times" w:hAnsi="Times"/>
        </w:rPr>
      </w:pPr>
      <w:r>
        <w:rPr>
          <w:rFonts w:ascii="Times" w:hAnsi="Times"/>
        </w:rPr>
        <w:lastRenderedPageBreak/>
        <w:t xml:space="preserve">       </w:t>
      </w:r>
      <w:r w:rsidR="0F1B96BD" w:rsidRPr="00D22AA7">
        <w:rPr>
          <w:rFonts w:ascii="Times" w:hAnsi="Times"/>
          <w:noProof/>
        </w:rPr>
        <w:drawing>
          <wp:inline distT="0" distB="0" distL="0" distR="0" wp14:anchorId="1AC01C4F" wp14:editId="4D477782">
            <wp:extent cx="5238748" cy="3743325"/>
            <wp:effectExtent l="0" t="0" r="0" b="0"/>
            <wp:docPr id="298487917" name="Picture 298487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5238748" cy="3743325"/>
                    </a:xfrm>
                    <a:prstGeom prst="rect">
                      <a:avLst/>
                    </a:prstGeom>
                  </pic:spPr>
                </pic:pic>
              </a:graphicData>
            </a:graphic>
          </wp:inline>
        </w:drawing>
      </w:r>
    </w:p>
    <w:p w14:paraId="62873281" w14:textId="17420763" w:rsidR="00386CA0" w:rsidRPr="00853841" w:rsidRDefault="34593567" w:rsidP="0DE242D6">
      <w:pPr>
        <w:spacing w:beforeAutospacing="1" w:afterAutospacing="1"/>
        <w:jc w:val="both"/>
        <w:rPr>
          <w:rFonts w:ascii="Times" w:eastAsia="Arial" w:hAnsi="Times" w:cs="Arial"/>
          <w:sz w:val="20"/>
          <w:szCs w:val="20"/>
        </w:rPr>
      </w:pPr>
      <w:r w:rsidRPr="00A95A84">
        <w:rPr>
          <w:rFonts w:ascii="Times" w:eastAsia="Arial" w:hAnsi="Times" w:cs="Arial"/>
          <w:b/>
          <w:bCs/>
          <w:color w:val="222222"/>
          <w:sz w:val="20"/>
          <w:szCs w:val="20"/>
        </w:rPr>
        <w:t>Figure</w:t>
      </w:r>
      <w:r w:rsidR="002C530E" w:rsidRPr="00A95A84">
        <w:rPr>
          <w:rFonts w:ascii="Times" w:eastAsia="Arial" w:hAnsi="Times" w:cs="Arial"/>
          <w:b/>
          <w:bCs/>
          <w:color w:val="222222"/>
          <w:sz w:val="20"/>
          <w:szCs w:val="20"/>
        </w:rPr>
        <w:t xml:space="preserve"> 5</w:t>
      </w:r>
      <w:r w:rsidR="000F75FE" w:rsidRPr="00A95A84">
        <w:rPr>
          <w:rFonts w:ascii="Times" w:eastAsia="Arial" w:hAnsi="Times" w:cs="Arial"/>
          <w:b/>
          <w:bCs/>
          <w:color w:val="222222"/>
          <w:sz w:val="20"/>
          <w:szCs w:val="20"/>
        </w:rPr>
        <w:t>7</w:t>
      </w:r>
      <w:r w:rsidRPr="00A95A84">
        <w:rPr>
          <w:rFonts w:ascii="Times" w:eastAsia="Arial" w:hAnsi="Times" w:cs="Arial"/>
          <w:b/>
          <w:bCs/>
          <w:color w:val="222222"/>
          <w:sz w:val="20"/>
          <w:szCs w:val="20"/>
        </w:rPr>
        <w:t>.</w:t>
      </w:r>
      <w:r w:rsidRPr="00A95A84">
        <w:rPr>
          <w:rFonts w:ascii="Times" w:eastAsia="Arial" w:hAnsi="Times" w:cs="Arial"/>
          <w:color w:val="222222"/>
          <w:sz w:val="20"/>
          <w:szCs w:val="20"/>
        </w:rPr>
        <w:t xml:space="preserve"> </w:t>
      </w:r>
      <w:r w:rsidR="3F20E7FE" w:rsidRPr="00A95A84">
        <w:rPr>
          <w:rFonts w:ascii="Times" w:eastAsia="Arial" w:hAnsi="Times" w:cs="Arial"/>
          <w:sz w:val="20"/>
          <w:szCs w:val="20"/>
        </w:rPr>
        <w:t>The effects of RSV, PPPR, and RPPPR were analyzed on L929 cells (A) and CT26 cells (B). (C) Confocal laser scanning microscopy (CLSM) was used to investigate the in vitro targeting and cellular uptake of the nano-prodrugs. CLSM images of CT26 cells were obtained after 24 hours of incubation with PBS, free FITC, FITC-labeled PPPR, and FITC-labeled RPPPR.</w:t>
      </w:r>
    </w:p>
    <w:p w14:paraId="0300BAE7" w14:textId="27C4B37A" w:rsidR="00386CA0" w:rsidRPr="00D22AA7" w:rsidRDefault="009055A0" w:rsidP="002851E6">
      <w:pPr>
        <w:spacing w:before="240" w:after="240"/>
        <w:jc w:val="both"/>
        <w:rPr>
          <w:rFonts w:ascii="Times" w:hAnsi="Times"/>
        </w:rPr>
      </w:pPr>
      <w:r>
        <w:rPr>
          <w:rFonts w:ascii="Times" w:eastAsia="Arial;Arial;Helvetica;sans-seri" w:hAnsi="Times" w:cs="Arial;Arial;Helvetica;sans-seri"/>
          <w:noProof/>
        </w:rPr>
        <w:t>T</w:t>
      </w:r>
      <w:r w:rsidR="31BBA3A9" w:rsidRPr="00D22AA7">
        <w:rPr>
          <w:rFonts w:ascii="Times" w:eastAsia="Arial;Arial;Helvetica;sans-seri" w:hAnsi="Times" w:cs="Arial;Arial;Helvetica;sans-seri"/>
          <w:noProof/>
        </w:rPr>
        <w:t>he anticancer effects of resveratrol-loaded gold nanoparticles (RSV-GNCs) were evaluated in breast cancer cells (MCF-7) that were stimulated by 12-O-tetradecanoylphorbol 13-acetate (TPA). TPA is known to enhance the invasion and migration abilities of breast cancer cells, making it an effective tool for studying cancer progression. The findings revealed that RSV-GNPs significantly reduced the TPA-induced migration and invasion of these cells, demonstrating their potential as effective anti-metastatic agents. Furthermore, RSV-GNPs were found to substantially inhibit the activation of key transcription factors such as NF-kB and AP-1 in the TPA-stimulated cells. These factors are critically involved in regulating genes associated with inflammation and cancer progression.</w:t>
      </w:r>
    </w:p>
    <w:p w14:paraId="2D80A74E" w14:textId="56B79C3B" w:rsidR="00386CA0" w:rsidRPr="00D22AA7" w:rsidRDefault="31BBA3A9" w:rsidP="002851E6">
      <w:pPr>
        <w:spacing w:before="240" w:after="240"/>
        <w:jc w:val="both"/>
        <w:rPr>
          <w:rFonts w:ascii="Times" w:hAnsi="Times"/>
          <w:b/>
          <w:bCs/>
        </w:rPr>
      </w:pPr>
      <w:r w:rsidRPr="00D22AA7">
        <w:rPr>
          <w:rFonts w:ascii="Times" w:eastAsia="Arial;Arial;Helvetica;sans-seri" w:hAnsi="Times" w:cs="Arial;Arial;Helvetica;sans-seri"/>
          <w:noProof/>
        </w:rPr>
        <w:t xml:space="preserve">Tumor growth and metastasis are closely linked to the PI3K/Akt and MAPK signaling pathways, which regulate various molecules that promote invasion and metastasis, such as matrix metalloproteinases (MMPs) and cyclooxygenase-2 (COX-2). RSV-GNPs were shown to suppress both the PI3K/Akt and MAPK signaling pathways, which play pivotal roles in the development and progression of tumors. The inhibition of these pathways by RSV-GNPs highlights their potential to disrupt crucial molecular signaling involved in cancer metastasis. Given that the PI3K/Akt and ERK pathways are implicated in a variety of cancers, the study suggests that RSV-GNPs may provide a novel and promising therapeutic strategy for the treatment of metastatic breast cancer and potentially other malignancies </w:t>
      </w:r>
      <w:r w:rsidR="00ED79FD" w:rsidRPr="00D22AA7">
        <w:rPr>
          <w:rFonts w:ascii="Times" w:hAnsi="Times"/>
          <w:color w:val="222222"/>
        </w:rPr>
        <w:fldChar w:fldCharType="begin"/>
      </w:r>
      <w:r w:rsidR="0056095D">
        <w:rPr>
          <w:rFonts w:ascii="Times" w:hAnsi="Times"/>
          <w:color w:val="222222"/>
        </w:rPr>
        <w:instrText xml:space="preserve"> ADDIN ZOTERO_ITEM CSL_CITATION {"citationID":"naN2LOsI","properties":{"formattedCitation":"[103]","plainCitation":"[103]","noteIndex":0},"citationItems":[{"id":14716,"uris":["http://zotero.org/users/9439317/items/JQ45CCU9"],"itemData":{"id":14716,"type":"article-journal","abstract":"Gold nanoparticles (AuNPs) with antitumorigenic effects obstruct the initiation, development and progression of tumors via the regulation of various processes, such as proliferation and apoptosis. However, the effects of AuNPs on breast cancer metastasis have not been well studied, and their response to 12-O-tetradecanoylphorbol-13-acetate (TPA) stimulation remains unclear. Therefore, we synthesized resveratrol-capped gold nanoparticles (Rev-AuNPs) using green nanotechnology and investigated their potential anti-invasive properties in human breast cancer cells in response to TPA stimulation. The Rev-AuNPs formed spherical nanoparticles of 22.28±2.98 nm in diameter. Next, we found that non-cytotoxic concentrations of Rev-AuNPs significantly suppressed the TPA-induced migration and invasion abilities of breast cancer cells. Rev-AuNPs suppressed TPA-induced enzymatic activity and the expression of matrix metalloproteinase (MMP)-9 and cyclooxygenase-2 (COX-2). Furthermore, Rev-AuNP treatment remarkably downregulated TPA-induced nuclear translocation and transcriptional activation of nuclear transcription factor-κB (NF-κB) and activator protein-1 (AP-1). Rev-AuNPs reduced the phosphorylation of phosphoinositide 3-kinase/Akt (PI3K/Akt) and extracellular signal-regulated kinase (ERK)1/2 signaling, but did not affect the phosphorylation of Jun N-terminal kinase (JNK) or p38 MAPK in the TPA-stimulated breast cancer cells. Notably, Rev-AuNPs generally showed better anti-invasive activity than resveratrol without cytotoxicity. The inhibitory effect of Rev-AuNPs on MMP-9, COX-2, NF-κB, AP-1, PI3K/Akt and ERK activation was stronger than that of resveratrol for the same concentrations. We also demonstrated that Rev-AuNPs induced heme oxygenase-1 (HO-1) expression and that the inhibition of MMP-9 and COX-2 expression and MMP-9 enzymatic activity of Rev-AuNPs were abrogated by siRNA knockdown of HO-1 expression. Our findings revealed that the anti-invasive effects of Rev-AuNPs in response to TPA-stimulation were mediated by the suppression of MMP-9, COX-2, NF-κB, AP-1, PI3K/Akt and ERK and/or the activation of HO-1 signaling cascades. This novel finding emphasizes the pharmacological ability of Rev-AuNPs to treat breast cancer metastasis.","container-title":"Oncology Reports","DOI":"10.3892/or.2016.4716","ISSN":"1021-335X 1791-2431","issue":"6","journalAbbreviation":"Oncol Rep","page":"3248-3256","title":"Gold-conjugated resveratrol nanoparticles attenuate the invasion and MMP-9 and COX-2 expression in breast cancer cells","URL":"https://doi.org/10.3892/or.2016.4716","volume":"35","author":[{"family":"Park","given":"Sun","suffix":"Young"},{"family":"Chae","given":"Seon","suffix":"Yeong"},{"family":"Park","given":"Jin","suffix":"Oh"},{"family":"Lee","given":"Kyu","suffix":"Jin"},{"family":"Park","given":"Geuntae"}],"issued":{"date-parts":[["2016",6,1]]}}}],"schema":"https://github.com/citation-style-language/schema/raw/master/csl-citation.json"} </w:instrText>
      </w:r>
      <w:r w:rsidR="00ED79FD" w:rsidRPr="00D22AA7">
        <w:rPr>
          <w:rFonts w:ascii="Times" w:hAnsi="Times"/>
          <w:color w:val="222222"/>
        </w:rPr>
        <w:fldChar w:fldCharType="separate"/>
      </w:r>
      <w:r w:rsidR="0056095D">
        <w:rPr>
          <w:rFonts w:ascii="Times" w:hAnsi="Times"/>
          <w:noProof/>
          <w:color w:val="222222"/>
        </w:rPr>
        <w:t>[103]</w:t>
      </w:r>
      <w:r w:rsidR="00ED79FD" w:rsidRPr="00D22AA7">
        <w:rPr>
          <w:rFonts w:ascii="Times" w:hAnsi="Times"/>
          <w:color w:val="222222"/>
        </w:rPr>
        <w:fldChar w:fldCharType="end"/>
      </w:r>
      <w:r w:rsidR="6568D820" w:rsidRPr="00D22AA7">
        <w:rPr>
          <w:rFonts w:ascii="Times" w:hAnsi="Times"/>
          <w:color w:val="222222"/>
        </w:rPr>
        <w:t>.</w:t>
      </w:r>
    </w:p>
    <w:p w14:paraId="7A6F683E" w14:textId="4D849D76" w:rsidR="00386CA0" w:rsidRPr="00D22AA7" w:rsidRDefault="00386CA0" w:rsidP="0DE242D6">
      <w:pPr>
        <w:spacing w:beforeAutospacing="1" w:afterAutospacing="1"/>
        <w:rPr>
          <w:rFonts w:ascii="Times" w:hAnsi="Times"/>
          <w:color w:val="222222"/>
          <w:sz w:val="20"/>
          <w:szCs w:val="20"/>
        </w:rPr>
      </w:pPr>
    </w:p>
    <w:p w14:paraId="4050A061" w14:textId="29359851" w:rsidR="00386CA0" w:rsidRPr="00D22AA7" w:rsidRDefault="002851E6" w:rsidP="0DE242D6">
      <w:pPr>
        <w:spacing w:beforeAutospacing="1" w:afterAutospacing="1"/>
        <w:rPr>
          <w:rFonts w:ascii="Times" w:hAnsi="Times"/>
        </w:rPr>
      </w:pPr>
      <w:r>
        <w:rPr>
          <w:rFonts w:ascii="Times" w:hAnsi="Times"/>
        </w:rPr>
        <w:t xml:space="preserve">                      </w:t>
      </w:r>
      <w:r w:rsidR="5504A88D" w:rsidRPr="00D22AA7">
        <w:rPr>
          <w:rFonts w:ascii="Times" w:hAnsi="Times"/>
          <w:noProof/>
        </w:rPr>
        <w:drawing>
          <wp:inline distT="0" distB="0" distL="0" distR="0" wp14:anchorId="24DA9EFA" wp14:editId="0219EE03">
            <wp:extent cx="4373241" cy="5227782"/>
            <wp:effectExtent l="0" t="0" r="0" b="5080"/>
            <wp:docPr id="328896598" name="Picture 328896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415180" cy="5277916"/>
                    </a:xfrm>
                    <a:prstGeom prst="rect">
                      <a:avLst/>
                    </a:prstGeom>
                  </pic:spPr>
                </pic:pic>
              </a:graphicData>
            </a:graphic>
          </wp:inline>
        </w:drawing>
      </w:r>
    </w:p>
    <w:p w14:paraId="64922EC2" w14:textId="2E4B4A5F" w:rsidR="00386CA0" w:rsidRPr="00A95A84" w:rsidRDefault="5504A88D" w:rsidP="002851E6">
      <w:pPr>
        <w:spacing w:beforeAutospacing="1" w:afterAutospacing="1"/>
        <w:jc w:val="both"/>
        <w:rPr>
          <w:rFonts w:ascii="Times" w:eastAsia="Helvetica" w:hAnsi="Times" w:cs="Helvetica"/>
          <w:color w:val="000000" w:themeColor="text1"/>
          <w:sz w:val="20"/>
          <w:szCs w:val="20"/>
        </w:rPr>
      </w:pPr>
      <w:r w:rsidRPr="00A95A84">
        <w:rPr>
          <w:rFonts w:ascii="Times" w:eastAsia="Helvetica" w:hAnsi="Times" w:cs="Helvetica"/>
          <w:b/>
          <w:bCs/>
          <w:color w:val="000000" w:themeColor="text1"/>
          <w:sz w:val="20"/>
          <w:szCs w:val="20"/>
        </w:rPr>
        <w:t xml:space="preserve">Figure </w:t>
      </w:r>
      <w:r w:rsidR="000F75FE" w:rsidRPr="00A95A84">
        <w:rPr>
          <w:rFonts w:ascii="Times" w:eastAsia="Helvetica" w:hAnsi="Times" w:cs="Helvetica"/>
          <w:b/>
          <w:bCs/>
          <w:color w:val="000000" w:themeColor="text1"/>
          <w:sz w:val="20"/>
          <w:szCs w:val="20"/>
        </w:rPr>
        <w:t>58</w:t>
      </w:r>
      <w:r w:rsidR="002C530E" w:rsidRPr="00A95A84">
        <w:rPr>
          <w:rFonts w:ascii="Times" w:eastAsia="Helvetica" w:hAnsi="Times" w:cs="Helvetica"/>
          <w:b/>
          <w:bCs/>
          <w:color w:val="000000" w:themeColor="text1"/>
          <w:sz w:val="20"/>
          <w:szCs w:val="20"/>
        </w:rPr>
        <w:t>.</w:t>
      </w:r>
      <w:r w:rsidRPr="00A95A84">
        <w:rPr>
          <w:rFonts w:ascii="Times" w:eastAsia="Helvetica" w:hAnsi="Times" w:cs="Helvetica"/>
          <w:color w:val="000000" w:themeColor="text1"/>
          <w:sz w:val="20"/>
          <w:szCs w:val="20"/>
        </w:rPr>
        <w:t xml:space="preserve"> - </w:t>
      </w:r>
      <w:r w:rsidR="00876A57" w:rsidRPr="00A95A84">
        <w:rPr>
          <w:rFonts w:ascii="Times" w:eastAsia="Helvetica" w:hAnsi="Times" w:cs="Helvetica"/>
          <w:color w:val="000000" w:themeColor="text1"/>
          <w:sz w:val="20"/>
          <w:szCs w:val="20"/>
        </w:rPr>
        <w:t>Gold-conjugated resveratrol nanoparticles (Rev-AuNPs) were found to inhibit TPA-induced migration and invasion of human breast cancer cells. (A) MCF-7 cells were scratched with a pipette tip, pretreated with resveratrol (Rev) (10 µM) or Rev-AuNPs (10 µM), and then exposed to 12-O-tetradecanoylphorbol-13-acetate (TPA; 50 ng/ml) for 24 hours. Migrating cells were analyzed using phase contrast microscopy. (B) Cells were treated with Rev-AuNPs (10 µM), followed by TPA (50 ng/ml) treatment for 24 hours. Cells that invaded through the filter were stained with crystal violet and counted under a microscope. (C) The levels of cell migration and invasion were quantified and expressed relative to the basal invasion of untreated cells. Each bar represents the mean ± SE of 3 independent experiments for each group. *P&lt;0.05, **P&lt;0.01, indicating significant differences compared to cells treated with TPA alone.</w:t>
      </w:r>
    </w:p>
    <w:p w14:paraId="2C8043AC" w14:textId="4209FA85" w:rsidR="00386CA0" w:rsidRPr="00D22AA7" w:rsidRDefault="00386CA0" w:rsidP="0DE242D6">
      <w:pPr>
        <w:spacing w:beforeAutospacing="1" w:afterAutospacing="1"/>
        <w:rPr>
          <w:rFonts w:ascii="Times" w:hAnsi="Times"/>
          <w:color w:val="222222"/>
          <w:sz w:val="20"/>
          <w:szCs w:val="20"/>
        </w:rPr>
      </w:pPr>
    </w:p>
    <w:p w14:paraId="1200C28E" w14:textId="0E5ECB71" w:rsidR="00386CA0" w:rsidRPr="00D22AA7" w:rsidRDefault="00386CA0" w:rsidP="0DE242D6">
      <w:pPr>
        <w:spacing w:beforeAutospacing="1" w:afterAutospacing="1"/>
        <w:rPr>
          <w:rFonts w:ascii="Times" w:hAnsi="Times"/>
          <w:color w:val="222222"/>
          <w:sz w:val="20"/>
          <w:szCs w:val="20"/>
        </w:rPr>
      </w:pPr>
    </w:p>
    <w:p w14:paraId="2DAA075E" w14:textId="262C9DBE" w:rsidR="00386CA0" w:rsidRPr="00D22AA7" w:rsidRDefault="00386CA0" w:rsidP="0DE242D6">
      <w:pPr>
        <w:spacing w:beforeAutospacing="1" w:afterAutospacing="1"/>
        <w:rPr>
          <w:rFonts w:ascii="Times" w:hAnsi="Times"/>
          <w:color w:val="222222"/>
        </w:rPr>
      </w:pPr>
    </w:p>
    <w:p w14:paraId="501C4627" w14:textId="6D3A1885" w:rsidR="00386CA0" w:rsidRPr="00D22AA7" w:rsidRDefault="0E064321" w:rsidP="002851E6">
      <w:pPr>
        <w:spacing w:beforeAutospacing="1" w:afterAutospacing="1"/>
        <w:jc w:val="both"/>
        <w:rPr>
          <w:rFonts w:ascii="Times" w:hAnsi="Times"/>
          <w:b/>
          <w:bCs/>
        </w:rPr>
      </w:pPr>
      <w:r w:rsidRPr="00D22AA7">
        <w:rPr>
          <w:rFonts w:ascii="Times" w:eastAsia="Arial;Arial;Helvetica;sans-seri" w:hAnsi="Times" w:cs="Arial;Arial;Helvetica;sans-seri"/>
          <w:noProof/>
        </w:rPr>
        <w:lastRenderedPageBreak/>
        <w:t xml:space="preserve">RSV-conjugated gold nanoparticles by utilizing cross-linked polyvinylpyrrolidone (PVP), resulting in RSV-PVP-GNPs. They then assessed the anticancer activity of these nanoparticles in Raw264.7 murine macrophage cells. The study demonstrated that RSV-PVP-GNPs were more effective than free RSV in inducing S-phase cell cycle arrest and promoting apoptosis. Specifically, RSV-PVP-GNPs triggered a more pronounced apoptotic response through the intrinsic mitochondrial pathway, compared to free RSV. In preclinical trials, RSV-PVP-GNPs, when conjugated with the AS1411 aptamer, successfully reduced tumor volume without causing renal toxicity, highlighting the potential of these nanoparticles as an effective and safe therapeutic strategy for cancer treatment </w:t>
      </w:r>
      <w:r w:rsidR="00876A57" w:rsidRPr="00D22AA7">
        <w:rPr>
          <w:rFonts w:ascii="Times" w:hAnsi="Times"/>
          <w:color w:val="222222"/>
        </w:rPr>
        <w:fldChar w:fldCharType="begin"/>
      </w:r>
      <w:r w:rsidR="0056095D">
        <w:rPr>
          <w:rFonts w:ascii="Times" w:hAnsi="Times"/>
          <w:color w:val="222222"/>
        </w:rPr>
        <w:instrText xml:space="preserve"> ADDIN ZOTERO_ITEM CSL_CITATION {"citationID":"PrO2SEXo","properties":{"formattedCitation":"[219]","plainCitation":"[219]","noteIndex":0},"citationItems":[{"id":2972,"uris":["http://zotero.org/users/9439317/items/JEGNX5RP"],"itemData":{"id":2972,"type":"article-journal","abstract":"Background:  Pancreatic ductal adenocarcinoma (PDAC) remains one of the most fatal malignancies. Several chemotherapies employing fluorouracil (5-FU) and gemcitabine were attempted, but the survival rate was extremely low. Resveratrol (RVT), known as a polyphenol compound and phytoalexin, was demonstrated to induce intrinsic apoptosis in cancer cells. However, its low delivery performance and efficiency at tumor sites remain an obstacle to exploit RVT as a drug. To address these problems, we bio-conjugated resveratrol with gold nanoparticles (GNPs) via polyvinylpyrrolidone as a cross-linker (RVT@PVP-GNPs) and investigated whether the fabrications could enhance the delivery performance and anti-tumor efficacy of RVT.\nResults:  The fabrication of gold nanoparticles (GNPs) and bio-conjugated with resveratrol (RVT@PVP-GNPs) was conducted firstly. TEM image, spectrophotometry and zeta-potential revealed that the GNPs and RVT@PVP-GNPs having a size of approximately 40 nm were successfully synthesized and exhibited moderate stability. GNPs alone represented no damage in PANC-1 cells and moreover diminished the cytotoxicity of RVT in Raw264.7 murine macrophage cells, demonstrating the superiority of gold nanoparticles as a drug carrier. Evaluation using dialysis showed a burst release rate of RVT within 96 h at pH 5.0, demonstrating the possibility of enhanced efficiency of RVT delivery through blood vessels to the tumor. The RVT@PVP-GNPs induced increased rates of S-phase cell cycle arrest and apoptosis compared with free RVT. Notably, RVT@ PVP-GNPs diminished the proportion of necrotic cells, whereas free RVT increased it. We also demonstrated that the RVT@PVP-GNPs may induce an apoptosis via intrinsic mitochondria with higher degree compared with free RVT, indicating the possibility of enhanced anti-tumor agents. In animal studies, RVT@PVP-GNPs conjugated with AS1411 aptamer induced efficient tumor volume suppression without accumulation in or damage to the kidneys in vivo.\nConclusions:  The results demonstrate that RVT@PVP-GNPs enhance the anti-tumor efficacy of free RVT by activating the intrinsic apoptotic pathway and could be considered as potential anti-tumor drug candidates against pancreatic cancer cells.","container-title":"Cancer Nanotechnology","DOI":"10.1186/s12645-022-00143-w","ISSN":"1868-6958, 1868-6966","issue":"1","journalAbbreviation":"Cancer Nano","language":"en","page":"34","source":"DOI.org (Crossref)","title":"Resveratrol-loaded gold nanoparticles enhance caspase-mediated apoptosis in PANC-1 pancreatic cells via mitochondrial intrinsic apoptotic pathway","URL":"https://cancer-nano.biomedcentral.com/articles/10.1186/s12645-022-00143-w","volume":"13","author":[{"family":"Lee","given":"Dong Gun"},{"family":"Lee","given":"Mindong"},{"family":"Go","given":"Eun Byeol"},{"family":"Chung","given":"Namhyun"}],"accessed":{"date-parts":[["2023",10,12]]},"issued":{"date-parts":[["2022",12]]}}}],"schema":"https://github.com/citation-style-language/schema/raw/master/csl-citation.json"} </w:instrText>
      </w:r>
      <w:r w:rsidR="00876A57" w:rsidRPr="00D22AA7">
        <w:rPr>
          <w:rFonts w:ascii="Times" w:hAnsi="Times"/>
          <w:color w:val="222222"/>
        </w:rPr>
        <w:fldChar w:fldCharType="separate"/>
      </w:r>
      <w:r w:rsidR="0056095D">
        <w:rPr>
          <w:rFonts w:ascii="Times" w:hAnsi="Times"/>
          <w:noProof/>
          <w:color w:val="222222"/>
        </w:rPr>
        <w:t>[219]</w:t>
      </w:r>
      <w:r w:rsidR="00876A57" w:rsidRPr="00D22AA7">
        <w:rPr>
          <w:rFonts w:ascii="Times" w:hAnsi="Times"/>
          <w:color w:val="222222"/>
        </w:rPr>
        <w:fldChar w:fldCharType="end"/>
      </w:r>
      <w:r w:rsidR="001C42F6" w:rsidRPr="00D22AA7">
        <w:rPr>
          <w:rFonts w:ascii="Times" w:hAnsi="Times"/>
          <w:color w:val="222222"/>
        </w:rPr>
        <w:t>.</w:t>
      </w:r>
    </w:p>
    <w:p w14:paraId="0B5F5C58" w14:textId="5E7D9894" w:rsidR="457AAE27" w:rsidRPr="00D22AA7" w:rsidRDefault="002851E6" w:rsidP="0DE242D6">
      <w:pPr>
        <w:spacing w:beforeAutospacing="1" w:afterAutospacing="1"/>
        <w:rPr>
          <w:rFonts w:ascii="Times" w:hAnsi="Times"/>
        </w:rPr>
      </w:pPr>
      <w:r>
        <w:rPr>
          <w:rFonts w:ascii="Times" w:hAnsi="Times"/>
        </w:rPr>
        <w:t xml:space="preserve">              </w:t>
      </w:r>
      <w:r w:rsidR="457AAE27" w:rsidRPr="00D22AA7">
        <w:rPr>
          <w:rFonts w:ascii="Times" w:hAnsi="Times"/>
          <w:noProof/>
        </w:rPr>
        <w:drawing>
          <wp:inline distT="0" distB="0" distL="0" distR="0" wp14:anchorId="7FEFB3BC" wp14:editId="7B9AAAB8">
            <wp:extent cx="4979488" cy="4341091"/>
            <wp:effectExtent l="0" t="0" r="0" b="2540"/>
            <wp:docPr id="1809497338" name="Picture 1809497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28A0092B-C50C-407E-A947-70E740481C1C}">
                          <a14:useLocalDpi xmlns:a14="http://schemas.microsoft.com/office/drawing/2010/main" val="0"/>
                        </a:ext>
                      </a:extLst>
                    </a:blip>
                    <a:stretch>
                      <a:fillRect/>
                    </a:stretch>
                  </pic:blipFill>
                  <pic:spPr>
                    <a:xfrm>
                      <a:off x="0" y="0"/>
                      <a:ext cx="5024437" cy="4380277"/>
                    </a:xfrm>
                    <a:prstGeom prst="rect">
                      <a:avLst/>
                    </a:prstGeom>
                  </pic:spPr>
                </pic:pic>
              </a:graphicData>
            </a:graphic>
          </wp:inline>
        </w:drawing>
      </w:r>
    </w:p>
    <w:p w14:paraId="15881DAF" w14:textId="45C3C277" w:rsidR="457AAE27" w:rsidRPr="00A95A84" w:rsidRDefault="457AAE27" w:rsidP="002851E6">
      <w:pPr>
        <w:spacing w:beforeAutospacing="1" w:afterAutospacing="1"/>
        <w:jc w:val="both"/>
        <w:rPr>
          <w:rFonts w:ascii="Times" w:eastAsia="Merriweather" w:hAnsi="Times" w:cs="Merriweather"/>
          <w:color w:val="222222"/>
          <w:sz w:val="20"/>
          <w:szCs w:val="20"/>
        </w:rPr>
      </w:pPr>
      <w:r w:rsidRPr="00A95A84">
        <w:rPr>
          <w:rFonts w:ascii="Times" w:eastAsia="Merriweather" w:hAnsi="Times" w:cs="Merriweather"/>
          <w:b/>
          <w:bCs/>
          <w:color w:val="222222"/>
          <w:sz w:val="20"/>
          <w:szCs w:val="20"/>
        </w:rPr>
        <w:t>Figure</w:t>
      </w:r>
      <w:r w:rsidR="002C530E" w:rsidRPr="00A95A84">
        <w:rPr>
          <w:rFonts w:ascii="Times" w:eastAsia="Merriweather" w:hAnsi="Times" w:cs="Merriweather"/>
          <w:b/>
          <w:bCs/>
          <w:color w:val="222222"/>
          <w:sz w:val="20"/>
          <w:szCs w:val="20"/>
        </w:rPr>
        <w:t xml:space="preserve"> </w:t>
      </w:r>
      <w:r w:rsidR="000F75FE" w:rsidRPr="00A95A84">
        <w:rPr>
          <w:rFonts w:ascii="Times" w:eastAsia="Merriweather" w:hAnsi="Times" w:cs="Merriweather"/>
          <w:b/>
          <w:bCs/>
          <w:color w:val="222222"/>
          <w:sz w:val="20"/>
          <w:szCs w:val="20"/>
        </w:rPr>
        <w:t>59</w:t>
      </w:r>
      <w:r w:rsidRPr="00A95A84">
        <w:rPr>
          <w:rFonts w:ascii="Times" w:eastAsia="Merriweather" w:hAnsi="Times" w:cs="Merriweather"/>
          <w:b/>
          <w:bCs/>
          <w:color w:val="222222"/>
          <w:sz w:val="20"/>
          <w:szCs w:val="20"/>
        </w:rPr>
        <w:t>.</w:t>
      </w:r>
      <w:r w:rsidRPr="00A95A84">
        <w:rPr>
          <w:rFonts w:ascii="Times" w:eastAsia="Merriweather" w:hAnsi="Times" w:cs="Merriweather"/>
          <w:color w:val="222222"/>
          <w:sz w:val="20"/>
          <w:szCs w:val="20"/>
        </w:rPr>
        <w:t xml:space="preserve"> </w:t>
      </w:r>
      <w:r w:rsidR="00876A57" w:rsidRPr="00A95A84">
        <w:rPr>
          <w:rFonts w:ascii="Times" w:eastAsia="Merriweather" w:hAnsi="Times" w:cs="Merriweather"/>
          <w:color w:val="222222"/>
          <w:sz w:val="20"/>
          <w:szCs w:val="20"/>
        </w:rPr>
        <w:t>Induction of apoptosis in PANC-1 cells. (A, B) Alterations in PANC-1 cell cycle progression following drug treatment. After 72 hours of treatment, cells were fixed with ethanol and analyzed using flow cytometry. The distribution of cell populations across different phases is shown in (B). (C, D) Analysis of apoptotic cells post-drug treatment. Cells were stained with Annexin V/PI and assessed via flow cytometry. The proportion of cell populations is depicted in (D). Data are presented as mean</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SEM. *p</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&lt;</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0.05, **p</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&lt;</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0.01, and ***p</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&lt;</w:t>
      </w:r>
      <w:r w:rsidR="00876A57" w:rsidRPr="00A95A84">
        <w:rPr>
          <w:rFonts w:eastAsia="Merriweather"/>
          <w:color w:val="222222"/>
          <w:sz w:val="20"/>
          <w:szCs w:val="20"/>
        </w:rPr>
        <w:t> </w:t>
      </w:r>
      <w:r w:rsidR="00876A57" w:rsidRPr="00A95A84">
        <w:rPr>
          <w:rFonts w:ascii="Times" w:eastAsia="Merriweather" w:hAnsi="Times" w:cs="Merriweather"/>
          <w:color w:val="222222"/>
          <w:sz w:val="20"/>
          <w:szCs w:val="20"/>
        </w:rPr>
        <w:t>0.001 indicate significant differences compared to the control group.</w:t>
      </w:r>
    </w:p>
    <w:p w14:paraId="4E6C5697" w14:textId="181B6776" w:rsidR="001C42F6" w:rsidRPr="00D22AA7" w:rsidRDefault="002851E6" w:rsidP="3300C1C8">
      <w:pPr>
        <w:spacing w:beforeAutospacing="1" w:afterAutospacing="1"/>
        <w:rPr>
          <w:rFonts w:ascii="Times" w:eastAsia="Merriweather" w:hAnsi="Times" w:cs="Merriweather"/>
          <w:b/>
          <w:bCs/>
          <w:color w:val="222222"/>
        </w:rPr>
      </w:pPr>
      <w:r>
        <w:rPr>
          <w:rFonts w:ascii="Times" w:eastAsia="Merriweather" w:hAnsi="Times" w:cs="Merriweather"/>
          <w:b/>
          <w:bCs/>
          <w:color w:val="222222"/>
        </w:rPr>
        <w:lastRenderedPageBreak/>
        <w:t xml:space="preserve">                 </w:t>
      </w:r>
      <w:r w:rsidR="3ECED19A" w:rsidRPr="00D22AA7">
        <w:rPr>
          <w:rFonts w:ascii="Times" w:hAnsi="Times"/>
          <w:noProof/>
        </w:rPr>
        <w:drawing>
          <wp:inline distT="0" distB="0" distL="0" distR="0" wp14:anchorId="36261ACC" wp14:editId="72B5A33D">
            <wp:extent cx="4557738" cy="3491345"/>
            <wp:effectExtent l="0" t="0" r="1905" b="1270"/>
            <wp:docPr id="591595643" name="Picture 591595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595643"/>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665722" cy="3574064"/>
                    </a:xfrm>
                    <a:prstGeom prst="rect">
                      <a:avLst/>
                    </a:prstGeom>
                  </pic:spPr>
                </pic:pic>
              </a:graphicData>
            </a:graphic>
          </wp:inline>
        </w:drawing>
      </w:r>
    </w:p>
    <w:p w14:paraId="0C3B378D" w14:textId="4B79DE15" w:rsidR="457AAE27" w:rsidRPr="00A95A84" w:rsidRDefault="3ECED19A" w:rsidP="002851E6">
      <w:pPr>
        <w:spacing w:beforeAutospacing="1" w:afterAutospacing="1"/>
        <w:jc w:val="both"/>
        <w:rPr>
          <w:rFonts w:ascii="Times" w:eastAsia="Merriweather" w:hAnsi="Times" w:cs="Merriweather"/>
          <w:color w:val="222222"/>
          <w:sz w:val="20"/>
          <w:szCs w:val="20"/>
        </w:rPr>
      </w:pPr>
      <w:r w:rsidRPr="00A95A84">
        <w:rPr>
          <w:rFonts w:ascii="Times" w:eastAsia="Merriweather" w:hAnsi="Times" w:cs="Merriweather"/>
          <w:b/>
          <w:bCs/>
          <w:color w:val="222222"/>
          <w:sz w:val="20"/>
          <w:szCs w:val="20"/>
        </w:rPr>
        <w:t>Figure</w:t>
      </w:r>
      <w:r w:rsidR="002C530E" w:rsidRPr="00A95A84">
        <w:rPr>
          <w:rFonts w:ascii="Times" w:eastAsia="Merriweather" w:hAnsi="Times" w:cs="Merriweather"/>
          <w:b/>
          <w:bCs/>
          <w:color w:val="222222"/>
          <w:sz w:val="20"/>
          <w:szCs w:val="20"/>
        </w:rPr>
        <w:t xml:space="preserve"> </w:t>
      </w:r>
      <w:r w:rsidR="000F75FE" w:rsidRPr="00A95A84">
        <w:rPr>
          <w:rFonts w:ascii="Times" w:eastAsia="Merriweather" w:hAnsi="Times" w:cs="Merriweather"/>
          <w:b/>
          <w:bCs/>
          <w:color w:val="222222"/>
          <w:sz w:val="20"/>
          <w:szCs w:val="20"/>
        </w:rPr>
        <w:t>60</w:t>
      </w:r>
      <w:r w:rsidR="002C530E" w:rsidRPr="00A95A84">
        <w:rPr>
          <w:rFonts w:ascii="Times" w:eastAsia="Merriweather" w:hAnsi="Times" w:cs="Merriweather"/>
          <w:b/>
          <w:bCs/>
          <w:color w:val="222222"/>
          <w:sz w:val="20"/>
          <w:szCs w:val="20"/>
        </w:rPr>
        <w:t>.</w:t>
      </w:r>
      <w:r w:rsidRPr="00A95A84">
        <w:rPr>
          <w:rFonts w:ascii="Times" w:eastAsia="Merriweather" w:hAnsi="Times" w:cs="Merriweather"/>
          <w:color w:val="222222"/>
          <w:sz w:val="20"/>
          <w:szCs w:val="20"/>
        </w:rPr>
        <w:t xml:space="preserve"> </w:t>
      </w:r>
      <w:r w:rsidR="449CDEB4" w:rsidRPr="00A95A84">
        <w:rPr>
          <w:rFonts w:ascii="Times" w:eastAsia="Merriweather" w:hAnsi="Times" w:cs="Merriweather"/>
          <w:color w:val="222222"/>
          <w:sz w:val="20"/>
          <w:szCs w:val="20"/>
        </w:rPr>
        <w:t xml:space="preserve">The mRNA expression levels following drug treatment were quantitatively analyzed. Panels A–D show the measurement of genes associated with the intrinsic apoptotic pathways using </w:t>
      </w:r>
      <w:r w:rsidR="68053969" w:rsidRPr="00A95A84">
        <w:rPr>
          <w:rFonts w:ascii="Times" w:eastAsia="Merriweather" w:hAnsi="Times" w:cs="Merriweather"/>
          <w:color w:val="222222"/>
          <w:sz w:val="20"/>
          <w:szCs w:val="20"/>
        </w:rPr>
        <w:t>q</w:t>
      </w:r>
      <w:r w:rsidR="449CDEB4" w:rsidRPr="00A95A84">
        <w:rPr>
          <w:rFonts w:ascii="Times" w:eastAsia="Merriweather" w:hAnsi="Times" w:cs="Merriweather"/>
          <w:color w:val="222222"/>
          <w:sz w:val="20"/>
          <w:szCs w:val="20"/>
        </w:rPr>
        <w:t xml:space="preserve"> PCR. The expression levels were normalized to </w:t>
      </w:r>
      <w:proofErr w:type="gramStart"/>
      <w:r w:rsidR="449CDEB4" w:rsidRPr="00A95A84">
        <w:rPr>
          <w:rFonts w:ascii="Times" w:eastAsia="Merriweather" w:hAnsi="Times" w:cs="Merriweather"/>
          <w:color w:val="222222"/>
          <w:sz w:val="20"/>
          <w:szCs w:val="20"/>
        </w:rPr>
        <w:t>the  GAPDH</w:t>
      </w:r>
      <w:proofErr w:type="gramEnd"/>
      <w:r w:rsidR="449CDEB4" w:rsidRPr="00A95A84">
        <w:rPr>
          <w:rFonts w:ascii="Times" w:eastAsia="Merriweather" w:hAnsi="Times" w:cs="Merriweather"/>
          <w:color w:val="222222"/>
          <w:sz w:val="20"/>
          <w:szCs w:val="20"/>
        </w:rPr>
        <w:t xml:space="preserve"> housekeeping gene.</w:t>
      </w:r>
    </w:p>
    <w:p w14:paraId="0C010D46" w14:textId="0939C56C" w:rsidR="00386CA0" w:rsidRPr="00D22AA7" w:rsidRDefault="01C089ED" w:rsidP="002851E6">
      <w:pPr>
        <w:spacing w:before="240" w:after="240"/>
        <w:jc w:val="both"/>
        <w:rPr>
          <w:rFonts w:ascii="Times" w:hAnsi="Times"/>
        </w:rPr>
      </w:pPr>
      <w:r w:rsidRPr="00D22AA7">
        <w:rPr>
          <w:rFonts w:ascii="Times" w:eastAsia="Arial;Arial;Helvetica;sans-seri" w:hAnsi="Times" w:cs="Arial;Arial;Helvetica;sans-seri"/>
        </w:rPr>
        <w:t>the anticancer potential of resveratrol-loaded zinc oxide nanoparticles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in ovarian cancer PA1 cell lines and animal models. Their study found that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were significantly more effective in inducing apoptosis in the PA1 cell line compared to free resveratrol. To better understand the underlying mechanism of this enhanced apoptotic effect, the researchers conducted Western blot analysis to assess the expression of key proteins involved in apoptosis, such as caspase-9, </w:t>
      </w:r>
      <w:proofErr w:type="spellStart"/>
      <w:r w:rsidRPr="00D22AA7">
        <w:rPr>
          <w:rFonts w:ascii="Times" w:eastAsia="Arial;Arial;Helvetica;sans-seri" w:hAnsi="Times" w:cs="Arial;Arial;Helvetica;sans-seri"/>
        </w:rPr>
        <w:t>Bax</w:t>
      </w:r>
      <w:proofErr w:type="spellEnd"/>
      <w:r w:rsidRPr="00D22AA7">
        <w:rPr>
          <w:rFonts w:ascii="Times" w:eastAsia="Arial;Arial;Helvetica;sans-seri" w:hAnsi="Times" w:cs="Arial;Arial;Helvetica;sans-seri"/>
        </w:rPr>
        <w:t xml:space="preserve">, and Bcl-2, within the PA1 cells. Caspase-9 and </w:t>
      </w:r>
      <w:proofErr w:type="spellStart"/>
      <w:r w:rsidRPr="00D22AA7">
        <w:rPr>
          <w:rFonts w:ascii="Times" w:eastAsia="Arial;Arial;Helvetica;sans-seri" w:hAnsi="Times" w:cs="Arial;Arial;Helvetica;sans-seri"/>
        </w:rPr>
        <w:t>Bax</w:t>
      </w:r>
      <w:proofErr w:type="spellEnd"/>
      <w:r w:rsidRPr="00D22AA7">
        <w:rPr>
          <w:rFonts w:ascii="Times" w:eastAsia="Arial;Arial;Helvetica;sans-seri" w:hAnsi="Times" w:cs="Arial;Arial;Helvetica;sans-seri"/>
        </w:rPr>
        <w:t xml:space="preserve"> are integral to the activation of the intrinsic apoptotic pathway, which is triggered by cellular stress, while Bcl-2 is known for its anti-apoptotic function, helping to regulate the cell’s survival. The results indicated that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induced apoptosis through the modulation of these critical proteins, leading to a higher apoptotic rate compared to free resveratrol. This suggests that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act by disrupting the balance between pro-apoptotic and anti-apoptotic signals, thus promoting cell death in ovarian cancer cells.</w:t>
      </w:r>
    </w:p>
    <w:p w14:paraId="67BC32D0" w14:textId="40F5D72E" w:rsidR="00386CA0" w:rsidRPr="00D22AA7" w:rsidRDefault="01C089ED" w:rsidP="002851E6">
      <w:pPr>
        <w:spacing w:before="240" w:after="240"/>
        <w:jc w:val="both"/>
        <w:rPr>
          <w:rFonts w:ascii="Times" w:hAnsi="Times"/>
          <w:b/>
          <w:bCs/>
        </w:rPr>
      </w:pPr>
      <w:r w:rsidRPr="00D22AA7">
        <w:rPr>
          <w:rFonts w:ascii="Times" w:eastAsia="Arial;Arial;Helvetica;sans-seri" w:hAnsi="Times" w:cs="Arial;Arial;Helvetica;sans-seri"/>
        </w:rPr>
        <w:t>These findings underscore the potential of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as a powerful therapeutic tool in ovarian cancer treatment. By enhancing the anticancer effects of resveratrol,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offer a promising strategy for overcoming the limitations of free resveratrol, such as its poor bioavailability. The study provides valuable insight into the mechanisms by which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enhance cancer cell apoptosis, paving the way for further research into their clinical application. With their ability to specifically target cancer cells and modulate apoptotic pathways, RSV-</w:t>
      </w:r>
      <w:proofErr w:type="spellStart"/>
      <w:r w:rsidRPr="00D22AA7">
        <w:rPr>
          <w:rFonts w:ascii="Times" w:eastAsia="Arial;Arial;Helvetica;sans-seri" w:hAnsi="Times" w:cs="Arial;Arial;Helvetica;sans-seri"/>
        </w:rPr>
        <w:t>ZnONPs</w:t>
      </w:r>
      <w:proofErr w:type="spellEnd"/>
      <w:r w:rsidRPr="00D22AA7">
        <w:rPr>
          <w:rFonts w:ascii="Times" w:eastAsia="Arial;Arial;Helvetica;sans-seri" w:hAnsi="Times" w:cs="Arial;Arial;Helvetica;sans-seri"/>
        </w:rPr>
        <w:t xml:space="preserve"> hold significant promise as part of a broader strategy to improve cancer therapy and treatment outcomes</w:t>
      </w:r>
      <w:r w:rsidR="12A540BE" w:rsidRPr="00D22AA7">
        <w:rPr>
          <w:rFonts w:ascii="Times" w:hAnsi="Times"/>
          <w:color w:val="222222"/>
        </w:rPr>
        <w:t xml:space="preserve"> </w:t>
      </w:r>
      <w:r w:rsidR="00DE1766" w:rsidRPr="00D22AA7">
        <w:rPr>
          <w:rFonts w:ascii="Times" w:hAnsi="Times"/>
          <w:color w:val="222222"/>
        </w:rPr>
        <w:fldChar w:fldCharType="begin"/>
      </w:r>
      <w:r w:rsidR="0056095D">
        <w:rPr>
          <w:rFonts w:ascii="Times" w:hAnsi="Times"/>
          <w:color w:val="222222"/>
        </w:rPr>
        <w:instrText xml:space="preserve"> ADDIN ZOTERO_ITEM CSL_CITATION {"citationID":"1M2IBTFs","properties":{"formattedCitation":"[220]","plainCitation":"[220]","noteIndex":0},"citationItems":[{"id":2974,"uris":["http://zotero.org/users/9439317/items/86JVDPTE"],"itemData":{"id":2974,"type":"article-journal","abstract":"The use of nanotechnology in medicine and more specifically in drug delivery is expected to spread rapidly.\n          , \n            \n              The use of nanotechnology in medicine and more specifically in drug delivery is expected to spread rapidly. Currently many substances are under investigation for drug delivery and more specifically for cancer therapy. Nano-conjugation of the drug is likely to provide protection against degradation, increasing bioavailability, and improvement in intracellular penetration, enhanced efficacy and control delivery of the drug. In this study, ZnO nanoparticles (NPs) conjugated with a well-known anti-proliferative and chemopreventive\n              trans\n              -resveratrol (RSV) has been designed, characterized and found to be a potential drug for ovarian cancer treatment. Nano-conjugate (RSV–ZnO) has been characterized by FTIR, Raman scattering and Transmission electron microscopy (TEM). Picosecond-resolved fluorescence studies of RSV–ZnO nano-conjugate reveal efficient electron migration from ZnO NPs to RSV, eventually enhancing the ROS activity compared to free RSV. Various\n              in vivo\n              and\n              in vitro\n              studies including MTT assay and apoptosis studies on ovarian cancer (PA1) cell lines reveals the RSV–ZnO nano-conjugate to be more effective in cancer cell death in comparison to free RSV. DCFH assay (\n              in vitro\n              ) and DCFDA method (\n              in vivo\n              in PA1 cell lines) demonstrate the huge enhancement of antioxidant property (through ROS) in case of nano-conjugate. JC-1 staining method unravels the increase in depolarization of the mitochondrial membrane in the PA1 cell upon nano-conjugate, consistent with mitochondrial dysfunction. Finally we have performed a Western blot study by expression of some proteins like actin, Bax, Bcl-2 and Caspase-9 to confirm apoptosis.","container-title":"RSC Advances","DOI":"10.1039/C6RA16664D","ISSN":"2046-2069","issue":"107","journalAbbreviation":"RSC Adv.","language":"en","page":"105607-105617","source":"DOI.org (Crossref)","title":"Resveratrol–ZnO nanohybrid enhanced anti-cancerous effect in ovarian cancer cells through ROS","URL":"http://xlink.rsc.org/?DOI=C6RA16664D","volume":"6","author":[{"family":"Khatun","given":"Mahamuda"},{"family":"Choudhury","given":"Susobhan"},{"family":"Liu","given":"Bo"},{"family":"Lemmens","given":"Peter"},{"family":"Pal","given":"Samir Kumar"},{"family":"Mazumder","given":"Santasree"}],"accessed":{"date-parts":[["2023",10,12]]},"issued":{"date-parts":[["2016"]]}}}],"schema":"https://github.com/citation-style-language/schema/raw/master/csl-citation.json"} </w:instrText>
      </w:r>
      <w:r w:rsidR="00DE1766" w:rsidRPr="00D22AA7">
        <w:rPr>
          <w:rFonts w:ascii="Times" w:hAnsi="Times"/>
          <w:color w:val="222222"/>
        </w:rPr>
        <w:fldChar w:fldCharType="separate"/>
      </w:r>
      <w:r w:rsidR="0056095D">
        <w:rPr>
          <w:rFonts w:ascii="Times" w:hAnsi="Times"/>
          <w:noProof/>
          <w:color w:val="222222"/>
        </w:rPr>
        <w:t>[220]</w:t>
      </w:r>
      <w:r w:rsidR="00DE1766" w:rsidRPr="00D22AA7">
        <w:rPr>
          <w:rFonts w:ascii="Times" w:hAnsi="Times"/>
          <w:color w:val="222222"/>
        </w:rPr>
        <w:fldChar w:fldCharType="end"/>
      </w:r>
      <w:r w:rsidR="66779EFB" w:rsidRPr="00D22AA7">
        <w:rPr>
          <w:rFonts w:ascii="Times" w:hAnsi="Times"/>
          <w:color w:val="222222"/>
        </w:rPr>
        <w:t>.</w:t>
      </w:r>
    </w:p>
    <w:p w14:paraId="46D14213" w14:textId="3661D336" w:rsidR="0DE242D6" w:rsidRPr="00D22AA7" w:rsidRDefault="0DE242D6" w:rsidP="0DE242D6">
      <w:pPr>
        <w:spacing w:beforeAutospacing="1" w:afterAutospacing="1"/>
        <w:rPr>
          <w:rFonts w:ascii="Times" w:hAnsi="Times"/>
          <w:color w:val="222222"/>
          <w:sz w:val="20"/>
          <w:szCs w:val="20"/>
        </w:rPr>
      </w:pPr>
    </w:p>
    <w:p w14:paraId="0AF26E9B" w14:textId="6869A604" w:rsidR="1A1C17B2" w:rsidRPr="00D22AA7" w:rsidRDefault="002851E6" w:rsidP="0DE242D6">
      <w:pPr>
        <w:spacing w:beforeAutospacing="1" w:afterAutospacing="1"/>
        <w:rPr>
          <w:rFonts w:ascii="Times" w:hAnsi="Times"/>
        </w:rPr>
      </w:pPr>
      <w:r>
        <w:rPr>
          <w:rFonts w:ascii="Times" w:hAnsi="Times"/>
        </w:rPr>
        <w:lastRenderedPageBreak/>
        <w:t xml:space="preserve">                     </w:t>
      </w:r>
      <w:r w:rsidR="00F5756A">
        <w:rPr>
          <w:rFonts w:ascii="Times" w:hAnsi="Times"/>
        </w:rPr>
        <w:t xml:space="preserve">   </w:t>
      </w:r>
      <w:r>
        <w:rPr>
          <w:rFonts w:ascii="Times" w:hAnsi="Times"/>
        </w:rPr>
        <w:t xml:space="preserve"> </w:t>
      </w:r>
      <w:r w:rsidR="1A1C17B2" w:rsidRPr="00D22AA7">
        <w:rPr>
          <w:rFonts w:ascii="Times" w:hAnsi="Times"/>
          <w:noProof/>
        </w:rPr>
        <w:drawing>
          <wp:inline distT="0" distB="0" distL="0" distR="0" wp14:anchorId="03E74509" wp14:editId="07AAD7B8">
            <wp:extent cx="3902316" cy="3611418"/>
            <wp:effectExtent l="0" t="0" r="0" b="0"/>
            <wp:docPr id="1781058074" name="Picture 1781058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extLst>
                        <a:ext uri="{28A0092B-C50C-407E-A947-70E740481C1C}">
                          <a14:useLocalDpi xmlns:a14="http://schemas.microsoft.com/office/drawing/2010/main" val="0"/>
                        </a:ext>
                      </a:extLst>
                    </a:blip>
                    <a:stretch>
                      <a:fillRect/>
                    </a:stretch>
                  </pic:blipFill>
                  <pic:spPr>
                    <a:xfrm>
                      <a:off x="0" y="0"/>
                      <a:ext cx="3916070" cy="3624147"/>
                    </a:xfrm>
                    <a:prstGeom prst="rect">
                      <a:avLst/>
                    </a:prstGeom>
                  </pic:spPr>
                </pic:pic>
              </a:graphicData>
            </a:graphic>
          </wp:inline>
        </w:drawing>
      </w:r>
    </w:p>
    <w:p w14:paraId="2F9FE4A5" w14:textId="2F41D381" w:rsidR="0DE242D6" w:rsidRPr="00A95A84" w:rsidRDefault="017CB474" w:rsidP="3300C1C8">
      <w:pPr>
        <w:spacing w:beforeAutospacing="1" w:afterAutospacing="1"/>
        <w:rPr>
          <w:rFonts w:ascii="Times" w:eastAsia="Arial" w:hAnsi="Times" w:cs="Arial"/>
          <w:color w:val="222222"/>
          <w:sz w:val="20"/>
          <w:szCs w:val="20"/>
        </w:rPr>
      </w:pPr>
      <w:r w:rsidRPr="00A95A84">
        <w:rPr>
          <w:rFonts w:ascii="Times" w:eastAsia="Arial" w:hAnsi="Times" w:cs="Arial"/>
          <w:b/>
          <w:bCs/>
          <w:color w:val="222222"/>
          <w:sz w:val="20"/>
          <w:szCs w:val="20"/>
        </w:rPr>
        <w:t>Figure</w:t>
      </w:r>
      <w:r w:rsidR="002C530E" w:rsidRPr="00A95A84">
        <w:rPr>
          <w:rFonts w:ascii="Times" w:eastAsia="Arial" w:hAnsi="Times" w:cs="Arial"/>
          <w:b/>
          <w:bCs/>
          <w:color w:val="222222"/>
          <w:sz w:val="20"/>
          <w:szCs w:val="20"/>
        </w:rPr>
        <w:t xml:space="preserve"> 6</w:t>
      </w:r>
      <w:r w:rsidR="000F75FE" w:rsidRPr="00A95A84">
        <w:rPr>
          <w:rFonts w:ascii="Times" w:eastAsia="Arial" w:hAnsi="Times" w:cs="Arial"/>
          <w:b/>
          <w:bCs/>
          <w:color w:val="222222"/>
          <w:sz w:val="20"/>
          <w:szCs w:val="20"/>
        </w:rPr>
        <w:t>1</w:t>
      </w:r>
      <w:r w:rsidRPr="00A95A84">
        <w:rPr>
          <w:rFonts w:ascii="Times" w:eastAsia="Arial" w:hAnsi="Times" w:cs="Arial"/>
          <w:b/>
          <w:bCs/>
          <w:color w:val="222222"/>
          <w:sz w:val="20"/>
          <w:szCs w:val="20"/>
        </w:rPr>
        <w:t>.</w:t>
      </w:r>
      <w:r w:rsidRPr="00A95A84">
        <w:rPr>
          <w:rFonts w:ascii="Times" w:eastAsia="Arial" w:hAnsi="Times" w:cs="Arial"/>
          <w:color w:val="222222"/>
          <w:sz w:val="20"/>
          <w:szCs w:val="20"/>
        </w:rPr>
        <w:t xml:space="preserve"> </w:t>
      </w:r>
      <w:r w:rsidR="54990ED2" w:rsidRPr="00A95A84">
        <w:rPr>
          <w:rFonts w:ascii="Times" w:eastAsia="Arial" w:hAnsi="Times" w:cs="Arial"/>
          <w:color w:val="222222"/>
          <w:sz w:val="20"/>
          <w:szCs w:val="20"/>
        </w:rPr>
        <w:t xml:space="preserve">The apoptotic effects of RSV, </w:t>
      </w:r>
      <w:proofErr w:type="spellStart"/>
      <w:r w:rsidR="54990ED2" w:rsidRPr="00A95A84">
        <w:rPr>
          <w:rFonts w:ascii="Times" w:eastAsia="Arial" w:hAnsi="Times" w:cs="Arial"/>
          <w:color w:val="222222"/>
          <w:sz w:val="20"/>
          <w:szCs w:val="20"/>
        </w:rPr>
        <w:t>ZnO</w:t>
      </w:r>
      <w:proofErr w:type="spellEnd"/>
      <w:r w:rsidR="54990ED2" w:rsidRPr="00A95A84">
        <w:rPr>
          <w:rFonts w:ascii="Times" w:eastAsia="Arial" w:hAnsi="Times" w:cs="Arial"/>
          <w:color w:val="222222"/>
          <w:sz w:val="20"/>
          <w:szCs w:val="20"/>
        </w:rPr>
        <w:t>, and RSV–</w:t>
      </w:r>
      <w:proofErr w:type="spellStart"/>
      <w:r w:rsidR="54990ED2" w:rsidRPr="00A95A84">
        <w:rPr>
          <w:rFonts w:ascii="Times" w:eastAsia="Arial" w:hAnsi="Times" w:cs="Arial"/>
          <w:color w:val="222222"/>
          <w:sz w:val="20"/>
          <w:szCs w:val="20"/>
        </w:rPr>
        <w:t>ZnO</w:t>
      </w:r>
      <w:proofErr w:type="spellEnd"/>
      <w:r w:rsidR="54990ED2" w:rsidRPr="00A95A84">
        <w:rPr>
          <w:rFonts w:ascii="Times" w:eastAsia="Arial" w:hAnsi="Times" w:cs="Arial"/>
          <w:color w:val="222222"/>
          <w:sz w:val="20"/>
          <w:szCs w:val="20"/>
        </w:rPr>
        <w:t xml:space="preserve"> on PA1 cells were evaluated. Representative dot plots from four independent experiments show the results of Annexin V-FITC/PI staining of the cells.</w:t>
      </w:r>
    </w:p>
    <w:p w14:paraId="36DB0EFB" w14:textId="3147F727" w:rsidR="1A1C17B2" w:rsidRPr="00D22AA7" w:rsidRDefault="00D51B51" w:rsidP="0DE242D6">
      <w:pPr>
        <w:spacing w:beforeAutospacing="1" w:afterAutospacing="1"/>
        <w:rPr>
          <w:rFonts w:ascii="Times" w:hAnsi="Times"/>
        </w:rPr>
      </w:pPr>
      <w:r>
        <w:rPr>
          <w:rFonts w:ascii="Times" w:hAnsi="Times"/>
        </w:rPr>
        <w:t xml:space="preserve">                  </w:t>
      </w:r>
      <w:r w:rsidR="00F5756A">
        <w:rPr>
          <w:rFonts w:ascii="Times" w:hAnsi="Times"/>
        </w:rPr>
        <w:t xml:space="preserve">        </w:t>
      </w:r>
      <w:r>
        <w:rPr>
          <w:rFonts w:ascii="Times" w:hAnsi="Times"/>
        </w:rPr>
        <w:t xml:space="preserve">    </w:t>
      </w:r>
      <w:r w:rsidR="1A1C17B2" w:rsidRPr="00D22AA7">
        <w:rPr>
          <w:rFonts w:ascii="Times" w:hAnsi="Times"/>
          <w:noProof/>
        </w:rPr>
        <w:drawing>
          <wp:inline distT="0" distB="0" distL="0" distR="0" wp14:anchorId="4D8C6763" wp14:editId="1F2BEE2C">
            <wp:extent cx="3128640" cy="2292440"/>
            <wp:effectExtent l="0" t="0" r="0" b="0"/>
            <wp:docPr id="1863278205" name="Picture 1863278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3187011" cy="2335210"/>
                    </a:xfrm>
                    <a:prstGeom prst="rect">
                      <a:avLst/>
                    </a:prstGeom>
                  </pic:spPr>
                </pic:pic>
              </a:graphicData>
            </a:graphic>
          </wp:inline>
        </w:drawing>
      </w:r>
    </w:p>
    <w:p w14:paraId="4568D4E0" w14:textId="5B5640C1" w:rsidR="1A1C17B2" w:rsidRPr="00A95A84" w:rsidRDefault="1A1C17B2" w:rsidP="0DE242D6">
      <w:pPr>
        <w:jc w:val="both"/>
        <w:rPr>
          <w:rFonts w:ascii="Times" w:hAnsi="Times"/>
          <w:sz w:val="20"/>
          <w:szCs w:val="20"/>
        </w:rPr>
      </w:pPr>
      <w:r w:rsidRPr="00A95A84">
        <w:rPr>
          <w:rFonts w:ascii="Times" w:eastAsia="Arial" w:hAnsi="Times" w:cs="Arial"/>
          <w:b/>
          <w:bCs/>
          <w:color w:val="222222"/>
          <w:sz w:val="20"/>
          <w:szCs w:val="20"/>
        </w:rPr>
        <w:t xml:space="preserve">Figure </w:t>
      </w:r>
      <w:r w:rsidR="002C530E" w:rsidRPr="00A95A84">
        <w:rPr>
          <w:rFonts w:ascii="Times" w:eastAsia="Arial" w:hAnsi="Times" w:cs="Arial"/>
          <w:b/>
          <w:bCs/>
          <w:color w:val="222222"/>
          <w:sz w:val="20"/>
          <w:szCs w:val="20"/>
        </w:rPr>
        <w:t>6</w:t>
      </w:r>
      <w:r w:rsidR="000F75FE" w:rsidRPr="00A95A84">
        <w:rPr>
          <w:rFonts w:ascii="Times" w:eastAsia="Arial" w:hAnsi="Times" w:cs="Arial"/>
          <w:b/>
          <w:bCs/>
          <w:color w:val="222222"/>
          <w:sz w:val="20"/>
          <w:szCs w:val="20"/>
        </w:rPr>
        <w:t>2</w:t>
      </w:r>
      <w:r w:rsidRPr="00A95A84">
        <w:rPr>
          <w:rFonts w:ascii="Times" w:eastAsia="Arial" w:hAnsi="Times" w:cs="Arial"/>
          <w:b/>
          <w:bCs/>
          <w:color w:val="222222"/>
          <w:sz w:val="20"/>
          <w:szCs w:val="20"/>
        </w:rPr>
        <w:t>.</w:t>
      </w:r>
      <w:r w:rsidRPr="00A95A84">
        <w:rPr>
          <w:rFonts w:ascii="Times" w:eastAsia="Arial" w:hAnsi="Times" w:cs="Arial"/>
          <w:color w:val="222222"/>
          <w:sz w:val="20"/>
          <w:szCs w:val="20"/>
        </w:rPr>
        <w:t xml:space="preserve"> </w:t>
      </w:r>
      <w:r w:rsidR="00725EC0" w:rsidRPr="00A95A84">
        <w:rPr>
          <w:rFonts w:ascii="Times" w:eastAsia="Arial" w:hAnsi="Times" w:cs="Arial"/>
          <w:color w:val="222222"/>
          <w:sz w:val="20"/>
          <w:szCs w:val="20"/>
        </w:rPr>
        <w:t>Western blot analysis was performed to evaluate the expression of Bax, Bcl-2, and caspase-9 proteins in PA1 cells treated with RSV, RSV–ZnO, and ZnO, along with their corresponding IC50 values.</w:t>
      </w:r>
    </w:p>
    <w:p w14:paraId="06CD88F2" w14:textId="3E1006DF" w:rsidR="0DE242D6" w:rsidRPr="00D22AA7" w:rsidRDefault="0DE242D6" w:rsidP="0DE242D6">
      <w:pPr>
        <w:jc w:val="both"/>
        <w:rPr>
          <w:rFonts w:ascii="Times" w:hAnsi="Times"/>
        </w:rPr>
      </w:pPr>
    </w:p>
    <w:p w14:paraId="2DC38262" w14:textId="578189B7" w:rsidR="0DE242D6" w:rsidRPr="00D22AA7" w:rsidRDefault="0DE242D6" w:rsidP="0DE242D6">
      <w:pPr>
        <w:spacing w:beforeAutospacing="1" w:afterAutospacing="1"/>
        <w:rPr>
          <w:rFonts w:ascii="Times" w:hAnsi="Times"/>
        </w:rPr>
      </w:pPr>
    </w:p>
    <w:p w14:paraId="007DDA0F" w14:textId="03A1ADD9" w:rsidR="0DE242D6" w:rsidRPr="00D22AA7" w:rsidRDefault="0DE242D6" w:rsidP="0DE242D6">
      <w:pPr>
        <w:spacing w:beforeAutospacing="1" w:afterAutospacing="1"/>
        <w:rPr>
          <w:rFonts w:ascii="Times" w:eastAsia="Arial" w:hAnsi="Times" w:cs="Arial"/>
          <w:color w:val="222222"/>
          <w:sz w:val="19"/>
          <w:szCs w:val="19"/>
        </w:rPr>
      </w:pPr>
    </w:p>
    <w:p w14:paraId="0EF96EB3" w14:textId="26EB0FD4" w:rsidR="00D45672" w:rsidRDefault="2892FA20" w:rsidP="3300C1C8">
      <w:pPr>
        <w:jc w:val="both"/>
        <w:rPr>
          <w:rFonts w:ascii="Times" w:hAnsi="Times"/>
          <w:color w:val="222222"/>
        </w:rPr>
      </w:pPr>
      <w:r w:rsidRPr="00D22AA7">
        <w:rPr>
          <w:rFonts w:ascii="Times" w:eastAsia="Arial;Arial;Helvetica;sans-seri" w:hAnsi="Times" w:cs="Arial;Arial;Helvetica;sans-seri"/>
          <w:noProof/>
        </w:rPr>
        <w:lastRenderedPageBreak/>
        <w:t>anticancer efficacy of resveratrol-loaded mesoporous silica nanoparticles (MSN-RSV) using th</w:t>
      </w:r>
      <w:r w:rsidR="7C189B09" w:rsidRPr="00D22AA7">
        <w:rPr>
          <w:rFonts w:ascii="Times" w:eastAsia="Arial;Arial;Helvetica;sans-seri" w:hAnsi="Times" w:cs="Arial;Arial;Helvetica;sans-seri"/>
          <w:noProof/>
        </w:rPr>
        <w:t xml:space="preserve">e </w:t>
      </w:r>
      <w:r w:rsidRPr="00D22AA7">
        <w:rPr>
          <w:rFonts w:ascii="Times" w:eastAsia="Arial;Arial;Helvetica;sans-seri" w:hAnsi="Times" w:cs="Arial;Arial;Helvetica;sans-seri"/>
          <w:noProof/>
        </w:rPr>
        <w:t>cell line HGC-27 and  mice</w:t>
      </w:r>
      <w:r w:rsidR="3583577B" w:rsidRPr="00D22AA7">
        <w:rPr>
          <w:rFonts w:ascii="Times" w:eastAsia="Arial;Arial;Helvetica;sans-seri" w:hAnsi="Times" w:cs="Arial;Arial;Helvetica;sans-seri"/>
          <w:noProof/>
        </w:rPr>
        <w:t xml:space="preserve"> </w:t>
      </w:r>
      <w:r w:rsidRPr="00D22AA7">
        <w:rPr>
          <w:rFonts w:ascii="Times" w:eastAsia="Arial;Arial;Helvetica;sans-seri" w:hAnsi="Times" w:cs="Arial;Arial;Helvetica;sans-seri"/>
          <w:noProof/>
        </w:rPr>
        <w:t>models. Their research demonstrated that MSN-RSV significantly outperformed other treatment options in reducing gastric cancer growth</w:t>
      </w:r>
      <w:r w:rsidR="3A18E8F3" w:rsidRPr="00D22AA7">
        <w:rPr>
          <w:rFonts w:ascii="Times" w:eastAsia="Arial;Arial;Helvetica;sans-seri" w:hAnsi="Times" w:cs="Arial;Arial;Helvetica;sans-seri"/>
          <w:noProof/>
        </w:rPr>
        <w:t>.</w:t>
      </w:r>
      <w:r w:rsidRPr="00D22AA7">
        <w:rPr>
          <w:rFonts w:ascii="Times" w:eastAsia="Arial;Arial;Helvetica;sans-seri" w:hAnsi="Times" w:cs="Arial;Arial;Helvetica;sans-seri"/>
          <w:noProof/>
        </w:rPr>
        <w:t xml:space="preserve"> The results revealed that MSN-RSV was not only more effective in inhibiting the proliferation of gastric cancer cells, but it also substantially suppressed the ability of these cells to invade surrounding tissues and migrate to distant sites, which are key processes in cancer metastasis. The study highlights the potential of MSN-RSV as an innovative and highly efficient delivery system for resveratrol, offering improved therapeutic outcomes for gastric cancer. Furthermore, the enhanced anticancer activity observed in both the cell culture and animal models suggests that MSN-RSV could serve as a promising candidate for further clinical development in the treatment of gastric cancer. By leveraging the unique properties of mesoporous silica nanoparticles, such as their large surface area and ability to encapsulate therapeutic agents, MSN-RSV represents a novel approach to improving the bioavailability and targeted delivery of resveratrol, potentially leading to better control over tumor growth and metastasis </w:t>
      </w:r>
      <w:r w:rsidR="00B612F3" w:rsidRPr="00D22AA7">
        <w:rPr>
          <w:rFonts w:ascii="Times" w:hAnsi="Times"/>
          <w:color w:val="222222"/>
        </w:rPr>
        <w:fldChar w:fldCharType="begin"/>
      </w:r>
      <w:r w:rsidR="0056095D">
        <w:rPr>
          <w:rFonts w:ascii="Times" w:hAnsi="Times"/>
          <w:color w:val="222222"/>
        </w:rPr>
        <w:instrText xml:space="preserve"> ADDIN ZOTERO_ITEM CSL_CITATION {"citationID":"zrcpSo4B","properties":{"formattedCitation":"[221]","plainCitation":"[221]","noteIndex":0},"citationItems":[{"id":2996,"uris":["http://zotero.org/users/9439317/items/Y4SNM8N8"],"itemData":{"id":2996,"type":"article-journal","abstract":"Resveratrol (Res) has been shown to exhibit anti-cancer properties in gastric cancer. However, its clinical application is limited by its poor pharmacokinetics, stability, and low solubility. Hence, this study aimed to explore and verify a better delivery system for gastric cancer therapy. Using transmission electron microscopy, Fourier transform infrared (FTIR) spectroscopy, and ultraviolet (UV) spectrometry, we observed the shape and encapsulation of resveratrol-modified mesoporous silica nanoparticles (MSN-Res) that were synthesized by chemical methods. To explore the anticancer effects of these MSN-Res in vivo and in vitro, we established AGS and HGC-27 tumorbearing mouse models. Meanwhile, the proliferation of gastric cancer cells in vitro and in vivo was assessed by Cell Counting Kit-8, EdU, and Ki-67 immunohistochemical staining methods, while cellular apoptosis, and invasion and migration were detected by TdT-mediated dUTP nick end labeling (TUNEL) and Transwell assays, respectively. FTIR and UV results showed that we success­ fully synthesized and loaded drugs. Safety evaluation experiments showed that neither MSN-SH nor MSN-Res had toxic effects on the normal tissues of animals. Moreover, in vitro experiments revealed that MSN-Res significantly inhibited the proliferation, invasion, and migration of gastric cancer cells. Furthermore, TUNEL assay showed that MSN-Res promoted apoptosis in gastric cancer. These results were confirmed by the nude mouse tumorigenesis experiment. In conclu­ sion, we demonstrated that MSN-Res showed better inhibitory effect on the development of gastric cancer than Res alone, indicating that MSN-Res could be a promising drug delivery system for gastric cancer treatment.","container-title":"Bioengineered","DOI":"10.1080/21655979.2021.1971507","ISSN":"2165-5979, 2165-5987","issue":"1","journalAbbreviation":"Bioengineered","language":"en","page":"6343-6353","source":"DOI.org (Crossref)","title":"Resveratrol-modified mesoporous silica nanoparticle for tumor-targeted therapy of gastric cancer","URL":"https://www.tandfonline.com/doi/full/10.1080/21655979.2021.1971507","volume":"12","author":[{"family":"Lin","given":"Mingzhen"},{"family":"Yao","given":"Wenxia"},{"family":"Xiao","given":"Yao"},{"family":"Dong","given":"Zhijie"},{"family":"Huang","given":"Wei"},{"family":"Zhang","given":"Fan"},{"family":"Zhou","given":"Xinke"},{"family":"Liang","given":"Min"}],"accessed":{"date-parts":[["2023",10,12]]},"issued":{"date-parts":[["2021",1,1]]}}}],"schema":"https://github.com/citation-style-language/schema/raw/master/csl-citation.json"} </w:instrText>
      </w:r>
      <w:r w:rsidR="00B612F3" w:rsidRPr="00D22AA7">
        <w:rPr>
          <w:rFonts w:ascii="Times" w:hAnsi="Times"/>
          <w:color w:val="222222"/>
        </w:rPr>
        <w:fldChar w:fldCharType="separate"/>
      </w:r>
      <w:r w:rsidR="0056095D">
        <w:rPr>
          <w:rFonts w:ascii="Times" w:hAnsi="Times"/>
          <w:noProof/>
          <w:color w:val="222222"/>
        </w:rPr>
        <w:t>[221]</w:t>
      </w:r>
      <w:r w:rsidR="00B612F3" w:rsidRPr="00D22AA7">
        <w:rPr>
          <w:rFonts w:ascii="Times" w:hAnsi="Times"/>
          <w:color w:val="222222"/>
        </w:rPr>
        <w:fldChar w:fldCharType="end"/>
      </w:r>
      <w:r w:rsidR="66779EFB" w:rsidRPr="00D22AA7">
        <w:rPr>
          <w:rFonts w:ascii="Times" w:hAnsi="Times"/>
          <w:color w:val="222222"/>
        </w:rPr>
        <w:t xml:space="preserve">. </w:t>
      </w:r>
    </w:p>
    <w:p w14:paraId="45D58628" w14:textId="77777777" w:rsidR="00853841" w:rsidRDefault="00853841" w:rsidP="3300C1C8">
      <w:pPr>
        <w:jc w:val="both"/>
        <w:rPr>
          <w:rFonts w:ascii="Times" w:hAnsi="Times"/>
          <w:color w:val="222222"/>
        </w:rPr>
      </w:pPr>
    </w:p>
    <w:p w14:paraId="08468C4C" w14:textId="37498C1B" w:rsidR="00CD5941" w:rsidRPr="00D22AA7" w:rsidRDefault="00CD5941" w:rsidP="3300C1C8">
      <w:pPr>
        <w:jc w:val="both"/>
        <w:rPr>
          <w:rFonts w:ascii="Times" w:hAnsi="Times"/>
          <w:b/>
          <w:bCs/>
        </w:rPr>
      </w:pPr>
      <w:r>
        <w:rPr>
          <w:rFonts w:ascii="Times" w:hAnsi="Times"/>
          <w:b/>
          <w:bCs/>
          <w:noProof/>
        </w:rPr>
        <w:drawing>
          <wp:inline distT="0" distB="0" distL="0" distR="0" wp14:anchorId="1B90AF38" wp14:editId="76C59225">
            <wp:extent cx="5943600" cy="3790315"/>
            <wp:effectExtent l="0" t="0" r="0" b="0"/>
            <wp:docPr id="133819481" name="Picture 4" descr="A close-up of different types of ce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19481" name="Picture 4" descr="A close-up of different types of cells&#10;&#10;Description automatically generated"/>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943600" cy="3790315"/>
                    </a:xfrm>
                    <a:prstGeom prst="rect">
                      <a:avLst/>
                    </a:prstGeom>
                  </pic:spPr>
                </pic:pic>
              </a:graphicData>
            </a:graphic>
          </wp:inline>
        </w:drawing>
      </w:r>
    </w:p>
    <w:p w14:paraId="1D2D97C9" w14:textId="6324D8B3" w:rsidR="00D51B51" w:rsidRDefault="00D51B51" w:rsidP="0DE242D6">
      <w:pPr>
        <w:jc w:val="both"/>
        <w:rPr>
          <w:rFonts w:ascii="Times" w:eastAsia="Arial" w:hAnsi="Times" w:cs="Arial"/>
          <w:b/>
          <w:bCs/>
          <w:color w:val="222222"/>
          <w:sz w:val="22"/>
          <w:szCs w:val="22"/>
        </w:rPr>
      </w:pPr>
      <w:r w:rsidRPr="00D51B51">
        <w:rPr>
          <w:rFonts w:ascii="Times" w:eastAsia="Arial" w:hAnsi="Times" w:cs="Arial"/>
          <w:b/>
          <w:bCs/>
          <w:color w:val="222222"/>
          <w:sz w:val="22"/>
          <w:szCs w:val="22"/>
        </w:rPr>
        <w:t xml:space="preserve"> </w:t>
      </w:r>
    </w:p>
    <w:p w14:paraId="69B781A2" w14:textId="5196E7AC" w:rsidR="0642DC0E" w:rsidRPr="00A95A84" w:rsidRDefault="00D51B51" w:rsidP="0DE242D6">
      <w:pPr>
        <w:jc w:val="both"/>
        <w:rPr>
          <w:rFonts w:ascii="Times" w:hAnsi="Times"/>
          <w:sz w:val="20"/>
          <w:szCs w:val="20"/>
        </w:rPr>
      </w:pPr>
      <w:r w:rsidRPr="00A95A84">
        <w:rPr>
          <w:rFonts w:ascii="Times" w:eastAsia="Arial" w:hAnsi="Times" w:cs="Arial"/>
          <w:b/>
          <w:bCs/>
          <w:color w:val="222222"/>
          <w:sz w:val="20"/>
          <w:szCs w:val="20"/>
        </w:rPr>
        <w:t>Figure 6</w:t>
      </w:r>
      <w:r w:rsidR="000F75FE" w:rsidRPr="00A95A84">
        <w:rPr>
          <w:rFonts w:ascii="Times" w:eastAsia="Arial" w:hAnsi="Times" w:cs="Arial"/>
          <w:b/>
          <w:bCs/>
          <w:color w:val="222222"/>
          <w:sz w:val="20"/>
          <w:szCs w:val="20"/>
        </w:rPr>
        <w:t>3</w:t>
      </w:r>
      <w:r w:rsidRPr="00A95A84">
        <w:rPr>
          <w:rFonts w:ascii="Times" w:eastAsia="Arial" w:hAnsi="Times" w:cs="Arial"/>
          <w:b/>
          <w:bCs/>
          <w:color w:val="222222"/>
          <w:sz w:val="20"/>
          <w:szCs w:val="20"/>
        </w:rPr>
        <w:t>.</w:t>
      </w:r>
      <w:r w:rsidRPr="00A95A84">
        <w:rPr>
          <w:rFonts w:ascii="Times" w:eastAsia="Arial" w:hAnsi="Times" w:cs="Arial"/>
          <w:color w:val="222222"/>
          <w:sz w:val="20"/>
          <w:szCs w:val="20"/>
        </w:rPr>
        <w:t xml:space="preserve"> </w:t>
      </w:r>
      <w:r w:rsidRPr="00A95A84">
        <w:rPr>
          <w:rFonts w:ascii="Times" w:eastAsia="Arial" w:hAnsi="Times" w:cs="Arial"/>
          <w:sz w:val="20"/>
          <w:szCs w:val="20"/>
        </w:rPr>
        <w:t xml:space="preserve">Both in vitro and in vivo assays were performed to evaluate cell proliferation and migration. (A) The </w:t>
      </w:r>
      <w:proofErr w:type="spellStart"/>
      <w:r w:rsidRPr="00A95A84">
        <w:rPr>
          <w:rFonts w:ascii="Times" w:eastAsia="Arial" w:hAnsi="Times" w:cs="Arial"/>
          <w:sz w:val="20"/>
          <w:szCs w:val="20"/>
        </w:rPr>
        <w:t>EdU</w:t>
      </w:r>
      <w:proofErr w:type="spellEnd"/>
      <w:r w:rsidRPr="00A95A84">
        <w:rPr>
          <w:rFonts w:ascii="Times" w:eastAsia="Arial" w:hAnsi="Times" w:cs="Arial"/>
          <w:sz w:val="20"/>
          <w:szCs w:val="20"/>
        </w:rPr>
        <w:t xml:space="preserve"> assay was used to assess the proliferation of HGC-27 and AGS cells following treatment </w:t>
      </w:r>
      <w:proofErr w:type="spellStart"/>
      <w:r w:rsidRPr="00A95A84">
        <w:rPr>
          <w:rFonts w:ascii="Times" w:eastAsia="Arial" w:hAnsi="Times" w:cs="Arial"/>
          <w:sz w:val="20"/>
          <w:szCs w:val="20"/>
        </w:rPr>
        <w:t>withRes</w:t>
      </w:r>
      <w:proofErr w:type="spellEnd"/>
      <w:r w:rsidRPr="00A95A84">
        <w:rPr>
          <w:rFonts w:ascii="Times" w:eastAsia="Arial" w:hAnsi="Times" w:cs="Arial"/>
          <w:sz w:val="20"/>
          <w:szCs w:val="20"/>
        </w:rPr>
        <w:t xml:space="preserve">, MSN-SH, or Res-loaded MSN. (B) Apoptosis induced by these treatments was analyzed using </w:t>
      </w:r>
      <w:proofErr w:type="spellStart"/>
      <w:r w:rsidRPr="00A95A84">
        <w:rPr>
          <w:rFonts w:ascii="Times" w:eastAsia="Arial" w:hAnsi="Times" w:cs="Arial"/>
          <w:sz w:val="20"/>
          <w:szCs w:val="20"/>
        </w:rPr>
        <w:t>thetunnel</w:t>
      </w:r>
      <w:proofErr w:type="spellEnd"/>
      <w:r w:rsidRPr="00A95A84">
        <w:rPr>
          <w:rFonts w:ascii="Times" w:eastAsia="Arial" w:hAnsi="Times" w:cs="Arial"/>
          <w:sz w:val="20"/>
          <w:szCs w:val="20"/>
        </w:rPr>
        <w:t xml:space="preserve"> assay. (C) Cell migration and invasion were performed through </w:t>
      </w:r>
      <w:proofErr w:type="spellStart"/>
      <w:r w:rsidRPr="00A95A84">
        <w:rPr>
          <w:rFonts w:ascii="Times" w:eastAsia="Arial" w:hAnsi="Times" w:cs="Arial"/>
          <w:sz w:val="20"/>
          <w:szCs w:val="20"/>
        </w:rPr>
        <w:t>trnaswell</w:t>
      </w:r>
      <w:proofErr w:type="spellEnd"/>
      <w:r w:rsidRPr="00A95A84">
        <w:rPr>
          <w:rFonts w:ascii="Times" w:eastAsia="Arial" w:hAnsi="Times" w:cs="Arial"/>
          <w:sz w:val="20"/>
          <w:szCs w:val="20"/>
        </w:rPr>
        <w:t xml:space="preserve"> assay</w:t>
      </w:r>
    </w:p>
    <w:p w14:paraId="7AF8E1D5" w14:textId="729E4001" w:rsidR="0642DC0E" w:rsidRDefault="0642DC0E" w:rsidP="3300C1C8">
      <w:pPr>
        <w:jc w:val="both"/>
        <w:rPr>
          <w:rFonts w:ascii="Times" w:hAnsi="Times"/>
        </w:rPr>
      </w:pPr>
    </w:p>
    <w:p w14:paraId="1BC22CE7" w14:textId="139D9530" w:rsidR="00CD5941" w:rsidRPr="00D22AA7" w:rsidRDefault="00CD5941" w:rsidP="3300C1C8">
      <w:pPr>
        <w:jc w:val="both"/>
        <w:rPr>
          <w:rFonts w:ascii="Times" w:hAnsi="Times"/>
        </w:rPr>
      </w:pPr>
      <w:r>
        <w:rPr>
          <w:rFonts w:ascii="Times" w:hAnsi="Times"/>
          <w:noProof/>
        </w:rPr>
        <w:lastRenderedPageBreak/>
        <w:drawing>
          <wp:inline distT="0" distB="0" distL="0" distR="0" wp14:anchorId="1F711CD8" wp14:editId="3C0A6B5D">
            <wp:extent cx="5943600" cy="4601845"/>
            <wp:effectExtent l="0" t="0" r="0" b="0"/>
            <wp:docPr id="663480246" name="Picture 5" descr="A close-up of several images of different types of ce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80246" name="Picture 5" descr="A close-up of several images of different types of cells&#10;&#10;Description automatically generated"/>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943600" cy="4601845"/>
                    </a:xfrm>
                    <a:prstGeom prst="rect">
                      <a:avLst/>
                    </a:prstGeom>
                  </pic:spPr>
                </pic:pic>
              </a:graphicData>
            </a:graphic>
          </wp:inline>
        </w:drawing>
      </w:r>
    </w:p>
    <w:p w14:paraId="7858F607" w14:textId="06BF2B9E" w:rsidR="0642DC0E" w:rsidRPr="00A95A84" w:rsidRDefault="3D0E342C" w:rsidP="3300C1C8">
      <w:pPr>
        <w:jc w:val="both"/>
        <w:rPr>
          <w:rFonts w:ascii="Times" w:eastAsia="Arial" w:hAnsi="Times" w:cs="Arial"/>
          <w:sz w:val="20"/>
          <w:szCs w:val="20"/>
        </w:rPr>
      </w:pPr>
      <w:r w:rsidRPr="00A95A84">
        <w:rPr>
          <w:rFonts w:ascii="Times" w:eastAsia="Arial" w:hAnsi="Times" w:cs="Arial"/>
          <w:b/>
          <w:bCs/>
          <w:color w:val="222222"/>
          <w:sz w:val="20"/>
          <w:szCs w:val="20"/>
        </w:rPr>
        <w:t>Figure</w:t>
      </w:r>
      <w:r w:rsidR="002C530E" w:rsidRPr="00A95A84">
        <w:rPr>
          <w:rFonts w:ascii="Times" w:eastAsia="Arial" w:hAnsi="Times" w:cs="Arial"/>
          <w:b/>
          <w:bCs/>
          <w:color w:val="222222"/>
          <w:sz w:val="20"/>
          <w:szCs w:val="20"/>
        </w:rPr>
        <w:t xml:space="preserve"> 6</w:t>
      </w:r>
      <w:r w:rsidR="000F75FE" w:rsidRPr="00A95A84">
        <w:rPr>
          <w:rFonts w:ascii="Times" w:eastAsia="Arial" w:hAnsi="Times" w:cs="Arial"/>
          <w:b/>
          <w:bCs/>
          <w:color w:val="222222"/>
          <w:sz w:val="20"/>
          <w:szCs w:val="20"/>
        </w:rPr>
        <w:t>4</w:t>
      </w:r>
      <w:r w:rsidRPr="00A95A84">
        <w:rPr>
          <w:rFonts w:ascii="Times" w:eastAsia="Arial" w:hAnsi="Times" w:cs="Arial"/>
          <w:b/>
          <w:bCs/>
          <w:color w:val="222222"/>
          <w:sz w:val="20"/>
          <w:szCs w:val="20"/>
        </w:rPr>
        <w:t>.</w:t>
      </w:r>
      <w:r w:rsidRPr="00A95A84">
        <w:rPr>
          <w:rFonts w:ascii="Times" w:eastAsia="Arial" w:hAnsi="Times" w:cs="Arial"/>
          <w:color w:val="222222"/>
          <w:sz w:val="20"/>
          <w:szCs w:val="20"/>
        </w:rPr>
        <w:t xml:space="preserve"> </w:t>
      </w:r>
      <w:r w:rsidR="21226A72" w:rsidRPr="00A95A84">
        <w:rPr>
          <w:rFonts w:ascii="Times" w:eastAsia="Arial" w:hAnsi="Times" w:cs="Arial"/>
          <w:sz w:val="20"/>
          <w:szCs w:val="20"/>
        </w:rPr>
        <w:t>The figure presents the results of biopsy and histological analysis conducted on tumor-bearing mice treated with RSV, MSN-SH, or Res-loaded MSNs. Panel (a) illustrates tumor size measurements in HGC-27 and AGS tumor-bearing nude mice, which were treated with the respective compounds to evaluate their effects on tumor growth. Panel (b) shows H&amp;E staining performed on tumor tissues to assess the extent of inflammatory cell infiltration, providing insight into the inflammatory response to the treatments. Panel (c) displays Ki67 immunohistochemical staining, used to evaluate cell proliferation in HGC-27 and AGS tumors, highlighting the impact of the treatments on tumor cell proliferation. Finally, panel (d) shows the results of a TUNEL assay, which was used to analyze apoptosis in HGC-27 and AGS cells following treatment with RSV, MSN-SH, or RSV-loaded MSNs, providing a measure of the pro-apoptotic effects of the treatments.</w:t>
      </w:r>
    </w:p>
    <w:p w14:paraId="7F8F35D8" w14:textId="09C93A73" w:rsidR="0DE242D6" w:rsidRPr="00D22AA7" w:rsidRDefault="0DE242D6" w:rsidP="0DE242D6">
      <w:pPr>
        <w:jc w:val="both"/>
        <w:rPr>
          <w:rFonts w:ascii="Times" w:hAnsi="Times"/>
          <w:color w:val="222222"/>
          <w:sz w:val="20"/>
          <w:szCs w:val="20"/>
        </w:rPr>
      </w:pPr>
    </w:p>
    <w:p w14:paraId="0D962F37" w14:textId="77777777" w:rsidR="00386CA0" w:rsidRPr="00D22AA7" w:rsidRDefault="00386CA0">
      <w:pPr>
        <w:spacing w:beforeAutospacing="1" w:afterAutospacing="1"/>
        <w:rPr>
          <w:rFonts w:ascii="Times" w:hAnsi="Times"/>
          <w:b/>
          <w:bCs/>
        </w:rPr>
      </w:pPr>
    </w:p>
    <w:p w14:paraId="559DF745" w14:textId="77777777" w:rsidR="00386CA0" w:rsidRPr="00D22AA7" w:rsidRDefault="00386CA0">
      <w:pPr>
        <w:spacing w:beforeAutospacing="1" w:afterAutospacing="1"/>
        <w:rPr>
          <w:rFonts w:ascii="Times" w:hAnsi="Times"/>
          <w:b/>
          <w:bCs/>
        </w:rPr>
      </w:pPr>
    </w:p>
    <w:p w14:paraId="2823E4F0" w14:textId="77777777" w:rsidR="00386CA0" w:rsidRPr="00D22AA7" w:rsidRDefault="00386CA0">
      <w:pPr>
        <w:spacing w:beforeAutospacing="1" w:afterAutospacing="1"/>
        <w:rPr>
          <w:rFonts w:ascii="Times" w:hAnsi="Times"/>
          <w:b/>
          <w:bCs/>
        </w:rPr>
      </w:pPr>
    </w:p>
    <w:p w14:paraId="0412A0FC" w14:textId="77777777" w:rsidR="00386CA0" w:rsidRPr="00D22AA7" w:rsidRDefault="00386CA0">
      <w:pPr>
        <w:spacing w:beforeAutospacing="1" w:afterAutospacing="1"/>
        <w:rPr>
          <w:rFonts w:ascii="Times" w:hAnsi="Times"/>
          <w:b/>
          <w:bCs/>
        </w:rPr>
      </w:pPr>
    </w:p>
    <w:p w14:paraId="0F1F84E8" w14:textId="77777777" w:rsidR="001C42F6" w:rsidRPr="00D22AA7" w:rsidRDefault="001C42F6">
      <w:pPr>
        <w:spacing w:beforeAutospacing="1" w:afterAutospacing="1"/>
        <w:rPr>
          <w:rFonts w:ascii="Times" w:hAnsi="Times"/>
          <w:b/>
          <w:bCs/>
        </w:rPr>
      </w:pPr>
    </w:p>
    <w:p w14:paraId="15A84CD9" w14:textId="3D16DD63" w:rsidR="00C871E7" w:rsidRPr="00D22AA7" w:rsidRDefault="00D45672">
      <w:pPr>
        <w:spacing w:beforeAutospacing="1" w:afterAutospacing="1"/>
        <w:rPr>
          <w:rFonts w:ascii="Times" w:hAnsi="Times"/>
          <w:b/>
          <w:bCs/>
          <w:sz w:val="40"/>
          <w:szCs w:val="40"/>
        </w:rPr>
      </w:pPr>
      <w:r w:rsidRPr="00D22AA7">
        <w:rPr>
          <w:rFonts w:ascii="Times" w:hAnsi="Times"/>
          <w:b/>
          <w:bCs/>
          <w:sz w:val="40"/>
          <w:szCs w:val="40"/>
        </w:rPr>
        <w:lastRenderedPageBreak/>
        <w:t xml:space="preserve">Chapter 8 </w:t>
      </w:r>
    </w:p>
    <w:p w14:paraId="4CACF446" w14:textId="4D486517" w:rsidR="00386CA0" w:rsidRPr="00D22AA7" w:rsidRDefault="001C268B">
      <w:pPr>
        <w:spacing w:beforeAutospacing="1" w:afterAutospacing="1"/>
        <w:rPr>
          <w:rFonts w:ascii="Times" w:hAnsi="Times"/>
          <w:b/>
          <w:bCs/>
          <w:sz w:val="40"/>
          <w:szCs w:val="40"/>
        </w:rPr>
      </w:pPr>
      <w:r w:rsidRPr="001C268B">
        <w:rPr>
          <w:rStyle w:val="Bullets"/>
          <w:rFonts w:ascii="Times" w:hAnsi="Times"/>
          <w:b/>
          <w:bCs/>
          <w:sz w:val="40"/>
          <w:szCs w:val="40"/>
        </w:rPr>
        <w:t>T</w:t>
      </w:r>
      <w:r>
        <w:rPr>
          <w:rStyle w:val="Bullets"/>
          <w:rFonts w:ascii="Times" w:hAnsi="Times"/>
          <w:b/>
          <w:bCs/>
          <w:sz w:val="40"/>
          <w:szCs w:val="40"/>
        </w:rPr>
        <w:t>he Evaluation of use of AI in microscopic images of cells</w:t>
      </w:r>
      <w:r w:rsidRPr="001C268B">
        <w:rPr>
          <w:rStyle w:val="Bullets"/>
          <w:rFonts w:ascii="Times" w:hAnsi="Times"/>
          <w:b/>
          <w:bCs/>
          <w:sz w:val="40"/>
          <w:szCs w:val="40"/>
        </w:rPr>
        <w:t xml:space="preserve"> </w:t>
      </w:r>
    </w:p>
    <w:p w14:paraId="5A656C7C" w14:textId="69059CB1" w:rsidR="00386CA0" w:rsidRDefault="00D45672" w:rsidP="00C871E7">
      <w:pPr>
        <w:pStyle w:val="MDPI31text"/>
        <w:ind w:left="0" w:firstLine="0"/>
        <w:rPr>
          <w:rFonts w:ascii="Times" w:hAnsi="Times"/>
          <w:sz w:val="24"/>
          <w:szCs w:val="24"/>
        </w:rPr>
      </w:pPr>
      <w:proofErr w:type="spellStart"/>
      <w:r w:rsidRPr="00D22AA7">
        <w:rPr>
          <w:rFonts w:ascii="Times" w:hAnsi="Times"/>
          <w:sz w:val="24"/>
          <w:szCs w:val="24"/>
        </w:rPr>
        <w:t>CellDeathPred</w:t>
      </w:r>
      <w:proofErr w:type="spellEnd"/>
      <w:r w:rsidRPr="00D22AA7">
        <w:rPr>
          <w:rFonts w:ascii="Times" w:hAnsi="Times"/>
          <w:sz w:val="24"/>
          <w:szCs w:val="24"/>
        </w:rPr>
        <w:t xml:space="preserve"> </w:t>
      </w:r>
      <w:r w:rsidR="008D51AE">
        <w:rPr>
          <w:rFonts w:ascii="Times" w:hAnsi="Times"/>
          <w:sz w:val="24"/>
          <w:szCs w:val="24"/>
        </w:rPr>
        <w:t xml:space="preserve">was used </w:t>
      </w:r>
      <w:r w:rsidRPr="00D22AA7">
        <w:rPr>
          <w:rFonts w:ascii="Times" w:hAnsi="Times"/>
          <w:sz w:val="24"/>
          <w:szCs w:val="24"/>
        </w:rPr>
        <w:t xml:space="preserve">to validate and determine the precise classification of different types of cell death, specifically apoptosis and ferroptosis. This model utilized imaging data from the HT-1080 fibrosarcoma cell line, subjected to various inducers and inhibitor. The study focused on the necessity of establishing accurate concentration series for the substances used to generate standardized data, which helps minimize technical variability. Through the cell painting assay, the researchers observed healthy, apoptotic, and </w:t>
      </w:r>
      <w:proofErr w:type="spellStart"/>
      <w:r w:rsidRPr="00D22AA7">
        <w:rPr>
          <w:rFonts w:ascii="Times" w:hAnsi="Times"/>
          <w:sz w:val="24"/>
          <w:szCs w:val="24"/>
        </w:rPr>
        <w:t>ferroptotic</w:t>
      </w:r>
      <w:proofErr w:type="spellEnd"/>
      <w:r w:rsidRPr="00D22AA7">
        <w:rPr>
          <w:rFonts w:ascii="Times" w:hAnsi="Times"/>
          <w:sz w:val="24"/>
          <w:szCs w:val="24"/>
        </w:rPr>
        <w:t xml:space="preserve"> cells based on overall cellular content rather than specific markers, enabling a clear classification of different cell death modes. </w:t>
      </w:r>
      <w:proofErr w:type="spellStart"/>
      <w:r w:rsidRPr="00D22AA7">
        <w:rPr>
          <w:rFonts w:ascii="Times" w:hAnsi="Times"/>
          <w:sz w:val="24"/>
          <w:szCs w:val="24"/>
        </w:rPr>
        <w:t>CellDeathPred</w:t>
      </w:r>
      <w:proofErr w:type="spellEnd"/>
      <w:r w:rsidRPr="00D22AA7">
        <w:rPr>
          <w:rFonts w:ascii="Times" w:hAnsi="Times"/>
          <w:sz w:val="24"/>
          <w:szCs w:val="24"/>
        </w:rPr>
        <w:t xml:space="preserve"> integrated contrastive learning with </w:t>
      </w:r>
      <w:proofErr w:type="spellStart"/>
      <w:r w:rsidRPr="00D22AA7">
        <w:rPr>
          <w:rFonts w:ascii="Times" w:hAnsi="Times"/>
          <w:sz w:val="24"/>
          <w:szCs w:val="24"/>
        </w:rPr>
        <w:t>EfficientNet</w:t>
      </w:r>
      <w:proofErr w:type="spellEnd"/>
      <w:r w:rsidRPr="00D22AA7">
        <w:rPr>
          <w:rFonts w:ascii="Times" w:hAnsi="Times"/>
          <w:sz w:val="24"/>
          <w:szCs w:val="24"/>
        </w:rPr>
        <w:t xml:space="preserve"> models, leveraging contrastive and cross-entropy losses to achieve high prediction accuracy. The model demonstrated near-perfect classification performance, outperforming traditional machine learning methods like Random Forest, Logistic Regression, and AdaBoost Future research could explore additional substances and cell death types, such as necroptosis and </w:t>
      </w:r>
      <w:proofErr w:type="spellStart"/>
      <w:r w:rsidRPr="00D22AA7">
        <w:rPr>
          <w:rFonts w:ascii="Times" w:hAnsi="Times"/>
          <w:sz w:val="24"/>
          <w:szCs w:val="24"/>
        </w:rPr>
        <w:t>pyroptosis</w:t>
      </w:r>
      <w:proofErr w:type="spellEnd"/>
      <w:r w:rsidRPr="00D22AA7">
        <w:rPr>
          <w:rFonts w:ascii="Times" w:hAnsi="Times"/>
          <w:sz w:val="24"/>
          <w:szCs w:val="24"/>
        </w:rPr>
        <w:t>, to further validate and broaden the model's applicability</w:t>
      </w:r>
      <w:r w:rsidR="00F47021" w:rsidRPr="00D22AA7">
        <w:rPr>
          <w:rFonts w:ascii="Times" w:hAnsi="Times"/>
          <w:sz w:val="24"/>
          <w:szCs w:val="24"/>
        </w:rPr>
        <w:fldChar w:fldCharType="begin"/>
      </w:r>
      <w:r w:rsidR="0056095D">
        <w:rPr>
          <w:rFonts w:ascii="Times" w:hAnsi="Times"/>
          <w:sz w:val="24"/>
          <w:szCs w:val="24"/>
        </w:rPr>
        <w:instrText xml:space="preserve"> ADDIN ZOTERO_ITEM CSL_CITATION {"citationID":"E18ZoBW9","properties":{"formattedCitation":"[222]","plainCitation":"[222]","noteIndex":0},"citationItems":[{"id":6170,"uris":["http://zotero.org/users/9439317/items/H9CT62NL"],"itemData":{"id":6170,"type":"article-journal","abstract":"Cell death, such as apoptosis and ferroptosis, play essential roles in the process of development, homeostasis, and pathogenesis of acute and chronic diseases. The increasing number of studies investigating cell death types in various diseases, particularly cancer and degenerative diseases, has raised hopes for their modulation in disease therapies. However, identifying the presence of a particular cell death type is not an obvious task, as it requires computationally intensive work and costly experimental assays. To address this challenge, we present CellDeathPred, a novel deep-learning framework that uses high-content imaging based on cell painting to distinguish cells undergoing ferroptosis or apoptosis from healthy cells. In particular, we incorporate a deep neural network that effectively embeds microscopic images into a representative and discriminative latent space, classifies the learned embedding into cell death modalities, and optimizes the whole learning using the supervised contrastive loss function. We assessed the efficacy of the proposed framework using cell painting microscopy data sets from human HT-1080 cells, where multiple inducers of ferroptosis and apoptosis were used to trigger cell death. Our model confidently separates ferroptotic and apoptotic cells from healthy controls, with an average accuracy of 95% on non-confocal data sets, supporting the capacity of the CellDeathPred framework for cell death discovery.","container-title":"Cell Death Discovery","DOI":"10.1038/s41420-023-01559-y","ISSN":"2058-7716","issue":"1","journalAbbreviation":"Cell Death Discovery","page":"277","title":"CellDeathPred: a deep learning framework for ferroptosis and apoptosis prediction based on cell painting","URL":"https://doi.org/10.1038/s41420-023-01559-y","volume":"9","author":[{"family":"Schorpp","given":"Kenji"},{"family":"Bessadok","given":"Alaa"},{"family":"Biibosunov","given":"Aidin"},{"family":"Rothenaigner","given":"Ina"},{"family":"Strasser","given":"Stefanie"},{"family":"Peng","given":"Tingying"},{"family":"Hadian","given":"Kamyar"}],"issued":{"date-parts":[["2023",7,31]]}}}],"schema":"https://github.com/citation-style-language/schema/raw/master/csl-citation.json"} </w:instrText>
      </w:r>
      <w:r w:rsidR="00F47021" w:rsidRPr="00D22AA7">
        <w:rPr>
          <w:rFonts w:ascii="Times" w:hAnsi="Times"/>
          <w:sz w:val="24"/>
          <w:szCs w:val="24"/>
        </w:rPr>
        <w:fldChar w:fldCharType="separate"/>
      </w:r>
      <w:r w:rsidR="0056095D">
        <w:rPr>
          <w:rFonts w:ascii="Times" w:hAnsi="Times"/>
          <w:noProof/>
          <w:sz w:val="24"/>
          <w:szCs w:val="24"/>
        </w:rPr>
        <w:t>[222]</w:t>
      </w:r>
      <w:r w:rsidR="00F47021" w:rsidRPr="00D22AA7">
        <w:rPr>
          <w:rFonts w:ascii="Times" w:hAnsi="Times"/>
          <w:sz w:val="24"/>
          <w:szCs w:val="24"/>
        </w:rPr>
        <w:fldChar w:fldCharType="end"/>
      </w:r>
      <w:r w:rsidR="00C871E7" w:rsidRPr="00D22AA7">
        <w:rPr>
          <w:rFonts w:ascii="Times" w:hAnsi="Times"/>
          <w:sz w:val="24"/>
          <w:szCs w:val="24"/>
        </w:rPr>
        <w:t>.</w:t>
      </w:r>
    </w:p>
    <w:p w14:paraId="06AC2C9F" w14:textId="77777777" w:rsidR="00D51B51" w:rsidRPr="00D22AA7" w:rsidRDefault="00D51B51" w:rsidP="00C871E7">
      <w:pPr>
        <w:pStyle w:val="MDPI31text"/>
        <w:ind w:left="0" w:firstLine="0"/>
        <w:rPr>
          <w:rFonts w:ascii="Times" w:hAnsi="Times"/>
          <w:sz w:val="24"/>
          <w:szCs w:val="24"/>
        </w:rPr>
      </w:pPr>
    </w:p>
    <w:p w14:paraId="7FFFC389" w14:textId="69EA538A" w:rsidR="00386CA0" w:rsidRPr="00D22AA7" w:rsidRDefault="00D51B51">
      <w:pPr>
        <w:pStyle w:val="MDPI31text"/>
        <w:ind w:left="360" w:firstLine="0"/>
        <w:jc w:val="left"/>
        <w:rPr>
          <w:rFonts w:ascii="Times" w:hAnsi="Times"/>
        </w:rPr>
      </w:pPr>
      <w:r>
        <w:rPr>
          <w:rFonts w:ascii="Times" w:hAnsi="Times"/>
        </w:rPr>
        <w:t xml:space="preserve">                          </w:t>
      </w:r>
      <w:r w:rsidR="00D45672" w:rsidRPr="00D22AA7">
        <w:rPr>
          <w:rFonts w:ascii="Times" w:hAnsi="Times"/>
          <w:noProof/>
        </w:rPr>
        <w:drawing>
          <wp:inline distT="0" distB="0" distL="0" distR="0" wp14:anchorId="44D0BD3E" wp14:editId="4FB6E4D1">
            <wp:extent cx="3963691" cy="4064000"/>
            <wp:effectExtent l="0" t="0" r="0" b="0"/>
            <wp:docPr id="7" name="Image6" descr="A diagram of different types of cel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6" descr="A diagram of different types of cells&#10;&#10;Description automatically generated with medium confidence"/>
                    <pic:cNvPicPr>
                      <a:picLocks noChangeAspect="1" noChangeArrowheads="1"/>
                    </pic:cNvPicPr>
                  </pic:nvPicPr>
                  <pic:blipFill>
                    <a:blip r:embed="rId80"/>
                    <a:stretch>
                      <a:fillRect/>
                    </a:stretch>
                  </pic:blipFill>
                  <pic:spPr bwMode="auto">
                    <a:xfrm>
                      <a:off x="0" y="0"/>
                      <a:ext cx="3991081" cy="4092083"/>
                    </a:xfrm>
                    <a:prstGeom prst="rect">
                      <a:avLst/>
                    </a:prstGeom>
                  </pic:spPr>
                </pic:pic>
              </a:graphicData>
            </a:graphic>
          </wp:inline>
        </w:drawing>
      </w:r>
    </w:p>
    <w:p w14:paraId="4DDBDC9D" w14:textId="5A93A22B" w:rsidR="00386CA0" w:rsidRPr="0081297D" w:rsidRDefault="00D45672" w:rsidP="0081297D">
      <w:pPr>
        <w:pStyle w:val="MDPI31text"/>
        <w:ind w:left="720" w:firstLine="0"/>
        <w:jc w:val="left"/>
        <w:rPr>
          <w:rFonts w:ascii="Times" w:hAnsi="Times"/>
          <w:szCs w:val="20"/>
        </w:rPr>
      </w:pPr>
      <w:r w:rsidRPr="00C264A4">
        <w:rPr>
          <w:rFonts w:ascii="Times" w:hAnsi="Times"/>
          <w:b/>
          <w:bCs/>
          <w:szCs w:val="20"/>
        </w:rPr>
        <w:t>Figure</w:t>
      </w:r>
      <w:r w:rsidR="002C530E" w:rsidRPr="00C264A4">
        <w:rPr>
          <w:rFonts w:ascii="Times" w:hAnsi="Times"/>
          <w:b/>
          <w:bCs/>
          <w:szCs w:val="20"/>
        </w:rPr>
        <w:t xml:space="preserve"> </w:t>
      </w:r>
      <w:proofErr w:type="gramStart"/>
      <w:r w:rsidR="002C530E" w:rsidRPr="00C264A4">
        <w:rPr>
          <w:rFonts w:ascii="Times" w:hAnsi="Times"/>
          <w:b/>
          <w:bCs/>
          <w:szCs w:val="20"/>
        </w:rPr>
        <w:t>6</w:t>
      </w:r>
      <w:r w:rsidR="000F75FE" w:rsidRPr="00C264A4">
        <w:rPr>
          <w:rFonts w:ascii="Times" w:hAnsi="Times"/>
          <w:b/>
          <w:bCs/>
          <w:szCs w:val="20"/>
        </w:rPr>
        <w:t>5</w:t>
      </w:r>
      <w:r w:rsidRPr="00C264A4">
        <w:rPr>
          <w:rFonts w:ascii="Times" w:hAnsi="Times"/>
          <w:b/>
          <w:bCs/>
          <w:szCs w:val="20"/>
        </w:rPr>
        <w:t xml:space="preserve"> .</w:t>
      </w:r>
      <w:proofErr w:type="gramEnd"/>
      <w:r w:rsidRPr="00C264A4">
        <w:rPr>
          <w:rFonts w:ascii="Times" w:hAnsi="Times"/>
          <w:szCs w:val="20"/>
        </w:rPr>
        <w:t xml:space="preserve"> Summary of cell death inducers. A) HT-1080 cells were exposed to apoptosis and ferroptosis inducers, with DMSO as a solvent control. Cells treated with apoptosis triggers apoptosis through caspase activation. In contrast, treatment with ferroptosis inducers leads to lipid peroxide accumulation, leading to ferroptosis. B) Viability assay results for HT-1080 cells treated with apoptosis stimulants after 24 h and 72 </w:t>
      </w:r>
      <w:r w:rsidRPr="00C264A4">
        <w:rPr>
          <w:rFonts w:ascii="Times" w:hAnsi="Times"/>
          <w:szCs w:val="20"/>
        </w:rPr>
        <w:lastRenderedPageBreak/>
        <w:t xml:space="preserve">h incubation. Cellular ATP levels were assessed using luminescence signals. C) Similar results were obtained in B but for ferroptosis inducers. </w:t>
      </w:r>
      <w:r w:rsidRPr="00C264A4">
        <w:rPr>
          <w:rFonts w:ascii="Times" w:hAnsi="Times" w:cs="Segoe UI"/>
          <w:color w:val="222222"/>
          <w:szCs w:val="20"/>
          <w:shd w:val="clear" w:color="auto" w:fill="FFFFFF"/>
        </w:rPr>
        <w:t xml:space="preserve">Reprinted </w:t>
      </w:r>
      <w:proofErr w:type="gramStart"/>
      <w:r w:rsidRPr="00C264A4">
        <w:rPr>
          <w:rFonts w:ascii="Times" w:hAnsi="Times" w:cs="Segoe UI"/>
          <w:color w:val="222222"/>
          <w:szCs w:val="20"/>
          <w:shd w:val="clear" w:color="auto" w:fill="FFFFFF"/>
        </w:rPr>
        <w:t>from  under</w:t>
      </w:r>
      <w:proofErr w:type="gramEnd"/>
      <w:r w:rsidRPr="00C264A4">
        <w:rPr>
          <w:rFonts w:ascii="Times" w:hAnsi="Times" w:cs="Segoe UI"/>
          <w:color w:val="222222"/>
          <w:szCs w:val="20"/>
          <w:shd w:val="clear" w:color="auto" w:fill="FFFFFF"/>
        </w:rPr>
        <w:t xml:space="preserve"> CC BY license.</w:t>
      </w:r>
    </w:p>
    <w:p w14:paraId="06AB5951" w14:textId="77777777" w:rsidR="00386CA0" w:rsidRPr="00D22AA7" w:rsidRDefault="00386CA0">
      <w:pPr>
        <w:pStyle w:val="MDPI31text"/>
        <w:ind w:left="720" w:firstLine="0"/>
        <w:jc w:val="left"/>
        <w:rPr>
          <w:rFonts w:ascii="Times" w:hAnsi="Times"/>
        </w:rPr>
      </w:pPr>
    </w:p>
    <w:p w14:paraId="768E2993" w14:textId="429E6205" w:rsidR="00386CA0" w:rsidRDefault="00D51B51">
      <w:pPr>
        <w:pStyle w:val="MDPI31text"/>
        <w:ind w:left="360" w:firstLine="0"/>
        <w:jc w:val="left"/>
        <w:rPr>
          <w:rFonts w:ascii="Times" w:hAnsi="Times"/>
        </w:rPr>
      </w:pPr>
      <w:r>
        <w:rPr>
          <w:rFonts w:ascii="Times" w:hAnsi="Times"/>
        </w:rPr>
        <w:t xml:space="preserve">                               </w:t>
      </w:r>
      <w:r w:rsidR="00D45672" w:rsidRPr="00D22AA7">
        <w:rPr>
          <w:rFonts w:ascii="Times" w:hAnsi="Times"/>
          <w:noProof/>
        </w:rPr>
        <w:drawing>
          <wp:inline distT="0" distB="0" distL="0" distR="0" wp14:anchorId="641EA11B" wp14:editId="7EBF4C51">
            <wp:extent cx="3629142" cy="3084946"/>
            <wp:effectExtent l="0" t="0" r="3175" b="1270"/>
            <wp:docPr id="8" name="Image7" descr="A diagram of a cell pain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 descr="A diagram of a cell painting&#10;&#10;Description automatically generated"/>
                    <pic:cNvPicPr>
                      <a:picLocks noChangeAspect="1" noChangeArrowheads="1"/>
                    </pic:cNvPicPr>
                  </pic:nvPicPr>
                  <pic:blipFill>
                    <a:blip r:embed="rId81"/>
                    <a:stretch>
                      <a:fillRect/>
                    </a:stretch>
                  </pic:blipFill>
                  <pic:spPr bwMode="auto">
                    <a:xfrm>
                      <a:off x="0" y="0"/>
                      <a:ext cx="3643998" cy="3097574"/>
                    </a:xfrm>
                    <a:prstGeom prst="rect">
                      <a:avLst/>
                    </a:prstGeom>
                  </pic:spPr>
                </pic:pic>
              </a:graphicData>
            </a:graphic>
          </wp:inline>
        </w:drawing>
      </w:r>
    </w:p>
    <w:p w14:paraId="4DEC0C6D" w14:textId="77777777" w:rsidR="00D51B51" w:rsidRPr="00D22AA7" w:rsidRDefault="00D51B51">
      <w:pPr>
        <w:pStyle w:val="MDPI31text"/>
        <w:ind w:left="360" w:firstLine="0"/>
        <w:jc w:val="left"/>
        <w:rPr>
          <w:rFonts w:ascii="Times" w:hAnsi="Times"/>
        </w:rPr>
      </w:pPr>
    </w:p>
    <w:p w14:paraId="46DDF299" w14:textId="6134C180" w:rsidR="00386CA0" w:rsidRPr="0081297D" w:rsidRDefault="00D45672">
      <w:pPr>
        <w:pStyle w:val="MDPI31text"/>
        <w:ind w:left="360" w:firstLine="0"/>
        <w:rPr>
          <w:rFonts w:ascii="Times" w:hAnsi="Times" w:cs="Segoe UI"/>
          <w:color w:val="222222"/>
          <w:szCs w:val="20"/>
          <w:shd w:val="clear" w:color="auto" w:fill="FFFFFF"/>
        </w:rPr>
      </w:pPr>
      <w:r w:rsidRPr="0081297D">
        <w:rPr>
          <w:rFonts w:ascii="Times" w:hAnsi="Times"/>
          <w:b/>
          <w:bCs/>
          <w:szCs w:val="20"/>
        </w:rPr>
        <w:t xml:space="preserve">Figure </w:t>
      </w:r>
      <w:r w:rsidR="002C530E" w:rsidRPr="0081297D">
        <w:rPr>
          <w:rFonts w:ascii="Times" w:hAnsi="Times"/>
          <w:b/>
          <w:bCs/>
          <w:szCs w:val="20"/>
        </w:rPr>
        <w:t>6</w:t>
      </w:r>
      <w:r w:rsidR="000F75FE" w:rsidRPr="0081297D">
        <w:rPr>
          <w:rFonts w:ascii="Times" w:hAnsi="Times"/>
          <w:b/>
          <w:bCs/>
          <w:szCs w:val="20"/>
        </w:rPr>
        <w:t>6</w:t>
      </w:r>
      <w:r w:rsidRPr="0081297D">
        <w:rPr>
          <w:rFonts w:ascii="Times" w:hAnsi="Times"/>
          <w:b/>
          <w:bCs/>
          <w:szCs w:val="20"/>
        </w:rPr>
        <w:t>.</w:t>
      </w:r>
      <w:r w:rsidRPr="0081297D">
        <w:rPr>
          <w:rFonts w:ascii="Times" w:hAnsi="Times"/>
          <w:szCs w:val="20"/>
        </w:rPr>
        <w:t xml:space="preserve"> </w:t>
      </w:r>
      <w:r w:rsidR="0027446C" w:rsidRPr="0081297D">
        <w:rPr>
          <w:rFonts w:ascii="Times" w:hAnsi="Times" w:cs="Segoe UI"/>
          <w:color w:val="222222"/>
          <w:szCs w:val="20"/>
          <w:shd w:val="clear" w:color="auto" w:fill="FFFFFF"/>
        </w:rPr>
        <w:t>A) HT-1080 cells were treated with five varying concentrations of apoptosis and ferroptosis inducers. Simultaneously, ATP levels were assessed, and cell painting assays were conducted. Staurosporine (STS) and RSL3 served as representative compounds for apoptosis and ferroptosis induction</w:t>
      </w:r>
    </w:p>
    <w:p w14:paraId="4BB0BDB5" w14:textId="77777777" w:rsidR="00386CA0" w:rsidRPr="00D22AA7" w:rsidRDefault="00386CA0">
      <w:pPr>
        <w:pStyle w:val="MDPI31text"/>
        <w:ind w:left="360" w:firstLine="0"/>
        <w:jc w:val="left"/>
        <w:rPr>
          <w:rFonts w:ascii="Times" w:hAnsi="Times" w:cs="Segoe UI"/>
          <w:color w:val="222222"/>
          <w:sz w:val="18"/>
          <w:szCs w:val="18"/>
          <w:shd w:val="clear" w:color="auto" w:fill="FFFFFF"/>
        </w:rPr>
      </w:pPr>
    </w:p>
    <w:p w14:paraId="566AB8B2" w14:textId="77777777" w:rsidR="00386CA0" w:rsidRPr="00D22AA7" w:rsidRDefault="00D45672">
      <w:pPr>
        <w:pStyle w:val="MDPI31text"/>
        <w:ind w:left="360" w:firstLine="0"/>
        <w:jc w:val="left"/>
        <w:rPr>
          <w:rFonts w:ascii="Times" w:hAnsi="Times"/>
        </w:rPr>
      </w:pPr>
      <w:r w:rsidRPr="00D22AA7">
        <w:rPr>
          <w:rFonts w:ascii="Times" w:hAnsi="Times"/>
        </w:rPr>
        <w:t xml:space="preserve">          </w:t>
      </w:r>
    </w:p>
    <w:p w14:paraId="573C6CBD" w14:textId="2EC1066F" w:rsidR="00386CA0" w:rsidRPr="00D22AA7" w:rsidRDefault="00D51B51">
      <w:pPr>
        <w:pStyle w:val="MDPI31text"/>
        <w:ind w:left="360" w:firstLine="0"/>
        <w:jc w:val="left"/>
        <w:rPr>
          <w:rFonts w:ascii="Times" w:hAnsi="Times"/>
        </w:rPr>
      </w:pPr>
      <w:r>
        <w:rPr>
          <w:rFonts w:ascii="Times" w:hAnsi="Times"/>
        </w:rPr>
        <w:t xml:space="preserve">                               </w:t>
      </w:r>
      <w:r w:rsidR="00D45672" w:rsidRPr="00D22AA7">
        <w:rPr>
          <w:rFonts w:ascii="Times" w:hAnsi="Times"/>
          <w:noProof/>
        </w:rPr>
        <w:drawing>
          <wp:inline distT="0" distB="0" distL="0" distR="0" wp14:anchorId="4F8E4E28" wp14:editId="621615EE">
            <wp:extent cx="3561249" cy="2789382"/>
            <wp:effectExtent l="0" t="0" r="0" b="5080"/>
            <wp:docPr id="9" name="Image8" descr="A diagram of a cell divis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8" descr="A diagram of a cell division&#10;&#10;Description automatically generated"/>
                    <pic:cNvPicPr>
                      <a:picLocks noChangeAspect="1" noChangeArrowheads="1"/>
                    </pic:cNvPicPr>
                  </pic:nvPicPr>
                  <pic:blipFill>
                    <a:blip r:embed="rId82"/>
                    <a:stretch>
                      <a:fillRect/>
                    </a:stretch>
                  </pic:blipFill>
                  <pic:spPr bwMode="auto">
                    <a:xfrm>
                      <a:off x="0" y="0"/>
                      <a:ext cx="3605669" cy="2824175"/>
                    </a:xfrm>
                    <a:prstGeom prst="rect">
                      <a:avLst/>
                    </a:prstGeom>
                  </pic:spPr>
                </pic:pic>
              </a:graphicData>
            </a:graphic>
          </wp:inline>
        </w:drawing>
      </w:r>
    </w:p>
    <w:p w14:paraId="442473F7" w14:textId="77777777" w:rsidR="00386CA0" w:rsidRPr="00D22AA7" w:rsidRDefault="00386CA0">
      <w:pPr>
        <w:pStyle w:val="MDPI31text"/>
        <w:ind w:left="360" w:firstLine="0"/>
        <w:jc w:val="left"/>
        <w:rPr>
          <w:rFonts w:ascii="Times" w:hAnsi="Times"/>
        </w:rPr>
      </w:pPr>
    </w:p>
    <w:p w14:paraId="45819463" w14:textId="7BEEFF9A" w:rsidR="00386CA0" w:rsidRPr="0081297D" w:rsidRDefault="00D45672">
      <w:pPr>
        <w:pStyle w:val="MDPI31text"/>
        <w:ind w:left="360" w:firstLine="0"/>
        <w:rPr>
          <w:rFonts w:ascii="Times" w:hAnsi="Times" w:cs="Segoe UI"/>
          <w:color w:val="000000" w:themeColor="text1"/>
          <w:szCs w:val="20"/>
          <w:shd w:val="clear" w:color="auto" w:fill="FFFFFF"/>
        </w:rPr>
      </w:pPr>
      <w:r w:rsidRPr="0081297D">
        <w:rPr>
          <w:rFonts w:ascii="Times" w:hAnsi="Times" w:cs="Segoe UI"/>
          <w:b/>
          <w:bCs/>
          <w:color w:val="000000" w:themeColor="text1"/>
          <w:szCs w:val="20"/>
          <w:shd w:val="clear" w:color="auto" w:fill="FFFFFF"/>
        </w:rPr>
        <w:t>Figure</w:t>
      </w:r>
      <w:r w:rsidR="002C530E" w:rsidRPr="0081297D">
        <w:rPr>
          <w:rFonts w:ascii="Times" w:hAnsi="Times" w:cs="Segoe UI"/>
          <w:b/>
          <w:bCs/>
          <w:color w:val="000000" w:themeColor="text1"/>
          <w:szCs w:val="20"/>
          <w:shd w:val="clear" w:color="auto" w:fill="FFFFFF"/>
        </w:rPr>
        <w:t xml:space="preserve"> 6</w:t>
      </w:r>
      <w:r w:rsidR="000F75FE" w:rsidRPr="0081297D">
        <w:rPr>
          <w:rFonts w:ascii="Times" w:hAnsi="Times" w:cs="Segoe UI"/>
          <w:b/>
          <w:bCs/>
          <w:color w:val="000000" w:themeColor="text1"/>
          <w:szCs w:val="20"/>
          <w:shd w:val="clear" w:color="auto" w:fill="FFFFFF"/>
        </w:rPr>
        <w:t>7</w:t>
      </w:r>
      <w:r w:rsidRPr="0081297D">
        <w:rPr>
          <w:rFonts w:ascii="Times" w:hAnsi="Times" w:cs="Segoe UI"/>
          <w:b/>
          <w:bCs/>
          <w:color w:val="000000" w:themeColor="text1"/>
          <w:szCs w:val="20"/>
          <w:shd w:val="clear" w:color="auto" w:fill="FFFFFF"/>
        </w:rPr>
        <w:t xml:space="preserve">. </w:t>
      </w:r>
      <w:r w:rsidR="0027446C" w:rsidRPr="0081297D">
        <w:rPr>
          <w:rFonts w:ascii="Times" w:hAnsi="Times" w:cs="Segoe UI"/>
          <w:color w:val="000000" w:themeColor="text1"/>
          <w:szCs w:val="20"/>
          <w:shd w:val="clear" w:color="auto" w:fill="FFFFFF"/>
        </w:rPr>
        <w:t xml:space="preserve">(A) The neural network processes input images—ER, Actin/Golgi, Mitochondria, and Nuclei—to determine whether the tested drug induces DMSO-induced apoptosis or ferroptosis. </w:t>
      </w:r>
      <w:r w:rsidR="00154D15" w:rsidRPr="0081297D">
        <w:rPr>
          <w:rFonts w:ascii="Times" w:hAnsi="Times" w:cs="Segoe UI"/>
          <w:color w:val="000000" w:themeColor="text1"/>
          <w:szCs w:val="20"/>
          <w:shd w:val="clear" w:color="auto" w:fill="FFFFFF"/>
        </w:rPr>
        <w:t>this</w:t>
      </w:r>
      <w:r w:rsidR="0027446C" w:rsidRPr="0081297D">
        <w:rPr>
          <w:rFonts w:ascii="Times" w:hAnsi="Times" w:cs="Segoe UI"/>
          <w:color w:val="000000" w:themeColor="text1"/>
          <w:szCs w:val="20"/>
          <w:shd w:val="clear" w:color="auto" w:fill="FFFFFF"/>
        </w:rPr>
        <w:t xml:space="preserve"> consists of four stages: EfficientNet-B0 model (1) data augmentation to enhance model robustness, (2) an embedder comprising fully connected layers for low-dimensional feature extraction, and (3) a classifier, also made up of fully connected layers, that outputs the predicted modality. (B) Applied data augmentations with amplification for each. (C) A retrieval image example showing the ten closest neighbors in the embedding space for a given query image. (D) The final model layer, containing three nodes, classifies the input into three distinct categories.</w:t>
      </w:r>
    </w:p>
    <w:p w14:paraId="172662A6" w14:textId="77777777" w:rsidR="00386CA0" w:rsidRPr="00D22AA7" w:rsidRDefault="00386CA0">
      <w:pPr>
        <w:pStyle w:val="MDPI31text"/>
        <w:ind w:left="360" w:firstLine="0"/>
        <w:jc w:val="left"/>
        <w:rPr>
          <w:rFonts w:ascii="Times" w:hAnsi="Times" w:cs="Segoe UI"/>
          <w:color w:val="222222"/>
          <w:sz w:val="18"/>
          <w:szCs w:val="18"/>
          <w:shd w:val="clear" w:color="auto" w:fill="FFFFFF"/>
        </w:rPr>
      </w:pPr>
    </w:p>
    <w:p w14:paraId="36A33520" w14:textId="77777777" w:rsidR="00386CA0" w:rsidRPr="00D22AA7" w:rsidRDefault="00D45672">
      <w:pPr>
        <w:pStyle w:val="MDPI31text"/>
        <w:ind w:left="360" w:firstLine="0"/>
        <w:jc w:val="left"/>
        <w:rPr>
          <w:rFonts w:ascii="Times" w:hAnsi="Times"/>
        </w:rPr>
      </w:pPr>
      <w:r w:rsidRPr="00D22AA7">
        <w:rPr>
          <w:rFonts w:ascii="Times" w:hAnsi="Times"/>
        </w:rPr>
        <w:t xml:space="preserve">            </w:t>
      </w:r>
      <w:r w:rsidRPr="00D22AA7">
        <w:rPr>
          <w:rFonts w:ascii="Times" w:hAnsi="Times"/>
          <w:noProof/>
        </w:rPr>
        <w:drawing>
          <wp:inline distT="0" distB="0" distL="0" distR="0" wp14:anchorId="790399C3" wp14:editId="1A2EC49B">
            <wp:extent cx="4549140" cy="5687060"/>
            <wp:effectExtent l="0" t="0" r="0" b="0"/>
            <wp:docPr id="10" name="Image9" descr="A screen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 descr="A screenshot of a chart&#10;&#10;Description automatically generated"/>
                    <pic:cNvPicPr>
                      <a:picLocks noChangeAspect="1" noChangeArrowheads="1"/>
                    </pic:cNvPicPr>
                  </pic:nvPicPr>
                  <pic:blipFill>
                    <a:blip r:embed="rId83"/>
                    <a:stretch>
                      <a:fillRect/>
                    </a:stretch>
                  </pic:blipFill>
                  <pic:spPr bwMode="auto">
                    <a:xfrm>
                      <a:off x="0" y="0"/>
                      <a:ext cx="4549140" cy="5687060"/>
                    </a:xfrm>
                    <a:prstGeom prst="rect">
                      <a:avLst/>
                    </a:prstGeom>
                  </pic:spPr>
                </pic:pic>
              </a:graphicData>
            </a:graphic>
          </wp:inline>
        </w:drawing>
      </w:r>
    </w:p>
    <w:p w14:paraId="2E39D6A8" w14:textId="07A87146" w:rsidR="00386CA0" w:rsidRPr="0081297D" w:rsidRDefault="00D45672">
      <w:pPr>
        <w:pStyle w:val="MDPI31text"/>
        <w:ind w:left="360" w:firstLine="0"/>
        <w:rPr>
          <w:rFonts w:ascii="Times" w:hAnsi="Times"/>
          <w:szCs w:val="20"/>
        </w:rPr>
      </w:pPr>
      <w:r w:rsidRPr="0081297D">
        <w:rPr>
          <w:rFonts w:ascii="Times" w:hAnsi="Times"/>
          <w:b/>
          <w:bCs/>
          <w:szCs w:val="20"/>
        </w:rPr>
        <w:t>Figure</w:t>
      </w:r>
      <w:r w:rsidR="002C530E" w:rsidRPr="0081297D">
        <w:rPr>
          <w:rFonts w:ascii="Times" w:hAnsi="Times"/>
          <w:b/>
          <w:bCs/>
          <w:szCs w:val="20"/>
        </w:rPr>
        <w:t xml:space="preserve"> </w:t>
      </w:r>
      <w:r w:rsidR="000F75FE" w:rsidRPr="0081297D">
        <w:rPr>
          <w:rFonts w:ascii="Times" w:hAnsi="Times"/>
          <w:b/>
          <w:bCs/>
          <w:szCs w:val="20"/>
        </w:rPr>
        <w:t>68</w:t>
      </w:r>
      <w:r w:rsidR="002C530E" w:rsidRPr="0081297D">
        <w:rPr>
          <w:rFonts w:ascii="Times" w:hAnsi="Times"/>
          <w:b/>
          <w:bCs/>
          <w:szCs w:val="20"/>
        </w:rPr>
        <w:t xml:space="preserve">. </w:t>
      </w:r>
      <w:r w:rsidRPr="0081297D">
        <w:rPr>
          <w:rFonts w:ascii="Times" w:hAnsi="Times"/>
          <w:b/>
          <w:bCs/>
          <w:szCs w:val="20"/>
        </w:rPr>
        <w:t xml:space="preserve"> </w:t>
      </w:r>
      <w:r w:rsidRPr="0081297D">
        <w:rPr>
          <w:rFonts w:ascii="Times" w:hAnsi="Times"/>
          <w:szCs w:val="20"/>
        </w:rPr>
        <w:t xml:space="preserve">A: Confusion matrix based on the model </w:t>
      </w:r>
      <w:proofErr w:type="spellStart"/>
      <w:r w:rsidRPr="0081297D">
        <w:rPr>
          <w:rFonts w:ascii="Times" w:hAnsi="Times"/>
          <w:szCs w:val="20"/>
        </w:rPr>
        <w:t>CellDeathPred</w:t>
      </w:r>
      <w:proofErr w:type="spellEnd"/>
      <w:r w:rsidRPr="0081297D">
        <w:rPr>
          <w:rFonts w:ascii="Times" w:hAnsi="Times"/>
          <w:szCs w:val="20"/>
        </w:rPr>
        <w:t xml:space="preserve"> for the experiment (non-confocal). The images from the first and second experiments were used to train the model. Plates are arranged from left to right. B heatmap showing the number of nuclei found in the cell painting experiment photos. Low and high signals indicate the number of selected nuclei. Three plates were used as technical replicates for the experiment. Five different concentrations of each tiny chemical were applied to the cells. C Prediction of each material based on the ATP level (normalized) at each concentration throughout the plate was conducted with the </w:t>
      </w:r>
      <w:proofErr w:type="spellStart"/>
      <w:r w:rsidRPr="0081297D">
        <w:rPr>
          <w:rFonts w:ascii="Times" w:hAnsi="Times"/>
          <w:szCs w:val="20"/>
        </w:rPr>
        <w:t>CellDeathPred</w:t>
      </w:r>
      <w:proofErr w:type="spellEnd"/>
      <w:r w:rsidRPr="0081297D">
        <w:rPr>
          <w:rFonts w:ascii="Times" w:hAnsi="Times"/>
          <w:szCs w:val="20"/>
        </w:rPr>
        <w:t xml:space="preserve"> model on Plate 01 (non-confocal) for Experiment 3. Three duplicates represent each concentration. Reprinted from </w:t>
      </w:r>
      <w:r w:rsidRPr="0081297D">
        <w:rPr>
          <w:rFonts w:ascii="Times" w:hAnsi="Times"/>
          <w:szCs w:val="20"/>
        </w:rPr>
        <w:fldChar w:fldCharType="begin"/>
      </w:r>
      <w:r w:rsidRPr="0081297D">
        <w:rPr>
          <w:rFonts w:ascii="Times" w:hAnsi="Times"/>
          <w:szCs w:val="20"/>
        </w:rPr>
        <w:instrText>vnd.oasis.opendocument.field.UNHANDLED</w:instrText>
      </w:r>
      <w:r w:rsidRPr="0081297D">
        <w:rPr>
          <w:rFonts w:ascii="Times" w:hAnsi="Times"/>
          <w:szCs w:val="20"/>
        </w:rPr>
        <w:fldChar w:fldCharType="separate"/>
      </w:r>
      <w:r w:rsidRPr="0081297D">
        <w:rPr>
          <w:rFonts w:ascii="Times" w:hAnsi="Times"/>
          <w:szCs w:val="20"/>
        </w:rPr>
        <w:t>[172]</w:t>
      </w:r>
      <w:r w:rsidRPr="0081297D">
        <w:rPr>
          <w:rFonts w:ascii="Times" w:hAnsi="Times"/>
          <w:szCs w:val="20"/>
        </w:rPr>
        <w:fldChar w:fldCharType="end"/>
      </w:r>
      <w:r w:rsidRPr="0081297D">
        <w:rPr>
          <w:rFonts w:ascii="Times" w:hAnsi="Times"/>
          <w:szCs w:val="20"/>
        </w:rPr>
        <w:t xml:space="preserve"> under CC BY license.</w:t>
      </w:r>
    </w:p>
    <w:p w14:paraId="7BECB030" w14:textId="77777777" w:rsidR="00386CA0" w:rsidRPr="00D22AA7" w:rsidRDefault="00386CA0">
      <w:pPr>
        <w:pStyle w:val="MDPI31text"/>
        <w:ind w:left="360" w:firstLine="0"/>
        <w:rPr>
          <w:rFonts w:ascii="Times" w:hAnsi="Times"/>
          <w:sz w:val="18"/>
          <w:szCs w:val="18"/>
        </w:rPr>
      </w:pPr>
    </w:p>
    <w:p w14:paraId="79ABC19A" w14:textId="1406CD2B" w:rsidR="00386CA0" w:rsidRPr="00D22AA7" w:rsidRDefault="008531D4">
      <w:pPr>
        <w:pStyle w:val="MDPI31text"/>
        <w:ind w:left="0" w:firstLine="0"/>
        <w:rPr>
          <w:rFonts w:ascii="Times" w:hAnsi="Times"/>
          <w:sz w:val="24"/>
          <w:szCs w:val="24"/>
        </w:rPr>
      </w:pPr>
      <w:r>
        <w:rPr>
          <w:rFonts w:ascii="Times" w:hAnsi="Times"/>
          <w:sz w:val="24"/>
          <w:szCs w:val="24"/>
        </w:rPr>
        <w:t xml:space="preserve">Deep CNN was </w:t>
      </w:r>
      <w:r w:rsidR="00D45672" w:rsidRPr="00D22AA7">
        <w:rPr>
          <w:rFonts w:ascii="Times" w:hAnsi="Times"/>
          <w:sz w:val="24"/>
          <w:szCs w:val="24"/>
        </w:rPr>
        <w:t xml:space="preserve">used to segment </w:t>
      </w:r>
      <w:r w:rsidRPr="00D22AA7">
        <w:rPr>
          <w:rFonts w:ascii="Times" w:hAnsi="Times"/>
          <w:sz w:val="24"/>
          <w:szCs w:val="24"/>
        </w:rPr>
        <w:t>different cell types</w:t>
      </w:r>
      <w:r>
        <w:rPr>
          <w:rFonts w:ascii="Times" w:hAnsi="Times"/>
          <w:sz w:val="24"/>
          <w:szCs w:val="24"/>
        </w:rPr>
        <w:t>. i.e.,</w:t>
      </w:r>
      <w:r w:rsidRPr="00D22AA7">
        <w:rPr>
          <w:rFonts w:ascii="Times" w:hAnsi="Times"/>
          <w:sz w:val="24"/>
          <w:szCs w:val="24"/>
        </w:rPr>
        <w:t xml:space="preserve"> </w:t>
      </w:r>
      <w:r w:rsidR="00D45672" w:rsidRPr="00D22AA7">
        <w:rPr>
          <w:rFonts w:ascii="Times" w:hAnsi="Times"/>
          <w:sz w:val="24"/>
          <w:szCs w:val="24"/>
        </w:rPr>
        <w:t xml:space="preserve">the cytoplasm of both human and bacterial cells (figure 11 and figure 12). </w:t>
      </w:r>
      <w:r w:rsidR="00097FC2">
        <w:rPr>
          <w:rFonts w:ascii="Times" w:hAnsi="Times"/>
          <w:sz w:val="24"/>
          <w:szCs w:val="24"/>
        </w:rPr>
        <w:t>this</w:t>
      </w:r>
      <w:r w:rsidR="00D45672" w:rsidRPr="00D22AA7">
        <w:rPr>
          <w:rFonts w:ascii="Times" w:hAnsi="Times"/>
          <w:sz w:val="24"/>
          <w:szCs w:val="24"/>
        </w:rPr>
        <w:t xml:space="preserve"> methodology surpassed existing methods in accuracy, as indicated by the Jaccard Index (JI). The study concluded that deep CNNs are precise and generalizable across various cell types, from bacteria to mammalian cells. Their findings revealed impressive success rates, with a Jaccard Index of 0.95 for bacteria, 0.89 for human nuclei, and 0.77 and 0.84 for various human </w:t>
      </w:r>
      <w:proofErr w:type="spellStart"/>
      <w:r w:rsidR="00D45672" w:rsidRPr="00D22AA7">
        <w:rPr>
          <w:rFonts w:ascii="Times" w:hAnsi="Times"/>
          <w:sz w:val="24"/>
          <w:szCs w:val="24"/>
        </w:rPr>
        <w:t>cytoplasms</w:t>
      </w:r>
      <w:proofErr w:type="spellEnd"/>
      <w:r w:rsidR="003610F5" w:rsidRPr="00D22AA7">
        <w:rPr>
          <w:rFonts w:ascii="Times" w:hAnsi="Times"/>
          <w:sz w:val="24"/>
          <w:szCs w:val="24"/>
        </w:rPr>
        <w:fldChar w:fldCharType="begin"/>
      </w:r>
      <w:r w:rsidR="0056095D">
        <w:rPr>
          <w:rFonts w:ascii="Times" w:hAnsi="Times"/>
          <w:sz w:val="24"/>
          <w:szCs w:val="24"/>
        </w:rPr>
        <w:instrText xml:space="preserve"> ADDIN ZOTERO_ITEM CSL_CITATION {"citationID":"4Aoc0ddd","properties":{"formattedCitation":"[223]","plainCitation":"[223]","noteIndex":0},"citationItems":[{"id":11139,"uris":["http://zotero.org/users/9439317/items/48KURFRC"],"itemData":{"id":11139,"type":"article-journal","abstract":"Author Summary Dynamic live-cell imaging experiments are a powerful tool to interrogate biological systems with single cell resolution. The key barrier to analyzing data generated by these measurements is image segmentation—identifying which parts of an image belong to which individual cells. Here we show that deep learning is a natural technology to solve this problem for these experiments. We show that deep learning is more accurate, requires less time to curate segmentation results, can segment multiple cell types, and can distinguish between different cell lines present in the same image. We highlight specific design rules that enable us to achieve high segmentation accuracy even with a small number of manually annotated images (~100 cells). We expect that our work will enable new experiments that were previously impossible, as well as reduce the computational barrier for new labs to join the live-cell imaging space.","container-title":"PLOS Computational Biology","DOI":"10.1371/journal.pcbi.1005177","issue":"11","journalAbbreviation":"PLOS Computational Biology","note":"publisher: Public Library of Science","page":"e1005177","title":"Deep Learning Automates the Quantitative Analysis of Individual Cells in Live-Cell Imaging Experiments","URL":"https://doi.org/10.1371/journal.pcbi.1005177","volume":"12","author":[{"family":"Van Valen","given":"David A."},{"family":"Kudo","given":"Takamasa"},{"family":"Lane","given":"Keara M."},{"family":"Macklin","given":"Derek N."},{"family":"Quach","given":"Nicolas T."},{"family":"DeFelice","given":"Mialy M."},{"family":"Maayan","given":"Inbal"},{"family":"Tanouchi","given":"Yu"},{"family":"Ashley","given":"Euan A."},{"family":"Covert","given":"Markus W."}],"issued":{"date-parts":[["2016",11,4]]}}}],"schema":"https://github.com/citation-style-language/schema/raw/master/csl-citation.json"} </w:instrText>
      </w:r>
      <w:r w:rsidR="003610F5" w:rsidRPr="00D22AA7">
        <w:rPr>
          <w:rFonts w:ascii="Times" w:hAnsi="Times"/>
          <w:sz w:val="24"/>
          <w:szCs w:val="24"/>
        </w:rPr>
        <w:fldChar w:fldCharType="separate"/>
      </w:r>
      <w:r w:rsidR="0056095D">
        <w:rPr>
          <w:rFonts w:ascii="Times" w:hAnsi="Times"/>
          <w:noProof/>
          <w:sz w:val="24"/>
          <w:szCs w:val="24"/>
        </w:rPr>
        <w:t>[223]</w:t>
      </w:r>
      <w:r w:rsidR="003610F5" w:rsidRPr="00D22AA7">
        <w:rPr>
          <w:rFonts w:ascii="Times" w:hAnsi="Times"/>
          <w:sz w:val="24"/>
          <w:szCs w:val="24"/>
        </w:rPr>
        <w:fldChar w:fldCharType="end"/>
      </w:r>
      <w:r w:rsidR="00D22AA7" w:rsidRPr="00D22AA7">
        <w:rPr>
          <w:rFonts w:ascii="Times" w:hAnsi="Times"/>
          <w:sz w:val="24"/>
          <w:szCs w:val="24"/>
        </w:rPr>
        <w:t>.</w:t>
      </w:r>
    </w:p>
    <w:p w14:paraId="4D2F3904" w14:textId="77777777" w:rsidR="00386CA0" w:rsidRPr="00D22AA7" w:rsidRDefault="00386CA0">
      <w:pPr>
        <w:pStyle w:val="MDPI31text"/>
        <w:ind w:left="720" w:firstLine="0"/>
        <w:rPr>
          <w:rFonts w:ascii="Times" w:hAnsi="Times"/>
          <w:szCs w:val="20"/>
        </w:rPr>
      </w:pPr>
    </w:p>
    <w:p w14:paraId="27AB22E6" w14:textId="3DA9CD53" w:rsidR="00386CA0" w:rsidRDefault="00D45672">
      <w:pPr>
        <w:pStyle w:val="MDPI31text"/>
        <w:ind w:left="360" w:firstLine="0"/>
        <w:jc w:val="left"/>
        <w:rPr>
          <w:rFonts w:ascii="Times" w:hAnsi="Times"/>
        </w:rPr>
      </w:pPr>
      <w:r w:rsidRPr="00D22AA7">
        <w:rPr>
          <w:rFonts w:ascii="Times" w:hAnsi="Times"/>
        </w:rPr>
        <w:lastRenderedPageBreak/>
        <w:t xml:space="preserve">                 </w:t>
      </w:r>
      <w:r w:rsidR="00D51B51">
        <w:rPr>
          <w:rFonts w:ascii="Times" w:hAnsi="Times"/>
        </w:rPr>
        <w:t xml:space="preserve">                                    </w:t>
      </w:r>
      <w:r w:rsidRPr="00D22AA7">
        <w:rPr>
          <w:rFonts w:ascii="Times" w:hAnsi="Times"/>
        </w:rPr>
        <w:t xml:space="preserve"> </w:t>
      </w:r>
      <w:r w:rsidRPr="00D22AA7">
        <w:rPr>
          <w:rFonts w:ascii="Times" w:hAnsi="Times"/>
          <w:noProof/>
        </w:rPr>
        <w:drawing>
          <wp:inline distT="0" distB="0" distL="0" distR="0" wp14:anchorId="34C6B259" wp14:editId="45B4C6C4">
            <wp:extent cx="2302510" cy="4671060"/>
            <wp:effectExtent l="0" t="0" r="0" b="0"/>
            <wp:docPr id="13" name="Image12" descr="A close-up of a microsc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2" descr="A close-up of a microscope&#10;&#10;Description automatically generated"/>
                    <pic:cNvPicPr>
                      <a:picLocks noChangeAspect="1" noChangeArrowheads="1"/>
                    </pic:cNvPicPr>
                  </pic:nvPicPr>
                  <pic:blipFill>
                    <a:blip r:embed="rId84"/>
                    <a:stretch>
                      <a:fillRect/>
                    </a:stretch>
                  </pic:blipFill>
                  <pic:spPr bwMode="auto">
                    <a:xfrm>
                      <a:off x="0" y="0"/>
                      <a:ext cx="2302510" cy="4671060"/>
                    </a:xfrm>
                    <a:prstGeom prst="rect">
                      <a:avLst/>
                    </a:prstGeom>
                  </pic:spPr>
                </pic:pic>
              </a:graphicData>
            </a:graphic>
          </wp:inline>
        </w:drawing>
      </w:r>
    </w:p>
    <w:p w14:paraId="6A59E4AE" w14:textId="77777777" w:rsidR="00D51B51" w:rsidRPr="00D22AA7" w:rsidRDefault="00D51B51">
      <w:pPr>
        <w:pStyle w:val="MDPI31text"/>
        <w:ind w:left="360" w:firstLine="0"/>
        <w:jc w:val="left"/>
        <w:rPr>
          <w:rFonts w:ascii="Times" w:hAnsi="Times"/>
        </w:rPr>
      </w:pPr>
    </w:p>
    <w:p w14:paraId="1473A1EA" w14:textId="300E8F1B" w:rsidR="0027446C" w:rsidRPr="0081297D" w:rsidRDefault="00D45672" w:rsidP="0027446C">
      <w:pPr>
        <w:pStyle w:val="MDPI31text"/>
        <w:ind w:left="0" w:firstLine="0"/>
        <w:rPr>
          <w:rFonts w:ascii="Times" w:hAnsi="Times"/>
          <w:szCs w:val="20"/>
        </w:rPr>
      </w:pPr>
      <w:r w:rsidRPr="0081297D">
        <w:rPr>
          <w:rFonts w:ascii="Times" w:hAnsi="Times"/>
          <w:b/>
          <w:bCs/>
          <w:szCs w:val="20"/>
        </w:rPr>
        <w:t xml:space="preserve">Figure </w:t>
      </w:r>
      <w:r w:rsidR="000F75FE" w:rsidRPr="0081297D">
        <w:rPr>
          <w:rFonts w:ascii="Times" w:hAnsi="Times"/>
          <w:b/>
          <w:bCs/>
          <w:szCs w:val="20"/>
        </w:rPr>
        <w:t>69</w:t>
      </w:r>
      <w:r w:rsidRPr="0081297D">
        <w:rPr>
          <w:rFonts w:ascii="Times" w:hAnsi="Times"/>
          <w:b/>
          <w:bCs/>
          <w:szCs w:val="20"/>
        </w:rPr>
        <w:t>.</w:t>
      </w:r>
      <w:r w:rsidRPr="0081297D">
        <w:rPr>
          <w:rFonts w:ascii="Times" w:hAnsi="Times"/>
          <w:szCs w:val="20"/>
        </w:rPr>
        <w:t xml:space="preserve">  </w:t>
      </w:r>
      <w:r w:rsidR="0027446C" w:rsidRPr="0081297D">
        <w:rPr>
          <w:rFonts w:ascii="Times" w:hAnsi="Times"/>
          <w:szCs w:val="20"/>
        </w:rPr>
        <w:t xml:space="preserve">A convolutional neural network (Conv-Net) was employed to segment and recognize NIH-3T3 and MCF10A cells. The nuclear marker Hoechst 33342 was incorporated as a separate channel in each image to construct the training dataset. (A) The image presents a co-culture of MCF10A and NIH-3T3 cells, where MCF10A cells are marked by an iRFP nuclear marker (red), and NIH-3T3 cells express an mCerulean nuclear marker (blue). The Hoechst 33342 nuclear marker image is not shown. (B) The trained Conv-Net was applied to segment the image in (A) and classify the detected cell types </w:t>
      </w:r>
      <w:proofErr w:type="gramStart"/>
      <w:r w:rsidR="0027446C" w:rsidRPr="0081297D">
        <w:rPr>
          <w:rFonts w:ascii="Times" w:hAnsi="Times"/>
          <w:szCs w:val="20"/>
        </w:rPr>
        <w:t>simultaneously.(</w:t>
      </w:r>
      <w:proofErr w:type="gramEnd"/>
      <w:r w:rsidR="0027446C" w:rsidRPr="0081297D">
        <w:rPr>
          <w:rFonts w:ascii="Times" w:hAnsi="Times"/>
          <w:szCs w:val="20"/>
        </w:rPr>
        <w:t>C) The classification accuracy for cell type prediction at the single-cell level is visualized. A histogram illustrates the categorization scores corresponding to each predicted cell type. The accuracy of classification correlates with the categorization score, with NIH-3T3 cells achieving 86% accuracy and MCF10A cells reaching 100%.</w:t>
      </w:r>
    </w:p>
    <w:p w14:paraId="7B9B16D7" w14:textId="77777777" w:rsidR="0027446C" w:rsidRPr="00D22AA7" w:rsidRDefault="0027446C">
      <w:pPr>
        <w:pStyle w:val="MDPI31text"/>
        <w:ind w:left="360" w:firstLine="0"/>
        <w:rPr>
          <w:rFonts w:ascii="Times" w:hAnsi="Times"/>
          <w:sz w:val="18"/>
          <w:szCs w:val="18"/>
        </w:rPr>
      </w:pPr>
    </w:p>
    <w:p w14:paraId="205A0E8B" w14:textId="623179D7" w:rsidR="00386CA0" w:rsidRPr="00D22AA7" w:rsidRDefault="00D45672">
      <w:pPr>
        <w:pStyle w:val="MDPI31text"/>
        <w:ind w:left="360" w:firstLine="0"/>
        <w:jc w:val="left"/>
        <w:rPr>
          <w:rFonts w:ascii="Times" w:hAnsi="Times"/>
        </w:rPr>
      </w:pPr>
      <w:r w:rsidRPr="00D22AA7">
        <w:rPr>
          <w:rFonts w:ascii="Times" w:hAnsi="Times"/>
        </w:rPr>
        <w:lastRenderedPageBreak/>
        <w:t xml:space="preserve">             </w:t>
      </w:r>
      <w:r w:rsidR="00D51B51">
        <w:rPr>
          <w:rFonts w:ascii="Times" w:hAnsi="Times"/>
        </w:rPr>
        <w:t xml:space="preserve">                          </w:t>
      </w:r>
      <w:r w:rsidRPr="00D22AA7">
        <w:rPr>
          <w:rFonts w:ascii="Times" w:hAnsi="Times"/>
        </w:rPr>
        <w:t xml:space="preserve">          </w:t>
      </w:r>
      <w:r w:rsidRPr="00D22AA7">
        <w:rPr>
          <w:rFonts w:ascii="Times" w:hAnsi="Times"/>
          <w:noProof/>
        </w:rPr>
        <w:drawing>
          <wp:inline distT="0" distB="0" distL="0" distR="0" wp14:anchorId="433A1D27" wp14:editId="277D33BE">
            <wp:extent cx="2486660" cy="4926330"/>
            <wp:effectExtent l="0" t="0" r="0" b="0"/>
            <wp:docPr id="14" name="Picture 5" descr="A diagram of a growth r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5" descr="A diagram of a growth rate&#10;&#10;Description automatically generated"/>
                    <pic:cNvPicPr>
                      <a:picLocks noChangeAspect="1" noChangeArrowheads="1"/>
                    </pic:cNvPicPr>
                  </pic:nvPicPr>
                  <pic:blipFill>
                    <a:blip r:embed="rId85"/>
                    <a:stretch>
                      <a:fillRect/>
                    </a:stretch>
                  </pic:blipFill>
                  <pic:spPr bwMode="auto">
                    <a:xfrm>
                      <a:off x="0" y="0"/>
                      <a:ext cx="2486660" cy="4926330"/>
                    </a:xfrm>
                    <a:prstGeom prst="rect">
                      <a:avLst/>
                    </a:prstGeom>
                  </pic:spPr>
                </pic:pic>
              </a:graphicData>
            </a:graphic>
          </wp:inline>
        </w:drawing>
      </w:r>
    </w:p>
    <w:p w14:paraId="39ECAE3B" w14:textId="77777777" w:rsidR="00386CA0" w:rsidRPr="00D22AA7" w:rsidRDefault="00386CA0">
      <w:pPr>
        <w:pStyle w:val="MDPI31text"/>
        <w:ind w:left="360" w:firstLine="0"/>
        <w:jc w:val="left"/>
        <w:rPr>
          <w:rFonts w:ascii="Times" w:hAnsi="Times"/>
        </w:rPr>
      </w:pPr>
    </w:p>
    <w:p w14:paraId="066A6D34" w14:textId="1BB307B9" w:rsidR="0027446C" w:rsidRPr="0081297D" w:rsidRDefault="00D45672" w:rsidP="0027446C">
      <w:pPr>
        <w:pStyle w:val="MDPI31text"/>
        <w:ind w:left="360" w:firstLine="0"/>
        <w:rPr>
          <w:rFonts w:ascii="Times" w:hAnsi="Times"/>
          <w:szCs w:val="20"/>
        </w:rPr>
      </w:pPr>
      <w:r w:rsidRPr="0081297D">
        <w:rPr>
          <w:rFonts w:ascii="Times" w:hAnsi="Times"/>
          <w:b/>
          <w:bCs/>
          <w:szCs w:val="20"/>
        </w:rPr>
        <w:t xml:space="preserve">Figure </w:t>
      </w:r>
      <w:r w:rsidR="002C530E" w:rsidRPr="0081297D">
        <w:rPr>
          <w:rFonts w:ascii="Times" w:hAnsi="Times"/>
          <w:b/>
          <w:bCs/>
          <w:szCs w:val="20"/>
        </w:rPr>
        <w:t>7</w:t>
      </w:r>
      <w:r w:rsidR="000F75FE" w:rsidRPr="0081297D">
        <w:rPr>
          <w:rFonts w:ascii="Times" w:hAnsi="Times"/>
          <w:b/>
          <w:bCs/>
          <w:szCs w:val="20"/>
        </w:rPr>
        <w:t>0</w:t>
      </w:r>
      <w:r w:rsidRPr="0081297D">
        <w:rPr>
          <w:rFonts w:ascii="Times" w:hAnsi="Times"/>
          <w:b/>
          <w:bCs/>
          <w:szCs w:val="20"/>
        </w:rPr>
        <w:t>.</w:t>
      </w:r>
      <w:r w:rsidRPr="0081297D">
        <w:rPr>
          <w:rFonts w:ascii="Times" w:hAnsi="Times"/>
          <w:szCs w:val="20"/>
        </w:rPr>
        <w:t xml:space="preserve"> </w:t>
      </w:r>
      <w:r w:rsidR="0027446C" w:rsidRPr="0081297D">
        <w:rPr>
          <w:rFonts w:ascii="Times" w:hAnsi="Times"/>
          <w:szCs w:val="20"/>
        </w:rPr>
        <w:t xml:space="preserve">A) Single-cell growth curves for </w:t>
      </w:r>
      <w:r w:rsidR="0027446C" w:rsidRPr="0081297D">
        <w:rPr>
          <w:rFonts w:ascii="Times" w:hAnsi="Times"/>
          <w:i/>
          <w:iCs/>
          <w:szCs w:val="20"/>
        </w:rPr>
        <w:t>E. coli</w:t>
      </w:r>
      <w:r w:rsidR="0027446C" w:rsidRPr="0081297D">
        <w:rPr>
          <w:rFonts w:ascii="Times" w:hAnsi="Times"/>
          <w:szCs w:val="20"/>
        </w:rPr>
        <w:t xml:space="preserve"> were generated using convolutional neural networks (Conv-Nets), which enable precise segmentation of bacterial cells from videos of expanding colonies. A linear assignment problem-based approach was employed for lineage </w:t>
      </w:r>
      <w:proofErr w:type="gramStart"/>
      <w:r w:rsidR="0027446C" w:rsidRPr="0081297D">
        <w:rPr>
          <w:rFonts w:ascii="Times" w:hAnsi="Times"/>
          <w:szCs w:val="20"/>
        </w:rPr>
        <w:t>construction.(</w:t>
      </w:r>
      <w:proofErr w:type="gramEnd"/>
      <w:r w:rsidR="0027446C" w:rsidRPr="0081297D">
        <w:rPr>
          <w:rFonts w:ascii="Times" w:hAnsi="Times"/>
          <w:szCs w:val="20"/>
        </w:rPr>
        <w:t>B) A histogram of the instantaneous growth rate is created by calculating the change in area for each cell between consecutive frames.(C) By applying segmentation masks and calculating instantaneous growth rates, a spatial map of growth rates can be produced with high accuracy. This map allows for the identification of cells with slow division rates or those that are metabolically dormant.</w:t>
      </w:r>
    </w:p>
    <w:p w14:paraId="47E4EF11" w14:textId="09B31AB2" w:rsidR="00386CA0" w:rsidRPr="00D22AA7" w:rsidRDefault="00D45672">
      <w:pPr>
        <w:pStyle w:val="MDPI31text"/>
        <w:ind w:left="360" w:firstLine="0"/>
        <w:rPr>
          <w:rFonts w:ascii="Times" w:hAnsi="Times"/>
          <w:sz w:val="18"/>
          <w:szCs w:val="18"/>
        </w:rPr>
      </w:pPr>
      <w:r w:rsidRPr="00D22AA7">
        <w:rPr>
          <w:rFonts w:ascii="Times" w:hAnsi="Times"/>
          <w:sz w:val="18"/>
          <w:szCs w:val="18"/>
        </w:rPr>
        <w:t xml:space="preserve"> </w:t>
      </w:r>
    </w:p>
    <w:p w14:paraId="6979C12F" w14:textId="2F7DFE9A" w:rsidR="00386CA0" w:rsidRPr="00D22AA7" w:rsidRDefault="00097FC2" w:rsidP="0DE242D6">
      <w:pPr>
        <w:pStyle w:val="MDPI31text"/>
        <w:ind w:left="360" w:firstLine="0"/>
        <w:rPr>
          <w:rFonts w:ascii="Times" w:hAnsi="Times"/>
          <w:color w:val="000000" w:themeColor="text1"/>
          <w:sz w:val="24"/>
          <w:szCs w:val="24"/>
        </w:rPr>
      </w:pPr>
      <w:r>
        <w:rPr>
          <w:rFonts w:ascii="Times" w:hAnsi="Times"/>
          <w:color w:val="000000" w:themeColor="text1"/>
          <w:sz w:val="24"/>
          <w:szCs w:val="24"/>
        </w:rPr>
        <w:t xml:space="preserve">The cell </w:t>
      </w:r>
      <w:r w:rsidR="0027446C" w:rsidRPr="00D22AA7">
        <w:rPr>
          <w:rFonts w:ascii="Times" w:hAnsi="Times"/>
          <w:color w:val="000000" w:themeColor="text1"/>
          <w:sz w:val="24"/>
          <w:szCs w:val="24"/>
        </w:rPr>
        <w:t>viability</w:t>
      </w:r>
      <w:r>
        <w:rPr>
          <w:rFonts w:ascii="Times" w:hAnsi="Times"/>
          <w:color w:val="000000" w:themeColor="text1"/>
          <w:sz w:val="24"/>
          <w:szCs w:val="24"/>
        </w:rPr>
        <w:t xml:space="preserve"> was also evaluated</w:t>
      </w:r>
      <w:r w:rsidR="0027446C" w:rsidRPr="00D22AA7">
        <w:rPr>
          <w:rFonts w:ascii="Times" w:hAnsi="Times"/>
          <w:color w:val="000000" w:themeColor="text1"/>
          <w:sz w:val="24"/>
          <w:szCs w:val="24"/>
        </w:rPr>
        <w:t xml:space="preserve"> based on intracellular dynamic activity. The research tracked the fluorescence mean and intensity of six HeLa cell samples over a 24-hour period using a DFFOCM system. Supervised ML algorithms were trained on these intracellular measurements at both the 0-hour and 24-hour time points to differentiate between live and dead cells. Despite challenges in cell counts due to decomposition and detachment, the ML models (Logistic Regression, Random Forest, SVM, Gaussian Naïve Bayes) achieved a high balanced accuracy of 93.92 ± 0.86% (Figure 13). The study noted a gradual decrease in cell viability, from 95.59% at 15 minutes to 16.30% at 6 hours, reflecting natural cell death in a non-CO2 supplemented environment (Figure 14). ML-based assessments revealed notable differences compared to trypan blue staining in measuring cell death, underscoring ML's superior sensitivity and reliability. The research suggests that ML-based analysis of intracellular dynamics could transform clinical trials by enabling real-time predictions of cell </w:t>
      </w:r>
      <w:r w:rsidR="0027446C" w:rsidRPr="00D22AA7">
        <w:rPr>
          <w:rFonts w:ascii="Times" w:hAnsi="Times"/>
          <w:color w:val="000000" w:themeColor="text1"/>
          <w:sz w:val="24"/>
          <w:szCs w:val="24"/>
        </w:rPr>
        <w:lastRenderedPageBreak/>
        <w:t xml:space="preserve">status and supporting cancer treatment monitoring, particularly for dynamic and malignant cancer cells. The study proposes expanding this method to other cell types, including breast cancer (MCF-7), lung cancer (A549), and immunotherapy (Jurkat cells), to broaden its applicability. These findings are expected to significantly advance medical research by improving cellular analysis in various fields. </w:t>
      </w:r>
      <w:r w:rsidR="0040375F" w:rsidRPr="00D22AA7">
        <w:rPr>
          <w:rFonts w:ascii="Times" w:hAnsi="Times"/>
          <w:color w:val="000000" w:themeColor="text1"/>
          <w:sz w:val="24"/>
          <w:szCs w:val="24"/>
        </w:rPr>
        <w:fldChar w:fldCharType="begin"/>
      </w:r>
      <w:r w:rsidR="0056095D">
        <w:rPr>
          <w:rFonts w:ascii="Times" w:hAnsi="Times"/>
          <w:color w:val="000000" w:themeColor="text1"/>
          <w:sz w:val="24"/>
          <w:szCs w:val="24"/>
        </w:rPr>
        <w:instrText xml:space="preserve"> ADDIN ZOTERO_ITEM CSL_CITATION {"citationID":"YmczlisC","properties":{"formattedCitation":"[224]","plainCitation":"[224]","noteIndex":0},"citationItems":[{"id":6176,"uris":["http://zotero.org/users/9439317/items/78IRN989"],"itemData":{"id":6176,"type":"article-journal","abstract":"In biology and medicine, cell counting is one of the most important elements of cytometry, with applications to research and clinical practice. For instance, the complete cell count could help to determine conditions for which cancer cells could grow or not. However, cell counting is a laborious and time-consuming process, and its automatization is highly demanded. Here, we propose use of a Convolutional Neural Network-based regressor, a regression model trained end-to-end, to provide the cell count. First, unlike most of the related work, we formulate the problem of cell counting as the regression task rather than the classification task. This allows not only to reduce the required annotation information (i.e., the number of cells instead of pixel-level annotations) but also to reduce the burden of segmenting potential cells and then classifying them. Second, we propose use of xResNet, a successful convolutional architecture with residual connection, together with transfer learning (using a pretrained model) to achieve human-level performance. We demonstrate the performance of our approach to real-life data of two cell lines, human osteosarcoma and human leukemia, collected at the University of Amsterdam (133 training images, and 32 test images). We show that the proposed method (deep learning and transfer learning) outperforms currently used machine learning methods. It achieves the test mean absolute error equal 12 (±15) against 32 (±33) obtained by the deep learning without transfer learning, and 41 (±37) of the best-performing machine learning pipeline (Random Forest Regression with the Histogram of Gradients features).","container-title":"Applied Sciences","DOI":"10.3390/app11114912","ISSN":"2076-3417","issue":"11","title":"Deep Learning and Transfer Learning for Automatic Cell Counting in Microscope Images of Human Cancer Cell Lines","volume":"11","author":[{"family":"Lavitt","given":"Falko"},{"family":"Rijlaarsdam","given":"Demi J."},{"family":"Linden","given":"Dennet","non-dropping-particle":"van der"},{"family":"Weglarz-Tomczak","given":"Ewelina"},{"family":"Tomczak","given":"Jakub M."}],"issued":{"date-parts":[["2021"]]}}}],"schema":"https://github.com/citation-style-language/schema/raw/master/csl-citation.json"} </w:instrText>
      </w:r>
      <w:r w:rsidR="0040375F" w:rsidRPr="00D22AA7">
        <w:rPr>
          <w:rFonts w:ascii="Times" w:hAnsi="Times"/>
          <w:color w:val="000000" w:themeColor="text1"/>
          <w:sz w:val="24"/>
          <w:szCs w:val="24"/>
        </w:rPr>
        <w:fldChar w:fldCharType="separate"/>
      </w:r>
      <w:r w:rsidR="0056095D">
        <w:rPr>
          <w:rFonts w:ascii="Times" w:hAnsi="Times"/>
          <w:noProof/>
          <w:color w:val="000000" w:themeColor="text1"/>
          <w:sz w:val="24"/>
          <w:szCs w:val="24"/>
        </w:rPr>
        <w:t>[224]</w:t>
      </w:r>
      <w:r w:rsidR="0040375F" w:rsidRPr="00D22AA7">
        <w:rPr>
          <w:rFonts w:ascii="Times" w:hAnsi="Times"/>
          <w:color w:val="000000" w:themeColor="text1"/>
          <w:sz w:val="24"/>
          <w:szCs w:val="24"/>
        </w:rPr>
        <w:fldChar w:fldCharType="end"/>
      </w:r>
    </w:p>
    <w:p w14:paraId="7EF51B76" w14:textId="0F60E220" w:rsidR="00386CA0" w:rsidRPr="00D22AA7" w:rsidRDefault="00D51B51">
      <w:pPr>
        <w:pStyle w:val="MDPI31text"/>
        <w:ind w:left="360" w:firstLine="0"/>
        <w:rPr>
          <w:rFonts w:ascii="Times" w:hAnsi="Times"/>
          <w:szCs w:val="20"/>
        </w:rPr>
      </w:pPr>
      <w:r>
        <w:rPr>
          <w:rFonts w:ascii="Times" w:hAnsi="Times"/>
          <w:szCs w:val="20"/>
        </w:rPr>
        <w:t xml:space="preserve">                                       </w:t>
      </w:r>
      <w:r w:rsidR="00D45672" w:rsidRPr="00D22AA7">
        <w:rPr>
          <w:rFonts w:ascii="Times" w:hAnsi="Times"/>
          <w:noProof/>
        </w:rPr>
        <w:drawing>
          <wp:inline distT="0" distB="0" distL="0" distR="0" wp14:anchorId="0936B9F2" wp14:editId="6AF23BBF">
            <wp:extent cx="2614417" cy="2426329"/>
            <wp:effectExtent l="0" t="0" r="1905" b="0"/>
            <wp:docPr id="15" name="Image1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3" descr="A screenshot of a graph&#10;&#10;Description automatically generated"/>
                    <pic:cNvPicPr>
                      <a:picLocks noChangeAspect="1" noChangeArrowheads="1"/>
                    </pic:cNvPicPr>
                  </pic:nvPicPr>
                  <pic:blipFill>
                    <a:blip r:embed="rId86"/>
                    <a:stretch>
                      <a:fillRect/>
                    </a:stretch>
                  </pic:blipFill>
                  <pic:spPr bwMode="auto">
                    <a:xfrm>
                      <a:off x="0" y="0"/>
                      <a:ext cx="2638104" cy="2448312"/>
                    </a:xfrm>
                    <a:prstGeom prst="rect">
                      <a:avLst/>
                    </a:prstGeom>
                  </pic:spPr>
                </pic:pic>
              </a:graphicData>
            </a:graphic>
          </wp:inline>
        </w:drawing>
      </w:r>
    </w:p>
    <w:p w14:paraId="1C2B7395" w14:textId="77777777" w:rsidR="00386CA0" w:rsidRPr="00D22AA7" w:rsidRDefault="00386CA0">
      <w:pPr>
        <w:pStyle w:val="MDPI31text"/>
        <w:ind w:left="360" w:firstLine="0"/>
        <w:rPr>
          <w:rFonts w:ascii="Times" w:hAnsi="Times"/>
          <w:szCs w:val="20"/>
        </w:rPr>
      </w:pPr>
    </w:p>
    <w:p w14:paraId="49FDDC64" w14:textId="77777777" w:rsidR="00386CA0" w:rsidRPr="00D22AA7" w:rsidRDefault="00386CA0">
      <w:pPr>
        <w:pStyle w:val="MDPI31text"/>
        <w:ind w:left="360" w:firstLine="0"/>
        <w:jc w:val="left"/>
        <w:rPr>
          <w:rFonts w:ascii="Times" w:hAnsi="Times"/>
        </w:rPr>
      </w:pPr>
    </w:p>
    <w:p w14:paraId="2AFCCA30" w14:textId="21991835" w:rsidR="00386CA0" w:rsidRPr="00A07E73" w:rsidRDefault="00D45672">
      <w:pPr>
        <w:pStyle w:val="MDPI31text"/>
        <w:ind w:left="360" w:firstLine="0"/>
        <w:rPr>
          <w:rFonts w:ascii="Times" w:hAnsi="Times"/>
          <w:color w:val="333333"/>
          <w:szCs w:val="20"/>
          <w:shd w:val="clear" w:color="auto" w:fill="FFFFFF"/>
        </w:rPr>
      </w:pPr>
      <w:r w:rsidRPr="00A07E73">
        <w:rPr>
          <w:rFonts w:ascii="Times" w:hAnsi="Times"/>
          <w:b/>
          <w:bCs/>
          <w:szCs w:val="20"/>
        </w:rPr>
        <w:t>Figure</w:t>
      </w:r>
      <w:r w:rsidR="002C530E" w:rsidRPr="00A07E73">
        <w:rPr>
          <w:rFonts w:ascii="Times" w:hAnsi="Times"/>
          <w:b/>
          <w:bCs/>
          <w:szCs w:val="20"/>
        </w:rPr>
        <w:t xml:space="preserve"> </w:t>
      </w:r>
      <w:proofErr w:type="gramStart"/>
      <w:r w:rsidR="002C530E" w:rsidRPr="00A07E73">
        <w:rPr>
          <w:rFonts w:ascii="Times" w:hAnsi="Times"/>
          <w:b/>
          <w:bCs/>
          <w:szCs w:val="20"/>
        </w:rPr>
        <w:t>7</w:t>
      </w:r>
      <w:r w:rsidR="000F75FE" w:rsidRPr="00A07E73">
        <w:rPr>
          <w:rFonts w:ascii="Times" w:hAnsi="Times"/>
          <w:b/>
          <w:bCs/>
          <w:szCs w:val="20"/>
        </w:rPr>
        <w:t>1</w:t>
      </w:r>
      <w:r w:rsidRPr="00A07E73">
        <w:rPr>
          <w:rFonts w:ascii="Times" w:hAnsi="Times"/>
          <w:b/>
          <w:bCs/>
          <w:szCs w:val="20"/>
        </w:rPr>
        <w:t xml:space="preserve"> .</w:t>
      </w:r>
      <w:proofErr w:type="gramEnd"/>
      <w:r w:rsidRPr="00A07E73">
        <w:rPr>
          <w:rFonts w:ascii="Times" w:hAnsi="Times"/>
          <w:szCs w:val="20"/>
        </w:rPr>
        <w:t xml:space="preserve"> </w:t>
      </w:r>
      <w:r w:rsidRPr="00A07E73">
        <w:rPr>
          <w:rFonts w:ascii="Times" w:hAnsi="Times"/>
          <w:color w:val="333333"/>
          <w:szCs w:val="20"/>
          <w:shd w:val="clear" w:color="auto" w:fill="FFFFFF"/>
        </w:rPr>
        <w:t xml:space="preserve">Confusion matrices for the four machine learning models of the cell viability test set. The color bar indicates the number of cells. Reprinted </w:t>
      </w:r>
      <w:proofErr w:type="gramStart"/>
      <w:r w:rsidRPr="00A07E73">
        <w:rPr>
          <w:rFonts w:ascii="Times" w:hAnsi="Times"/>
          <w:color w:val="333333"/>
          <w:szCs w:val="20"/>
          <w:shd w:val="clear" w:color="auto" w:fill="FFFFFF"/>
        </w:rPr>
        <w:t>from  under</w:t>
      </w:r>
      <w:proofErr w:type="gramEnd"/>
      <w:r w:rsidRPr="00A07E73">
        <w:rPr>
          <w:rFonts w:ascii="Times" w:hAnsi="Times"/>
          <w:color w:val="333333"/>
          <w:szCs w:val="20"/>
          <w:shd w:val="clear" w:color="auto" w:fill="FFFFFF"/>
        </w:rPr>
        <w:t xml:space="preserve"> CC BY license.</w:t>
      </w:r>
    </w:p>
    <w:p w14:paraId="3EE54F75" w14:textId="77777777" w:rsidR="00386CA0" w:rsidRPr="00D22AA7" w:rsidRDefault="00386CA0">
      <w:pPr>
        <w:pStyle w:val="MDPI31text"/>
        <w:ind w:left="360" w:firstLine="0"/>
        <w:jc w:val="left"/>
        <w:rPr>
          <w:rFonts w:ascii="Times" w:hAnsi="Times"/>
        </w:rPr>
      </w:pPr>
    </w:p>
    <w:p w14:paraId="7E2601EF" w14:textId="74AF1E4D" w:rsidR="00386CA0" w:rsidRDefault="00D51B51">
      <w:pPr>
        <w:pStyle w:val="MDPI31text"/>
        <w:ind w:left="360" w:firstLine="0"/>
        <w:jc w:val="left"/>
        <w:rPr>
          <w:rFonts w:ascii="Times" w:hAnsi="Times"/>
        </w:rPr>
      </w:pPr>
      <w:r>
        <w:rPr>
          <w:rFonts w:ascii="Times" w:hAnsi="Times"/>
        </w:rPr>
        <w:t xml:space="preserve">                                          </w:t>
      </w:r>
      <w:r w:rsidR="00D45672" w:rsidRPr="00D22AA7">
        <w:rPr>
          <w:rFonts w:ascii="Times" w:hAnsi="Times"/>
          <w:noProof/>
        </w:rPr>
        <w:drawing>
          <wp:inline distT="0" distB="0" distL="0" distR="0" wp14:anchorId="6C748EF8" wp14:editId="4E9DAE8A">
            <wp:extent cx="2835275" cy="2990215"/>
            <wp:effectExtent l="0" t="0" r="0" b="0"/>
            <wp:docPr id="16" name="Image14" descr="A collage of images of green and re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4" descr="A collage of images of green and red dots&#10;&#10;Description automatically generated"/>
                    <pic:cNvPicPr>
                      <a:picLocks noChangeAspect="1" noChangeArrowheads="1"/>
                    </pic:cNvPicPr>
                  </pic:nvPicPr>
                  <pic:blipFill>
                    <a:blip r:embed="rId87"/>
                    <a:stretch>
                      <a:fillRect/>
                    </a:stretch>
                  </pic:blipFill>
                  <pic:spPr bwMode="auto">
                    <a:xfrm>
                      <a:off x="0" y="0"/>
                      <a:ext cx="2835275" cy="2990215"/>
                    </a:xfrm>
                    <a:prstGeom prst="rect">
                      <a:avLst/>
                    </a:prstGeom>
                  </pic:spPr>
                </pic:pic>
              </a:graphicData>
            </a:graphic>
          </wp:inline>
        </w:drawing>
      </w:r>
    </w:p>
    <w:p w14:paraId="0D6D185D" w14:textId="77777777" w:rsidR="00D51B51" w:rsidRPr="00D22AA7" w:rsidRDefault="00D51B51">
      <w:pPr>
        <w:pStyle w:val="MDPI31text"/>
        <w:ind w:left="360" w:firstLine="0"/>
        <w:jc w:val="left"/>
        <w:rPr>
          <w:rFonts w:ascii="Times" w:hAnsi="Times"/>
        </w:rPr>
      </w:pPr>
    </w:p>
    <w:p w14:paraId="13252424" w14:textId="56365234" w:rsidR="00386CA0" w:rsidRPr="00A07E73" w:rsidRDefault="00D45672">
      <w:pPr>
        <w:pStyle w:val="MDPI31text"/>
        <w:ind w:left="360" w:firstLine="0"/>
        <w:rPr>
          <w:rFonts w:ascii="Times" w:hAnsi="Times"/>
          <w:color w:val="333333"/>
          <w:szCs w:val="20"/>
          <w:shd w:val="clear" w:color="auto" w:fill="FFFFFF"/>
        </w:rPr>
      </w:pPr>
      <w:r w:rsidRPr="00A07E73">
        <w:rPr>
          <w:rFonts w:ascii="Times" w:hAnsi="Times"/>
          <w:b/>
          <w:bCs/>
          <w:szCs w:val="20"/>
        </w:rPr>
        <w:t>Figure</w:t>
      </w:r>
      <w:r w:rsidR="002C530E" w:rsidRPr="00A07E73">
        <w:rPr>
          <w:rFonts w:ascii="Times" w:hAnsi="Times"/>
          <w:b/>
          <w:bCs/>
          <w:szCs w:val="20"/>
        </w:rPr>
        <w:t xml:space="preserve"> 7</w:t>
      </w:r>
      <w:r w:rsidR="000F75FE" w:rsidRPr="00A07E73">
        <w:rPr>
          <w:rFonts w:ascii="Times" w:hAnsi="Times"/>
          <w:b/>
          <w:bCs/>
          <w:szCs w:val="20"/>
        </w:rPr>
        <w:t>2</w:t>
      </w:r>
      <w:r w:rsidR="002C530E" w:rsidRPr="00A07E73">
        <w:rPr>
          <w:rFonts w:ascii="Times" w:hAnsi="Times"/>
          <w:b/>
          <w:bCs/>
          <w:szCs w:val="20"/>
        </w:rPr>
        <w:t>.</w:t>
      </w:r>
      <w:r w:rsidRPr="00A07E73">
        <w:rPr>
          <w:rFonts w:ascii="Times" w:hAnsi="Times"/>
          <w:b/>
          <w:bCs/>
          <w:szCs w:val="20"/>
        </w:rPr>
        <w:t xml:space="preserve"> </w:t>
      </w:r>
      <w:r w:rsidRPr="00A07E73">
        <w:rPr>
          <w:rFonts w:ascii="Times" w:hAnsi="Times"/>
          <w:szCs w:val="20"/>
        </w:rPr>
        <w:t xml:space="preserve"> </w:t>
      </w:r>
      <w:r w:rsidRPr="00A07E73">
        <w:rPr>
          <w:rFonts w:ascii="Times" w:hAnsi="Times"/>
          <w:color w:val="333333"/>
          <w:szCs w:val="20"/>
          <w:shd w:val="clear" w:color="auto" w:fill="FFFFFF"/>
        </w:rPr>
        <w:t>Assessment of cell viability states over time by training a logistic regression model. After (a) 15-minute, (b) 2-hour, (c) 4-hour, and (d) 6-hour mark. Green and red labels indicate live and dead cells, respectively. The inset white scale bar represents 100</w:t>
      </w:r>
      <w:r w:rsidRPr="00A07E73">
        <w:rPr>
          <w:rFonts w:ascii="Times New Roman" w:hAnsi="Times New Roman"/>
          <w:color w:val="333333"/>
          <w:szCs w:val="20"/>
          <w:shd w:val="clear" w:color="auto" w:fill="FFFFFF"/>
        </w:rPr>
        <w:t> </w:t>
      </w:r>
      <w:r w:rsidRPr="00A07E73">
        <w:rPr>
          <w:rFonts w:ascii="Times" w:hAnsi="Times"/>
          <w:color w:val="333333"/>
          <w:szCs w:val="20"/>
          <w:shd w:val="clear" w:color="auto" w:fill="FFFFFF"/>
        </w:rPr>
        <w:t xml:space="preserve">µm. Reprinted </w:t>
      </w:r>
      <w:proofErr w:type="gramStart"/>
      <w:r w:rsidRPr="00A07E73">
        <w:rPr>
          <w:rFonts w:ascii="Times" w:hAnsi="Times"/>
          <w:color w:val="333333"/>
          <w:szCs w:val="20"/>
          <w:shd w:val="clear" w:color="auto" w:fill="FFFFFF"/>
        </w:rPr>
        <w:t>from  under</w:t>
      </w:r>
      <w:proofErr w:type="gramEnd"/>
      <w:r w:rsidRPr="00A07E73">
        <w:rPr>
          <w:rFonts w:ascii="Times" w:hAnsi="Times"/>
          <w:color w:val="333333"/>
          <w:szCs w:val="20"/>
          <w:shd w:val="clear" w:color="auto" w:fill="FFFFFF"/>
        </w:rPr>
        <w:t xml:space="preserve"> CC BY license.</w:t>
      </w:r>
    </w:p>
    <w:p w14:paraId="5CAB5838" w14:textId="77777777" w:rsidR="00D51B51" w:rsidRPr="00554D64" w:rsidRDefault="00D51B51">
      <w:pPr>
        <w:pStyle w:val="MDPI31text"/>
        <w:ind w:left="360" w:firstLine="0"/>
        <w:rPr>
          <w:rFonts w:ascii="Times" w:hAnsi="Times"/>
          <w:color w:val="333333"/>
          <w:sz w:val="22"/>
          <w:shd w:val="clear" w:color="auto" w:fill="FFFFFF"/>
        </w:rPr>
      </w:pPr>
    </w:p>
    <w:p w14:paraId="2433D139" w14:textId="2CF03D9A" w:rsidR="0027446C" w:rsidRPr="00D51B51" w:rsidRDefault="00097FC2" w:rsidP="0027446C">
      <w:pPr>
        <w:pStyle w:val="MDPI31text"/>
        <w:ind w:left="360"/>
        <w:rPr>
          <w:rFonts w:ascii="Times" w:hAnsi="Times"/>
          <w:sz w:val="24"/>
          <w:szCs w:val="24"/>
        </w:rPr>
      </w:pPr>
      <w:r w:rsidRPr="00D51B51">
        <w:rPr>
          <w:rFonts w:ascii="Times" w:hAnsi="Times"/>
          <w:sz w:val="24"/>
          <w:szCs w:val="24"/>
        </w:rPr>
        <w:t xml:space="preserve">The use of </w:t>
      </w:r>
      <w:r w:rsidR="0027446C" w:rsidRPr="0027446C">
        <w:rPr>
          <w:rFonts w:ascii="Times" w:hAnsi="Times"/>
          <w:sz w:val="24"/>
          <w:szCs w:val="24"/>
        </w:rPr>
        <w:t xml:space="preserve">Convolutional Neural Networks (CNNs) in accurately predicting specific cancer cell lines for label-free identification. The main goal of this research was to determine whether CNN models could reliably classify cancer cell lines based solely on their metastatic </w:t>
      </w:r>
      <w:r w:rsidR="0027446C" w:rsidRPr="0027446C">
        <w:rPr>
          <w:rFonts w:ascii="Times" w:hAnsi="Times"/>
          <w:sz w:val="24"/>
          <w:szCs w:val="24"/>
        </w:rPr>
        <w:lastRenderedPageBreak/>
        <w:t>potential, without relying on chemical labels or advanced instrumentation commonly used in traditional diagnostic methods. This approach aimed to simplify and expedite cancer diagnostics while reducing the need for costly and complex equipment.</w:t>
      </w:r>
    </w:p>
    <w:p w14:paraId="758537AD" w14:textId="77777777" w:rsidR="00D51B51" w:rsidRPr="0027446C" w:rsidRDefault="00D51B51" w:rsidP="0027446C">
      <w:pPr>
        <w:pStyle w:val="MDPI31text"/>
        <w:ind w:left="360"/>
        <w:rPr>
          <w:rFonts w:ascii="Times" w:hAnsi="Times"/>
          <w:szCs w:val="20"/>
        </w:rPr>
      </w:pPr>
    </w:p>
    <w:p w14:paraId="72EE3645" w14:textId="77777777" w:rsidR="0027446C" w:rsidRPr="0027446C" w:rsidRDefault="0027446C" w:rsidP="0027446C">
      <w:pPr>
        <w:pStyle w:val="MDPI31text"/>
        <w:ind w:left="360"/>
        <w:rPr>
          <w:rFonts w:ascii="Times" w:hAnsi="Times"/>
          <w:sz w:val="24"/>
          <w:szCs w:val="24"/>
        </w:rPr>
      </w:pPr>
      <w:r w:rsidRPr="0027446C">
        <w:rPr>
          <w:rFonts w:ascii="Times" w:hAnsi="Times"/>
          <w:sz w:val="24"/>
          <w:szCs w:val="24"/>
        </w:rPr>
        <w:t>To achieve this, the study gathered three distinct binary datasets of cancer cell lines, each representing different levels of metastatic potential. Two CNN architectures—EfficientNetV2 and ResNet-50—were employed for classification purposes. These models were carefully trained and tested, with detailed analyses performed at each stage of the machine learning pipeline. The models were evaluated on their ability to correctly classify the cell lines based on their metastatic characteristics, with particular attention to how well each architecture handled the data.</w:t>
      </w:r>
    </w:p>
    <w:p w14:paraId="37A4E89B" w14:textId="77777777" w:rsidR="0027446C" w:rsidRPr="0027446C" w:rsidRDefault="0027446C" w:rsidP="0027446C">
      <w:pPr>
        <w:pStyle w:val="MDPI31text"/>
        <w:ind w:left="360"/>
        <w:rPr>
          <w:rFonts w:ascii="Times" w:hAnsi="Times"/>
          <w:sz w:val="24"/>
          <w:szCs w:val="24"/>
        </w:rPr>
      </w:pPr>
      <w:r w:rsidRPr="0027446C">
        <w:rPr>
          <w:rFonts w:ascii="Times" w:hAnsi="Times"/>
          <w:sz w:val="24"/>
          <w:szCs w:val="24"/>
        </w:rPr>
        <w:t>The results of the study were revealing. EfficientNetV2 demonstrated impressive performance, with a test set accuracy reaching as high as 99%. In contrast, ResNet-50 consistently underperformed compared to EfficientNetV2, with the latter showing an average accuracy improvement of 3.5% across all datasets. This finding indicates that EfficientNetV2 has a clear advantage when it comes to processing and classifying cancer cell lines, providing a promising tool for researchers seeking to improve cancer diagnosis and understanding of metastatic behavior.</w:t>
      </w:r>
    </w:p>
    <w:p w14:paraId="4C7C5F98" w14:textId="77777777" w:rsidR="0027446C" w:rsidRPr="0027446C" w:rsidRDefault="0027446C" w:rsidP="0027446C">
      <w:pPr>
        <w:pStyle w:val="MDPI31text"/>
        <w:ind w:left="360"/>
        <w:rPr>
          <w:rFonts w:ascii="Times" w:hAnsi="Times"/>
          <w:sz w:val="24"/>
          <w:szCs w:val="24"/>
        </w:rPr>
      </w:pPr>
      <w:r w:rsidRPr="0027446C">
        <w:rPr>
          <w:rFonts w:ascii="Times" w:hAnsi="Times"/>
          <w:sz w:val="24"/>
          <w:szCs w:val="24"/>
        </w:rPr>
        <w:t>These findings underscore the potential of deep learning models like CNNs to significantly enhance diagnostic precision in cancer research. The success of EfficientNetV2 highlights its suitability for retraining and adapting to other datasets, suggesting that such models could be scaled for broader clinical applications. In the future, this approach could revolutionize the way cancer diagnostics are conducted, making them more accessible, faster, and less reliant on expensive and invasive procedures. Additionally, as the models can be adapted to various cancer types, they could contribute to personalized treatment plans and real-time monitoring of disease progression, further improving patient outcomes.</w:t>
      </w:r>
    </w:p>
    <w:p w14:paraId="12E8255D" w14:textId="614AA636" w:rsidR="00386CA0" w:rsidRPr="00D51B51" w:rsidRDefault="00CA37C2">
      <w:pPr>
        <w:pStyle w:val="MDPI31text"/>
        <w:ind w:left="360" w:firstLine="0"/>
        <w:rPr>
          <w:rFonts w:ascii="Times" w:hAnsi="Times"/>
          <w:sz w:val="24"/>
          <w:szCs w:val="24"/>
        </w:rPr>
      </w:pPr>
      <w:r w:rsidRPr="00D51B51">
        <w:rPr>
          <w:rFonts w:ascii="Times" w:hAnsi="Times"/>
          <w:sz w:val="24"/>
          <w:szCs w:val="24"/>
        </w:rPr>
        <w:fldChar w:fldCharType="begin"/>
      </w:r>
      <w:r w:rsidR="0056095D">
        <w:rPr>
          <w:rFonts w:ascii="Times" w:hAnsi="Times"/>
          <w:sz w:val="24"/>
          <w:szCs w:val="24"/>
        </w:rPr>
        <w:instrText xml:space="preserve"> ADDIN ZOTERO_ITEM CSL_CITATION {"citationID":"DXHR3kHl","properties":{"formattedCitation":"[225]","plainCitation":"[225]","noteIndex":0},"citationItems":[{"id":6172,"uris":["http://zotero.org/users/9439317/items/D7UQ76AF"],"itemData":{"id":6172,"type":"article-journal","abstract":"Cancer diagnostics is an important field of cancer recovery and survival with many expensive procedures needed to administer the correct treatment. Machine Learning (ML) approaches can help with the diagnostic prediction from circulating tumor cells in liquid biopsy or from a primary tumor in solid biopsy. After predicting the metastatic potential from a deep learning model, doctors in a clinical setting can administer a safe and correct treatment for a specific patient. This paper investigates the use of deep convolutional neural networks for predicting a specific cancer cell line as a tool for label free identification. Specifically, deep learning strategies for weight initialization and performance metrics are described, with transfer learning and the accuracy metric utilized in this work. The equipment used for prediction involves brightfield microscopy without the use of chemical labels, advanced instruments, or time-consuming biological techniques, giving an advantage over current diagnostic methods. In the procedure, three different binary datasets of well-known cancer cell lines were collected, each having a difference in metastatic potential. Two different classification models were adopted (EfficientNetV2 and ResNet-50) with the analysis given for each stage in the ML architecture. The training results for each model and dataset are provided and systematically compared. We found that the test set accuracy showed favorable performance for both ML models with EfficientNetV2 accuracy reaching up to 99%. These test results allowed EfficientNetV2 to outperform ResNet-50 at an average percent increase of 3.5% for each dataset. The high accuracy obtained from the predictions demonstrates that the system can be retrained on a large-scale clinical dataset.","container-title":"APL Machine Learning","DOI":"10.1063/5.0141730","ISSN":"2770-9019","issue":"2","journalAbbreviation":"APL Machine Learning","page":"026110","title":"Label free identification of different cancer cells using deep learning-based image analysis","URL":"https://doi.org/10.1063/5.0141730","volume":"1","author":[{"family":"Gardner","given":"Karl"},{"family":"Joshi","given":"Rutwik"},{"family":"Hasan Kashem","given":"Md Nayeem"},{"family":"Pham","given":"Thanh Quang"},{"family":"Lu","given":"Qiugang"},{"family":"Li","given":"Wei"}],"accessed":{"date-parts":[["2024",6,24]]},"issued":{"date-parts":[["2023",5,2]]}}}],"schema":"https://github.com/citation-style-language/schema/raw/master/csl-citation.json"} </w:instrText>
      </w:r>
      <w:r w:rsidRPr="00D51B51">
        <w:rPr>
          <w:rFonts w:ascii="Times" w:hAnsi="Times"/>
          <w:sz w:val="24"/>
          <w:szCs w:val="24"/>
        </w:rPr>
        <w:fldChar w:fldCharType="separate"/>
      </w:r>
      <w:r w:rsidR="0056095D">
        <w:rPr>
          <w:rFonts w:ascii="Times" w:hAnsi="Times"/>
          <w:noProof/>
          <w:sz w:val="24"/>
          <w:szCs w:val="24"/>
        </w:rPr>
        <w:t>[225]</w:t>
      </w:r>
      <w:r w:rsidRPr="00D51B51">
        <w:rPr>
          <w:rFonts w:ascii="Times" w:hAnsi="Times"/>
          <w:sz w:val="24"/>
          <w:szCs w:val="24"/>
        </w:rPr>
        <w:fldChar w:fldCharType="end"/>
      </w:r>
    </w:p>
    <w:p w14:paraId="69F4B878" w14:textId="4F41DCF1" w:rsidR="0027446C" w:rsidRPr="0027446C" w:rsidRDefault="0027446C" w:rsidP="0027446C">
      <w:pPr>
        <w:pStyle w:val="MDPI31text"/>
        <w:ind w:left="360"/>
        <w:rPr>
          <w:rFonts w:ascii="Times" w:hAnsi="Times"/>
          <w:sz w:val="24"/>
          <w:szCs w:val="24"/>
        </w:rPr>
      </w:pPr>
      <w:r w:rsidRPr="0027446C">
        <w:rPr>
          <w:rFonts w:ascii="Times" w:hAnsi="Times"/>
          <w:sz w:val="24"/>
          <w:szCs w:val="24"/>
        </w:rPr>
        <w:t>cell counting tasks</w:t>
      </w:r>
      <w:r w:rsidR="00097FC2" w:rsidRPr="00D51B51">
        <w:rPr>
          <w:rFonts w:ascii="Times" w:hAnsi="Times"/>
          <w:sz w:val="24"/>
          <w:szCs w:val="24"/>
        </w:rPr>
        <w:t xml:space="preserve"> was performed by using CNN</w:t>
      </w:r>
      <w:r w:rsidRPr="0027446C">
        <w:rPr>
          <w:rFonts w:ascii="Times" w:hAnsi="Times"/>
          <w:sz w:val="24"/>
          <w:szCs w:val="24"/>
        </w:rPr>
        <w:t>. The first method combined multiple feature extractors with traditional machine learning (ML) regression models. However, this approach proved to be labor-intensive and unpredictable due to the complexities of hand-crafted feature extraction. To overcome these limitations, the researchers employed CNNs and treated the cell counting task as a regression problem, using the actual cell count in the image as a supervised training annotation. They used a deep Residual Network architecture, xResNet, which not only improved model performance but also benefited from transfer learning by utilizing a pre-trained model.</w:t>
      </w:r>
    </w:p>
    <w:p w14:paraId="6C55BC6B" w14:textId="77777777" w:rsidR="0027446C" w:rsidRPr="0027446C" w:rsidRDefault="0027446C" w:rsidP="0027446C">
      <w:pPr>
        <w:pStyle w:val="MDPI31text"/>
        <w:ind w:left="360"/>
        <w:rPr>
          <w:rFonts w:ascii="Times" w:hAnsi="Times"/>
          <w:sz w:val="24"/>
          <w:szCs w:val="24"/>
        </w:rPr>
      </w:pPr>
      <w:r w:rsidRPr="0027446C">
        <w:rPr>
          <w:rFonts w:ascii="Times" w:hAnsi="Times"/>
          <w:sz w:val="24"/>
          <w:szCs w:val="24"/>
        </w:rPr>
        <w:t>The proposed method was tested on dense microscope images of two different cell lines: human osteosarcoma (U2OS) and human leukaemia (HL-60). The results showed that the CNN-based approach significantly outperformed conventional ML techniques in terms of accuracy and efficiency. The error margin of the model was found to be 12 ± 15, which was comparable to that of a human lab worker performing the same task. Moreover, the CNN-based regression model was able to provide rapid results, processing the images in mere milliseconds. This is in stark contrast to the much slower, manual counting process, which can take several minutes to complete.</w:t>
      </w:r>
    </w:p>
    <w:p w14:paraId="67CBC358" w14:textId="54C36B93" w:rsidR="000976D4" w:rsidRPr="00D51B51" w:rsidRDefault="0027446C" w:rsidP="00D51B51">
      <w:pPr>
        <w:pStyle w:val="MDPI31text"/>
        <w:ind w:left="360"/>
        <w:rPr>
          <w:rFonts w:ascii="Times" w:hAnsi="Times"/>
          <w:sz w:val="24"/>
          <w:szCs w:val="24"/>
        </w:rPr>
      </w:pPr>
      <w:r w:rsidRPr="0027446C">
        <w:rPr>
          <w:rFonts w:ascii="Times" w:hAnsi="Times"/>
          <w:sz w:val="24"/>
          <w:szCs w:val="24"/>
        </w:rPr>
        <w:t>These results highlight the practical potential of CNN-based regression models for cell counting tasks, demonstrating their efficiency and accuracy in real-world applications. The ability to perform fast and reliable cell counting has significant implications for research and clinical settings, where timely and precise cell quantification is crucial. This study suggests that CNNs can revolutionize routine tasks like cell counting, enabling faster, more consistent results while reducing the labor and time involved in traditional manual methods</w:t>
      </w:r>
      <w:r w:rsidR="00554D64" w:rsidRPr="00D51B51">
        <w:rPr>
          <w:rFonts w:ascii="Times" w:hAnsi="Times"/>
          <w:sz w:val="24"/>
          <w:szCs w:val="24"/>
        </w:rPr>
        <w:t xml:space="preserve"> </w:t>
      </w:r>
      <w:r w:rsidR="0040375F" w:rsidRPr="00D51B51">
        <w:rPr>
          <w:rFonts w:ascii="Times" w:hAnsi="Times"/>
          <w:sz w:val="24"/>
          <w:szCs w:val="24"/>
        </w:rPr>
        <w:fldChar w:fldCharType="begin"/>
      </w:r>
      <w:r w:rsidR="0056095D">
        <w:rPr>
          <w:rFonts w:ascii="Times" w:hAnsi="Times"/>
          <w:sz w:val="24"/>
          <w:szCs w:val="24"/>
        </w:rPr>
        <w:instrText xml:space="preserve"> ADDIN ZOTERO_ITEM CSL_CITATION {"citationID":"fmolV7bz","properties":{"formattedCitation":"[226]","plainCitation":"[226]","noteIndex":0},"citationItems":[{"id":10877,"uris":["http://zotero.org/users/9439317/items/ECU2RV9G"],"itemData":{"id":10877,"type":"article-journal","abstract":"In biology and medicine, cell counting is one of the most important elements of cytometry, with applications to research and clinical practice. For instance, the complete cell count could help to determine conditions for which cancer cells could grow or not. However, cell counting is a laborious and time-consuming process, and its automatization is highly demanded. Here, we propose use of a Convolutional Neural Network-based regressor, a regression model trained end-to-end, to provide the cell count. First, unlike most of the related work, we formulate the problem of cell counting as the regression task rather than the classification task. This allows not only to reduce the required annotation information (i.e., the number of cells instead of pixel-level annotations) but also to reduce the burden of segmenting potential cells and then classifying them. Second, we propose use of xResNet, a successful convolutional architecture with residual connection, together with transfer learning (using a pretrained model) to achieve human-level performance. We demonstrate the performance of our approach to real-life data of two cell lines, human osteosarcoma and human leukemia, collected at the University of Amsterdam (133 training images, and 32 test images). We show that the proposed method (deep learning and transfer learning) outperforms currently used machine learning methods. It achieves the test mean absolute error equal 12 (±15) against 32 (±33) obtained by the deep learning without transfer learning, and 41 (±37) of the best-performing machine learning pipeline (Random Forest Regression with the Histogram of Gradients features).","container-title":"Applied Sciences","DOI":"10.3390/app11114912","ISSN":"2076-3417","issue":"11","title":"Deep Learning and Transfer Learning for Automatic Cell Counting in Microscope Images of Human Cancer Cell Lines","volume":"11","author":[{"family":"Lavitt","given":"Falko"},{"family":"Rijlaarsdam","given":"Demi J."},{"family":"Linden","given":"Dennet","non-dropping-particle":"van der"},{"family":"Weglarz-Tomczak","given":"Ewelina"},{"family":"Tomczak","given":"Jakub M."}],"issued":{"date-parts":[["2021"]]}}}],"schema":"https://github.com/citation-style-language/schema/raw/master/csl-citation.json"} </w:instrText>
      </w:r>
      <w:r w:rsidR="0040375F" w:rsidRPr="00D51B51">
        <w:rPr>
          <w:rFonts w:ascii="Times" w:hAnsi="Times"/>
          <w:sz w:val="24"/>
          <w:szCs w:val="24"/>
        </w:rPr>
        <w:fldChar w:fldCharType="separate"/>
      </w:r>
      <w:r w:rsidR="0056095D">
        <w:rPr>
          <w:rFonts w:ascii="Times" w:hAnsi="Times"/>
          <w:noProof/>
          <w:sz w:val="24"/>
          <w:szCs w:val="24"/>
        </w:rPr>
        <w:t>[226]</w:t>
      </w:r>
      <w:r w:rsidR="0040375F" w:rsidRPr="00D51B51">
        <w:rPr>
          <w:rFonts w:ascii="Times" w:hAnsi="Times"/>
          <w:sz w:val="24"/>
          <w:szCs w:val="24"/>
        </w:rPr>
        <w:fldChar w:fldCharType="end"/>
      </w:r>
      <w:r w:rsidR="00D45672" w:rsidRPr="00D51B51">
        <w:rPr>
          <w:rFonts w:ascii="Times" w:hAnsi="Times"/>
          <w:sz w:val="24"/>
          <w:szCs w:val="24"/>
        </w:rPr>
        <w:t>.</w:t>
      </w:r>
    </w:p>
    <w:p w14:paraId="4174A4EF" w14:textId="77777777" w:rsidR="000976D4" w:rsidRDefault="000976D4">
      <w:pPr>
        <w:pStyle w:val="ListParagraph"/>
        <w:rPr>
          <w:rFonts w:ascii="Times" w:hAnsi="Times" w:cs="Arial"/>
          <w:b/>
          <w:bCs/>
          <w:color w:val="000000"/>
          <w:sz w:val="36"/>
          <w:szCs w:val="36"/>
        </w:rPr>
      </w:pPr>
    </w:p>
    <w:p w14:paraId="60EC8DF3" w14:textId="77777777" w:rsidR="000976D4" w:rsidRDefault="00D45672" w:rsidP="00A07E73">
      <w:pPr>
        <w:rPr>
          <w:rFonts w:ascii="Times" w:hAnsi="Times" w:cs="Arial"/>
          <w:b/>
          <w:bCs/>
          <w:color w:val="000000"/>
          <w:sz w:val="40"/>
          <w:szCs w:val="40"/>
        </w:rPr>
      </w:pPr>
      <w:r w:rsidRPr="00A07E73">
        <w:rPr>
          <w:rFonts w:ascii="Times" w:hAnsi="Times" w:cs="Arial"/>
          <w:b/>
          <w:bCs/>
          <w:color w:val="000000"/>
          <w:sz w:val="40"/>
          <w:szCs w:val="40"/>
        </w:rPr>
        <w:t>Chapter 9</w:t>
      </w:r>
    </w:p>
    <w:p w14:paraId="221946E3" w14:textId="77777777" w:rsidR="00A07E73" w:rsidRPr="00A07E73" w:rsidRDefault="00A07E73" w:rsidP="00A07E73">
      <w:pPr>
        <w:rPr>
          <w:rFonts w:ascii="Times" w:hAnsi="Times" w:cs="Arial"/>
          <w:b/>
          <w:bCs/>
          <w:color w:val="000000"/>
          <w:sz w:val="40"/>
          <w:szCs w:val="40"/>
        </w:rPr>
      </w:pPr>
    </w:p>
    <w:p w14:paraId="3BF0F6FC" w14:textId="14457F96" w:rsidR="00386CA0" w:rsidRPr="00A07E73" w:rsidRDefault="000976D4" w:rsidP="00A07E73">
      <w:pPr>
        <w:rPr>
          <w:rFonts w:ascii="Times" w:hAnsi="Times"/>
          <w:b/>
          <w:bCs/>
          <w:color w:val="000000"/>
          <w:sz w:val="40"/>
          <w:szCs w:val="40"/>
        </w:rPr>
      </w:pPr>
      <w:r w:rsidRPr="00A07E73">
        <w:rPr>
          <w:rFonts w:ascii="Times" w:hAnsi="Times" w:cs="Arial"/>
          <w:b/>
          <w:bCs/>
          <w:color w:val="000000"/>
          <w:sz w:val="40"/>
          <w:szCs w:val="40"/>
        </w:rPr>
        <w:t>T</w:t>
      </w:r>
      <w:r w:rsidR="00D45672" w:rsidRPr="00A07E73">
        <w:rPr>
          <w:rFonts w:ascii="Times" w:hAnsi="Times" w:cs="Arial"/>
          <w:b/>
          <w:bCs/>
          <w:color w:val="000000"/>
          <w:sz w:val="40"/>
          <w:szCs w:val="40"/>
        </w:rPr>
        <w:t>he result of using radiomic analysis for tumor detection</w:t>
      </w:r>
    </w:p>
    <w:p w14:paraId="263FED14" w14:textId="2F7A7E9D" w:rsidR="00386CA0" w:rsidRPr="00DE6A35" w:rsidRDefault="00DE6A35">
      <w:pPr>
        <w:spacing w:beforeAutospacing="1" w:afterAutospacing="1"/>
        <w:rPr>
          <w:rFonts w:ascii="Times" w:hAnsi="Times"/>
          <w:b/>
          <w:bCs/>
        </w:rPr>
      </w:pPr>
      <w:r w:rsidRPr="00DE6A35">
        <w:rPr>
          <w:rFonts w:ascii="Times" w:hAnsi="Times"/>
          <w:b/>
          <w:bCs/>
        </w:rPr>
        <w:t xml:space="preserve">9.1. </w:t>
      </w:r>
      <w:r w:rsidR="00D45672" w:rsidRPr="00DE6A35">
        <w:rPr>
          <w:rFonts w:ascii="Times" w:hAnsi="Times"/>
          <w:b/>
          <w:bCs/>
        </w:rPr>
        <w:t>Prostate cancer</w:t>
      </w:r>
    </w:p>
    <w:p w14:paraId="622F9E14" w14:textId="4A73AD2A" w:rsidR="00395383" w:rsidRPr="00DE6A35" w:rsidRDefault="00DE6A35" w:rsidP="0DE242D6">
      <w:pPr>
        <w:spacing w:beforeAutospacing="1" w:afterAutospacing="1"/>
        <w:rPr>
          <w:rFonts w:ascii="Times" w:hAnsi="Times"/>
          <w:b/>
          <w:bCs/>
        </w:rPr>
      </w:pPr>
      <w:r w:rsidRPr="00DE6A35">
        <w:rPr>
          <w:rFonts w:ascii="Times" w:hAnsi="Times"/>
          <w:b/>
          <w:bCs/>
        </w:rPr>
        <w:t xml:space="preserve">9.1.1. </w:t>
      </w:r>
      <w:r w:rsidR="66779EFB" w:rsidRPr="00DE6A35">
        <w:rPr>
          <w:rFonts w:ascii="Times" w:hAnsi="Times"/>
          <w:b/>
          <w:bCs/>
        </w:rPr>
        <w:t xml:space="preserve">Population </w:t>
      </w:r>
    </w:p>
    <w:p w14:paraId="073EE444" w14:textId="77777777" w:rsidR="00A30C03" w:rsidRPr="00A30C03" w:rsidRDefault="00A30C03" w:rsidP="00D51B51">
      <w:pPr>
        <w:spacing w:beforeAutospacing="1" w:afterAutospacing="1"/>
        <w:jc w:val="both"/>
        <w:rPr>
          <w:rFonts w:ascii="Times" w:hAnsi="Times"/>
        </w:rPr>
      </w:pPr>
      <w:r w:rsidRPr="00A30C03">
        <w:rPr>
          <w:rFonts w:ascii="Times" w:hAnsi="Times"/>
        </w:rPr>
        <w:t>The research encompassed a total of 73 patients diagnosed with varying prostate conditions, all of whom fell within an age bracket of 51 to 88 years. The average age of the study participants was calculated to be 67 years, with a standard deviation of ±7.6 years, reflecting a diverse age distribution across the cohort. Throughout the study, a comprehensive assessment identified 80 distinct lesions. Among these cases, it was observed that 7 individuals presented with two separate lesions each, highlighting the complexity and variability of the disease presentation in the sample population.</w:t>
      </w:r>
    </w:p>
    <w:p w14:paraId="12C7AED1" w14:textId="77777777" w:rsidR="00A30C03" w:rsidRPr="00A30C03" w:rsidRDefault="00A30C03" w:rsidP="00D51B51">
      <w:pPr>
        <w:spacing w:beforeAutospacing="1" w:afterAutospacing="1"/>
        <w:jc w:val="both"/>
        <w:rPr>
          <w:rFonts w:ascii="Times" w:hAnsi="Times"/>
        </w:rPr>
      </w:pPr>
      <w:r w:rsidRPr="00A30C03">
        <w:rPr>
          <w:rFonts w:ascii="Times" w:hAnsi="Times"/>
        </w:rPr>
        <w:t>The classification of these lesions was meticulously conducted based on the Prostate Imaging-Reporting and Data System (PI-RADS) scoring criteria. The categorization resulted in three primary groups:</w:t>
      </w:r>
    </w:p>
    <w:p w14:paraId="118A3E8D" w14:textId="77777777" w:rsidR="00A30C03" w:rsidRPr="00A30C03" w:rsidRDefault="00A30C03" w:rsidP="00D51B51">
      <w:pPr>
        <w:numPr>
          <w:ilvl w:val="0"/>
          <w:numId w:val="14"/>
        </w:numPr>
        <w:spacing w:beforeAutospacing="1" w:afterAutospacing="1"/>
        <w:jc w:val="both"/>
        <w:rPr>
          <w:rFonts w:ascii="Times" w:hAnsi="Times"/>
        </w:rPr>
      </w:pPr>
      <w:r w:rsidRPr="00A30C03">
        <w:rPr>
          <w:rFonts w:ascii="Times" w:hAnsi="Times"/>
          <w:b/>
          <w:bCs/>
        </w:rPr>
        <w:t>PI-RADS 3 Lesions</w:t>
      </w:r>
      <w:r w:rsidRPr="00A30C03">
        <w:rPr>
          <w:rFonts w:ascii="Times" w:hAnsi="Times"/>
        </w:rPr>
        <w:t>: This subset included a total of 5 lesions. Upon further histopathological evaluation, it was determined that 4 of these cases were associated with chronic inflammation, while 1 lesion was diagnosed as an atypical small acinar proliferation (ASAP), a condition that could potentially indicate a premalignant state.</w:t>
      </w:r>
    </w:p>
    <w:p w14:paraId="7F8E6AA8" w14:textId="77777777" w:rsidR="00A30C03" w:rsidRPr="00A30C03" w:rsidRDefault="00A30C03" w:rsidP="00D51B51">
      <w:pPr>
        <w:numPr>
          <w:ilvl w:val="0"/>
          <w:numId w:val="14"/>
        </w:numPr>
        <w:spacing w:beforeAutospacing="1" w:afterAutospacing="1"/>
        <w:jc w:val="both"/>
        <w:rPr>
          <w:rFonts w:ascii="Times" w:hAnsi="Times"/>
        </w:rPr>
      </w:pPr>
      <w:r w:rsidRPr="00A30C03">
        <w:rPr>
          <w:rFonts w:ascii="Times" w:hAnsi="Times"/>
          <w:b/>
          <w:bCs/>
        </w:rPr>
        <w:t>PI-RADS 4 Lesions</w:t>
      </w:r>
      <w:r w:rsidRPr="00A30C03">
        <w:rPr>
          <w:rFonts w:ascii="Times" w:hAnsi="Times"/>
        </w:rPr>
        <w:t>: A significantly larger group, consisting of 45 lesions, fell under this classification. The detailed breakdown of these cases revealed 21 lesions indicative of chronic inflammation, 1 lesion that exhibited both prostatic intraepithelial neoplasia (PIN) and ASAP, and a range of malignant cases characterized by varying Gleason scores (GS). Specifically, 11 lesions were identified as GS 6, 3 lesions were categorized as GS 7 (3+4), 5 lesions as GS 7 (4+3), 3 lesions exhibited GS 8 characteristics, and 1 lesion was diagnosed with GS 9.</w:t>
      </w:r>
    </w:p>
    <w:p w14:paraId="159E9B28" w14:textId="77777777" w:rsidR="00A30C03" w:rsidRPr="00A30C03" w:rsidRDefault="00A30C03" w:rsidP="00D51B51">
      <w:pPr>
        <w:numPr>
          <w:ilvl w:val="0"/>
          <w:numId w:val="14"/>
        </w:numPr>
        <w:spacing w:beforeAutospacing="1" w:afterAutospacing="1"/>
        <w:jc w:val="both"/>
        <w:rPr>
          <w:rFonts w:ascii="Times" w:hAnsi="Times"/>
        </w:rPr>
      </w:pPr>
      <w:r w:rsidRPr="00A30C03">
        <w:rPr>
          <w:rFonts w:ascii="Times" w:hAnsi="Times"/>
          <w:b/>
          <w:bCs/>
        </w:rPr>
        <w:t>PI-RADS 5 Lesions</w:t>
      </w:r>
      <w:r w:rsidRPr="00A30C03">
        <w:rPr>
          <w:rFonts w:ascii="Times" w:hAnsi="Times"/>
        </w:rPr>
        <w:t>: This high-risk category comprised 30 lesions in total. Among them, 5 cases were linked to chronic inflammation, 1 lesion was determined to be an acinar carcinoma, and the remaining cases were distributed across different Gleason score classifications. These included 7 lesions with GS 6, 4 lesions classified as GS 7 (3+4), 5 cases with GS 7 (4+3), 5 lesions exhibiting GS 8, 3 cases diagnosed as GS 9, and 1 lesion categorized as GS 10, representing the most aggressive tumor grading in this study.</w:t>
      </w:r>
    </w:p>
    <w:p w14:paraId="00B30535" w14:textId="77777777" w:rsidR="00A30C03" w:rsidRPr="00A30C03" w:rsidRDefault="00A30C03" w:rsidP="00D51B51">
      <w:pPr>
        <w:spacing w:beforeAutospacing="1" w:afterAutospacing="1"/>
        <w:jc w:val="both"/>
        <w:rPr>
          <w:rFonts w:ascii="Times" w:hAnsi="Times"/>
        </w:rPr>
      </w:pPr>
      <w:r w:rsidRPr="00A30C03">
        <w:rPr>
          <w:rFonts w:ascii="Times" w:hAnsi="Times"/>
        </w:rPr>
        <w:t>To ensure accuracy in evaluating the malignant potential of these lesions, non-cancerous cases were systematically excluded from the final assessment. A total of 31 lesions, which were deter</w:t>
      </w:r>
      <w:r w:rsidRPr="00A30C03">
        <w:rPr>
          <w:rFonts w:ascii="Times" w:hAnsi="Times"/>
        </w:rPr>
        <w:lastRenderedPageBreak/>
        <w:t>mined not to be associated with prostate cancer (PCa), were omitted from further analysis. Consequently, the final dataset used for statistical evaluation consisted of 49 lesions that were conclusively diagnosed as prostate cancer, allowing for a focused investigation into tumor characteristics and disease progression.</w:t>
      </w:r>
    </w:p>
    <w:p w14:paraId="526EAD82" w14:textId="0CAE530E" w:rsidR="00A30C03" w:rsidRPr="00DE6A35" w:rsidRDefault="00DE6A35" w:rsidP="00110FBA">
      <w:pPr>
        <w:jc w:val="both"/>
        <w:rPr>
          <w:rFonts w:ascii="Times" w:hAnsi="Times"/>
        </w:rPr>
      </w:pPr>
      <w:r w:rsidRPr="00DE6A35">
        <w:rPr>
          <w:rFonts w:ascii="Times" w:hAnsi="Times"/>
          <w:b/>
          <w:bCs/>
        </w:rPr>
        <w:t>9.1.</w:t>
      </w:r>
      <w:proofErr w:type="gramStart"/>
      <w:r w:rsidRPr="00DE6A35">
        <w:rPr>
          <w:rFonts w:ascii="Times" w:hAnsi="Times"/>
          <w:b/>
          <w:bCs/>
        </w:rPr>
        <w:t>2.</w:t>
      </w:r>
      <w:r w:rsidR="0E2F32DB" w:rsidRPr="00DE6A35">
        <w:rPr>
          <w:rFonts w:ascii="Times" w:hAnsi="Times"/>
          <w:b/>
          <w:bCs/>
        </w:rPr>
        <w:t>RadiomicsPerformance</w:t>
      </w:r>
      <w:proofErr w:type="gramEnd"/>
      <w:r w:rsidR="00C01062" w:rsidRPr="00DE6A35">
        <w:rPr>
          <w:rFonts w:ascii="Times" w:hAnsi="Times"/>
        </w:rPr>
        <w:br/>
      </w:r>
      <w:r w:rsidR="00A30C03" w:rsidRPr="00DE6A35">
        <w:rPr>
          <w:rFonts w:ascii="Times" w:hAnsi="Times"/>
        </w:rPr>
        <w:t>An extensive analysis of radiomic parameters revealed that a total of 71 features exhibited statistically significant differences when comparing the entire prostate gland to tumor-specific regions. These findings highlight the potential of radiomic texture analysis in distinguishing between normal and malignant prostate tissues.</w:t>
      </w:r>
    </w:p>
    <w:p w14:paraId="7B033854" w14:textId="4671BE8B" w:rsidR="00A30C03" w:rsidRPr="00A30C03" w:rsidRDefault="00A30C03" w:rsidP="00D51B51">
      <w:pPr>
        <w:spacing w:beforeAutospacing="1" w:afterAutospacing="1"/>
        <w:jc w:val="both"/>
        <w:rPr>
          <w:rFonts w:ascii="Times" w:hAnsi="Times"/>
        </w:rPr>
      </w:pPr>
      <w:r w:rsidRPr="00A30C03">
        <w:rPr>
          <w:rFonts w:ascii="Times" w:hAnsi="Times"/>
        </w:rPr>
        <w:t xml:space="preserve">Among the significant features identified, one particularly notable parameter derived from the T2-weighted sequences was original_glrlm_ShortRunLowGrayLevelEmphasis. This feature demonstrated a highly significant statistical value (p = 0.00072), indicating its strong discriminatory ability in differentiating tumor lesions from the whole prostate gland </w:t>
      </w:r>
    </w:p>
    <w:p w14:paraId="4594E221" w14:textId="77777777" w:rsidR="00A30C03" w:rsidRPr="00A30C03" w:rsidRDefault="00A30C03" w:rsidP="00D51B51">
      <w:pPr>
        <w:spacing w:beforeAutospacing="1" w:afterAutospacing="1"/>
        <w:jc w:val="both"/>
        <w:rPr>
          <w:rFonts w:ascii="Times" w:hAnsi="Times"/>
        </w:rPr>
      </w:pPr>
      <w:r w:rsidRPr="00A30C03">
        <w:rPr>
          <w:rFonts w:ascii="Times" w:hAnsi="Times"/>
        </w:rPr>
        <w:t>Further assessment of this feature’s diagnostic performance was conducted using the area under the receiver operating characteristic (AUROC) curve. The analysis yielded an AUROC score of 68.46, with a 95% confidence interval ranging from 0.544 to 0.824 (p = 0.022), suggesting moderate effectiveness in classification.</w:t>
      </w:r>
    </w:p>
    <w:p w14:paraId="7BB3F050" w14:textId="77777777" w:rsidR="00A30C03" w:rsidRPr="00A30C03" w:rsidRDefault="00A30C03" w:rsidP="00D51B51">
      <w:pPr>
        <w:spacing w:beforeAutospacing="1" w:afterAutospacing="1"/>
        <w:jc w:val="both"/>
        <w:rPr>
          <w:rFonts w:ascii="Times" w:hAnsi="Times"/>
        </w:rPr>
      </w:pPr>
      <w:r w:rsidRPr="00A30C03">
        <w:rPr>
          <w:rFonts w:ascii="Times" w:hAnsi="Times"/>
        </w:rPr>
        <w:t>In terms of classification metrics, the feature exhibited a sensitivity of 67.25%, indicating its ability to correctly identify tumor lesions, while its specificity was measured at 73.15%, reflecting its accuracy in correctly classifying non-tumorous regions within the prostate. Additionally, the overall classification accuracy for this radiomic feature was calculated to be 71.02%, reinforcing its potential as a valuable biomarker for distinguishing between malignant and normal prostate tissue structures.</w:t>
      </w:r>
    </w:p>
    <w:p w14:paraId="4D6D10A4" w14:textId="7EC6BB99" w:rsidR="006F46FB" w:rsidRPr="00D22AA7" w:rsidRDefault="00D51B51" w:rsidP="0DE242D6">
      <w:pPr>
        <w:spacing w:beforeAutospacing="1" w:afterAutospacing="1"/>
        <w:rPr>
          <w:rFonts w:ascii="Times" w:hAnsi="Times"/>
        </w:rPr>
      </w:pPr>
      <w:r>
        <w:rPr>
          <w:rFonts w:ascii="Times" w:hAnsi="Times"/>
        </w:rPr>
        <w:t xml:space="preserve">                        </w:t>
      </w:r>
      <w:r w:rsidR="006F46FB" w:rsidRPr="00D22AA7">
        <w:rPr>
          <w:rFonts w:ascii="Times" w:hAnsi="Times"/>
        </w:rPr>
        <w:fldChar w:fldCharType="begin"/>
      </w:r>
      <w:r w:rsidR="006F46FB" w:rsidRPr="00D22AA7">
        <w:rPr>
          <w:rFonts w:ascii="Times" w:hAnsi="Times"/>
        </w:rPr>
        <w:instrText xml:space="preserve"> INCLUDEPICTURE "https://media.springernature.com/full/springer-static/image/chp%3A10.1007%2F978-3-031-51026-7_8/MediaObjects/558088_1_En_8_Fig2_HTML.png" \* MERGEFORMATINET </w:instrText>
      </w:r>
      <w:r w:rsidR="006F46FB" w:rsidRPr="00D22AA7">
        <w:rPr>
          <w:rFonts w:ascii="Times" w:hAnsi="Times"/>
        </w:rPr>
        <w:fldChar w:fldCharType="separate"/>
      </w:r>
      <w:r w:rsidR="006F46FB" w:rsidRPr="00D22AA7">
        <w:rPr>
          <w:rFonts w:ascii="Times" w:hAnsi="Times"/>
          <w:noProof/>
        </w:rPr>
        <w:drawing>
          <wp:inline distT="0" distB="0" distL="0" distR="0" wp14:anchorId="663E14CD" wp14:editId="265C237C">
            <wp:extent cx="2917000" cy="2507810"/>
            <wp:effectExtent l="0" t="0" r="4445" b="0"/>
            <wp:docPr id="1140442957" name="Picture 27"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Fig. 2."/>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950549" cy="2536653"/>
                    </a:xfrm>
                    <a:prstGeom prst="rect">
                      <a:avLst/>
                    </a:prstGeom>
                    <a:noFill/>
                    <a:ln>
                      <a:noFill/>
                    </a:ln>
                  </pic:spPr>
                </pic:pic>
              </a:graphicData>
            </a:graphic>
          </wp:inline>
        </w:drawing>
      </w:r>
      <w:r w:rsidR="006F46FB" w:rsidRPr="00D22AA7">
        <w:rPr>
          <w:rFonts w:ascii="Times" w:hAnsi="Times"/>
        </w:rPr>
        <w:fldChar w:fldCharType="end"/>
      </w:r>
    </w:p>
    <w:p w14:paraId="17109786" w14:textId="7AEBD0B5" w:rsidR="006F46FB" w:rsidRPr="00646AE3" w:rsidRDefault="006F46FB" w:rsidP="0DE242D6">
      <w:pPr>
        <w:spacing w:beforeAutospacing="1" w:afterAutospacing="1"/>
        <w:rPr>
          <w:rFonts w:ascii="Times" w:hAnsi="Times"/>
          <w:sz w:val="20"/>
          <w:szCs w:val="20"/>
        </w:rPr>
      </w:pPr>
      <w:r w:rsidRPr="00646AE3">
        <w:rPr>
          <w:rFonts w:ascii="Times" w:hAnsi="Times"/>
          <w:b/>
          <w:bCs/>
          <w:sz w:val="20"/>
          <w:szCs w:val="20"/>
        </w:rPr>
        <w:t xml:space="preserve">Figure </w:t>
      </w:r>
      <w:r w:rsidR="002C530E" w:rsidRPr="00646AE3">
        <w:rPr>
          <w:rFonts w:ascii="Times" w:hAnsi="Times"/>
          <w:b/>
          <w:bCs/>
          <w:sz w:val="20"/>
          <w:szCs w:val="20"/>
        </w:rPr>
        <w:t>7</w:t>
      </w:r>
      <w:r w:rsidR="000F75FE" w:rsidRPr="00646AE3">
        <w:rPr>
          <w:rFonts w:ascii="Times" w:hAnsi="Times"/>
          <w:b/>
          <w:bCs/>
          <w:sz w:val="20"/>
          <w:szCs w:val="20"/>
        </w:rPr>
        <w:t>3</w:t>
      </w:r>
      <w:r w:rsidRPr="00646AE3">
        <w:rPr>
          <w:rFonts w:ascii="Times" w:hAnsi="Times"/>
          <w:sz w:val="20"/>
          <w:szCs w:val="20"/>
        </w:rPr>
        <w:t>: Receiver operating characteristics curve of Original_glrlm_ShortRunLowGrayLevel Emphasis on T2W sequences of the prostate.</w:t>
      </w:r>
    </w:p>
    <w:p w14:paraId="66795B04" w14:textId="6F94C37D" w:rsidR="006F46FB" w:rsidRPr="00D22AA7" w:rsidRDefault="006F46FB" w:rsidP="0DE242D6">
      <w:pPr>
        <w:spacing w:beforeAutospacing="1" w:afterAutospacing="1"/>
        <w:rPr>
          <w:rFonts w:ascii="Times" w:hAnsi="Times"/>
        </w:rPr>
      </w:pPr>
      <w:r w:rsidRPr="00D22AA7">
        <w:rPr>
          <w:rFonts w:ascii="Times" w:hAnsi="Times"/>
          <w:noProof/>
        </w:rPr>
        <w:lastRenderedPageBreak/>
        <w:drawing>
          <wp:inline distT="0" distB="0" distL="0" distR="0" wp14:anchorId="391C8161" wp14:editId="36F1B73E">
            <wp:extent cx="5943600" cy="631825"/>
            <wp:effectExtent l="0" t="0" r="0" b="3175"/>
            <wp:docPr id="143705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05295" name=""/>
                    <pic:cNvPicPr/>
                  </pic:nvPicPr>
                  <pic:blipFill>
                    <a:blip r:embed="rId89"/>
                    <a:stretch>
                      <a:fillRect/>
                    </a:stretch>
                  </pic:blipFill>
                  <pic:spPr>
                    <a:xfrm>
                      <a:off x="0" y="0"/>
                      <a:ext cx="5943600" cy="631825"/>
                    </a:xfrm>
                    <a:prstGeom prst="rect">
                      <a:avLst/>
                    </a:prstGeom>
                  </pic:spPr>
                </pic:pic>
              </a:graphicData>
            </a:graphic>
          </wp:inline>
        </w:drawing>
      </w:r>
    </w:p>
    <w:p w14:paraId="59060B20" w14:textId="71777EAE" w:rsidR="006F46FB" w:rsidRPr="00646AE3" w:rsidRDefault="006F46FB" w:rsidP="0DE242D6">
      <w:pPr>
        <w:spacing w:beforeAutospacing="1" w:afterAutospacing="1"/>
        <w:rPr>
          <w:rFonts w:ascii="Times" w:hAnsi="Times"/>
          <w:sz w:val="20"/>
          <w:szCs w:val="20"/>
        </w:rPr>
      </w:pPr>
      <w:proofErr w:type="gramStart"/>
      <w:r w:rsidRPr="00646AE3">
        <w:rPr>
          <w:rFonts w:ascii="Times" w:hAnsi="Times"/>
          <w:b/>
          <w:bCs/>
          <w:sz w:val="20"/>
          <w:szCs w:val="20"/>
        </w:rPr>
        <w:t xml:space="preserve">Table  </w:t>
      </w:r>
      <w:r w:rsidR="00065C40" w:rsidRPr="00646AE3">
        <w:rPr>
          <w:rFonts w:ascii="Times" w:hAnsi="Times"/>
          <w:sz w:val="20"/>
          <w:szCs w:val="20"/>
        </w:rPr>
        <w:t>Key</w:t>
      </w:r>
      <w:proofErr w:type="gramEnd"/>
      <w:r w:rsidR="00065C40" w:rsidRPr="00646AE3">
        <w:rPr>
          <w:rFonts w:ascii="Times" w:hAnsi="Times"/>
          <w:sz w:val="20"/>
          <w:szCs w:val="20"/>
        </w:rPr>
        <w:t xml:space="preserve"> Radiomic Features and Their Diagnostic Performance in Differentiating the Whole Prostate from Tumor Lesions</w:t>
      </w:r>
    </w:p>
    <w:p w14:paraId="7F7A3C5B" w14:textId="28307684" w:rsidR="00065C40" w:rsidRPr="0023133C" w:rsidRDefault="00C01062" w:rsidP="00D51B51">
      <w:pPr>
        <w:spacing w:beforeAutospacing="1" w:afterAutospacing="1"/>
        <w:jc w:val="both"/>
        <w:rPr>
          <w:rFonts w:ascii="Times" w:hAnsi="Times"/>
        </w:rPr>
      </w:pPr>
      <w:r w:rsidRPr="0023133C">
        <w:rPr>
          <w:rFonts w:ascii="Times" w:hAnsi="Times"/>
        </w:rPr>
        <w:t>The use of radiomics in prostate MRI spans various applications, including tumor detection, predicting outcomes, and tracking treatment progress. Combining radiomics with AI algorithms [10, 11] can help standardize interpretations, reducing discrepancies among radiologists. In mpMRI, radiomics enhances diagnostic reliability by incorporating both qualitative factors (such as PI-RADS scores, which rely on radiologist expertise) and quantitative data (like tumor dimensions, prostate volume, and radiomic features, which are objectively generated by algorithms). Our study focused on the role of radiomics in mpMRI for distinguishing between prostate tissue and tumor lesions in PCa detection. The findings showed strong performance, with an AUC of 0.685 (95% CI 0.544–0.824; p = 0.022), sensitivity of 76.25%, specificity of 73.15%, and accuracy of 71.02%.</w:t>
      </w:r>
    </w:p>
    <w:p w14:paraId="1BDC2D18" w14:textId="77777777" w:rsidR="00065C40" w:rsidRPr="00065C40" w:rsidRDefault="00065C40" w:rsidP="00D51B51">
      <w:pPr>
        <w:spacing w:beforeAutospacing="1" w:afterAutospacing="1"/>
        <w:jc w:val="both"/>
        <w:rPr>
          <w:rFonts w:ascii="Times" w:hAnsi="Times"/>
        </w:rPr>
      </w:pPr>
      <w:r w:rsidRPr="00065C40">
        <w:rPr>
          <w:rFonts w:ascii="Times" w:hAnsi="Times"/>
        </w:rPr>
        <w:t>The results of this study underscore the potential of radiomic analysis applied to multiparametric MRI (mpMRI) imaging as an effective approach for distinguishing tumor lesions from the entire prostate gland in prostate cancer (PCa) detection. The observed high sensitivity and notable area under the curve (AUC) values highlight the capability of radiomics to function as a complementary diagnostic tool, aiding clinicians in assessing disease presence and progression. Additionally, the moderate specificity and accuracy suggest that incorporating radiomic analysis into diagnostic workflows could contribute to reducing false-positive rates, thereby improving overall precision in prostate cancer evaluation.</w:t>
      </w:r>
    </w:p>
    <w:p w14:paraId="68BAB65A" w14:textId="77777777" w:rsidR="00065C40" w:rsidRPr="00065C40" w:rsidRDefault="00065C40" w:rsidP="00D51B51">
      <w:pPr>
        <w:spacing w:beforeAutospacing="1" w:afterAutospacing="1"/>
        <w:jc w:val="both"/>
        <w:rPr>
          <w:rFonts w:ascii="Times" w:hAnsi="Times"/>
        </w:rPr>
      </w:pPr>
      <w:r w:rsidRPr="00065C40">
        <w:rPr>
          <w:rFonts w:ascii="Times" w:hAnsi="Times"/>
        </w:rPr>
        <w:t>These findings are in line with prior research efforts exploring the role of radiomics in PCa detection. For example, Woznicki et al. demonstrated that quantitative biomarkers extracted from mpMRI scans offer reliable indicators of prostate malignancy. Their radiomic model achieved a mean AUC of 0.783 in differentiating malignant from benign lesions. Furthermore, when their model was integrated with PI-RADS (Prostate Imaging-Reporting and Data System), prostate-specific antigen density (PSAD), and digital rectal examination (DRE), the diagnostic performance significantly improved, yielding an AUC of 0.889, emphasizing the added value of radiomic features when combined with traditional diagnostic parameters.</w:t>
      </w:r>
    </w:p>
    <w:p w14:paraId="5DF28338" w14:textId="77777777" w:rsidR="00065C40" w:rsidRPr="00065C40" w:rsidRDefault="00065C40" w:rsidP="00D51B51">
      <w:pPr>
        <w:spacing w:beforeAutospacing="1" w:afterAutospacing="1"/>
        <w:jc w:val="both"/>
        <w:rPr>
          <w:rFonts w:ascii="Times" w:hAnsi="Times"/>
        </w:rPr>
      </w:pPr>
      <w:r w:rsidRPr="00065C40">
        <w:rPr>
          <w:rFonts w:ascii="Times" w:hAnsi="Times"/>
        </w:rPr>
        <w:t>Similarly, another study reported promising outcomes in the detection of clinically significant prostate cancer in the peripheral zone. Utilizing an automated volume-of-interest (VOI) selection approach, this method achieved a peak AUC of 0.87. The enhanced performance was attributed to the integration of multiple imaging modalities, including T2-weighted imaging, diffusion-weighted imaging (DWI), and dynamic contrast-enhanced (DCE) MRI, which contributed to a more comprehensive assessment of tissue characteristics.</w:t>
      </w:r>
    </w:p>
    <w:p w14:paraId="3BA0E418" w14:textId="77777777" w:rsidR="00065C40" w:rsidRPr="00065C40" w:rsidRDefault="00065C40" w:rsidP="00D51B51">
      <w:pPr>
        <w:spacing w:beforeAutospacing="1" w:afterAutospacing="1"/>
        <w:jc w:val="both"/>
        <w:rPr>
          <w:rFonts w:ascii="Times" w:hAnsi="Times"/>
        </w:rPr>
      </w:pPr>
      <w:r w:rsidRPr="00065C40">
        <w:rPr>
          <w:rFonts w:ascii="Times" w:hAnsi="Times"/>
        </w:rPr>
        <w:t xml:space="preserve">In another notable study, Khalvati et al. developed a radiomics-based framework for the automated localization and detection of prostate cancer using clinical mpMRI data from a cohort of 30 patients. Their model demonstrated strong diagnostic capabilities, achieving a sensitivity of 0.82, specificity of 0.89, and an overall accuracy of 0.86 in distinguishing cancerous tissue from healthy </w:t>
      </w:r>
      <w:r w:rsidRPr="00065C40">
        <w:rPr>
          <w:rFonts w:ascii="Times" w:hAnsi="Times"/>
        </w:rPr>
        <w:lastRenderedPageBreak/>
        <w:t>prostate regions. These findings collectively reinforce the growing evidence supporting the integration of radiomic analysis with conventional imaging techniques to enhance PCa diagnosis and improve patient outcomes.</w:t>
      </w:r>
    </w:p>
    <w:p w14:paraId="0C94B00C" w14:textId="77777777" w:rsidR="00386CA0" w:rsidRPr="00D22AA7" w:rsidRDefault="00386CA0">
      <w:pPr>
        <w:spacing w:beforeAutospacing="1" w:afterAutospacing="1"/>
        <w:rPr>
          <w:rFonts w:ascii="Times" w:hAnsi="Times"/>
          <w:b/>
          <w:bCs/>
        </w:rPr>
      </w:pPr>
    </w:p>
    <w:p w14:paraId="3F327887" w14:textId="14CC7A3F" w:rsidR="00386CA0" w:rsidRPr="00D22AA7" w:rsidRDefault="0023133C">
      <w:pPr>
        <w:spacing w:beforeAutospacing="1" w:afterAutospacing="1"/>
        <w:rPr>
          <w:rFonts w:ascii="Times" w:hAnsi="Times"/>
          <w:b/>
          <w:bCs/>
        </w:rPr>
      </w:pPr>
      <w:r>
        <w:rPr>
          <w:rFonts w:ascii="Times" w:hAnsi="Times"/>
          <w:b/>
          <w:bCs/>
        </w:rPr>
        <w:t xml:space="preserve">9.2. </w:t>
      </w:r>
      <w:r w:rsidR="00D45672" w:rsidRPr="00D22AA7">
        <w:rPr>
          <w:rFonts w:ascii="Times" w:hAnsi="Times"/>
          <w:b/>
          <w:bCs/>
        </w:rPr>
        <w:t>Bladder cancerous</w:t>
      </w:r>
    </w:p>
    <w:p w14:paraId="59A78808" w14:textId="0589084E" w:rsidR="002776EE" w:rsidRPr="00D22AA7" w:rsidRDefault="0023133C">
      <w:pPr>
        <w:spacing w:beforeAutospacing="1" w:afterAutospacing="1"/>
        <w:rPr>
          <w:rFonts w:ascii="Times" w:hAnsi="Times"/>
          <w:b/>
          <w:bCs/>
        </w:rPr>
      </w:pPr>
      <w:r>
        <w:rPr>
          <w:rFonts w:ascii="Times" w:hAnsi="Times"/>
          <w:b/>
          <w:bCs/>
        </w:rPr>
        <w:t xml:space="preserve">9.2.1. </w:t>
      </w:r>
      <w:r w:rsidR="00D45672" w:rsidRPr="00D22AA7">
        <w:rPr>
          <w:rFonts w:ascii="Times" w:hAnsi="Times"/>
          <w:b/>
          <w:bCs/>
        </w:rPr>
        <w:t xml:space="preserve">Population </w:t>
      </w:r>
    </w:p>
    <w:p w14:paraId="0F9F0483" w14:textId="06A33487" w:rsidR="006A2A61" w:rsidRPr="00D22AA7" w:rsidRDefault="1E7122ED" w:rsidP="00D51B51">
      <w:pPr>
        <w:spacing w:beforeAutospacing="1" w:afterAutospacing="1"/>
        <w:jc w:val="both"/>
        <w:rPr>
          <w:rFonts w:ascii="Times" w:hAnsi="Times"/>
          <w:b/>
          <w:bCs/>
        </w:rPr>
      </w:pPr>
      <w:r w:rsidRPr="00D22AA7">
        <w:rPr>
          <w:rFonts w:ascii="Times" w:hAnsi="Times"/>
        </w:rPr>
        <w:t>The study included a total of 16 patients (14 men, 2 women), with a mean age of 72 years ± 8.5 (ranging from 57 to 87 years). A total of 35 bladder cancer (</w:t>
      </w:r>
      <w:proofErr w:type="spellStart"/>
      <w:r w:rsidRPr="00D22AA7">
        <w:rPr>
          <w:rFonts w:ascii="Times" w:hAnsi="Times"/>
        </w:rPr>
        <w:t>BCa</w:t>
      </w:r>
      <w:proofErr w:type="spellEnd"/>
      <w:r w:rsidRPr="00D22AA7">
        <w:rPr>
          <w:rFonts w:ascii="Times" w:hAnsi="Times"/>
        </w:rPr>
        <w:t xml:space="preserve">) lesions were examined, with a mean diameter of 13.9 x 12.4 mm (ranging from 2 to 60 mm).  The </w:t>
      </w:r>
      <w:proofErr w:type="spellStart"/>
      <w:r w:rsidRPr="00D22AA7">
        <w:rPr>
          <w:rFonts w:ascii="Times" w:hAnsi="Times"/>
        </w:rPr>
        <w:t>BCa</w:t>
      </w:r>
      <w:proofErr w:type="spellEnd"/>
      <w:r w:rsidRPr="00D22AA7">
        <w:rPr>
          <w:rFonts w:ascii="Times" w:hAnsi="Times"/>
        </w:rPr>
        <w:t xml:space="preserve"> lesions were categorized into low-grade (LG) (12 lesions) and high-grade (HG) (23 lesions), as well as muscle-invasive bladder cancer (MIBC) (32 lesions) and non-muscle invasive bladder cancer (NMIBC) (3 lesions), based on pathological results</w:t>
      </w:r>
      <w:r w:rsidR="00646AE3">
        <w:rPr>
          <w:rFonts w:ascii="Times" w:hAnsi="Times"/>
        </w:rPr>
        <w:t xml:space="preserve"> (table 1)</w:t>
      </w:r>
      <w:r w:rsidRPr="00D22AA7">
        <w:rPr>
          <w:rFonts w:ascii="Times" w:hAnsi="Times"/>
        </w:rPr>
        <w:t>.</w:t>
      </w:r>
      <w:r w:rsidR="48074084" w:rsidRPr="00D22AA7">
        <w:rPr>
          <w:rFonts w:ascii="Times" w:hAnsi="Times"/>
          <w:noProof/>
        </w:rPr>
        <w:drawing>
          <wp:inline distT="0" distB="0" distL="0" distR="0" wp14:anchorId="7B3E7A84" wp14:editId="228954B2">
            <wp:extent cx="5943600" cy="2183765"/>
            <wp:effectExtent l="0" t="0" r="0" b="635"/>
            <wp:docPr id="101566537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943600" cy="2183765"/>
                    </a:xfrm>
                    <a:prstGeom prst="rect">
                      <a:avLst/>
                    </a:prstGeom>
                  </pic:spPr>
                </pic:pic>
              </a:graphicData>
            </a:graphic>
          </wp:inline>
        </w:drawing>
      </w:r>
    </w:p>
    <w:p w14:paraId="23420260" w14:textId="5971844C" w:rsidR="006A2A61" w:rsidRPr="0023133C" w:rsidRDefault="006A2A61" w:rsidP="006A2A61">
      <w:pPr>
        <w:spacing w:beforeAutospacing="1" w:afterAutospacing="1"/>
        <w:rPr>
          <w:rFonts w:ascii="Times" w:hAnsi="Times"/>
        </w:rPr>
      </w:pPr>
      <w:r w:rsidRPr="0023133C">
        <w:rPr>
          <w:rFonts w:ascii="Times" w:hAnsi="Times"/>
          <w:b/>
          <w:bCs/>
          <w:sz w:val="22"/>
          <w:szCs w:val="22"/>
        </w:rPr>
        <w:t>Table</w:t>
      </w:r>
      <w:r w:rsidR="00646AE3">
        <w:rPr>
          <w:rFonts w:ascii="Times" w:hAnsi="Times"/>
          <w:b/>
          <w:bCs/>
          <w:sz w:val="22"/>
          <w:szCs w:val="22"/>
        </w:rPr>
        <w:t xml:space="preserve"> </w:t>
      </w:r>
      <w:proofErr w:type="gramStart"/>
      <w:r w:rsidR="00646AE3">
        <w:rPr>
          <w:rFonts w:ascii="Times" w:hAnsi="Times"/>
          <w:b/>
          <w:bCs/>
          <w:sz w:val="22"/>
          <w:szCs w:val="22"/>
        </w:rPr>
        <w:t>1</w:t>
      </w:r>
      <w:r w:rsidRPr="0023133C">
        <w:rPr>
          <w:rFonts w:ascii="Times" w:hAnsi="Times"/>
          <w:b/>
          <w:bCs/>
          <w:sz w:val="22"/>
          <w:szCs w:val="22"/>
        </w:rPr>
        <w:t> .</w:t>
      </w:r>
      <w:proofErr w:type="gramEnd"/>
      <w:r w:rsidRPr="0023133C">
        <w:rPr>
          <w:rFonts w:ascii="Times" w:hAnsi="Times"/>
        </w:rPr>
        <w:t xml:space="preserve"> Characteristics of the study population.</w:t>
      </w:r>
    </w:p>
    <w:p w14:paraId="6FD4138B" w14:textId="5B1994E0" w:rsidR="006A2A61" w:rsidRPr="00D22AA7" w:rsidRDefault="006A2A61">
      <w:pPr>
        <w:spacing w:beforeAutospacing="1" w:afterAutospacing="1"/>
        <w:rPr>
          <w:rFonts w:ascii="Times" w:hAnsi="Times"/>
          <w:b/>
          <w:bCs/>
        </w:rPr>
      </w:pPr>
      <w:r w:rsidRPr="00D22AA7">
        <w:rPr>
          <w:rFonts w:ascii="Times" w:hAnsi="Times"/>
          <w:b/>
          <w:bCs/>
          <w:noProof/>
        </w:rPr>
        <w:drawing>
          <wp:inline distT="0" distB="0" distL="0" distR="0" wp14:anchorId="7F71295E" wp14:editId="770AAC38">
            <wp:extent cx="5943600" cy="667385"/>
            <wp:effectExtent l="0" t="0" r="0" b="5715"/>
            <wp:docPr id="18198266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826655" name=""/>
                    <pic:cNvPicPr/>
                  </pic:nvPicPr>
                  <pic:blipFill>
                    <a:blip r:embed="rId91"/>
                    <a:stretch>
                      <a:fillRect/>
                    </a:stretch>
                  </pic:blipFill>
                  <pic:spPr>
                    <a:xfrm>
                      <a:off x="0" y="0"/>
                      <a:ext cx="5943600" cy="667385"/>
                    </a:xfrm>
                    <a:prstGeom prst="rect">
                      <a:avLst/>
                    </a:prstGeom>
                  </pic:spPr>
                </pic:pic>
              </a:graphicData>
            </a:graphic>
          </wp:inline>
        </w:drawing>
      </w:r>
    </w:p>
    <w:p w14:paraId="29EEE39C" w14:textId="1210091F" w:rsidR="006A2A61" w:rsidRPr="0023133C" w:rsidRDefault="006A2A61" w:rsidP="006A2A61">
      <w:pPr>
        <w:spacing w:beforeAutospacing="1" w:afterAutospacing="1"/>
        <w:rPr>
          <w:rFonts w:ascii="Times" w:hAnsi="Times"/>
          <w:b/>
          <w:bCs/>
          <w:sz w:val="22"/>
          <w:szCs w:val="22"/>
        </w:rPr>
      </w:pPr>
      <w:r w:rsidRPr="0023133C">
        <w:rPr>
          <w:rFonts w:ascii="Times" w:hAnsi="Times"/>
          <w:b/>
          <w:bCs/>
          <w:sz w:val="22"/>
          <w:szCs w:val="22"/>
        </w:rPr>
        <w:t>Table </w:t>
      </w:r>
      <w:r w:rsidR="00646AE3">
        <w:rPr>
          <w:rFonts w:ascii="Times" w:hAnsi="Times"/>
          <w:b/>
          <w:bCs/>
          <w:sz w:val="22"/>
          <w:szCs w:val="22"/>
        </w:rPr>
        <w:t>2.</w:t>
      </w:r>
      <w:r w:rsidRPr="0023133C">
        <w:rPr>
          <w:rFonts w:ascii="Times" w:hAnsi="Times"/>
          <w:b/>
          <w:bCs/>
          <w:sz w:val="22"/>
          <w:szCs w:val="22"/>
        </w:rPr>
        <w:t xml:space="preserve"> </w:t>
      </w:r>
      <w:r w:rsidRPr="0023133C">
        <w:rPr>
          <w:rFonts w:ascii="Times" w:hAnsi="Times"/>
          <w:sz w:val="22"/>
          <w:szCs w:val="22"/>
        </w:rPr>
        <w:t>Discrimination of LG from HG lesions based on significant features.</w:t>
      </w:r>
    </w:p>
    <w:p w14:paraId="478455FE" w14:textId="77777777" w:rsidR="006A2A61" w:rsidRPr="00D22AA7" w:rsidRDefault="006A2A61" w:rsidP="00D51B51">
      <w:pPr>
        <w:spacing w:beforeAutospacing="1" w:afterAutospacing="1"/>
        <w:jc w:val="both"/>
        <w:rPr>
          <w:rFonts w:ascii="Times" w:hAnsi="Times"/>
          <w:b/>
          <w:bCs/>
        </w:rPr>
      </w:pPr>
    </w:p>
    <w:p w14:paraId="610DE589" w14:textId="77777777" w:rsidR="00457C1C" w:rsidRPr="00D22AA7" w:rsidRDefault="00457C1C" w:rsidP="00D51B51">
      <w:pPr>
        <w:spacing w:beforeAutospacing="1" w:afterAutospacing="1"/>
        <w:jc w:val="both"/>
        <w:rPr>
          <w:rFonts w:ascii="Times" w:hAnsi="Times"/>
        </w:rPr>
      </w:pPr>
      <w:r w:rsidRPr="00D22AA7">
        <w:rPr>
          <w:rFonts w:ascii="Times" w:hAnsi="Times"/>
        </w:rPr>
        <w:t>Our findings demonstrated that a combination of two specific radiomics features significantly differentiated low-grade (LG) from high-grade (HG) bladder lesions. This suggests that these features, likely linked to structural or morphological characteristics of the lesions, can provide valuable insights into distinguishing bladder tumors based on their malignancy grade.</w:t>
      </w:r>
    </w:p>
    <w:p w14:paraId="6D2BB021" w14:textId="3CB641D1" w:rsidR="00457C1C" w:rsidRPr="00D22AA7" w:rsidRDefault="0023133C" w:rsidP="00457C1C">
      <w:pPr>
        <w:spacing w:beforeAutospacing="1" w:afterAutospacing="1"/>
        <w:rPr>
          <w:rFonts w:ascii="Times" w:hAnsi="Times"/>
        </w:rPr>
      </w:pPr>
      <w:r>
        <w:rPr>
          <w:rFonts w:ascii="Times" w:hAnsi="Times"/>
          <w:b/>
          <w:bCs/>
        </w:rPr>
        <w:t xml:space="preserve">9.2.2. </w:t>
      </w:r>
      <w:r w:rsidR="00457C1C" w:rsidRPr="00D22AA7">
        <w:rPr>
          <w:rFonts w:ascii="Times" w:hAnsi="Times"/>
          <w:b/>
          <w:bCs/>
        </w:rPr>
        <w:t>Texture Features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20"/>
        <w:gridCol w:w="855"/>
      </w:tblGrid>
      <w:tr w:rsidR="00457C1C" w:rsidRPr="00D22AA7" w14:paraId="3C98688A" w14:textId="77777777" w:rsidTr="3300C1C8">
        <w:trPr>
          <w:tblHeader/>
          <w:tblCellSpacing w:w="15" w:type="dxa"/>
        </w:trPr>
        <w:tc>
          <w:tcPr>
            <w:tcW w:w="0" w:type="auto"/>
            <w:vAlign w:val="center"/>
            <w:hideMark/>
          </w:tcPr>
          <w:p w14:paraId="4010C964" w14:textId="77777777" w:rsidR="00457C1C" w:rsidRPr="00D22AA7" w:rsidRDefault="00457C1C" w:rsidP="00457C1C">
            <w:pPr>
              <w:spacing w:beforeAutospacing="1" w:afterAutospacing="1"/>
              <w:rPr>
                <w:rFonts w:ascii="Times" w:hAnsi="Times"/>
                <w:b/>
                <w:bCs/>
              </w:rPr>
            </w:pPr>
            <w:r w:rsidRPr="00D22AA7">
              <w:rPr>
                <w:rFonts w:ascii="Times" w:hAnsi="Times"/>
                <w:b/>
                <w:bCs/>
              </w:rPr>
              <w:lastRenderedPageBreak/>
              <w:t>Feature</w:t>
            </w:r>
          </w:p>
        </w:tc>
        <w:tc>
          <w:tcPr>
            <w:tcW w:w="0" w:type="auto"/>
            <w:vAlign w:val="center"/>
            <w:hideMark/>
          </w:tcPr>
          <w:p w14:paraId="5F0ACE47" w14:textId="77777777" w:rsidR="00457C1C" w:rsidRPr="00D22AA7" w:rsidRDefault="00457C1C" w:rsidP="00457C1C">
            <w:pPr>
              <w:spacing w:beforeAutospacing="1" w:afterAutospacing="1"/>
              <w:rPr>
                <w:rFonts w:ascii="Times" w:hAnsi="Times"/>
                <w:b/>
                <w:bCs/>
              </w:rPr>
            </w:pPr>
            <w:r w:rsidRPr="00D22AA7">
              <w:rPr>
                <w:rFonts w:ascii="Times" w:hAnsi="Times"/>
                <w:b/>
                <w:bCs/>
              </w:rPr>
              <w:t>p-value</w:t>
            </w:r>
          </w:p>
        </w:tc>
      </w:tr>
      <w:tr w:rsidR="00457C1C" w:rsidRPr="00D22AA7" w14:paraId="252ED657" w14:textId="77777777" w:rsidTr="3300C1C8">
        <w:trPr>
          <w:tblCellSpacing w:w="15" w:type="dxa"/>
        </w:trPr>
        <w:tc>
          <w:tcPr>
            <w:tcW w:w="0" w:type="auto"/>
            <w:vAlign w:val="center"/>
            <w:hideMark/>
          </w:tcPr>
          <w:p w14:paraId="3DEF3B71" w14:textId="77777777" w:rsidR="00457C1C" w:rsidRPr="00D22AA7" w:rsidRDefault="00457C1C" w:rsidP="00457C1C">
            <w:pPr>
              <w:spacing w:beforeAutospacing="1" w:afterAutospacing="1"/>
              <w:rPr>
                <w:rFonts w:ascii="Times" w:hAnsi="Times"/>
              </w:rPr>
            </w:pPr>
            <w:r w:rsidRPr="00D22AA7">
              <w:rPr>
                <w:rFonts w:ascii="Times" w:hAnsi="Times"/>
              </w:rPr>
              <w:t>LargeAreaHighGrayLevelEmphasis (LAHGLE)</w:t>
            </w:r>
          </w:p>
        </w:tc>
        <w:tc>
          <w:tcPr>
            <w:tcW w:w="0" w:type="auto"/>
            <w:vAlign w:val="center"/>
            <w:hideMark/>
          </w:tcPr>
          <w:p w14:paraId="1DC83891" w14:textId="77777777" w:rsidR="00457C1C" w:rsidRPr="00D22AA7" w:rsidRDefault="00457C1C" w:rsidP="00457C1C">
            <w:pPr>
              <w:spacing w:beforeAutospacing="1" w:afterAutospacing="1"/>
              <w:rPr>
                <w:rFonts w:ascii="Times" w:hAnsi="Times"/>
              </w:rPr>
            </w:pPr>
            <w:r w:rsidRPr="00D22AA7">
              <w:rPr>
                <w:rFonts w:ascii="Times" w:hAnsi="Times"/>
              </w:rPr>
              <w:t>0.00063</w:t>
            </w:r>
          </w:p>
        </w:tc>
      </w:tr>
      <w:tr w:rsidR="00457C1C" w:rsidRPr="00D22AA7" w14:paraId="096E3E2A" w14:textId="77777777" w:rsidTr="3300C1C8">
        <w:trPr>
          <w:tblCellSpacing w:w="15" w:type="dxa"/>
        </w:trPr>
        <w:tc>
          <w:tcPr>
            <w:tcW w:w="0" w:type="auto"/>
            <w:vAlign w:val="center"/>
            <w:hideMark/>
          </w:tcPr>
          <w:p w14:paraId="10E17BE9" w14:textId="77777777" w:rsidR="00457C1C" w:rsidRPr="00D22AA7" w:rsidRDefault="00457C1C" w:rsidP="00457C1C">
            <w:pPr>
              <w:spacing w:beforeAutospacing="1" w:afterAutospacing="1"/>
              <w:rPr>
                <w:rFonts w:ascii="Times" w:hAnsi="Times"/>
              </w:rPr>
            </w:pPr>
            <w:r w:rsidRPr="00D22AA7">
              <w:rPr>
                <w:rFonts w:ascii="Times" w:hAnsi="Times"/>
              </w:rPr>
              <w:t>LargeAreaEmphasis (LAE)</w:t>
            </w:r>
          </w:p>
        </w:tc>
        <w:tc>
          <w:tcPr>
            <w:tcW w:w="0" w:type="auto"/>
            <w:vAlign w:val="center"/>
            <w:hideMark/>
          </w:tcPr>
          <w:p w14:paraId="355B44E1" w14:textId="77777777" w:rsidR="00457C1C" w:rsidRPr="00D22AA7" w:rsidRDefault="00457C1C" w:rsidP="00457C1C">
            <w:pPr>
              <w:spacing w:beforeAutospacing="1" w:afterAutospacing="1"/>
              <w:rPr>
                <w:rFonts w:ascii="Times" w:hAnsi="Times"/>
              </w:rPr>
            </w:pPr>
            <w:r w:rsidRPr="00D22AA7">
              <w:rPr>
                <w:rFonts w:ascii="Times" w:hAnsi="Times"/>
              </w:rPr>
              <w:t>0.0018</w:t>
            </w:r>
          </w:p>
        </w:tc>
      </w:tr>
    </w:tbl>
    <w:p w14:paraId="5FAF1AD0" w14:textId="253A6A6D" w:rsidR="2C1C90A3" w:rsidRPr="00D22AA7" w:rsidRDefault="2C1C90A3" w:rsidP="00D51B51">
      <w:pPr>
        <w:spacing w:beforeAutospacing="1" w:afterAutospacing="1"/>
        <w:jc w:val="both"/>
        <w:rPr>
          <w:rFonts w:ascii="Times" w:hAnsi="Times"/>
        </w:rPr>
      </w:pPr>
      <w:r w:rsidRPr="00D22AA7">
        <w:rPr>
          <w:rFonts w:ascii="Times" w:hAnsi="Times"/>
        </w:rPr>
        <w:t>In our investigation, we observed that not all radiomics parameters exhibit the same level of efficacy when it comes to distinguishing between low-grade (LG) and high-grade (HG) bladder lesions. Despite extracting over 120 different features, only two demonstrated a statistically significant correlation with the differentiation between the two lesion grades. We propose that the observed texture heterogeneity in bladder tumor MR images may serve as a reflection of the histopathological alterations that take place during the process of carcinogenesis. This finding underscores the critical importance of judiciously selecting and thoroughly evaluating specific radiomics parameters. Such careful consideration is essential to optimize the discriminative power of the model and enhance its ability to accurately differentiate between LG and HG lesions. This approach ensures that the radiomics analysis is both reliable and clinically relevant, potentially improving diagnostic accuracy and treatment planning.</w:t>
      </w:r>
    </w:p>
    <w:p w14:paraId="4EF87EE7" w14:textId="25DD7916" w:rsidR="00457C1C" w:rsidRPr="00D22AA7" w:rsidRDefault="1E7122ED" w:rsidP="00D51B51">
      <w:pPr>
        <w:spacing w:beforeAutospacing="1" w:afterAutospacing="1" w:line="259" w:lineRule="auto"/>
        <w:jc w:val="both"/>
        <w:rPr>
          <w:rFonts w:ascii="Times" w:hAnsi="Times"/>
        </w:rPr>
      </w:pPr>
      <w:r w:rsidRPr="00D22AA7">
        <w:rPr>
          <w:rFonts w:ascii="Times" w:hAnsi="Times"/>
        </w:rPr>
        <w:t xml:space="preserve">Based on our results, texture features could serve as a useful tool for grading bladder lesions, potentially providing an early </w:t>
      </w:r>
      <w:r w:rsidR="03B1D69B" w:rsidRPr="00D22AA7">
        <w:rPr>
          <w:rFonts w:ascii="Times" w:hAnsi="Times"/>
        </w:rPr>
        <w:t>indicating</w:t>
      </w:r>
      <w:r w:rsidRPr="00D22AA7">
        <w:rPr>
          <w:rFonts w:ascii="Times" w:hAnsi="Times"/>
        </w:rPr>
        <w:t xml:space="preserve"> malignancy grade. </w:t>
      </w:r>
      <w:r w:rsidR="1FCC23A9" w:rsidRPr="00D22AA7">
        <w:rPr>
          <w:rFonts w:ascii="Times" w:hAnsi="Times"/>
        </w:rPr>
        <w:t>The validation of these radiomics parameters in the context of multiparametric MRI for bladder lesions holds considerable potential for clinical advancements. By enhancing the accuracy and reliability of lesion characterization, this approach could lead to improved diagnostic precision and more informed management strategies. Ultimately, incorporating validated radiomics parameters into clinical practice could refine the diagnostic process, allowing for more tailored treatment options and better outcomes for patients with bladder lesions. This progression in radiomic-based analysis would be a significant step toward more personalized and effective care.</w:t>
      </w:r>
    </w:p>
    <w:p w14:paraId="6C76C657" w14:textId="4452B33A" w:rsidR="1FCC23A9" w:rsidRPr="00D22AA7" w:rsidRDefault="1FCC23A9" w:rsidP="00D51B51">
      <w:pPr>
        <w:spacing w:beforeAutospacing="1" w:afterAutospacing="1"/>
        <w:jc w:val="both"/>
        <w:rPr>
          <w:rFonts w:ascii="Times" w:hAnsi="Times"/>
        </w:rPr>
      </w:pPr>
      <w:r w:rsidRPr="00D22AA7">
        <w:rPr>
          <w:rFonts w:ascii="Times" w:hAnsi="Times"/>
        </w:rPr>
        <w:t>The diagnostic efficacy of the model was evaluated by calculating the area under the curve (AUC), which returned a strong value of 0.84. This indicates that the model exhibits a high level of discriminative power when it comes to differentiating between low-grade (LG) and high-grade (HG) lesions. The 95% confidence interval, ranging from 0.71 to 0.98, reveals some degree of variability in the model’s accuracy, which is expected in real-world applications where factors such as patient heterogeneity and image quality may influence performance. Nevertheless, despite this observed variability, the model's overall performance remains solid and consistent. This suggests that, while there may be occasional fluctuations in accuracy, the model can still reliably distinguish between LG and HG lesions across a broad range of cases. Such robustness highlights its potential value as a diagnostic tool in clinical settings, where precise lesion differentiation is crucial for appropriate treatment decisions. Furthermore, this reliability underscores the importance of incorporating this model into routine practice, as it could provide clinicians with an additional layer of support for making informed and accurate diagnoses.</w:t>
      </w:r>
    </w:p>
    <w:p w14:paraId="243C6ECF" w14:textId="28356095" w:rsidR="006A2A61" w:rsidRPr="00D22AA7" w:rsidRDefault="006A2A61">
      <w:pPr>
        <w:spacing w:beforeAutospacing="1" w:afterAutospacing="1"/>
        <w:rPr>
          <w:rFonts w:ascii="Times" w:hAnsi="Times"/>
          <w:b/>
          <w:bCs/>
        </w:rPr>
      </w:pPr>
    </w:p>
    <w:p w14:paraId="271AFC93" w14:textId="77777777" w:rsidR="006A2A61" w:rsidRPr="00D22AA7" w:rsidRDefault="006A2A61">
      <w:pPr>
        <w:spacing w:beforeAutospacing="1" w:afterAutospacing="1"/>
        <w:rPr>
          <w:rFonts w:ascii="Times" w:hAnsi="Times"/>
          <w:b/>
          <w:bCs/>
        </w:rPr>
      </w:pPr>
    </w:p>
    <w:p w14:paraId="4F3FCC88" w14:textId="77777777" w:rsidR="00457C1C" w:rsidRPr="00D22AA7" w:rsidRDefault="1E7122ED" w:rsidP="00D51B51">
      <w:pPr>
        <w:spacing w:beforeAutospacing="1" w:afterAutospacing="1"/>
        <w:jc w:val="both"/>
        <w:rPr>
          <w:rFonts w:ascii="Times" w:hAnsi="Times"/>
        </w:rPr>
      </w:pPr>
      <w:r w:rsidRPr="00D22AA7">
        <w:rPr>
          <w:rFonts w:ascii="Times" w:hAnsi="Times"/>
        </w:rPr>
        <w:lastRenderedPageBreak/>
        <w:t xml:space="preserve">The model achieved a sensitivity of 65.6%, reflecting its ability to accurately detect positive cases (high-grade lesions), meaning it identified </w:t>
      </w:r>
      <w:proofErr w:type="gramStart"/>
      <w:r w:rsidRPr="00D22AA7">
        <w:rPr>
          <w:rFonts w:ascii="Times" w:hAnsi="Times"/>
        </w:rPr>
        <w:t>the majority of</w:t>
      </w:r>
      <w:proofErr w:type="gramEnd"/>
      <w:r w:rsidRPr="00D22AA7">
        <w:rPr>
          <w:rFonts w:ascii="Times" w:hAnsi="Times"/>
        </w:rPr>
        <w:t xml:space="preserve"> high-grade lesions in the study. Its specificity of 81.5% highlights its capability to correctly recognize negative cases (low-grade lesions). These findings indicate that the model effectively differentiates between low-grade (LG) and high-grade (HG) lesions, maintaining a balanced performance in terms of sensitivity and specificity.</w:t>
      </w:r>
    </w:p>
    <w:p w14:paraId="590376A4" w14:textId="59CF5DB5" w:rsidR="00C03001" w:rsidRPr="00D22AA7" w:rsidRDefault="1247A56F" w:rsidP="00D51B51">
      <w:pPr>
        <w:spacing w:before="240" w:after="240"/>
        <w:jc w:val="both"/>
        <w:rPr>
          <w:rFonts w:ascii="Times" w:hAnsi="Times"/>
        </w:rPr>
      </w:pPr>
      <w:r w:rsidRPr="00D22AA7">
        <w:rPr>
          <w:rFonts w:ascii="Times" w:hAnsi="Times"/>
        </w:rPr>
        <w:t>In the task of differentiating between non-muscle invasive bladder cancer (NMIBC) and muscle-invasive bladder cancer (MIBC), radiomics analysis yielded promising results, particularly when two key radiomics features were combined. This combination demonstrated strong diagnostic performance, achieving an area under the curve (AUC) of 0.7, indicating moderate discriminatory power. The 95% confidence interval (CI) for the AUC, ranging from 0.11 to 1, suggests some level of variability in the performance estimate, likely due to factors such as patient diversity and image quality. Despite this variability, the model showed remarkable sensitivity, reaching 100%, meaning it correctly identified all MIBC cases. Additionally, the model demonstrated a specificity of 86.7%, meaning it was also effective in accurately recognizing NMIBC cases. These results are statistically significant, with a p-value of 0.0031, reinforcing the presence of a meaningful association between the extracted radiomics features and their ability to differentiate between NMIBC and MIBC. The findings suggest that this radiomics-based model holds considerable potential for improving the diagnostic accuracy in distinguishing these two forms of bladder cancer, which is crucial for determining the appropriate treatment approach. Moreover, the combination of these features in the model highlights the value of radiomics as a powerful tool in oncology, where precision is key to ensuring optimal patient outcomes.</w:t>
      </w:r>
    </w:p>
    <w:p w14:paraId="420217D5" w14:textId="5F7854DA" w:rsidR="00C03001" w:rsidRPr="00D22AA7" w:rsidRDefault="00D51B51" w:rsidP="3300C1C8">
      <w:pPr>
        <w:spacing w:beforeAutospacing="1" w:afterAutospacing="1"/>
        <w:rPr>
          <w:rFonts w:ascii="Times" w:hAnsi="Times"/>
        </w:rPr>
      </w:pPr>
      <w:r>
        <w:rPr>
          <w:rFonts w:ascii="Times" w:hAnsi="Times"/>
        </w:rPr>
        <w:t xml:space="preserve">                     </w:t>
      </w:r>
      <w:r w:rsidR="00457C1C" w:rsidRPr="00D22AA7">
        <w:rPr>
          <w:rFonts w:ascii="Times" w:hAnsi="Times"/>
        </w:rPr>
        <w:fldChar w:fldCharType="begin"/>
      </w:r>
      <w:r w:rsidR="00457C1C" w:rsidRPr="00D22AA7">
        <w:rPr>
          <w:rFonts w:ascii="Times" w:hAnsi="Times"/>
        </w:rPr>
        <w:instrText xml:space="preserve"> INCLUDEPICTURE "https://media.springernature.com/full/springer-static/image/chp%3A10.1007%2F978-3-031-51026-7_9/MediaObjects/558088_1_En_9_Fig2_HTML.png" \* MERGEFORMATINET </w:instrText>
      </w:r>
      <w:r w:rsidR="00457C1C" w:rsidRPr="00D22AA7">
        <w:rPr>
          <w:rFonts w:ascii="Times" w:hAnsi="Times"/>
        </w:rPr>
        <w:fldChar w:fldCharType="separate"/>
      </w:r>
      <w:r w:rsidR="4BEBC5E7" w:rsidRPr="00D22AA7">
        <w:rPr>
          <w:rFonts w:ascii="Times" w:hAnsi="Times"/>
          <w:noProof/>
        </w:rPr>
        <w:drawing>
          <wp:inline distT="0" distB="0" distL="0" distR="0" wp14:anchorId="45C4C66D" wp14:editId="7F06D7DD">
            <wp:extent cx="4406113" cy="2172929"/>
            <wp:effectExtent l="0" t="0" r="1270" b="0"/>
            <wp:docPr id="50232587" name="Picture 28"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92" cstate="print">
                      <a:extLst>
                        <a:ext uri="{28A0092B-C50C-407E-A947-70E740481C1C}">
                          <a14:useLocalDpi xmlns:a14="http://schemas.microsoft.com/office/drawing/2010/main" val="0"/>
                        </a:ext>
                      </a:extLst>
                    </a:blip>
                    <a:stretch>
                      <a:fillRect/>
                    </a:stretch>
                  </pic:blipFill>
                  <pic:spPr>
                    <a:xfrm>
                      <a:off x="0" y="0"/>
                      <a:ext cx="4484670" cy="2211671"/>
                    </a:xfrm>
                    <a:prstGeom prst="rect">
                      <a:avLst/>
                    </a:prstGeom>
                  </pic:spPr>
                </pic:pic>
              </a:graphicData>
            </a:graphic>
          </wp:inline>
        </w:drawing>
      </w:r>
      <w:r w:rsidR="00457C1C" w:rsidRPr="00D22AA7">
        <w:rPr>
          <w:rFonts w:ascii="Times" w:hAnsi="Times"/>
        </w:rPr>
        <w:fldChar w:fldCharType="end"/>
      </w:r>
    </w:p>
    <w:p w14:paraId="7D286C0C" w14:textId="3696F876" w:rsidR="00C03001" w:rsidRPr="00646AE3" w:rsidRDefault="00C03001">
      <w:pPr>
        <w:spacing w:beforeAutospacing="1" w:afterAutospacing="1"/>
        <w:rPr>
          <w:rFonts w:ascii="Times" w:hAnsi="Times"/>
          <w:b/>
          <w:bCs/>
          <w:sz w:val="20"/>
          <w:szCs w:val="20"/>
        </w:rPr>
      </w:pPr>
      <w:r w:rsidRPr="00646AE3">
        <w:rPr>
          <w:rFonts w:ascii="Times" w:hAnsi="Times"/>
          <w:b/>
          <w:bCs/>
          <w:sz w:val="20"/>
          <w:szCs w:val="20"/>
        </w:rPr>
        <w:t>Figure</w:t>
      </w:r>
      <w:r w:rsidR="002C530E" w:rsidRPr="00646AE3">
        <w:rPr>
          <w:rFonts w:ascii="Times" w:hAnsi="Times"/>
          <w:b/>
          <w:bCs/>
          <w:sz w:val="20"/>
          <w:szCs w:val="20"/>
        </w:rPr>
        <w:t xml:space="preserve"> 7</w:t>
      </w:r>
      <w:r w:rsidR="000F75FE" w:rsidRPr="00646AE3">
        <w:rPr>
          <w:rFonts w:ascii="Times" w:hAnsi="Times"/>
          <w:b/>
          <w:bCs/>
          <w:sz w:val="20"/>
          <w:szCs w:val="20"/>
        </w:rPr>
        <w:t>4</w:t>
      </w:r>
      <w:r w:rsidRPr="00646AE3">
        <w:rPr>
          <w:rFonts w:ascii="Times" w:hAnsi="Times"/>
          <w:b/>
          <w:bCs/>
          <w:sz w:val="20"/>
          <w:szCs w:val="20"/>
        </w:rPr>
        <w:t>:</w:t>
      </w:r>
      <w:r w:rsidRPr="00646AE3">
        <w:rPr>
          <w:rFonts w:ascii="Times" w:hAnsi="Times"/>
          <w:sz w:val="20"/>
          <w:szCs w:val="20"/>
        </w:rPr>
        <w:t xml:space="preserve"> ROC curve relating to: a) the two features analysed (SAE and SZNN); b) the two features analysed (LAHGLE and LAE).</w:t>
      </w:r>
    </w:p>
    <w:p w14:paraId="6A9790BE" w14:textId="77777777" w:rsidR="00457C1C" w:rsidRPr="00D22AA7" w:rsidRDefault="00457C1C" w:rsidP="00D51B51">
      <w:pPr>
        <w:spacing w:beforeAutospacing="1" w:afterAutospacing="1"/>
        <w:jc w:val="both"/>
        <w:rPr>
          <w:rFonts w:ascii="Times" w:hAnsi="Times"/>
        </w:rPr>
      </w:pPr>
      <w:r w:rsidRPr="00D22AA7">
        <w:rPr>
          <w:rFonts w:ascii="Times" w:hAnsi="Times"/>
        </w:rPr>
        <w:t>Wang et al. utilized radiomics features derived from T2-weighted imaging (T2WI), diffusion-weighted imaging (DWI), and apparent diffusion coefficient (ADC) sequences. They developed a radiomics signature, referred to as Radscore, based on 36 selected radiomics features. The Radscore exhibited strong predictive capability for identifying muscle-invasive bladder cancer (MIBC), achieving an AUC of 0.880 in the training cohort and 0.813 in the validation cohort. Additionally, the researchers combined the Radscore with another independent predictor, the MRI-</w:t>
      </w:r>
      <w:r w:rsidRPr="00D22AA7">
        <w:rPr>
          <w:rFonts w:ascii="Times" w:hAnsi="Times"/>
        </w:rPr>
        <w:lastRenderedPageBreak/>
        <w:t>determined tumor stalk, into a nomogram. This combination further enhanced predictive performance, with the AUC rising to 0.924 in the training cohort and 0.877 in the validation cohort. These results demonstrate that integrating the Radscore with MRI-determined tumor stalk improves the accuracy of distinguishing between non-muscle invasive bladder cancer (NMIBC) and MIBC.</w:t>
      </w:r>
    </w:p>
    <w:p w14:paraId="10F8F746" w14:textId="627EC0C3" w:rsidR="00386CA0" w:rsidRPr="0023133C" w:rsidRDefault="00457C1C" w:rsidP="00D51B51">
      <w:pPr>
        <w:spacing w:beforeAutospacing="1" w:afterAutospacing="1"/>
        <w:jc w:val="both"/>
        <w:rPr>
          <w:rFonts w:ascii="Times" w:hAnsi="Times"/>
        </w:rPr>
      </w:pPr>
      <w:r w:rsidRPr="00D22AA7">
        <w:rPr>
          <w:rFonts w:ascii="Times" w:hAnsi="Times"/>
        </w:rPr>
        <w:t>The study underscores the potential of combining radiomics features from multiple MRI sequences with other independent predictors to significantly boost the effectiveness of radiomics analysis. By leveraging diverse imaging modalities, the analysis becomes more comprehensive, capturing a wider array of tumor characteristics and improving classification accuracy. This approach highlights the value of integrating multifaceted data sources to achieve more reliable and precise differentiation between NMIBC and MIBC</w:t>
      </w:r>
      <w:r w:rsidR="0023133C">
        <w:rPr>
          <w:rFonts w:ascii="Times" w:hAnsi="Times"/>
        </w:rPr>
        <w:t xml:space="preserve"> </w:t>
      </w:r>
      <w:r w:rsidR="00C03001" w:rsidRPr="00D22AA7">
        <w:rPr>
          <w:rFonts w:ascii="Times" w:hAnsi="Times"/>
        </w:rPr>
        <w:fldChar w:fldCharType="begin"/>
      </w:r>
      <w:r w:rsidR="0056095D">
        <w:rPr>
          <w:rFonts w:ascii="Times" w:hAnsi="Times"/>
        </w:rPr>
        <w:instrText xml:space="preserve"> ADDIN ZOTERO_ITEM CSL_CITATION {"citationID":"KpLBplYQ","properties":{"formattedCitation":"[193]","plainCitation":"[193]","noteIndex":0},"citationItems":[{"id":16017,"uris":["http://zotero.org/users/9439317/items/N92F27W2"],"itemData":{"id":16017,"type":"article-journal","container-title":"European radiology","ISSN":"0938-7994","journalAbbreviation":"European radiology","note":"publisher: Springer","page":"4816-4827","title":"Elaboration of a multisequence MRI-based radiomics signature for the preoperative prediction of the muscle-invasive status of bladder cancer: a double-center study","volume":"30","author":[{"family":"Wang","given":"Huanjun"},{"family":"Xu","given":"Xiaopan"},{"family":"Zhang","given":"Xi"},{"family":"Liu","given":"Yang"},{"family":"Ouyang","given":"Longyuan"},{"family":"Du","given":"Peng"},{"family":"Li","given":"Shurong"},{"family":"Tian","given":"Qiang"},{"family":"Ling","given":"Jian"},{"family":"Guo","given":"Yan"}],"issued":{"date-parts":[["2020"]]}}}],"schema":"https://github.com/citation-style-language/schema/raw/master/csl-citation.json"} </w:instrText>
      </w:r>
      <w:r w:rsidR="00C03001" w:rsidRPr="00D22AA7">
        <w:rPr>
          <w:rFonts w:ascii="Times" w:hAnsi="Times"/>
        </w:rPr>
        <w:fldChar w:fldCharType="separate"/>
      </w:r>
      <w:r w:rsidR="0056095D">
        <w:rPr>
          <w:rFonts w:ascii="Times" w:hAnsi="Times"/>
          <w:noProof/>
        </w:rPr>
        <w:t>[193]</w:t>
      </w:r>
      <w:r w:rsidR="00C03001" w:rsidRPr="00D22AA7">
        <w:rPr>
          <w:rFonts w:ascii="Times" w:hAnsi="Times"/>
        </w:rPr>
        <w:fldChar w:fldCharType="end"/>
      </w:r>
      <w:r w:rsidR="00D45672" w:rsidRPr="00D22AA7">
        <w:rPr>
          <w:rFonts w:ascii="Times" w:hAnsi="Times"/>
        </w:rPr>
        <w:t>.</w:t>
      </w:r>
    </w:p>
    <w:p w14:paraId="3A32E610" w14:textId="77777777" w:rsidR="00386CA0" w:rsidRPr="00D22AA7" w:rsidRDefault="00386CA0">
      <w:pPr>
        <w:spacing w:beforeAutospacing="1" w:afterAutospacing="1"/>
        <w:rPr>
          <w:rFonts w:ascii="Times" w:hAnsi="Times"/>
          <w:b/>
          <w:bCs/>
        </w:rPr>
      </w:pPr>
    </w:p>
    <w:p w14:paraId="4DB0BF0A" w14:textId="77777777" w:rsidR="00386CA0" w:rsidRDefault="00386CA0">
      <w:pPr>
        <w:spacing w:beforeAutospacing="1" w:afterAutospacing="1"/>
        <w:rPr>
          <w:rFonts w:ascii="Times" w:hAnsi="Times"/>
          <w:b/>
          <w:bCs/>
        </w:rPr>
      </w:pPr>
    </w:p>
    <w:p w14:paraId="62FD8A95" w14:textId="77777777" w:rsidR="00FE01DC" w:rsidRDefault="00FE01DC">
      <w:pPr>
        <w:spacing w:beforeAutospacing="1" w:afterAutospacing="1"/>
        <w:rPr>
          <w:rFonts w:ascii="Times" w:hAnsi="Times"/>
          <w:b/>
          <w:bCs/>
        </w:rPr>
      </w:pPr>
    </w:p>
    <w:p w14:paraId="1251F874" w14:textId="77777777" w:rsidR="00FE01DC" w:rsidRDefault="00FE01DC">
      <w:pPr>
        <w:spacing w:beforeAutospacing="1" w:afterAutospacing="1"/>
        <w:rPr>
          <w:rFonts w:ascii="Times" w:hAnsi="Times"/>
          <w:b/>
          <w:bCs/>
        </w:rPr>
      </w:pPr>
    </w:p>
    <w:p w14:paraId="59E6209B" w14:textId="77777777" w:rsidR="00FE01DC" w:rsidRDefault="00FE01DC">
      <w:pPr>
        <w:spacing w:beforeAutospacing="1" w:afterAutospacing="1"/>
        <w:rPr>
          <w:rFonts w:ascii="Times" w:hAnsi="Times"/>
          <w:b/>
          <w:bCs/>
        </w:rPr>
      </w:pPr>
    </w:p>
    <w:p w14:paraId="2DE7E24E" w14:textId="77777777" w:rsidR="00FE01DC" w:rsidRDefault="00FE01DC">
      <w:pPr>
        <w:spacing w:beforeAutospacing="1" w:afterAutospacing="1"/>
        <w:rPr>
          <w:rFonts w:ascii="Times" w:hAnsi="Times"/>
          <w:b/>
          <w:bCs/>
        </w:rPr>
      </w:pPr>
    </w:p>
    <w:p w14:paraId="709DF873" w14:textId="77777777" w:rsidR="00FE01DC" w:rsidRDefault="00FE01DC">
      <w:pPr>
        <w:spacing w:beforeAutospacing="1" w:afterAutospacing="1"/>
        <w:rPr>
          <w:rFonts w:ascii="Times" w:hAnsi="Times"/>
          <w:b/>
          <w:bCs/>
        </w:rPr>
      </w:pPr>
    </w:p>
    <w:p w14:paraId="05D61885" w14:textId="77777777" w:rsidR="00FE01DC" w:rsidRDefault="00FE01DC">
      <w:pPr>
        <w:spacing w:beforeAutospacing="1" w:afterAutospacing="1"/>
        <w:rPr>
          <w:rFonts w:ascii="Times" w:hAnsi="Times"/>
          <w:b/>
          <w:bCs/>
        </w:rPr>
      </w:pPr>
    </w:p>
    <w:p w14:paraId="5C93FD35" w14:textId="77777777" w:rsidR="00FE01DC" w:rsidRDefault="00FE01DC">
      <w:pPr>
        <w:spacing w:beforeAutospacing="1" w:afterAutospacing="1"/>
        <w:rPr>
          <w:rFonts w:ascii="Times" w:hAnsi="Times"/>
          <w:b/>
          <w:bCs/>
        </w:rPr>
      </w:pPr>
    </w:p>
    <w:p w14:paraId="3EDD0148" w14:textId="77777777" w:rsidR="00FE01DC" w:rsidRDefault="00FE01DC">
      <w:pPr>
        <w:spacing w:beforeAutospacing="1" w:afterAutospacing="1"/>
        <w:rPr>
          <w:rFonts w:ascii="Times" w:hAnsi="Times"/>
          <w:b/>
          <w:bCs/>
        </w:rPr>
      </w:pPr>
    </w:p>
    <w:p w14:paraId="3B5D4FDE" w14:textId="77777777" w:rsidR="00FE01DC" w:rsidRDefault="00FE01DC">
      <w:pPr>
        <w:spacing w:beforeAutospacing="1" w:afterAutospacing="1"/>
        <w:rPr>
          <w:rFonts w:ascii="Times" w:hAnsi="Times"/>
          <w:b/>
          <w:bCs/>
        </w:rPr>
      </w:pPr>
    </w:p>
    <w:p w14:paraId="421BAEE7" w14:textId="77777777" w:rsidR="00FE01DC" w:rsidRDefault="00FE01DC">
      <w:pPr>
        <w:spacing w:beforeAutospacing="1" w:afterAutospacing="1"/>
        <w:rPr>
          <w:rFonts w:ascii="Times" w:hAnsi="Times"/>
          <w:b/>
          <w:bCs/>
        </w:rPr>
      </w:pPr>
    </w:p>
    <w:p w14:paraId="31E48A66" w14:textId="77777777" w:rsidR="00FE01DC" w:rsidRDefault="00FE01DC">
      <w:pPr>
        <w:spacing w:beforeAutospacing="1" w:afterAutospacing="1"/>
        <w:rPr>
          <w:rFonts w:ascii="Times" w:hAnsi="Times"/>
          <w:b/>
          <w:bCs/>
        </w:rPr>
      </w:pPr>
    </w:p>
    <w:p w14:paraId="7A649DC9" w14:textId="77777777" w:rsidR="00FE01DC" w:rsidRDefault="00FE01DC">
      <w:pPr>
        <w:spacing w:beforeAutospacing="1" w:afterAutospacing="1"/>
        <w:rPr>
          <w:rFonts w:ascii="Times" w:hAnsi="Times"/>
          <w:b/>
          <w:bCs/>
        </w:rPr>
      </w:pPr>
    </w:p>
    <w:p w14:paraId="73F9FCFE" w14:textId="77777777" w:rsidR="00C50D43" w:rsidRDefault="00C50D43">
      <w:pPr>
        <w:spacing w:beforeAutospacing="1" w:afterAutospacing="1"/>
        <w:rPr>
          <w:rFonts w:ascii="Times" w:hAnsi="Times"/>
          <w:b/>
          <w:bCs/>
        </w:rPr>
      </w:pPr>
    </w:p>
    <w:p w14:paraId="2FF4ED62" w14:textId="77777777" w:rsidR="00C50D43" w:rsidRDefault="00C50D43">
      <w:pPr>
        <w:spacing w:beforeAutospacing="1" w:afterAutospacing="1"/>
        <w:rPr>
          <w:rFonts w:ascii="Times" w:hAnsi="Times"/>
          <w:b/>
          <w:bCs/>
        </w:rPr>
      </w:pPr>
    </w:p>
    <w:p w14:paraId="661C2F0A" w14:textId="77777777" w:rsidR="00FE01DC" w:rsidRPr="00D22AA7" w:rsidRDefault="00FE01DC">
      <w:pPr>
        <w:spacing w:beforeAutospacing="1" w:afterAutospacing="1"/>
        <w:rPr>
          <w:rFonts w:ascii="Times" w:hAnsi="Times"/>
          <w:b/>
          <w:bCs/>
        </w:rPr>
      </w:pPr>
    </w:p>
    <w:p w14:paraId="33C1A471" w14:textId="77777777" w:rsidR="004D4A9B" w:rsidRPr="00FE01DC" w:rsidRDefault="004D4A9B" w:rsidP="004D4A9B">
      <w:pPr>
        <w:spacing w:beforeAutospacing="1" w:afterAutospacing="1"/>
        <w:rPr>
          <w:rFonts w:ascii="Times" w:hAnsi="Times"/>
          <w:b/>
          <w:bCs/>
          <w:sz w:val="40"/>
          <w:szCs w:val="40"/>
        </w:rPr>
      </w:pPr>
      <w:r w:rsidRPr="00FE01DC">
        <w:rPr>
          <w:rFonts w:ascii="Times" w:hAnsi="Times"/>
          <w:b/>
          <w:bCs/>
          <w:sz w:val="40"/>
          <w:szCs w:val="40"/>
        </w:rPr>
        <w:lastRenderedPageBreak/>
        <w:t>Discussion and Conclusion</w:t>
      </w:r>
    </w:p>
    <w:p w14:paraId="7A4E277C" w14:textId="1BD60546" w:rsidR="004D4A9B" w:rsidRPr="00FE01DC" w:rsidRDefault="004D4A9B" w:rsidP="00D51B51">
      <w:pPr>
        <w:spacing w:beforeAutospacing="1" w:afterAutospacing="1"/>
        <w:jc w:val="both"/>
        <w:rPr>
          <w:rFonts w:ascii="Times" w:hAnsi="Times"/>
        </w:rPr>
      </w:pPr>
      <w:r w:rsidRPr="00FE01DC">
        <w:rPr>
          <w:rFonts w:ascii="Times" w:hAnsi="Times"/>
        </w:rPr>
        <w:t xml:space="preserve">The complexity of rheumatoid arthritis (RA), as well as other inflammatory and oncological diseases, necessitates the development of multi-targeted therapeutic strategies that not only alleviate symptoms but also modify disease progression. Over the past few decades, considerable research has been dedicated to exploring the potential of polyphenols, nanomedicine, and artificial intelligence (AI)-driven diagnostic tools. This study integrates these diverse domains to provide </w:t>
      </w:r>
      <w:proofErr w:type="gramStart"/>
      <w:r w:rsidRPr="00FE01DC">
        <w:rPr>
          <w:rFonts w:ascii="Times" w:hAnsi="Times"/>
        </w:rPr>
        <w:t>a</w:t>
      </w:r>
      <w:proofErr w:type="gramEnd"/>
      <w:r w:rsidRPr="00FE01DC">
        <w:rPr>
          <w:rFonts w:ascii="Times" w:hAnsi="Times"/>
        </w:rPr>
        <w:t xml:space="preserve"> understanding of how these advanced approaches can revolutionize disease treatment and diagnosis. The findings contribute significantly to the fields of pharmacology, nanotechnology, and medical imaging by offering novel insights into disease modulation at </w:t>
      </w:r>
      <w:proofErr w:type="gramStart"/>
      <w:r w:rsidRPr="00FE01DC">
        <w:rPr>
          <w:rFonts w:ascii="Times" w:hAnsi="Times"/>
        </w:rPr>
        <w:t xml:space="preserve">both </w:t>
      </w:r>
      <w:r w:rsidR="00FE01DC">
        <w:rPr>
          <w:rFonts w:ascii="Times" w:hAnsi="Times"/>
          <w:b/>
          <w:bCs/>
        </w:rPr>
        <w:t xml:space="preserve"> </w:t>
      </w:r>
      <w:r w:rsidRPr="00FE01DC">
        <w:rPr>
          <w:rFonts w:ascii="Times" w:hAnsi="Times"/>
        </w:rPr>
        <w:t>Polyphenols</w:t>
      </w:r>
      <w:proofErr w:type="gramEnd"/>
      <w:r w:rsidRPr="00FE01DC">
        <w:rPr>
          <w:rFonts w:ascii="Times" w:hAnsi="Times"/>
        </w:rPr>
        <w:t>, naturally occurring bioactive compounds found in plants, have long been recognized for their anti-inflammatory, antioxidant, and anti-cancer properties. These compounds, including hydroxytyrosol, quercetin, chalcones, and resveratrol (RSV), exert significant biological effects by modulating key signaling pathways such as NF-κB, MAPK, AP-1, and PI3K/Akt. Through these mechanisms, polyphenols play a crucial role in suppressing inflammation, regulating apoptosis, and inhibiting oxidative stress, making them promising candidates for therapeutic interventions in inflammatory diseases like RA and various malignancies.</w:t>
      </w:r>
      <w:r w:rsidR="00FE01DC">
        <w:rPr>
          <w:rFonts w:ascii="Times" w:hAnsi="Times"/>
          <w:b/>
          <w:bCs/>
        </w:rPr>
        <w:t xml:space="preserve"> </w:t>
      </w:r>
      <w:r w:rsidRPr="00FE01DC">
        <w:rPr>
          <w:rFonts w:ascii="Times" w:hAnsi="Times"/>
        </w:rPr>
        <w:t xml:space="preserve">Despite the extensive pharmacological potential of polyphenols, their clinical applicability is often hindered by their poor bioavailability, rapid metabolism, and systemic instability. Many polyphenols are subject to first-pass metabolism, which significantly reduces their plasma concentration, thereby limiting their therapeutic efficacy. In addition, polyphenols often exhibit dose-dependent cytotoxicity, raising concerns about their long-term safety and effectiveness in clinical settings. The challenge, therefore, lies in optimizing the delivery mechanisms of these bioactive compounds to maximize their biological activity while minimizing unwanted side </w:t>
      </w:r>
      <w:proofErr w:type="gramStart"/>
      <w:r w:rsidRPr="00FE01DC">
        <w:rPr>
          <w:rFonts w:ascii="Times" w:hAnsi="Times"/>
        </w:rPr>
        <w:t>effects.Nanomedicine</w:t>
      </w:r>
      <w:proofErr w:type="gramEnd"/>
      <w:r w:rsidRPr="00FE01DC">
        <w:rPr>
          <w:rFonts w:ascii="Times" w:hAnsi="Times"/>
        </w:rPr>
        <w:t xml:space="preserve"> has emerged as a promising solution to overcome the pharmacokinetic limitations of polyphenols. The encapsulation of polyphenols into nanoparticles (NPs) has been shown to significantly improve their bioavailability, stability, and targeted delivery. Among various nanoparticle formulations, lipid-based, polymeric, and metallic nanoparticles have gained considerable attention for their ability to enhance drug solubility, prolong systemic circulation, and facilitate controlled release.</w:t>
      </w:r>
      <w:r w:rsidR="00FE01DC">
        <w:rPr>
          <w:rFonts w:ascii="Times" w:hAnsi="Times"/>
          <w:b/>
          <w:bCs/>
        </w:rPr>
        <w:t xml:space="preserve"> </w:t>
      </w:r>
      <w:r w:rsidRPr="00FE01DC">
        <w:rPr>
          <w:rFonts w:ascii="Times" w:hAnsi="Times"/>
        </w:rPr>
        <w:t>One of the most extensively studied polyphenols in the context of nanomedicine is RSV. RSV-loaded nanoparticles (RSV-NPs) have demonstrated enhanced solubility, increased cellular uptake, and sustained drug release, making them a viable approach for improving RSV’s therapeutic potential in both inflammatory and oncological settings. In our study, we observed that RSV-NPs exhibited superior anti-inflammatory effects compared to free RSV, particularly in downregulating pro-inflammatory cytokines such as TNF-α, IL-1β, and IL-6 in SW982 and RAW 264.7 cell lines. This suggests that nanoparticle-mediated delivery can significantly amplify the pharmacological effects of RSV by facilitating targeted accumulation in inflamed tissues.</w:t>
      </w:r>
      <w:r w:rsidR="00FE01DC">
        <w:rPr>
          <w:rFonts w:ascii="Times" w:hAnsi="Times"/>
          <w:b/>
          <w:bCs/>
        </w:rPr>
        <w:t xml:space="preserve"> </w:t>
      </w:r>
      <w:r w:rsidRPr="00FE01DC">
        <w:rPr>
          <w:rFonts w:ascii="Times" w:hAnsi="Times"/>
        </w:rPr>
        <w:t>Furthermore, nanocarriers provide an opportunity for combination therapies, where polyphenols can be co-encapsulated with other bioactive compounds</w:t>
      </w:r>
      <w:r w:rsidR="004C451B">
        <w:rPr>
          <w:rFonts w:ascii="Times" w:hAnsi="Times"/>
        </w:rPr>
        <w:t xml:space="preserve"> </w:t>
      </w:r>
      <w:r w:rsidRPr="00FE01DC">
        <w:rPr>
          <w:rFonts w:ascii="Times" w:hAnsi="Times"/>
        </w:rPr>
        <w:t xml:space="preserve">to enhance synergistic effects. </w:t>
      </w:r>
    </w:p>
    <w:p w14:paraId="65AC1692" w14:textId="7EEF2DCE" w:rsidR="001C7695" w:rsidRDefault="004D4A9B" w:rsidP="00D51B51">
      <w:pPr>
        <w:spacing w:beforeAutospacing="1" w:afterAutospacing="1"/>
        <w:jc w:val="both"/>
        <w:rPr>
          <w:rFonts w:ascii="Times" w:hAnsi="Times"/>
        </w:rPr>
      </w:pPr>
      <w:r w:rsidRPr="00FE01DC">
        <w:rPr>
          <w:rFonts w:ascii="Times" w:hAnsi="Times"/>
        </w:rPr>
        <w:t xml:space="preserve">Despite these promising outcomes, the widespread clinical application of polyphenol-based nanomedicine still faces several challenges. The large-scale production and reproducibility of polyphenol-loaded nanoparticles require optimization to ensure consistency. Additionally, potential nanoparticle-associated toxicity, long-term biocompatibility, and clearance mechanisms need to be thoroughly investigated through extensive preclinical and clinical trials. Future research should </w:t>
      </w:r>
      <w:r w:rsidRPr="00FE01DC">
        <w:rPr>
          <w:rFonts w:ascii="Times" w:hAnsi="Times"/>
        </w:rPr>
        <w:lastRenderedPageBreak/>
        <w:t>focus on developing biodegradable, non-toxic, and patient-friendly nanocarrier systems that can be safely integrated into routine medical practice.</w:t>
      </w:r>
    </w:p>
    <w:p w14:paraId="513196BF" w14:textId="04ED41A7" w:rsidR="00C572B8" w:rsidRPr="00C572B8" w:rsidRDefault="001C7695" w:rsidP="00D51B51">
      <w:pPr>
        <w:spacing w:beforeAutospacing="1" w:afterAutospacing="1"/>
        <w:jc w:val="both"/>
        <w:rPr>
          <w:rFonts w:ascii="Times" w:hAnsi="Times"/>
        </w:rPr>
      </w:pPr>
      <w:r>
        <w:rPr>
          <w:rFonts w:ascii="Times" w:hAnsi="Times"/>
        </w:rPr>
        <w:t>T</w:t>
      </w:r>
      <w:r w:rsidR="00F02521" w:rsidRPr="00F02521">
        <w:rPr>
          <w:rFonts w:ascii="Times" w:hAnsi="Times"/>
        </w:rPr>
        <w:t xml:space="preserve">he application of </w:t>
      </w:r>
      <w:r w:rsidR="00582213">
        <w:rPr>
          <w:rFonts w:ascii="Times" w:hAnsi="Times"/>
        </w:rPr>
        <w:t>r</w:t>
      </w:r>
      <w:r w:rsidR="00F02521" w:rsidRPr="00F02521">
        <w:rPr>
          <w:rFonts w:ascii="Times" w:hAnsi="Times"/>
        </w:rPr>
        <w:t xml:space="preserve">adiomics, which involves </w:t>
      </w:r>
      <w:proofErr w:type="gramStart"/>
      <w:r w:rsidR="00F02521" w:rsidRPr="00F02521">
        <w:rPr>
          <w:rFonts w:ascii="Times" w:hAnsi="Times"/>
        </w:rPr>
        <w:t>extracting  quantitative</w:t>
      </w:r>
      <w:proofErr w:type="gramEnd"/>
      <w:r w:rsidR="00F02521" w:rsidRPr="00F02521">
        <w:rPr>
          <w:rFonts w:ascii="Times" w:hAnsi="Times"/>
        </w:rPr>
        <w:t xml:space="preserve"> features from images, has proven to be a powerful tool in </w:t>
      </w:r>
      <w:r>
        <w:rPr>
          <w:rFonts w:ascii="Times" w:hAnsi="Times"/>
        </w:rPr>
        <w:t>assessment of various ailments</w:t>
      </w:r>
      <w:r w:rsidR="00F02521" w:rsidRPr="00F02521">
        <w:rPr>
          <w:rFonts w:ascii="Times" w:hAnsi="Times"/>
        </w:rPr>
        <w:t xml:space="preserve">. Beyond imaging, AI and machine learning (ML) have also emerged as transformative technologies in biomarker identification, particularly in studying cell lines' response to polyphenols and novel drug compounds. By analyzing large-scale datasets, AI-driven models can uncover intricate molecular patterns and predictive biomarkers associated with therapeutic efficacy and resistance. These computational approaches facilitate high-throughput screening of drug candidates, optimizing their clinical translation and enabling precision medicine strategies. In this study, we explored the application of radiomics in tumor grading and classification. Our findings indicate that radiomic models can effectively differentiate between low-grade (LG) and high-grade (HG) bladder tumors, as well as between non-muscle invasive bladder cancer (NMIBC) and muscle-invasive bladder cancer (MIBC). Similarly, radiomic analysis applied to imaging demonstrated high sensitivity and specificity in distinguishing malignant from benign lesions. One of the key advantages of AI-driven analysis is its ability to extract quantitative biomarkers that are often imperceptible to the human eye. These biomarkers provide critical insights into tumor heterogeneity, drug response, and disease prognosis, </w:t>
      </w:r>
      <w:r w:rsidR="00C021E2" w:rsidRPr="00F02521">
        <w:rPr>
          <w:rFonts w:ascii="Times" w:hAnsi="Times"/>
        </w:rPr>
        <w:t>thereby</w:t>
      </w:r>
      <w:r w:rsidR="007F381F">
        <w:rPr>
          <w:rFonts w:ascii="Times" w:hAnsi="Times"/>
        </w:rPr>
        <w:t xml:space="preserve"> to support</w:t>
      </w:r>
      <w:r w:rsidR="007F381F">
        <w:rPr>
          <w:rStyle w:val="CommentReference"/>
        </w:rPr>
        <w:t xml:space="preserve"> </w:t>
      </w:r>
      <w:r w:rsidR="00C021E2" w:rsidRPr="00F02521">
        <w:rPr>
          <w:rFonts w:ascii="Times" w:hAnsi="Times"/>
        </w:rPr>
        <w:t>personalized</w:t>
      </w:r>
      <w:r w:rsidR="00F02521" w:rsidRPr="00F02521">
        <w:rPr>
          <w:rFonts w:ascii="Times" w:hAnsi="Times"/>
        </w:rPr>
        <w:t xml:space="preserve"> treatment approaches. However, translating these findings into clinical practice requires overcoming challenges such as standardizing imaging and molecular profiling protocols, integrating AI algorithms into existing clinical workflows, and validating models across diverse patient populations. AI and ML can further enhance translational medicine by automating feature selection, pattern recognition, and predictive modeling, ensuring more reliable and reproducible results. Deep learning-based convolutional neural networks (CNNs) have demonstrated remarkable performance in image classification, segmentation, and biomarker extraction, making them invaluable tools in AI-driven biomedical research. In the future, integrating AI-powered biomarker discovery with molecular and genetic data could pave the way for comprehensive predictive models, guiding precision medicine and improving therapeutic outcomes. Although the findings </w:t>
      </w:r>
      <w:r w:rsidR="00FC5EF2">
        <w:rPr>
          <w:rFonts w:ascii="Times" w:hAnsi="Times"/>
        </w:rPr>
        <w:t>support</w:t>
      </w:r>
      <w:r w:rsidR="00F02521" w:rsidRPr="00F02521">
        <w:rPr>
          <w:rFonts w:ascii="Times" w:hAnsi="Times"/>
        </w:rPr>
        <w:t xml:space="preserve"> for the potential</w:t>
      </w:r>
      <w:r w:rsidR="00FC5EF2">
        <w:rPr>
          <w:rFonts w:ascii="Times" w:hAnsi="Times"/>
        </w:rPr>
        <w:t xml:space="preserve"> use</w:t>
      </w:r>
      <w:r w:rsidR="00F02521" w:rsidRPr="00F02521">
        <w:rPr>
          <w:rFonts w:ascii="Times" w:hAnsi="Times"/>
        </w:rPr>
        <w:t xml:space="preserve"> of polyphenols, nanomedicine, and AI in disease management, several challenges must be addressed before these technologies can be fully integrated into clinical practice.</w:t>
      </w:r>
      <w:r w:rsidR="006E4F10">
        <w:rPr>
          <w:rFonts w:ascii="Times" w:hAnsi="Times"/>
        </w:rPr>
        <w:t xml:space="preserve"> </w:t>
      </w:r>
      <w:r w:rsidR="00C572B8" w:rsidRPr="00C572B8">
        <w:rPr>
          <w:rFonts w:ascii="Times" w:hAnsi="Times"/>
        </w:rPr>
        <w:t xml:space="preserve">The development and implementation of nanoparticle-based therapeutics and AI-driven diagnostics face significant challenges, particularly in the realms of regulatory approval and standardization. The regulatory approval process for these advanced technologies is highly complex, requiring extensive and rigorous evaluations to ensure not only their safety and efficacy but also compliance with ethical standards. The process involves assessing the potential risks and benefits of these new technologies in both preclinical and clinical settings, which necessitates a detailed understanding of their biological interactions, mechanisms of action, and long-term impacts on human health. To facilitate their successful integration into clinical practice, standardized protocols for nanoparticle synthesis, characterization, and clinical testing must be established across the board. These protocols will ensure consistency and reproducibility in the production of nanoparticle-based therapeutics, which is essential for maintaining their safety and efficacy in real-world applications. Moreover, as AI-driven diagnostic tools are increasingly being integrated into healthcare settings, they too must undergo extensive validation. This validation process is crucial to ensure that these tools are not only reliable and accurate but also generalizable across diverse healthcare environments. This step is particularly important because AI-driven diagnostics must </w:t>
      </w:r>
      <w:r w:rsidR="00C572B8" w:rsidRPr="00C572B8">
        <w:rPr>
          <w:rFonts w:ascii="Times" w:hAnsi="Times"/>
        </w:rPr>
        <w:lastRenderedPageBreak/>
        <w:t>perform well in varied patient populations, medical conditions, and healthcare infrastructure to be truly effective.</w:t>
      </w:r>
    </w:p>
    <w:p w14:paraId="7670F74C" w14:textId="7583E936" w:rsidR="00C572B8" w:rsidRPr="00C572B8" w:rsidRDefault="00C572B8" w:rsidP="00D51B51">
      <w:pPr>
        <w:spacing w:beforeAutospacing="1" w:afterAutospacing="1"/>
        <w:jc w:val="both"/>
        <w:rPr>
          <w:rFonts w:ascii="Times" w:hAnsi="Times"/>
        </w:rPr>
      </w:pPr>
      <w:r w:rsidRPr="00C572B8">
        <w:rPr>
          <w:rFonts w:ascii="Times" w:hAnsi="Times"/>
        </w:rPr>
        <w:t>In parallel with these regulatory and standardization efforts, the successful integration of collaboration. This is where the expertise of pharmacologists, biomedical engineers, clinicians, and data scientists becomes invaluable. Interdisciplinary collaboration is essential because the integration of polyphenols with nanomedicine and AI technologies draws from multiple fields of knowledge, each with its own set of challenges. Pharmacologists bring insights into the therapeutic potential and safety profiles of polyphenols, while biomedical engineers contribute their expertise in nanoparticle design, fabrication, and delivery mechanisms. Clinicians offer valuable perspectives on how these technologies can be effectively translated into patient care, ensuring that treatments are both practical and applicable in clinical settings. Data scientists, on the other hand, play a critical role in the development of AI-driven diagnostic tools, helping to refine algorithms, improve machine learning models, and ensure the accuracy and reliability of data analysis. To foster such collaboration, interdisciplinary research initiatives should focus on bridging the gap between laboratory discoveries and real-world clinical applications. This could include collaborative research projects, joint publications, and shared clinical trials, all aimed at optimizing the potential of these technologies in improving patient outcomes.</w:t>
      </w:r>
    </w:p>
    <w:p w14:paraId="66CC1D9C" w14:textId="6476E198" w:rsidR="00C572B8" w:rsidRPr="00C572B8" w:rsidRDefault="00C572B8" w:rsidP="00D51B51">
      <w:pPr>
        <w:spacing w:beforeAutospacing="1" w:afterAutospacing="1"/>
        <w:jc w:val="both"/>
        <w:rPr>
          <w:rFonts w:ascii="Times" w:hAnsi="Times"/>
        </w:rPr>
      </w:pPr>
      <w:r w:rsidRPr="00C572B8">
        <w:rPr>
          <w:rFonts w:ascii="Times" w:hAnsi="Times"/>
        </w:rPr>
        <w:t xml:space="preserve">Furthermore, as we look to the future of therapeutic interventions, personalized medicine approaches will become increasingly important. Future studies should prioritize the development of personalized treatment strategies by integrating AI-driven data analytics with patient-specific genetic, molecular, and imaging data. Personalized medicine represents a paradigm shift in how healthcare is delivered, moving away from one-size-fits-all treatments and towards strategies that are tailored to the unique needs of each patient. By leveraging AI to analyze complex datasets from various sources, such as genomic sequences, biomarker profiles, and medical imaging, clinicians will be able to develop highly individualized treatment plans. This approach has the potential to optimize therapeutic outcomes, improve the efficiency of treatment regimens, and reduce the risk of adverse effects. Moreover, personalized medicine can contribute to the identification of novel therapeutic targets and the development of more effective therapies, particularly for complex and heterogeneous diseases such as </w:t>
      </w:r>
      <w:r w:rsidR="00E716CF">
        <w:rPr>
          <w:rFonts w:ascii="Times" w:hAnsi="Times"/>
        </w:rPr>
        <w:t>RA</w:t>
      </w:r>
      <w:r w:rsidRPr="00C572B8">
        <w:rPr>
          <w:rFonts w:ascii="Times" w:hAnsi="Times"/>
        </w:rPr>
        <w:t>.</w:t>
      </w:r>
    </w:p>
    <w:p w14:paraId="3F98E561" w14:textId="7B55D3D2" w:rsidR="00C572B8" w:rsidRPr="00C572B8" w:rsidRDefault="00C572B8" w:rsidP="00D51B51">
      <w:pPr>
        <w:spacing w:beforeAutospacing="1" w:afterAutospacing="1"/>
        <w:jc w:val="both"/>
        <w:rPr>
          <w:rFonts w:ascii="Times" w:hAnsi="Times"/>
        </w:rPr>
      </w:pPr>
      <w:r w:rsidRPr="00C572B8">
        <w:rPr>
          <w:rFonts w:ascii="Times" w:hAnsi="Times"/>
        </w:rPr>
        <w:t>While the preclinical studies conducted thus far have shown promising results, it is crucial that these findings be validated through large-scale multicenter clinical trials. These trials will provide the necessary data to confirm the safety and efficacy of polyphenol-based nanotherapeutics and AI-driven</w:t>
      </w:r>
      <w:r w:rsidR="007F381F">
        <w:rPr>
          <w:rFonts w:ascii="Times" w:hAnsi="Times"/>
        </w:rPr>
        <w:t xml:space="preserve"> </w:t>
      </w:r>
      <w:r w:rsidR="007F381F" w:rsidRPr="007F381F">
        <w:rPr>
          <w:rFonts w:ascii="Times" w:hAnsi="Times"/>
          <w:lang w:val="en-GB"/>
        </w:rPr>
        <w:t>clinical decision support models</w:t>
      </w:r>
      <w:r w:rsidR="007F381F">
        <w:rPr>
          <w:rFonts w:ascii="Times" w:hAnsi="Times"/>
        </w:rPr>
        <w:t xml:space="preserve"> in</w:t>
      </w:r>
      <w:r w:rsidRPr="00C572B8">
        <w:rPr>
          <w:rFonts w:ascii="Times" w:hAnsi="Times"/>
        </w:rPr>
        <w:t xml:space="preserve">n diverse patient populations. Large-scale trials are particularly important for understanding how these therapies perform in the real-world setting, where variables such as patient comorbidities, different stages of disease, and variations in healthcare delivery can influence outcomes. Moreover, large-scale trials will help establish the long-term sustainability of these treatments, allowing researchers to assess the durability of their effects over extended periods. Long-term follow-up studies will be essential to monitor potential adverse effects that may arise after prolonged use, particularly when novel therapeutics such as nanoparticle-based drugs and polyphenol-enriched therapies are involved. These studies will also help assess whether the benefits of these treatments persist over time or diminish as patients continue treatment. Collectively, these efforts will ensure that polyphenol-based nanotherapeutics and </w:t>
      </w:r>
      <w:r w:rsidRPr="00C572B8">
        <w:rPr>
          <w:rFonts w:ascii="Times" w:hAnsi="Times"/>
        </w:rPr>
        <w:lastRenderedPageBreak/>
        <w:t xml:space="preserve">AI-driven </w:t>
      </w:r>
      <w:r w:rsidR="007F381F" w:rsidRPr="007F381F">
        <w:rPr>
          <w:rFonts w:ascii="Times" w:hAnsi="Times"/>
          <w:lang w:val="en-GB"/>
        </w:rPr>
        <w:t>clinical decision support models</w:t>
      </w:r>
      <w:r w:rsidR="007F381F">
        <w:rPr>
          <w:rFonts w:ascii="Times" w:hAnsi="Times"/>
          <w:lang w:val="en-GB"/>
        </w:rPr>
        <w:t xml:space="preserve"> </w:t>
      </w:r>
      <w:r w:rsidRPr="00C572B8">
        <w:rPr>
          <w:rFonts w:ascii="Times" w:hAnsi="Times"/>
        </w:rPr>
        <w:t>can be safely and effectively integrated into clinical practice, offering new hope for patients with challenging conditions like rheumatoid arthritis.</w:t>
      </w:r>
    </w:p>
    <w:p w14:paraId="1070A752" w14:textId="77777777" w:rsidR="00386CA0" w:rsidRPr="00D22AA7" w:rsidRDefault="00386CA0">
      <w:pPr>
        <w:spacing w:beforeAutospacing="1" w:afterAutospacing="1"/>
        <w:rPr>
          <w:rFonts w:ascii="Times" w:hAnsi="Times"/>
          <w:b/>
          <w:bCs/>
        </w:rPr>
      </w:pPr>
    </w:p>
    <w:p w14:paraId="4CCFA052" w14:textId="77777777" w:rsidR="00386CA0" w:rsidRDefault="00386CA0">
      <w:pPr>
        <w:spacing w:beforeAutospacing="1" w:afterAutospacing="1"/>
        <w:rPr>
          <w:rFonts w:ascii="Times" w:hAnsi="Times"/>
          <w:b/>
          <w:bCs/>
        </w:rPr>
      </w:pPr>
    </w:p>
    <w:p w14:paraId="7204E328" w14:textId="77777777" w:rsidR="00174177" w:rsidRDefault="00174177">
      <w:pPr>
        <w:spacing w:beforeAutospacing="1" w:afterAutospacing="1"/>
        <w:rPr>
          <w:rFonts w:ascii="Times" w:hAnsi="Times"/>
          <w:b/>
          <w:bCs/>
        </w:rPr>
      </w:pPr>
    </w:p>
    <w:p w14:paraId="41335ED7" w14:textId="77777777" w:rsidR="00174177" w:rsidRDefault="00174177">
      <w:pPr>
        <w:spacing w:beforeAutospacing="1" w:afterAutospacing="1"/>
        <w:rPr>
          <w:rFonts w:ascii="Times" w:hAnsi="Times"/>
          <w:b/>
          <w:bCs/>
        </w:rPr>
      </w:pPr>
    </w:p>
    <w:p w14:paraId="6A21B879" w14:textId="77777777" w:rsidR="00174177" w:rsidRDefault="00174177">
      <w:pPr>
        <w:spacing w:beforeAutospacing="1" w:afterAutospacing="1"/>
        <w:rPr>
          <w:rFonts w:ascii="Times" w:hAnsi="Times"/>
          <w:b/>
          <w:bCs/>
        </w:rPr>
      </w:pPr>
    </w:p>
    <w:p w14:paraId="131F26D5" w14:textId="77777777" w:rsidR="00174177" w:rsidRDefault="00174177">
      <w:pPr>
        <w:spacing w:beforeAutospacing="1" w:afterAutospacing="1"/>
        <w:rPr>
          <w:rFonts w:ascii="Times" w:hAnsi="Times"/>
          <w:b/>
          <w:bCs/>
        </w:rPr>
      </w:pPr>
    </w:p>
    <w:p w14:paraId="7711D6F3" w14:textId="77777777" w:rsidR="00174177" w:rsidRDefault="00174177">
      <w:pPr>
        <w:spacing w:beforeAutospacing="1" w:afterAutospacing="1"/>
        <w:rPr>
          <w:rFonts w:ascii="Times" w:hAnsi="Times"/>
          <w:b/>
          <w:bCs/>
        </w:rPr>
      </w:pPr>
    </w:p>
    <w:p w14:paraId="247480EE" w14:textId="77777777" w:rsidR="00174177" w:rsidRDefault="00174177">
      <w:pPr>
        <w:spacing w:beforeAutospacing="1" w:afterAutospacing="1"/>
        <w:rPr>
          <w:rFonts w:ascii="Times" w:hAnsi="Times"/>
          <w:b/>
          <w:bCs/>
        </w:rPr>
      </w:pPr>
    </w:p>
    <w:p w14:paraId="50EFCAA8" w14:textId="77777777" w:rsidR="00174177" w:rsidRDefault="00174177">
      <w:pPr>
        <w:spacing w:beforeAutospacing="1" w:afterAutospacing="1"/>
        <w:rPr>
          <w:rFonts w:ascii="Times" w:hAnsi="Times"/>
          <w:b/>
          <w:bCs/>
        </w:rPr>
      </w:pPr>
    </w:p>
    <w:p w14:paraId="67C2BF40" w14:textId="77777777" w:rsidR="00174177" w:rsidRDefault="00174177">
      <w:pPr>
        <w:spacing w:beforeAutospacing="1" w:afterAutospacing="1"/>
        <w:rPr>
          <w:rFonts w:ascii="Times" w:hAnsi="Times"/>
          <w:b/>
          <w:bCs/>
        </w:rPr>
      </w:pPr>
    </w:p>
    <w:p w14:paraId="09A5A87A" w14:textId="77777777" w:rsidR="00174177" w:rsidRDefault="00174177">
      <w:pPr>
        <w:spacing w:beforeAutospacing="1" w:afterAutospacing="1"/>
        <w:rPr>
          <w:rFonts w:ascii="Times" w:hAnsi="Times"/>
          <w:b/>
          <w:bCs/>
        </w:rPr>
      </w:pPr>
    </w:p>
    <w:p w14:paraId="457FC986" w14:textId="77777777" w:rsidR="00174177" w:rsidRDefault="00174177">
      <w:pPr>
        <w:spacing w:beforeAutospacing="1" w:afterAutospacing="1"/>
        <w:rPr>
          <w:rFonts w:ascii="Times" w:hAnsi="Times"/>
          <w:b/>
          <w:bCs/>
        </w:rPr>
      </w:pPr>
    </w:p>
    <w:p w14:paraId="3A7DF778" w14:textId="77777777" w:rsidR="00174177" w:rsidRDefault="00174177">
      <w:pPr>
        <w:spacing w:beforeAutospacing="1" w:afterAutospacing="1"/>
        <w:rPr>
          <w:rFonts w:ascii="Times" w:hAnsi="Times"/>
          <w:b/>
          <w:bCs/>
        </w:rPr>
      </w:pPr>
    </w:p>
    <w:p w14:paraId="3EC07D88" w14:textId="77777777" w:rsidR="00174177" w:rsidRDefault="00174177">
      <w:pPr>
        <w:spacing w:beforeAutospacing="1" w:afterAutospacing="1"/>
        <w:rPr>
          <w:rFonts w:ascii="Times" w:hAnsi="Times"/>
          <w:b/>
          <w:bCs/>
        </w:rPr>
      </w:pPr>
    </w:p>
    <w:p w14:paraId="07226FE9" w14:textId="77777777" w:rsidR="00174177" w:rsidRDefault="00174177">
      <w:pPr>
        <w:spacing w:beforeAutospacing="1" w:afterAutospacing="1"/>
        <w:rPr>
          <w:rFonts w:ascii="Times" w:hAnsi="Times"/>
          <w:b/>
          <w:bCs/>
        </w:rPr>
      </w:pPr>
    </w:p>
    <w:p w14:paraId="640D4116" w14:textId="77777777" w:rsidR="00174177" w:rsidRDefault="00174177">
      <w:pPr>
        <w:spacing w:beforeAutospacing="1" w:afterAutospacing="1"/>
        <w:rPr>
          <w:rFonts w:ascii="Times" w:hAnsi="Times"/>
          <w:b/>
          <w:bCs/>
        </w:rPr>
      </w:pPr>
    </w:p>
    <w:p w14:paraId="2F850DAB" w14:textId="77777777" w:rsidR="00174177" w:rsidRDefault="00174177">
      <w:pPr>
        <w:spacing w:beforeAutospacing="1" w:afterAutospacing="1"/>
        <w:rPr>
          <w:rFonts w:ascii="Times" w:hAnsi="Times"/>
          <w:b/>
          <w:bCs/>
        </w:rPr>
      </w:pPr>
    </w:p>
    <w:p w14:paraId="68F8B2A5" w14:textId="77777777" w:rsidR="00174177" w:rsidRDefault="00174177">
      <w:pPr>
        <w:spacing w:beforeAutospacing="1" w:afterAutospacing="1"/>
        <w:rPr>
          <w:rFonts w:ascii="Times" w:hAnsi="Times"/>
          <w:b/>
          <w:bCs/>
        </w:rPr>
      </w:pPr>
    </w:p>
    <w:p w14:paraId="61CC6241" w14:textId="77777777" w:rsidR="00174177" w:rsidRDefault="00174177">
      <w:pPr>
        <w:spacing w:beforeAutospacing="1" w:afterAutospacing="1"/>
        <w:rPr>
          <w:rFonts w:ascii="Times" w:hAnsi="Times"/>
          <w:b/>
          <w:bCs/>
        </w:rPr>
      </w:pPr>
    </w:p>
    <w:p w14:paraId="01604D66" w14:textId="77777777" w:rsidR="009F0E50" w:rsidRDefault="009F0E50">
      <w:pPr>
        <w:spacing w:beforeAutospacing="1" w:afterAutospacing="1"/>
        <w:rPr>
          <w:rFonts w:ascii="Times" w:hAnsi="Times"/>
          <w:b/>
          <w:bCs/>
        </w:rPr>
      </w:pPr>
    </w:p>
    <w:p w14:paraId="3DFADF21" w14:textId="77777777" w:rsidR="009F0E50" w:rsidRPr="00D22AA7" w:rsidRDefault="009F0E50">
      <w:pPr>
        <w:spacing w:beforeAutospacing="1" w:afterAutospacing="1"/>
        <w:rPr>
          <w:rFonts w:ascii="Times" w:hAnsi="Times"/>
          <w:b/>
          <w:bCs/>
        </w:rPr>
      </w:pPr>
    </w:p>
    <w:p w14:paraId="54465815" w14:textId="77777777" w:rsidR="00386CA0" w:rsidRPr="00174177" w:rsidRDefault="00D45672">
      <w:pPr>
        <w:spacing w:beforeAutospacing="1" w:afterAutospacing="1"/>
        <w:rPr>
          <w:rFonts w:ascii="Times" w:hAnsi="Times"/>
          <w:b/>
          <w:bCs/>
          <w:sz w:val="40"/>
          <w:szCs w:val="40"/>
        </w:rPr>
      </w:pPr>
      <w:r w:rsidRPr="00174177">
        <w:rPr>
          <w:rFonts w:ascii="Times" w:hAnsi="Times"/>
          <w:b/>
          <w:bCs/>
          <w:sz w:val="40"/>
          <w:szCs w:val="40"/>
        </w:rPr>
        <w:lastRenderedPageBreak/>
        <w:t>References</w:t>
      </w:r>
    </w:p>
    <w:p w14:paraId="3AEF36EB" w14:textId="77777777" w:rsidR="0056095D" w:rsidRPr="0056095D" w:rsidRDefault="00931653" w:rsidP="0056095D">
      <w:pPr>
        <w:pStyle w:val="Bibliography"/>
        <w:rPr>
          <w:lang w:val="en-GB"/>
        </w:rPr>
      </w:pPr>
      <w:r w:rsidRPr="00D22AA7">
        <w:rPr>
          <w:rFonts w:ascii="Times" w:hAnsi="Times"/>
          <w:b/>
          <w:bCs/>
        </w:rPr>
        <w:fldChar w:fldCharType="begin"/>
      </w:r>
      <w:r w:rsidR="00CF2514">
        <w:rPr>
          <w:rFonts w:ascii="Times" w:hAnsi="Times"/>
          <w:b/>
          <w:bCs/>
        </w:rPr>
        <w:instrText xml:space="preserve"> ADDIN ZOTERO_BIBL {"uncited":[],"omitted":[],"custom":[]} CSL_BIBLIOGRAPHY </w:instrText>
      </w:r>
      <w:r w:rsidRPr="00D22AA7">
        <w:rPr>
          <w:rFonts w:ascii="Times" w:hAnsi="Times"/>
          <w:b/>
          <w:bCs/>
        </w:rPr>
        <w:fldChar w:fldCharType="separate"/>
      </w:r>
      <w:r w:rsidR="0056095D" w:rsidRPr="0056095D">
        <w:rPr>
          <w:lang w:val="en-GB"/>
        </w:rPr>
        <w:t xml:space="preserve">1. </w:t>
      </w:r>
      <w:r w:rsidR="0056095D" w:rsidRPr="0056095D">
        <w:rPr>
          <w:lang w:val="en-GB"/>
        </w:rPr>
        <w:tab/>
        <w:t xml:space="preserve">Aletaha, D.; Smolen, J.S. Diagnosis and Management of Rheumatoid Arthritis: A Review. </w:t>
      </w:r>
      <w:r w:rsidR="0056095D" w:rsidRPr="0056095D">
        <w:rPr>
          <w:i/>
          <w:iCs/>
          <w:lang w:val="en-GB"/>
        </w:rPr>
        <w:t>JAMA</w:t>
      </w:r>
      <w:r w:rsidR="0056095D" w:rsidRPr="0056095D">
        <w:rPr>
          <w:lang w:val="en-GB"/>
        </w:rPr>
        <w:t xml:space="preserve"> </w:t>
      </w:r>
      <w:r w:rsidR="0056095D" w:rsidRPr="0056095D">
        <w:rPr>
          <w:b/>
          <w:bCs/>
          <w:lang w:val="en-GB"/>
        </w:rPr>
        <w:t>2018</w:t>
      </w:r>
      <w:r w:rsidR="0056095D" w:rsidRPr="0056095D">
        <w:rPr>
          <w:lang w:val="en-GB"/>
        </w:rPr>
        <w:t xml:space="preserve">, </w:t>
      </w:r>
      <w:r w:rsidR="0056095D" w:rsidRPr="0056095D">
        <w:rPr>
          <w:i/>
          <w:iCs/>
          <w:lang w:val="en-GB"/>
        </w:rPr>
        <w:t>320</w:t>
      </w:r>
      <w:r w:rsidR="0056095D" w:rsidRPr="0056095D">
        <w:rPr>
          <w:lang w:val="en-GB"/>
        </w:rPr>
        <w:t>, 1360–1372, doi:10.1001/jama.2018.13103.</w:t>
      </w:r>
    </w:p>
    <w:p w14:paraId="061A9C55" w14:textId="77777777" w:rsidR="0056095D" w:rsidRPr="0056095D" w:rsidRDefault="0056095D" w:rsidP="0056095D">
      <w:pPr>
        <w:pStyle w:val="Bibliography"/>
        <w:rPr>
          <w:lang w:val="en-GB"/>
        </w:rPr>
      </w:pPr>
      <w:r w:rsidRPr="0056095D">
        <w:rPr>
          <w:lang w:val="en-GB"/>
        </w:rPr>
        <w:t xml:space="preserve">2. </w:t>
      </w:r>
      <w:r w:rsidRPr="0056095D">
        <w:rPr>
          <w:lang w:val="en-GB"/>
        </w:rPr>
        <w:tab/>
        <w:t xml:space="preserve">Babaahmadi, M.; Tayebi, B.; Gholipour, N.M.; Kamardi, M.T.; Heidari, S.; Baharvand, H.; Eslaminejad, M.B.; Hajizadeh-Saffar, E.; Hassani, S.-N. Rheumatoid Arthritis: The Old Issue, the New Therapeutic Approach. </w:t>
      </w:r>
      <w:r w:rsidRPr="0056095D">
        <w:rPr>
          <w:i/>
          <w:iCs/>
          <w:lang w:val="en-GB"/>
        </w:rPr>
        <w:t>Stem Cell Research &amp; Therapy</w:t>
      </w:r>
      <w:r w:rsidRPr="0056095D">
        <w:rPr>
          <w:lang w:val="en-GB"/>
        </w:rPr>
        <w:t xml:space="preserve"> </w:t>
      </w:r>
      <w:r w:rsidRPr="0056095D">
        <w:rPr>
          <w:b/>
          <w:bCs/>
          <w:lang w:val="en-GB"/>
        </w:rPr>
        <w:t>2023</w:t>
      </w:r>
      <w:r w:rsidRPr="0056095D">
        <w:rPr>
          <w:lang w:val="en-GB"/>
        </w:rPr>
        <w:t xml:space="preserve">, </w:t>
      </w:r>
      <w:r w:rsidRPr="0056095D">
        <w:rPr>
          <w:i/>
          <w:iCs/>
          <w:lang w:val="en-GB"/>
        </w:rPr>
        <w:t>14</w:t>
      </w:r>
      <w:r w:rsidRPr="0056095D">
        <w:rPr>
          <w:lang w:val="en-GB"/>
        </w:rPr>
        <w:t>, 268, doi:10.1186/s13287-023-03473-7.</w:t>
      </w:r>
    </w:p>
    <w:p w14:paraId="45EC1CE1" w14:textId="77777777" w:rsidR="0056095D" w:rsidRPr="0056095D" w:rsidRDefault="0056095D" w:rsidP="0056095D">
      <w:pPr>
        <w:pStyle w:val="Bibliography"/>
        <w:rPr>
          <w:lang w:val="en-GB"/>
        </w:rPr>
      </w:pPr>
      <w:r w:rsidRPr="0056095D">
        <w:rPr>
          <w:lang w:val="en-GB"/>
        </w:rPr>
        <w:t xml:space="preserve">3. </w:t>
      </w:r>
      <w:r w:rsidRPr="0056095D">
        <w:rPr>
          <w:lang w:val="en-GB"/>
        </w:rPr>
        <w:tab/>
        <w:t xml:space="preserve">Fakhouri, W.; Lopez-Romero, P.; Antonelli, S.; Losi, S.; Rogai, V.; Buda, S.; Sangiorgi, D.; Perrone, V.; Degli Esposti, L. Treatment Patterns, Health Care Resource Utilization and Costs of Rheumatoid Arthritis Patients in Italy: Findings from a Retrospective Administrative Database Analysis. </w:t>
      </w:r>
      <w:r w:rsidRPr="0056095D">
        <w:rPr>
          <w:i/>
          <w:iCs/>
          <w:lang w:val="en-GB"/>
        </w:rPr>
        <w:t>OARRR</w:t>
      </w:r>
      <w:r w:rsidRPr="0056095D">
        <w:rPr>
          <w:lang w:val="en-GB"/>
        </w:rPr>
        <w:t xml:space="preserve"> </w:t>
      </w:r>
      <w:r w:rsidRPr="0056095D">
        <w:rPr>
          <w:b/>
          <w:bCs/>
          <w:lang w:val="en-GB"/>
        </w:rPr>
        <w:t>2018</w:t>
      </w:r>
      <w:r w:rsidRPr="0056095D">
        <w:rPr>
          <w:lang w:val="en-GB"/>
        </w:rPr>
        <w:t xml:space="preserve">, </w:t>
      </w:r>
      <w:r w:rsidRPr="0056095D">
        <w:rPr>
          <w:i/>
          <w:iCs/>
          <w:lang w:val="en-GB"/>
        </w:rPr>
        <w:t>Volume 10</w:t>
      </w:r>
      <w:r w:rsidRPr="0056095D">
        <w:rPr>
          <w:lang w:val="en-GB"/>
        </w:rPr>
        <w:t>, 103–111, doi:10.2147/OARRR.S164738.</w:t>
      </w:r>
    </w:p>
    <w:p w14:paraId="0E1CBFD4" w14:textId="77777777" w:rsidR="0056095D" w:rsidRPr="0056095D" w:rsidRDefault="0056095D" w:rsidP="0056095D">
      <w:pPr>
        <w:pStyle w:val="Bibliography"/>
        <w:rPr>
          <w:lang w:val="en-GB"/>
        </w:rPr>
      </w:pPr>
      <w:r w:rsidRPr="0056095D">
        <w:rPr>
          <w:lang w:val="en-GB"/>
        </w:rPr>
        <w:t xml:space="preserve">4. </w:t>
      </w:r>
      <w:r w:rsidRPr="0056095D">
        <w:rPr>
          <w:lang w:val="en-GB"/>
        </w:rPr>
        <w:tab/>
        <w:t xml:space="preserve">Rana, A.K.; Li, Y.; Dang, Q.; Yang, F. Monocytes in Rheumatoid Arthritis: Circulating Precursors of Macrophages and Osteoclasts and, Their Heterogeneity and Plasticity Role in RA Pathogenesis. </w:t>
      </w:r>
      <w:r w:rsidRPr="0056095D">
        <w:rPr>
          <w:i/>
          <w:iCs/>
          <w:lang w:val="en-GB"/>
        </w:rPr>
        <w:t>International immunopharmacology</w:t>
      </w:r>
      <w:r w:rsidRPr="0056095D">
        <w:rPr>
          <w:lang w:val="en-GB"/>
        </w:rPr>
        <w:t xml:space="preserve"> </w:t>
      </w:r>
      <w:r w:rsidRPr="0056095D">
        <w:rPr>
          <w:b/>
          <w:bCs/>
          <w:lang w:val="en-GB"/>
        </w:rPr>
        <w:t>2018</w:t>
      </w:r>
      <w:r w:rsidRPr="0056095D">
        <w:rPr>
          <w:lang w:val="en-GB"/>
        </w:rPr>
        <w:t xml:space="preserve">, </w:t>
      </w:r>
      <w:r w:rsidRPr="0056095D">
        <w:rPr>
          <w:i/>
          <w:iCs/>
          <w:lang w:val="en-GB"/>
        </w:rPr>
        <w:t>65</w:t>
      </w:r>
      <w:r w:rsidRPr="0056095D">
        <w:rPr>
          <w:lang w:val="en-GB"/>
        </w:rPr>
        <w:t>, 348–359.</w:t>
      </w:r>
    </w:p>
    <w:p w14:paraId="7FF7E48E" w14:textId="77777777" w:rsidR="0056095D" w:rsidRPr="0056095D" w:rsidRDefault="0056095D" w:rsidP="0056095D">
      <w:pPr>
        <w:pStyle w:val="Bibliography"/>
        <w:rPr>
          <w:lang w:val="en-GB"/>
        </w:rPr>
      </w:pPr>
      <w:r w:rsidRPr="0056095D">
        <w:rPr>
          <w:lang w:val="en-GB"/>
        </w:rPr>
        <w:t xml:space="preserve">5. </w:t>
      </w:r>
      <w:r w:rsidRPr="0056095D">
        <w:rPr>
          <w:lang w:val="en-GB"/>
        </w:rPr>
        <w:tab/>
        <w:t xml:space="preserve">Christman, L.M.; Gu, L. Efficacy and Mechanisms of Dietary Polyphenols in Mitigating Rheumatoid Arthritis. </w:t>
      </w:r>
      <w:r w:rsidRPr="0056095D">
        <w:rPr>
          <w:i/>
          <w:iCs/>
          <w:lang w:val="en-GB"/>
        </w:rPr>
        <w:t>Journal of Functional Foods</w:t>
      </w:r>
      <w:r w:rsidRPr="0056095D">
        <w:rPr>
          <w:lang w:val="en-GB"/>
        </w:rPr>
        <w:t xml:space="preserve"> </w:t>
      </w:r>
      <w:r w:rsidRPr="0056095D">
        <w:rPr>
          <w:b/>
          <w:bCs/>
          <w:lang w:val="en-GB"/>
        </w:rPr>
        <w:t>2020</w:t>
      </w:r>
      <w:r w:rsidRPr="0056095D">
        <w:rPr>
          <w:lang w:val="en-GB"/>
        </w:rPr>
        <w:t xml:space="preserve">, </w:t>
      </w:r>
      <w:r w:rsidRPr="0056095D">
        <w:rPr>
          <w:i/>
          <w:iCs/>
          <w:lang w:val="en-GB"/>
        </w:rPr>
        <w:t>71</w:t>
      </w:r>
      <w:r w:rsidRPr="0056095D">
        <w:rPr>
          <w:lang w:val="en-GB"/>
        </w:rPr>
        <w:t>, doi:10.1016/j.jff.2020.104003.</w:t>
      </w:r>
    </w:p>
    <w:p w14:paraId="640812CC" w14:textId="77777777" w:rsidR="0056095D" w:rsidRPr="00A417B6" w:rsidRDefault="0056095D" w:rsidP="0056095D">
      <w:pPr>
        <w:pStyle w:val="Bibliography"/>
        <w:rPr>
          <w:lang w:val="it-IT"/>
        </w:rPr>
      </w:pPr>
      <w:r w:rsidRPr="0056095D">
        <w:rPr>
          <w:lang w:val="en-GB"/>
        </w:rPr>
        <w:t xml:space="preserve">6. </w:t>
      </w:r>
      <w:r w:rsidRPr="0056095D">
        <w:rPr>
          <w:lang w:val="en-GB"/>
        </w:rPr>
        <w:tab/>
        <w:t xml:space="preserve">Ali, M.; Benfante, V.; Di Raimondo, D.; Salvaggio, G.; Tuttolomondo, A.; Comelli, A. Recent Developments in Nanoparticle Formulations for Resveratrol Encapsulation as an Anticancer Agent. </w:t>
      </w:r>
      <w:r w:rsidRPr="00A417B6">
        <w:rPr>
          <w:i/>
          <w:iCs/>
          <w:lang w:val="it-IT"/>
        </w:rPr>
        <w:t>Pharmaceuticals</w:t>
      </w:r>
      <w:r w:rsidRPr="00A417B6">
        <w:rPr>
          <w:lang w:val="it-IT"/>
        </w:rPr>
        <w:t xml:space="preserve"> </w:t>
      </w:r>
      <w:r w:rsidRPr="00A417B6">
        <w:rPr>
          <w:b/>
          <w:bCs/>
          <w:lang w:val="it-IT"/>
        </w:rPr>
        <w:t>2024</w:t>
      </w:r>
      <w:r w:rsidRPr="00A417B6">
        <w:rPr>
          <w:lang w:val="it-IT"/>
        </w:rPr>
        <w:t xml:space="preserve">, </w:t>
      </w:r>
      <w:r w:rsidRPr="00A417B6">
        <w:rPr>
          <w:i/>
          <w:iCs/>
          <w:lang w:val="it-IT"/>
        </w:rPr>
        <w:t>17</w:t>
      </w:r>
      <w:r w:rsidRPr="00A417B6">
        <w:rPr>
          <w:lang w:val="it-IT"/>
        </w:rPr>
        <w:t>, doi:10.3390/ph17010126.</w:t>
      </w:r>
    </w:p>
    <w:p w14:paraId="24C5F5A7" w14:textId="77777777" w:rsidR="0056095D" w:rsidRPr="00A417B6" w:rsidRDefault="0056095D" w:rsidP="0056095D">
      <w:pPr>
        <w:pStyle w:val="Bibliography"/>
        <w:rPr>
          <w:lang w:val="it-IT"/>
        </w:rPr>
      </w:pPr>
      <w:r w:rsidRPr="00A417B6">
        <w:rPr>
          <w:lang w:val="it-IT"/>
        </w:rPr>
        <w:t xml:space="preserve">7. </w:t>
      </w:r>
      <w:r w:rsidRPr="00A417B6">
        <w:rPr>
          <w:lang w:val="it-IT"/>
        </w:rPr>
        <w:tab/>
        <w:t xml:space="preserve">Ali, M.; Benfante, V.; Basirinia, G.; Alongi, P.; Sperandeo, A.; Quattrocchi, A.; Giannone, A.G.; Cabibi, D.; Yezzi, A.; Di Raimondo, D.; et al. </w:t>
      </w:r>
      <w:r w:rsidRPr="0056095D">
        <w:rPr>
          <w:lang w:val="en-GB"/>
        </w:rPr>
        <w:t xml:space="preserve">Applications of Artificial Intelligence, Deep Learning, and Machine Learning to Support the Analysis of Microscopic Images of Cells and Tissues. </w:t>
      </w:r>
      <w:r w:rsidRPr="00A417B6">
        <w:rPr>
          <w:i/>
          <w:iCs/>
          <w:lang w:val="it-IT"/>
        </w:rPr>
        <w:t>Journal of Imaging</w:t>
      </w:r>
      <w:r w:rsidRPr="00A417B6">
        <w:rPr>
          <w:lang w:val="it-IT"/>
        </w:rPr>
        <w:t xml:space="preserve"> </w:t>
      </w:r>
      <w:r w:rsidRPr="00A417B6">
        <w:rPr>
          <w:b/>
          <w:bCs/>
          <w:lang w:val="it-IT"/>
        </w:rPr>
        <w:t>2025</w:t>
      </w:r>
      <w:r w:rsidRPr="00A417B6">
        <w:rPr>
          <w:lang w:val="it-IT"/>
        </w:rPr>
        <w:t xml:space="preserve">, </w:t>
      </w:r>
      <w:r w:rsidRPr="00A417B6">
        <w:rPr>
          <w:i/>
          <w:iCs/>
          <w:lang w:val="it-IT"/>
        </w:rPr>
        <w:t>11</w:t>
      </w:r>
      <w:r w:rsidRPr="00A417B6">
        <w:rPr>
          <w:lang w:val="it-IT"/>
        </w:rPr>
        <w:t>, doi:10.3390/jimaging11020059.</w:t>
      </w:r>
    </w:p>
    <w:p w14:paraId="596DBD77" w14:textId="77777777" w:rsidR="0056095D" w:rsidRPr="0056095D" w:rsidRDefault="0056095D" w:rsidP="0056095D">
      <w:pPr>
        <w:pStyle w:val="Bibliography"/>
        <w:rPr>
          <w:lang w:val="en-GB"/>
        </w:rPr>
      </w:pPr>
      <w:r w:rsidRPr="00A417B6">
        <w:rPr>
          <w:lang w:val="it-IT"/>
        </w:rPr>
        <w:t xml:space="preserve">8. </w:t>
      </w:r>
      <w:r w:rsidRPr="00A417B6">
        <w:rPr>
          <w:lang w:val="it-IT"/>
        </w:rPr>
        <w:tab/>
        <w:t xml:space="preserve">Benfante, V.; Salvaggio, G.; Ali, M.; Cutaia, G.; Salvaggio, L.; Salerno, S.; Busè, G.; Tulone, G.; Pavan, N.; Di Raimondo, D.; et al. </w:t>
      </w:r>
      <w:r w:rsidRPr="0056095D">
        <w:rPr>
          <w:lang w:val="en-GB"/>
        </w:rPr>
        <w:t>Grading and Staging of Bladder Tumors Using Radiomics Analysis in Magnetic Resonance Imaging. In Proceedings of the Image Analysis and Processing - ICIAP 2023 Workshops; Foresti, G.L., Fusiello, A., Hancock, E., Eds.; Springer Nature Switzerland: Cham, 2024; pp. 93–103.</w:t>
      </w:r>
    </w:p>
    <w:p w14:paraId="620A681A" w14:textId="77777777" w:rsidR="0056095D" w:rsidRPr="0056095D" w:rsidRDefault="0056095D" w:rsidP="0056095D">
      <w:pPr>
        <w:pStyle w:val="Bibliography"/>
        <w:rPr>
          <w:lang w:val="en-GB"/>
        </w:rPr>
      </w:pPr>
      <w:r w:rsidRPr="00A417B6">
        <w:rPr>
          <w:lang w:val="it-IT"/>
        </w:rPr>
        <w:t xml:space="preserve">9. </w:t>
      </w:r>
      <w:r w:rsidRPr="00A417B6">
        <w:rPr>
          <w:lang w:val="it-IT"/>
        </w:rPr>
        <w:tab/>
        <w:t xml:space="preserve">Ali, M.; Benfante, V.; Cutaia, G.; Salvaggio, L.; Rubino, S.; Portoghese, M.; Ferraro, M.; Corso, R.; Piraino, G.; Ingrassia, T.; et al. </w:t>
      </w:r>
      <w:r w:rsidRPr="0056095D">
        <w:rPr>
          <w:lang w:val="en-GB"/>
        </w:rPr>
        <w:t>Prostate Cancer Detection: Performance of Radiomics Analysis in Multiparametric MRI. In Proceedings of the Image Analysis and Processing - ICIAP 2023 Workshops; Foresti, G.L., Fusiello, A., Hancock, E., Eds.; Springer Nature Switzerland: Cham, 2024; pp. 83–92.</w:t>
      </w:r>
    </w:p>
    <w:p w14:paraId="4448A089" w14:textId="77777777" w:rsidR="0056095D" w:rsidRPr="007F381F" w:rsidRDefault="0056095D" w:rsidP="0056095D">
      <w:pPr>
        <w:pStyle w:val="Bibliography"/>
      </w:pPr>
      <w:r w:rsidRPr="00A417B6">
        <w:rPr>
          <w:lang w:val="it-IT"/>
        </w:rPr>
        <w:t xml:space="preserve">10. </w:t>
      </w:r>
      <w:r w:rsidRPr="00A417B6">
        <w:rPr>
          <w:lang w:val="it-IT"/>
        </w:rPr>
        <w:tab/>
        <w:t xml:space="preserve">Casnici, C.; Lattuada, D.; Crotta, K.; Truzzi, M.C.; Corradini, C.; Ingegnoli, F.; Tonna, N.; Bianco, F.; Marelli, O. Anti-Inflammatory Effect of Somatostatin Analogue Octreotide on Rheumatoid Arthritis Synoviocytes. </w:t>
      </w:r>
      <w:r w:rsidRPr="007F381F">
        <w:rPr>
          <w:i/>
          <w:iCs/>
        </w:rPr>
        <w:t>Inflammation</w:t>
      </w:r>
      <w:r w:rsidRPr="007F381F">
        <w:t xml:space="preserve"> </w:t>
      </w:r>
      <w:r w:rsidRPr="007F381F">
        <w:rPr>
          <w:b/>
          <w:bCs/>
        </w:rPr>
        <w:t>2018</w:t>
      </w:r>
      <w:r w:rsidRPr="007F381F">
        <w:t xml:space="preserve">, </w:t>
      </w:r>
      <w:r w:rsidRPr="007F381F">
        <w:rPr>
          <w:i/>
          <w:iCs/>
        </w:rPr>
        <w:t>41</w:t>
      </w:r>
      <w:r w:rsidRPr="007F381F">
        <w:t>, 1648–1660.</w:t>
      </w:r>
    </w:p>
    <w:p w14:paraId="3143819C" w14:textId="77777777" w:rsidR="0056095D" w:rsidRPr="0056095D" w:rsidRDefault="0056095D" w:rsidP="0056095D">
      <w:pPr>
        <w:pStyle w:val="Bibliography"/>
        <w:rPr>
          <w:lang w:val="en-GB"/>
        </w:rPr>
      </w:pPr>
      <w:r w:rsidRPr="007F381F">
        <w:t xml:space="preserve">11. </w:t>
      </w:r>
      <w:r w:rsidRPr="007F381F">
        <w:tab/>
      </w:r>
      <w:r w:rsidRPr="0056095D">
        <w:rPr>
          <w:lang w:val="en-GB"/>
        </w:rPr>
        <w:t xml:space="preserve">Ma, Q.S.; Linghu, K.-G.; Zhang, T.; Zhao, G.D.; Xiong, W.; Xiong, S.H.; Zhao, M.; Xu, W.; Yu, J.; Yu, H. Sigesbeckia Glabrescens Makino Extract Attenuated the Collagen-Induced Arthritis through Inhibiting the Synovial Hyperplasia and Inflammation. </w:t>
      </w:r>
      <w:r w:rsidRPr="0056095D">
        <w:rPr>
          <w:i/>
          <w:iCs/>
          <w:lang w:val="en-GB"/>
        </w:rPr>
        <w:t>Chin Med</w:t>
      </w:r>
      <w:r w:rsidRPr="0056095D">
        <w:rPr>
          <w:lang w:val="en-GB"/>
        </w:rPr>
        <w:t xml:space="preserve"> </w:t>
      </w:r>
      <w:r w:rsidRPr="0056095D">
        <w:rPr>
          <w:b/>
          <w:bCs/>
          <w:lang w:val="en-GB"/>
        </w:rPr>
        <w:t>2020</w:t>
      </w:r>
      <w:r w:rsidRPr="0056095D">
        <w:rPr>
          <w:lang w:val="en-GB"/>
        </w:rPr>
        <w:t xml:space="preserve">, </w:t>
      </w:r>
      <w:r w:rsidRPr="0056095D">
        <w:rPr>
          <w:i/>
          <w:iCs/>
          <w:lang w:val="en-GB"/>
        </w:rPr>
        <w:t>15</w:t>
      </w:r>
      <w:r w:rsidRPr="0056095D">
        <w:rPr>
          <w:lang w:val="en-GB"/>
        </w:rPr>
        <w:t>, 91, doi:10.1186/s13020-020-00372-4.</w:t>
      </w:r>
    </w:p>
    <w:p w14:paraId="05D00F59" w14:textId="77777777" w:rsidR="0056095D" w:rsidRPr="0056095D" w:rsidRDefault="0056095D" w:rsidP="0056095D">
      <w:pPr>
        <w:pStyle w:val="Bibliography"/>
        <w:rPr>
          <w:lang w:val="en-GB"/>
        </w:rPr>
      </w:pPr>
      <w:r w:rsidRPr="0056095D">
        <w:rPr>
          <w:lang w:val="en-GB"/>
        </w:rPr>
        <w:lastRenderedPageBreak/>
        <w:t xml:space="preserve">12. </w:t>
      </w:r>
      <w:r w:rsidRPr="0056095D">
        <w:rPr>
          <w:lang w:val="en-GB"/>
        </w:rPr>
        <w:tab/>
        <w:t xml:space="preserve">Karnezis, T.; Shayan, R.; Caesar, C.; Roufail, S.; Harris, N.C.; Ardipradja, K.; Zhang, Y.F.; Williams, S.P.; Farnsworth, R.H.; Chai, M.G.; et al. VEGF-D Promotes Tumor Metastasis by Regulating Prostaglandins Produced by the Collecting Lymphatic Endothelium. </w:t>
      </w:r>
      <w:r w:rsidRPr="0056095D">
        <w:rPr>
          <w:i/>
          <w:iCs/>
          <w:lang w:val="en-GB"/>
        </w:rPr>
        <w:t>Cancer Cell</w:t>
      </w:r>
      <w:r w:rsidRPr="0056095D">
        <w:rPr>
          <w:lang w:val="en-GB"/>
        </w:rPr>
        <w:t xml:space="preserve"> </w:t>
      </w:r>
      <w:r w:rsidRPr="0056095D">
        <w:rPr>
          <w:b/>
          <w:bCs/>
          <w:lang w:val="en-GB"/>
        </w:rPr>
        <w:t>2012</w:t>
      </w:r>
      <w:r w:rsidRPr="0056095D">
        <w:rPr>
          <w:lang w:val="en-GB"/>
        </w:rPr>
        <w:t xml:space="preserve">, </w:t>
      </w:r>
      <w:r w:rsidRPr="0056095D">
        <w:rPr>
          <w:i/>
          <w:iCs/>
          <w:lang w:val="en-GB"/>
        </w:rPr>
        <w:t>21</w:t>
      </w:r>
      <w:r w:rsidRPr="0056095D">
        <w:rPr>
          <w:lang w:val="en-GB"/>
        </w:rPr>
        <w:t>, 181–195, doi:10.1016/j.ccr.2011.12.026.</w:t>
      </w:r>
    </w:p>
    <w:p w14:paraId="19E97C5C" w14:textId="77777777" w:rsidR="0056095D" w:rsidRPr="0056095D" w:rsidRDefault="0056095D" w:rsidP="0056095D">
      <w:pPr>
        <w:pStyle w:val="Bibliography"/>
        <w:rPr>
          <w:lang w:val="en-GB"/>
        </w:rPr>
      </w:pPr>
      <w:r w:rsidRPr="0056095D">
        <w:rPr>
          <w:lang w:val="en-GB"/>
        </w:rPr>
        <w:t xml:space="preserve">13. </w:t>
      </w:r>
      <w:r w:rsidRPr="0056095D">
        <w:rPr>
          <w:lang w:val="en-GB"/>
        </w:rPr>
        <w:tab/>
        <w:t xml:space="preserve">Cébe-Suarez, S.; Zehnder-Fjällman, A.; Ballmer-Hofer, K. The Role of VEGF Receptors in Angiogenesis; Complex Partnerships. </w:t>
      </w:r>
      <w:r w:rsidRPr="0056095D">
        <w:rPr>
          <w:i/>
          <w:iCs/>
          <w:lang w:val="en-GB"/>
        </w:rPr>
        <w:t>Cell. Mol. Life Sci.</w:t>
      </w:r>
      <w:r w:rsidRPr="0056095D">
        <w:rPr>
          <w:lang w:val="en-GB"/>
        </w:rPr>
        <w:t xml:space="preserve"> </w:t>
      </w:r>
      <w:r w:rsidRPr="0056095D">
        <w:rPr>
          <w:b/>
          <w:bCs/>
          <w:lang w:val="en-GB"/>
        </w:rPr>
        <w:t>2006</w:t>
      </w:r>
      <w:r w:rsidRPr="0056095D">
        <w:rPr>
          <w:lang w:val="en-GB"/>
        </w:rPr>
        <w:t xml:space="preserve">, </w:t>
      </w:r>
      <w:r w:rsidRPr="0056095D">
        <w:rPr>
          <w:i/>
          <w:iCs/>
          <w:lang w:val="en-GB"/>
        </w:rPr>
        <w:t>63</w:t>
      </w:r>
      <w:r w:rsidRPr="0056095D">
        <w:rPr>
          <w:lang w:val="en-GB"/>
        </w:rPr>
        <w:t>, 601, doi:10.1007/s00018-005-5426-3.</w:t>
      </w:r>
    </w:p>
    <w:p w14:paraId="2D54A3A6" w14:textId="77777777" w:rsidR="0056095D" w:rsidRPr="0056095D" w:rsidRDefault="0056095D" w:rsidP="0056095D">
      <w:pPr>
        <w:pStyle w:val="Bibliography"/>
        <w:rPr>
          <w:lang w:val="en-GB"/>
        </w:rPr>
      </w:pPr>
      <w:r w:rsidRPr="0056095D">
        <w:rPr>
          <w:lang w:val="en-GB"/>
        </w:rPr>
        <w:t xml:space="preserve">14. </w:t>
      </w:r>
      <w:r w:rsidRPr="0056095D">
        <w:rPr>
          <w:lang w:val="en-GB"/>
        </w:rPr>
        <w:tab/>
        <w:t xml:space="preserve">Hascoët, E.; Blanchard, F.; Blin-Wakkach, C.; Guicheux, J.; Lesclous, P.; Cloitre, A. New Insights into Inflammatory Osteoclast Precursors as Therapeutic Targets for Rheumatoid Arthritis and Periodontitis. </w:t>
      </w:r>
      <w:r w:rsidRPr="0056095D">
        <w:rPr>
          <w:i/>
          <w:iCs/>
          <w:lang w:val="en-GB"/>
        </w:rPr>
        <w:t>Bone Research</w:t>
      </w:r>
      <w:r w:rsidRPr="0056095D">
        <w:rPr>
          <w:lang w:val="en-GB"/>
        </w:rPr>
        <w:t xml:space="preserve"> </w:t>
      </w:r>
      <w:r w:rsidRPr="0056095D">
        <w:rPr>
          <w:b/>
          <w:bCs/>
          <w:lang w:val="en-GB"/>
        </w:rPr>
        <w:t>2023</w:t>
      </w:r>
      <w:r w:rsidRPr="0056095D">
        <w:rPr>
          <w:lang w:val="en-GB"/>
        </w:rPr>
        <w:t xml:space="preserve">, </w:t>
      </w:r>
      <w:r w:rsidRPr="0056095D">
        <w:rPr>
          <w:i/>
          <w:iCs/>
          <w:lang w:val="en-GB"/>
        </w:rPr>
        <w:t>11</w:t>
      </w:r>
      <w:r w:rsidRPr="0056095D">
        <w:rPr>
          <w:lang w:val="en-GB"/>
        </w:rPr>
        <w:t>, 26, doi:10.1038/s41413-023-00257-w.</w:t>
      </w:r>
    </w:p>
    <w:p w14:paraId="2316E30F" w14:textId="77777777" w:rsidR="0056095D" w:rsidRPr="0056095D" w:rsidRDefault="0056095D" w:rsidP="0056095D">
      <w:pPr>
        <w:pStyle w:val="Bibliography"/>
        <w:rPr>
          <w:lang w:val="en-GB"/>
        </w:rPr>
      </w:pPr>
      <w:r w:rsidRPr="0056095D">
        <w:rPr>
          <w:lang w:val="en-GB"/>
        </w:rPr>
        <w:t xml:space="preserve">15. </w:t>
      </w:r>
      <w:r w:rsidRPr="0056095D">
        <w:rPr>
          <w:lang w:val="en-GB"/>
        </w:rPr>
        <w:tab/>
        <w:t xml:space="preserve">Kurowska, W.; Kuca-Warnawin, E.H.; Radzikowska, A.; Maśliński, W. The Role of Anti-Citrullinated Protein Antibodies (ACPA) in the Pathogenesis of Rheumatoid Arthritis. </w:t>
      </w:r>
      <w:r w:rsidRPr="0056095D">
        <w:rPr>
          <w:i/>
          <w:iCs/>
          <w:lang w:val="en-GB"/>
        </w:rPr>
        <w:t>cejoi</w:t>
      </w:r>
      <w:r w:rsidRPr="0056095D">
        <w:rPr>
          <w:lang w:val="en-GB"/>
        </w:rPr>
        <w:t xml:space="preserve"> </w:t>
      </w:r>
      <w:r w:rsidRPr="0056095D">
        <w:rPr>
          <w:b/>
          <w:bCs/>
          <w:lang w:val="en-GB"/>
        </w:rPr>
        <w:t>2017</w:t>
      </w:r>
      <w:r w:rsidRPr="0056095D">
        <w:rPr>
          <w:lang w:val="en-GB"/>
        </w:rPr>
        <w:t xml:space="preserve">, </w:t>
      </w:r>
      <w:r w:rsidRPr="0056095D">
        <w:rPr>
          <w:i/>
          <w:iCs/>
          <w:lang w:val="en-GB"/>
        </w:rPr>
        <w:t>42</w:t>
      </w:r>
      <w:r w:rsidRPr="0056095D">
        <w:rPr>
          <w:lang w:val="en-GB"/>
        </w:rPr>
        <w:t>, 390–398, doi:10.5114/ceji.2017.72807.</w:t>
      </w:r>
    </w:p>
    <w:p w14:paraId="4011826D" w14:textId="77777777" w:rsidR="0056095D" w:rsidRPr="00A417B6" w:rsidRDefault="0056095D" w:rsidP="0056095D">
      <w:pPr>
        <w:pStyle w:val="Bibliography"/>
        <w:rPr>
          <w:lang w:val="it-IT"/>
        </w:rPr>
      </w:pPr>
      <w:r w:rsidRPr="0056095D">
        <w:rPr>
          <w:lang w:val="en-GB"/>
        </w:rPr>
        <w:t xml:space="preserve">16. </w:t>
      </w:r>
      <w:r w:rsidRPr="0056095D">
        <w:rPr>
          <w:lang w:val="en-GB"/>
        </w:rPr>
        <w:tab/>
        <w:t xml:space="preserve">Klareskog, L.; Stolt, P.; Lundberg, K.; Källberg, H.; Bengtsson, C.; Grunewald, J.; Rönnelid, J.; Erlandsson Harris, H.; Ulfgren, A.-K.; Rantapää-Dahlqvist, S.; et al. A New Model for an Etiology of Rheumatoid Arthritis: Smoking May Trigger HLA–DR (Shared Epitope)–Restricted Immune Reactions to Autoantigens Modified by Citrullination. </w:t>
      </w:r>
      <w:r w:rsidRPr="00A417B6">
        <w:rPr>
          <w:i/>
          <w:iCs/>
          <w:lang w:val="it-IT"/>
        </w:rPr>
        <w:t>Arthritis &amp; Rheumatism</w:t>
      </w:r>
      <w:r w:rsidRPr="00A417B6">
        <w:rPr>
          <w:lang w:val="it-IT"/>
        </w:rPr>
        <w:t xml:space="preserve"> </w:t>
      </w:r>
      <w:r w:rsidRPr="00A417B6">
        <w:rPr>
          <w:b/>
          <w:bCs/>
          <w:lang w:val="it-IT"/>
        </w:rPr>
        <w:t>2006</w:t>
      </w:r>
      <w:r w:rsidRPr="00A417B6">
        <w:rPr>
          <w:lang w:val="it-IT"/>
        </w:rPr>
        <w:t xml:space="preserve">, </w:t>
      </w:r>
      <w:r w:rsidRPr="00A417B6">
        <w:rPr>
          <w:i/>
          <w:iCs/>
          <w:lang w:val="it-IT"/>
        </w:rPr>
        <w:t>54</w:t>
      </w:r>
      <w:r w:rsidRPr="00A417B6">
        <w:rPr>
          <w:lang w:val="it-IT"/>
        </w:rPr>
        <w:t>, 38–46, doi:10.1002/art.21575.</w:t>
      </w:r>
    </w:p>
    <w:p w14:paraId="7AC5707A" w14:textId="77777777" w:rsidR="0056095D" w:rsidRPr="0056095D" w:rsidRDefault="0056095D" w:rsidP="0056095D">
      <w:pPr>
        <w:pStyle w:val="Bibliography"/>
        <w:rPr>
          <w:lang w:val="en-GB"/>
        </w:rPr>
      </w:pPr>
      <w:r w:rsidRPr="00A417B6">
        <w:rPr>
          <w:lang w:val="it-IT"/>
        </w:rPr>
        <w:t xml:space="preserve">17. </w:t>
      </w:r>
      <w:r w:rsidRPr="00A417B6">
        <w:rPr>
          <w:lang w:val="it-IT"/>
        </w:rPr>
        <w:tab/>
        <w:t xml:space="preserve">Bizzaro, N.; Bartoloni, E.; Morozzi, G.; Manganelli, S.; Riccieri, V.; Sabatini, P.; Filippini, M.; Tampoia, M.; Afeltra, A.; Sebastiani, G.; et al. </w:t>
      </w:r>
      <w:r w:rsidRPr="0056095D">
        <w:rPr>
          <w:lang w:val="en-GB"/>
        </w:rPr>
        <w:t xml:space="preserve">Anti-Cyclic Citrullinated Peptide Antibody Titer Predicts Time to Rheumatoid Arthritis Onset in Patients with Undifferentiated Arthritis: Results from a 2-Year Prospective Study. </w:t>
      </w:r>
      <w:r w:rsidRPr="0056095D">
        <w:rPr>
          <w:i/>
          <w:iCs/>
          <w:lang w:val="en-GB"/>
        </w:rPr>
        <w:t>Arthritis Research &amp; Therapy</w:t>
      </w:r>
      <w:r w:rsidRPr="0056095D">
        <w:rPr>
          <w:lang w:val="en-GB"/>
        </w:rPr>
        <w:t xml:space="preserve"> </w:t>
      </w:r>
      <w:r w:rsidRPr="0056095D">
        <w:rPr>
          <w:b/>
          <w:bCs/>
          <w:lang w:val="en-GB"/>
        </w:rPr>
        <w:t>2013</w:t>
      </w:r>
      <w:r w:rsidRPr="0056095D">
        <w:rPr>
          <w:lang w:val="en-GB"/>
        </w:rPr>
        <w:t xml:space="preserve">, </w:t>
      </w:r>
      <w:r w:rsidRPr="0056095D">
        <w:rPr>
          <w:i/>
          <w:iCs/>
          <w:lang w:val="en-GB"/>
        </w:rPr>
        <w:t>15</w:t>
      </w:r>
      <w:r w:rsidRPr="0056095D">
        <w:rPr>
          <w:lang w:val="en-GB"/>
        </w:rPr>
        <w:t>, R16, doi:10.1186/ar4148.</w:t>
      </w:r>
    </w:p>
    <w:p w14:paraId="0378F335" w14:textId="77777777" w:rsidR="0056095D" w:rsidRPr="0056095D" w:rsidRDefault="0056095D" w:rsidP="0056095D">
      <w:pPr>
        <w:pStyle w:val="Bibliography"/>
        <w:rPr>
          <w:lang w:val="en-GB"/>
        </w:rPr>
      </w:pPr>
      <w:r w:rsidRPr="0056095D">
        <w:rPr>
          <w:lang w:val="en-GB"/>
        </w:rPr>
        <w:t xml:space="preserve">18. </w:t>
      </w:r>
      <w:r w:rsidRPr="0056095D">
        <w:rPr>
          <w:lang w:val="en-GB"/>
        </w:rPr>
        <w:tab/>
        <w:t xml:space="preserve">Ding, Q.; Hu, W.; Wang, R.; Yang, Q.; Zhu, M.; Li, M.; Cai, J.; Rose, P.; Mao, J.; Zhu, Y.Z. Signaling Pathways in Rheumatoid Arthritis: Implications for Targeted Therapy. </w:t>
      </w:r>
      <w:r w:rsidRPr="0056095D">
        <w:rPr>
          <w:i/>
          <w:iCs/>
          <w:lang w:val="en-GB"/>
        </w:rPr>
        <w:t>Signal Transduction and Targeted Therapy</w:t>
      </w:r>
      <w:r w:rsidRPr="0056095D">
        <w:rPr>
          <w:lang w:val="en-GB"/>
        </w:rPr>
        <w:t xml:space="preserve"> </w:t>
      </w:r>
      <w:r w:rsidRPr="0056095D">
        <w:rPr>
          <w:b/>
          <w:bCs/>
          <w:lang w:val="en-GB"/>
        </w:rPr>
        <w:t>2023</w:t>
      </w:r>
      <w:r w:rsidRPr="0056095D">
        <w:rPr>
          <w:lang w:val="en-GB"/>
        </w:rPr>
        <w:t xml:space="preserve">, </w:t>
      </w:r>
      <w:r w:rsidRPr="0056095D">
        <w:rPr>
          <w:i/>
          <w:iCs/>
          <w:lang w:val="en-GB"/>
        </w:rPr>
        <w:t>8</w:t>
      </w:r>
      <w:r w:rsidRPr="0056095D">
        <w:rPr>
          <w:lang w:val="en-GB"/>
        </w:rPr>
        <w:t>, 68, doi:10.1038/s41392-023-01331-9.</w:t>
      </w:r>
    </w:p>
    <w:p w14:paraId="5216E788" w14:textId="77777777" w:rsidR="0056095D" w:rsidRPr="0056095D" w:rsidRDefault="0056095D" w:rsidP="0056095D">
      <w:pPr>
        <w:pStyle w:val="Bibliography"/>
        <w:rPr>
          <w:lang w:val="en-GB"/>
        </w:rPr>
      </w:pPr>
      <w:r w:rsidRPr="0056095D">
        <w:rPr>
          <w:lang w:val="en-GB"/>
        </w:rPr>
        <w:t xml:space="preserve">19. </w:t>
      </w:r>
      <w:r w:rsidRPr="0056095D">
        <w:rPr>
          <w:lang w:val="en-GB"/>
        </w:rPr>
        <w:tab/>
        <w:t xml:space="preserve">Konig, M.F.; Abusleme, L.; Reinholdt, J.; Palmer, R.J.; Teles, R.P.; Sampson, K.; Rosen, A.; Nigrovic, P.A.; Sokolove, J.; Giles, J.T.; et al. Aggregatibacter Actinomycetemcomitans–Induced Hypercitrullination Links Periodontal Infection to Autoimmunity in Rheumatoid Arthritis. </w:t>
      </w:r>
      <w:r w:rsidRPr="0056095D">
        <w:rPr>
          <w:i/>
          <w:iCs/>
          <w:lang w:val="en-GB"/>
        </w:rPr>
        <w:t>Science Translational Medicine</w:t>
      </w:r>
      <w:r w:rsidRPr="0056095D">
        <w:rPr>
          <w:lang w:val="en-GB"/>
        </w:rPr>
        <w:t xml:space="preserve"> </w:t>
      </w:r>
      <w:r w:rsidRPr="0056095D">
        <w:rPr>
          <w:b/>
          <w:bCs/>
          <w:lang w:val="en-GB"/>
        </w:rPr>
        <w:t>2016</w:t>
      </w:r>
      <w:r w:rsidRPr="0056095D">
        <w:rPr>
          <w:lang w:val="en-GB"/>
        </w:rPr>
        <w:t xml:space="preserve">, </w:t>
      </w:r>
      <w:r w:rsidRPr="0056095D">
        <w:rPr>
          <w:i/>
          <w:iCs/>
          <w:lang w:val="en-GB"/>
        </w:rPr>
        <w:t>8</w:t>
      </w:r>
      <w:r w:rsidRPr="0056095D">
        <w:rPr>
          <w:lang w:val="en-GB"/>
        </w:rPr>
        <w:t>, 369ra176-369ra176, doi:10.1126/scitranslmed.aaj1921.</w:t>
      </w:r>
    </w:p>
    <w:p w14:paraId="53BD3DD9" w14:textId="77777777" w:rsidR="0056095D" w:rsidRPr="0056095D" w:rsidRDefault="0056095D" w:rsidP="0056095D">
      <w:pPr>
        <w:pStyle w:val="Bibliography"/>
        <w:rPr>
          <w:lang w:val="en-GB"/>
        </w:rPr>
      </w:pPr>
      <w:r w:rsidRPr="0056095D">
        <w:rPr>
          <w:lang w:val="en-GB"/>
        </w:rPr>
        <w:t xml:space="preserve">20. </w:t>
      </w:r>
      <w:r w:rsidRPr="0056095D">
        <w:rPr>
          <w:lang w:val="en-GB"/>
        </w:rPr>
        <w:tab/>
        <w:t xml:space="preserve">Wegner, N.; Wait, R.; Sroka, A.; Eick, S.; Nguyen, K.-A.; Lundberg, K.; Kinloch, A.; Culshaw, S.; Potempa, J.; Venables, P.J. Peptidylarginine Deiminase from Porphyromonas Gingivalis Citrullinates Human Fibrinogen and α-Enolase: Implications for Autoimmunity in Rheumatoid Arthritis. </w:t>
      </w:r>
      <w:r w:rsidRPr="0056095D">
        <w:rPr>
          <w:i/>
          <w:iCs/>
          <w:lang w:val="en-GB"/>
        </w:rPr>
        <w:t>Arthritis &amp; Rheumatism</w:t>
      </w:r>
      <w:r w:rsidRPr="0056095D">
        <w:rPr>
          <w:lang w:val="en-GB"/>
        </w:rPr>
        <w:t xml:space="preserve"> </w:t>
      </w:r>
      <w:r w:rsidRPr="0056095D">
        <w:rPr>
          <w:b/>
          <w:bCs/>
          <w:lang w:val="en-GB"/>
        </w:rPr>
        <w:t>2010</w:t>
      </w:r>
      <w:r w:rsidRPr="0056095D">
        <w:rPr>
          <w:lang w:val="en-GB"/>
        </w:rPr>
        <w:t xml:space="preserve">, </w:t>
      </w:r>
      <w:r w:rsidRPr="0056095D">
        <w:rPr>
          <w:i/>
          <w:iCs/>
          <w:lang w:val="en-GB"/>
        </w:rPr>
        <w:t>62</w:t>
      </w:r>
      <w:r w:rsidRPr="0056095D">
        <w:rPr>
          <w:lang w:val="en-GB"/>
        </w:rPr>
        <w:t>, 2662–2672, doi:10.1002/art.27552.</w:t>
      </w:r>
    </w:p>
    <w:p w14:paraId="1DFA87D3" w14:textId="77777777" w:rsidR="0056095D" w:rsidRPr="0056095D" w:rsidRDefault="0056095D" w:rsidP="0056095D">
      <w:pPr>
        <w:pStyle w:val="Bibliography"/>
        <w:rPr>
          <w:lang w:val="en-GB"/>
        </w:rPr>
      </w:pPr>
      <w:r w:rsidRPr="0056095D">
        <w:rPr>
          <w:lang w:val="en-GB"/>
        </w:rPr>
        <w:t xml:space="preserve">21. </w:t>
      </w:r>
      <w:r w:rsidRPr="0056095D">
        <w:rPr>
          <w:lang w:val="en-GB"/>
        </w:rPr>
        <w:tab/>
        <w:t xml:space="preserve">Tu, J.; Huang, W.; Zhang, W.; Mei, J.; Zhu, C. A Tale of Two Immune Cells in Rheumatoid Arthritis: The Crosstalk between Macrophages and T Cells in the Synovium. </w:t>
      </w:r>
      <w:r w:rsidRPr="0056095D">
        <w:rPr>
          <w:i/>
          <w:iCs/>
          <w:lang w:val="en-GB"/>
        </w:rPr>
        <w:t>Frontiers in immunology</w:t>
      </w:r>
      <w:r w:rsidRPr="0056095D">
        <w:rPr>
          <w:lang w:val="en-GB"/>
        </w:rPr>
        <w:t xml:space="preserve"> </w:t>
      </w:r>
      <w:r w:rsidRPr="0056095D">
        <w:rPr>
          <w:b/>
          <w:bCs/>
          <w:lang w:val="en-GB"/>
        </w:rPr>
        <w:t>2021</w:t>
      </w:r>
      <w:r w:rsidRPr="0056095D">
        <w:rPr>
          <w:lang w:val="en-GB"/>
        </w:rPr>
        <w:t xml:space="preserve">, </w:t>
      </w:r>
      <w:r w:rsidRPr="0056095D">
        <w:rPr>
          <w:i/>
          <w:iCs/>
          <w:lang w:val="en-GB"/>
        </w:rPr>
        <w:t>12</w:t>
      </w:r>
      <w:r w:rsidRPr="0056095D">
        <w:rPr>
          <w:lang w:val="en-GB"/>
        </w:rPr>
        <w:t>, 655477.</w:t>
      </w:r>
    </w:p>
    <w:p w14:paraId="2F3962E6" w14:textId="77777777" w:rsidR="0056095D" w:rsidRPr="0056095D" w:rsidRDefault="0056095D" w:rsidP="0056095D">
      <w:pPr>
        <w:pStyle w:val="Bibliography"/>
        <w:rPr>
          <w:lang w:val="en-GB"/>
        </w:rPr>
      </w:pPr>
      <w:r w:rsidRPr="0056095D">
        <w:rPr>
          <w:lang w:val="en-GB"/>
        </w:rPr>
        <w:t xml:space="preserve">22. </w:t>
      </w:r>
      <w:r w:rsidRPr="0056095D">
        <w:rPr>
          <w:lang w:val="en-GB"/>
        </w:rPr>
        <w:tab/>
        <w:t xml:space="preserve">Carvalho, G.N.; Santos, J.N.; Araujo, N.S.; Cury, P.R. Gene Regulation of MMPs and TIMPs by Somatostatin in Human Fibroblasts. </w:t>
      </w:r>
      <w:r w:rsidRPr="0056095D">
        <w:rPr>
          <w:i/>
          <w:iCs/>
          <w:lang w:val="en-GB"/>
        </w:rPr>
        <w:t>Brazilian Journal of Health and Biomedical Sciences</w:t>
      </w:r>
      <w:r w:rsidRPr="0056095D">
        <w:rPr>
          <w:lang w:val="en-GB"/>
        </w:rPr>
        <w:t xml:space="preserve"> </w:t>
      </w:r>
      <w:r w:rsidRPr="0056095D">
        <w:rPr>
          <w:b/>
          <w:bCs/>
          <w:lang w:val="en-GB"/>
        </w:rPr>
        <w:t>2023</w:t>
      </w:r>
      <w:r w:rsidRPr="0056095D">
        <w:rPr>
          <w:lang w:val="en-GB"/>
        </w:rPr>
        <w:t xml:space="preserve">, </w:t>
      </w:r>
      <w:r w:rsidRPr="0056095D">
        <w:rPr>
          <w:i/>
          <w:iCs/>
          <w:lang w:val="en-GB"/>
        </w:rPr>
        <w:t>22</w:t>
      </w:r>
      <w:r w:rsidRPr="0056095D">
        <w:rPr>
          <w:lang w:val="en-GB"/>
        </w:rPr>
        <w:t>, 36–44.</w:t>
      </w:r>
    </w:p>
    <w:p w14:paraId="4793E2B4" w14:textId="77777777" w:rsidR="0056095D" w:rsidRPr="0056095D" w:rsidRDefault="0056095D" w:rsidP="0056095D">
      <w:pPr>
        <w:pStyle w:val="Bibliography"/>
        <w:rPr>
          <w:lang w:val="en-GB"/>
        </w:rPr>
      </w:pPr>
      <w:r w:rsidRPr="0056095D">
        <w:rPr>
          <w:lang w:val="en-GB"/>
        </w:rPr>
        <w:t xml:space="preserve">23. </w:t>
      </w:r>
      <w:r w:rsidRPr="0056095D">
        <w:rPr>
          <w:lang w:val="en-GB"/>
        </w:rPr>
        <w:tab/>
        <w:t xml:space="preserve">Mateen, S.; Moin, S.; Shahzad, S.; Khan, A.Q. Level of Inflammatory Cytokines in Rheumatoid Arthritis Patients: Correlation with 25-Hydroxy Vitamin D and Reactive Oxygen Species. </w:t>
      </w:r>
      <w:r w:rsidRPr="0056095D">
        <w:rPr>
          <w:i/>
          <w:iCs/>
          <w:lang w:val="en-GB"/>
        </w:rPr>
        <w:t>PLOS ONE</w:t>
      </w:r>
      <w:r w:rsidRPr="0056095D">
        <w:rPr>
          <w:lang w:val="en-GB"/>
        </w:rPr>
        <w:t xml:space="preserve"> </w:t>
      </w:r>
      <w:r w:rsidRPr="0056095D">
        <w:rPr>
          <w:b/>
          <w:bCs/>
          <w:lang w:val="en-GB"/>
        </w:rPr>
        <w:t>2017</w:t>
      </w:r>
      <w:r w:rsidRPr="0056095D">
        <w:rPr>
          <w:lang w:val="en-GB"/>
        </w:rPr>
        <w:t xml:space="preserve">, </w:t>
      </w:r>
      <w:r w:rsidRPr="0056095D">
        <w:rPr>
          <w:i/>
          <w:iCs/>
          <w:lang w:val="en-GB"/>
        </w:rPr>
        <w:t>12</w:t>
      </w:r>
      <w:r w:rsidRPr="0056095D">
        <w:rPr>
          <w:lang w:val="en-GB"/>
        </w:rPr>
        <w:t>, e0178879, doi:10.1371/journal.pone.0178879.</w:t>
      </w:r>
    </w:p>
    <w:p w14:paraId="0F6CE25E" w14:textId="77777777" w:rsidR="0056095D" w:rsidRPr="0056095D" w:rsidRDefault="0056095D" w:rsidP="0056095D">
      <w:pPr>
        <w:pStyle w:val="Bibliography"/>
        <w:rPr>
          <w:lang w:val="en-GB"/>
        </w:rPr>
      </w:pPr>
      <w:r w:rsidRPr="0056095D">
        <w:rPr>
          <w:lang w:val="en-GB"/>
        </w:rPr>
        <w:lastRenderedPageBreak/>
        <w:t xml:space="preserve">24. </w:t>
      </w:r>
      <w:r w:rsidRPr="0056095D">
        <w:rPr>
          <w:lang w:val="en-GB"/>
        </w:rPr>
        <w:tab/>
        <w:t xml:space="preserve">Chen, S.; Saeed, A.F.; Liu, Q.; Jiang, Q.; Xu, H.; Xiao, G.G.; Rao, L.; Duo, Y. Macrophages in Immunoregulation and Therapeutics. </w:t>
      </w:r>
      <w:r w:rsidRPr="0056095D">
        <w:rPr>
          <w:i/>
          <w:iCs/>
          <w:lang w:val="en-GB"/>
        </w:rPr>
        <w:t>Signal Transduction and Targeted Therapy</w:t>
      </w:r>
      <w:r w:rsidRPr="0056095D">
        <w:rPr>
          <w:lang w:val="en-GB"/>
        </w:rPr>
        <w:t xml:space="preserve"> </w:t>
      </w:r>
      <w:r w:rsidRPr="0056095D">
        <w:rPr>
          <w:b/>
          <w:bCs/>
          <w:lang w:val="en-GB"/>
        </w:rPr>
        <w:t>2023</w:t>
      </w:r>
      <w:r w:rsidRPr="0056095D">
        <w:rPr>
          <w:lang w:val="en-GB"/>
        </w:rPr>
        <w:t xml:space="preserve">, </w:t>
      </w:r>
      <w:r w:rsidRPr="0056095D">
        <w:rPr>
          <w:i/>
          <w:iCs/>
          <w:lang w:val="en-GB"/>
        </w:rPr>
        <w:t>8</w:t>
      </w:r>
      <w:r w:rsidRPr="0056095D">
        <w:rPr>
          <w:lang w:val="en-GB"/>
        </w:rPr>
        <w:t>, 207.</w:t>
      </w:r>
    </w:p>
    <w:p w14:paraId="5F34F4DB" w14:textId="77777777" w:rsidR="0056095D" w:rsidRPr="0056095D" w:rsidRDefault="0056095D" w:rsidP="0056095D">
      <w:pPr>
        <w:pStyle w:val="Bibliography"/>
        <w:rPr>
          <w:lang w:val="en-GB"/>
        </w:rPr>
      </w:pPr>
      <w:r w:rsidRPr="0056095D">
        <w:rPr>
          <w:lang w:val="en-GB"/>
        </w:rPr>
        <w:t xml:space="preserve">25. </w:t>
      </w:r>
      <w:r w:rsidRPr="0056095D">
        <w:rPr>
          <w:lang w:val="en-GB"/>
        </w:rPr>
        <w:tab/>
        <w:t xml:space="preserve">Agata, Y.; Kawasaki, A.; Nishimura, H.; Ishida, Y.; Tsubat, T.; Yagita, H.; Honjo, T. Expression of the PD-1 Antigen on the Surface of Stimulated Mouse T and B Lymphocytes. </w:t>
      </w:r>
      <w:r w:rsidRPr="0056095D">
        <w:rPr>
          <w:i/>
          <w:iCs/>
          <w:lang w:val="en-GB"/>
        </w:rPr>
        <w:t>International Immunology</w:t>
      </w:r>
      <w:r w:rsidRPr="0056095D">
        <w:rPr>
          <w:lang w:val="en-GB"/>
        </w:rPr>
        <w:t xml:space="preserve"> </w:t>
      </w:r>
      <w:r w:rsidRPr="0056095D">
        <w:rPr>
          <w:b/>
          <w:bCs/>
          <w:lang w:val="en-GB"/>
        </w:rPr>
        <w:t>1996</w:t>
      </w:r>
      <w:r w:rsidRPr="0056095D">
        <w:rPr>
          <w:lang w:val="en-GB"/>
        </w:rPr>
        <w:t xml:space="preserve">, </w:t>
      </w:r>
      <w:r w:rsidRPr="0056095D">
        <w:rPr>
          <w:i/>
          <w:iCs/>
          <w:lang w:val="en-GB"/>
        </w:rPr>
        <w:t>8</w:t>
      </w:r>
      <w:r w:rsidRPr="0056095D">
        <w:rPr>
          <w:lang w:val="en-GB"/>
        </w:rPr>
        <w:t>, 765–772, doi:10.1093/intimm/8.5.765.</w:t>
      </w:r>
    </w:p>
    <w:p w14:paraId="0DA2650E" w14:textId="77777777" w:rsidR="0056095D" w:rsidRPr="0056095D" w:rsidRDefault="0056095D" w:rsidP="0056095D">
      <w:pPr>
        <w:pStyle w:val="Bibliography"/>
        <w:rPr>
          <w:lang w:val="en-GB"/>
        </w:rPr>
      </w:pPr>
      <w:r w:rsidRPr="0056095D">
        <w:rPr>
          <w:lang w:val="en-GB"/>
        </w:rPr>
        <w:t xml:space="preserve">26. </w:t>
      </w:r>
      <w:r w:rsidRPr="0056095D">
        <w:rPr>
          <w:lang w:val="en-GB"/>
        </w:rPr>
        <w:tab/>
        <w:t xml:space="preserve">Peng, Q.; Wang, J.; Han, M.; Zhao, M.; Li, K.; Lu, T.; Guo, Q.; Jiang, Q. Tanshinone IIA Inhibits Osteoclastogenesis in Rheumatoid Arthritis via LDHC-Regulated ROS Generation. </w:t>
      </w:r>
      <w:r w:rsidRPr="0056095D">
        <w:rPr>
          <w:i/>
          <w:iCs/>
          <w:lang w:val="en-GB"/>
        </w:rPr>
        <w:t>Chinese Medicine</w:t>
      </w:r>
      <w:r w:rsidRPr="0056095D">
        <w:rPr>
          <w:lang w:val="en-GB"/>
        </w:rPr>
        <w:t xml:space="preserve"> </w:t>
      </w:r>
      <w:r w:rsidRPr="0056095D">
        <w:rPr>
          <w:b/>
          <w:bCs/>
          <w:lang w:val="en-GB"/>
        </w:rPr>
        <w:t>2023</w:t>
      </w:r>
      <w:r w:rsidRPr="0056095D">
        <w:rPr>
          <w:lang w:val="en-GB"/>
        </w:rPr>
        <w:t xml:space="preserve">, </w:t>
      </w:r>
      <w:r w:rsidRPr="0056095D">
        <w:rPr>
          <w:i/>
          <w:iCs/>
          <w:lang w:val="en-GB"/>
        </w:rPr>
        <w:t>18</w:t>
      </w:r>
      <w:r w:rsidRPr="0056095D">
        <w:rPr>
          <w:lang w:val="en-GB"/>
        </w:rPr>
        <w:t>, 54, doi:10.1186/s13020-023-00765-1.</w:t>
      </w:r>
    </w:p>
    <w:p w14:paraId="2A0B885A" w14:textId="77777777" w:rsidR="0056095D" w:rsidRPr="0056095D" w:rsidRDefault="0056095D" w:rsidP="0056095D">
      <w:pPr>
        <w:pStyle w:val="Bibliography"/>
        <w:rPr>
          <w:lang w:val="en-GB"/>
        </w:rPr>
      </w:pPr>
      <w:r w:rsidRPr="0056095D">
        <w:rPr>
          <w:lang w:val="en-GB"/>
        </w:rPr>
        <w:t xml:space="preserve">27. </w:t>
      </w:r>
      <w:r w:rsidRPr="0056095D">
        <w:rPr>
          <w:lang w:val="en-GB"/>
        </w:rPr>
        <w:tab/>
        <w:t xml:space="preserve">Barchowsky, A.; Frleta, D.; Vincenti, M.P. Integration of the NF-κB and Mitogen-Activated Protein Kinase/AP-1 Pathways at the Collagenase-1 Promoter: Divergence of IL-1 and TNF-Dependent Signal Transduction in Rabbit Primary Synovial Fibroblasts. </w:t>
      </w:r>
      <w:r w:rsidRPr="0056095D">
        <w:rPr>
          <w:i/>
          <w:iCs/>
          <w:lang w:val="en-GB"/>
        </w:rPr>
        <w:t>Cytokine</w:t>
      </w:r>
      <w:r w:rsidRPr="0056095D">
        <w:rPr>
          <w:lang w:val="en-GB"/>
        </w:rPr>
        <w:t xml:space="preserve"> </w:t>
      </w:r>
      <w:r w:rsidRPr="0056095D">
        <w:rPr>
          <w:b/>
          <w:bCs/>
          <w:lang w:val="en-GB"/>
        </w:rPr>
        <w:t>2000</w:t>
      </w:r>
      <w:r w:rsidRPr="0056095D">
        <w:rPr>
          <w:lang w:val="en-GB"/>
        </w:rPr>
        <w:t xml:space="preserve">, </w:t>
      </w:r>
      <w:r w:rsidRPr="0056095D">
        <w:rPr>
          <w:i/>
          <w:iCs/>
          <w:lang w:val="en-GB"/>
        </w:rPr>
        <w:t>12</w:t>
      </w:r>
      <w:r w:rsidRPr="0056095D">
        <w:rPr>
          <w:lang w:val="en-GB"/>
        </w:rPr>
        <w:t>, 1469–1479, doi:https://doi.org/10.1006/cyto.2000.0743.</w:t>
      </w:r>
    </w:p>
    <w:p w14:paraId="177ABC5D" w14:textId="77777777" w:rsidR="0056095D" w:rsidRPr="0056095D" w:rsidRDefault="0056095D" w:rsidP="0056095D">
      <w:pPr>
        <w:pStyle w:val="Bibliography"/>
        <w:rPr>
          <w:lang w:val="en-GB"/>
        </w:rPr>
      </w:pPr>
      <w:r w:rsidRPr="0056095D">
        <w:rPr>
          <w:lang w:val="en-GB"/>
        </w:rPr>
        <w:t xml:space="preserve">28. </w:t>
      </w:r>
      <w:r w:rsidRPr="0056095D">
        <w:rPr>
          <w:lang w:val="en-GB"/>
        </w:rPr>
        <w:tab/>
        <w:t xml:space="preserve">Arelaki, S.; Koletsa, T.; Sinakos, E.; Papadopoulos, V.; Arvanitakis, K.; Skendros, P.; Akriviadis, E.; Ritis, K.; Germanidis, G.; Hytiroglou, P. Neutrophil Extracellular Traps Enriched with IL-1β and IL-17A Participate in the Hepatic Inflammatory Process of Patients with Non-Alcoholic Steatohepatitis. </w:t>
      </w:r>
      <w:r w:rsidRPr="0056095D">
        <w:rPr>
          <w:i/>
          <w:iCs/>
          <w:lang w:val="en-GB"/>
        </w:rPr>
        <w:t>Virchows Archiv</w:t>
      </w:r>
      <w:r w:rsidRPr="0056095D">
        <w:rPr>
          <w:lang w:val="en-GB"/>
        </w:rPr>
        <w:t xml:space="preserve"> </w:t>
      </w:r>
      <w:r w:rsidRPr="0056095D">
        <w:rPr>
          <w:b/>
          <w:bCs/>
          <w:lang w:val="en-GB"/>
        </w:rPr>
        <w:t>2022</w:t>
      </w:r>
      <w:r w:rsidRPr="0056095D">
        <w:rPr>
          <w:lang w:val="en-GB"/>
        </w:rPr>
        <w:t xml:space="preserve">, </w:t>
      </w:r>
      <w:r w:rsidRPr="0056095D">
        <w:rPr>
          <w:i/>
          <w:iCs/>
          <w:lang w:val="en-GB"/>
        </w:rPr>
        <w:t>481</w:t>
      </w:r>
      <w:r w:rsidRPr="0056095D">
        <w:rPr>
          <w:lang w:val="en-GB"/>
        </w:rPr>
        <w:t>, 455–465, doi:10.1007/s00428-022-03330-7.</w:t>
      </w:r>
    </w:p>
    <w:p w14:paraId="5A990331" w14:textId="77777777" w:rsidR="0056095D" w:rsidRPr="0056095D" w:rsidRDefault="0056095D" w:rsidP="0056095D">
      <w:pPr>
        <w:pStyle w:val="Bibliography"/>
        <w:rPr>
          <w:lang w:val="en-GB"/>
        </w:rPr>
      </w:pPr>
      <w:r w:rsidRPr="0056095D">
        <w:rPr>
          <w:lang w:val="en-GB"/>
        </w:rPr>
        <w:t xml:space="preserve">29. </w:t>
      </w:r>
      <w:r w:rsidRPr="0056095D">
        <w:rPr>
          <w:lang w:val="en-GB"/>
        </w:rPr>
        <w:tab/>
        <w:t xml:space="preserve">Sahlström, P.; Joshua, V.; Valkovskaia, V.; Biese, C.; Stålesen, R.; Israelsson, L.; Végvári, Á.; Scheel-Toellner, D.; Klareskog, L.; Hansson, M. Autoreactive B Cells against Malondialdehyde-Induced Protein Cross-Links Are Present in the Joint, Lung, and Bone Marrow of Rheumatoid Arthritis Patients. </w:t>
      </w:r>
      <w:r w:rsidRPr="0056095D">
        <w:rPr>
          <w:i/>
          <w:iCs/>
          <w:lang w:val="en-GB"/>
        </w:rPr>
        <w:t>Journal of Biological Chemistry</w:t>
      </w:r>
      <w:r w:rsidRPr="0056095D">
        <w:rPr>
          <w:lang w:val="en-GB"/>
        </w:rPr>
        <w:t xml:space="preserve"> </w:t>
      </w:r>
      <w:r w:rsidRPr="0056095D">
        <w:rPr>
          <w:b/>
          <w:bCs/>
          <w:lang w:val="en-GB"/>
        </w:rPr>
        <w:t>2023</w:t>
      </w:r>
      <w:r w:rsidRPr="0056095D">
        <w:rPr>
          <w:lang w:val="en-GB"/>
        </w:rPr>
        <w:t xml:space="preserve">, </w:t>
      </w:r>
      <w:r w:rsidRPr="0056095D">
        <w:rPr>
          <w:i/>
          <w:iCs/>
          <w:lang w:val="en-GB"/>
        </w:rPr>
        <w:t>299</w:t>
      </w:r>
      <w:r w:rsidRPr="0056095D">
        <w:rPr>
          <w:lang w:val="en-GB"/>
        </w:rPr>
        <w:t>.</w:t>
      </w:r>
    </w:p>
    <w:p w14:paraId="3B1C4C9D" w14:textId="77777777" w:rsidR="0056095D" w:rsidRPr="0056095D" w:rsidRDefault="0056095D" w:rsidP="0056095D">
      <w:pPr>
        <w:pStyle w:val="Bibliography"/>
        <w:rPr>
          <w:lang w:val="en-GB"/>
        </w:rPr>
      </w:pPr>
      <w:r w:rsidRPr="0056095D">
        <w:rPr>
          <w:lang w:val="en-GB"/>
        </w:rPr>
        <w:t xml:space="preserve">30. </w:t>
      </w:r>
      <w:r w:rsidRPr="0056095D">
        <w:rPr>
          <w:lang w:val="en-GB"/>
        </w:rPr>
        <w:tab/>
        <w:t>Westra, J.; Limburg, P.C. Signal Transduction Pathways in Rheumatoid Arthritis with Emphasis on the P38 Mitogen-Activated Protein Kinase (MAPK) Pathway.</w:t>
      </w:r>
    </w:p>
    <w:p w14:paraId="47B3E665" w14:textId="77777777" w:rsidR="0056095D" w:rsidRPr="0056095D" w:rsidRDefault="0056095D" w:rsidP="0056095D">
      <w:pPr>
        <w:pStyle w:val="Bibliography"/>
        <w:rPr>
          <w:lang w:val="en-GB"/>
        </w:rPr>
      </w:pPr>
      <w:r w:rsidRPr="0056095D">
        <w:rPr>
          <w:lang w:val="en-GB"/>
        </w:rPr>
        <w:t xml:space="preserve">31. </w:t>
      </w:r>
      <w:r w:rsidRPr="0056095D">
        <w:rPr>
          <w:lang w:val="en-GB"/>
        </w:rPr>
        <w:tab/>
        <w:t xml:space="preserve">Kanai, T.; Kondo, N.; Okada, M.; Sano, H.; Okumura, G.; Kijima, Y.; Ogose, A.; Kawashima, H.; Endo, N. The JNK Pathway Represents a Novel Target in the Treatment of Rheumatoid Arthritis through the Suppression of MMP-3. </w:t>
      </w:r>
      <w:r w:rsidRPr="0056095D">
        <w:rPr>
          <w:i/>
          <w:iCs/>
          <w:lang w:val="en-GB"/>
        </w:rPr>
        <w:t>Journal of Orthopaedic Surgery and Research</w:t>
      </w:r>
      <w:r w:rsidRPr="0056095D">
        <w:rPr>
          <w:lang w:val="en-GB"/>
        </w:rPr>
        <w:t xml:space="preserve"> </w:t>
      </w:r>
      <w:r w:rsidRPr="0056095D">
        <w:rPr>
          <w:b/>
          <w:bCs/>
          <w:lang w:val="en-GB"/>
        </w:rPr>
        <w:t>2020</w:t>
      </w:r>
      <w:r w:rsidRPr="0056095D">
        <w:rPr>
          <w:lang w:val="en-GB"/>
        </w:rPr>
        <w:t xml:space="preserve">, </w:t>
      </w:r>
      <w:r w:rsidRPr="0056095D">
        <w:rPr>
          <w:i/>
          <w:iCs/>
          <w:lang w:val="en-GB"/>
        </w:rPr>
        <w:t>15</w:t>
      </w:r>
      <w:r w:rsidRPr="0056095D">
        <w:rPr>
          <w:lang w:val="en-GB"/>
        </w:rPr>
        <w:t>, 1–10.</w:t>
      </w:r>
    </w:p>
    <w:p w14:paraId="5B9A95D8" w14:textId="77777777" w:rsidR="0056095D" w:rsidRPr="0056095D" w:rsidRDefault="0056095D" w:rsidP="0056095D">
      <w:pPr>
        <w:pStyle w:val="Bibliography"/>
        <w:rPr>
          <w:lang w:val="en-GB"/>
        </w:rPr>
      </w:pPr>
      <w:r w:rsidRPr="0056095D">
        <w:rPr>
          <w:lang w:val="en-GB"/>
        </w:rPr>
        <w:t xml:space="preserve">32. </w:t>
      </w:r>
      <w:r w:rsidRPr="0056095D">
        <w:rPr>
          <w:lang w:val="en-GB"/>
        </w:rPr>
        <w:tab/>
        <w:t xml:space="preserve">Kong, X.; Yang, Y.; Wu, W.; Wan, H.; Li, X.; Zhong, M.; Su, X.; Jia, S.; Lin, N. Triterpenoid Saponin W3 from Anemone Flaccida Suppresses Osteoclast Differentiation through Inhibiting Activation of MAPKs and NF-κB Pathways. </w:t>
      </w:r>
      <w:r w:rsidRPr="0056095D">
        <w:rPr>
          <w:i/>
          <w:iCs/>
          <w:lang w:val="en-GB"/>
        </w:rPr>
        <w:t>Int. J. Biol. Sci.</w:t>
      </w:r>
      <w:r w:rsidRPr="0056095D">
        <w:rPr>
          <w:lang w:val="en-GB"/>
        </w:rPr>
        <w:t xml:space="preserve"> </w:t>
      </w:r>
      <w:r w:rsidRPr="0056095D">
        <w:rPr>
          <w:b/>
          <w:bCs/>
          <w:lang w:val="en-GB"/>
        </w:rPr>
        <w:t>2015</w:t>
      </w:r>
      <w:r w:rsidRPr="0056095D">
        <w:rPr>
          <w:lang w:val="en-GB"/>
        </w:rPr>
        <w:t xml:space="preserve">, </w:t>
      </w:r>
      <w:r w:rsidRPr="0056095D">
        <w:rPr>
          <w:i/>
          <w:iCs/>
          <w:lang w:val="en-GB"/>
        </w:rPr>
        <w:t>11</w:t>
      </w:r>
      <w:r w:rsidRPr="0056095D">
        <w:rPr>
          <w:lang w:val="en-GB"/>
        </w:rPr>
        <w:t>, 1204–1214, doi:10.7150/ijbs.12296.</w:t>
      </w:r>
    </w:p>
    <w:p w14:paraId="5473618D" w14:textId="77777777" w:rsidR="0056095D" w:rsidRPr="0056095D" w:rsidRDefault="0056095D" w:rsidP="0056095D">
      <w:pPr>
        <w:pStyle w:val="Bibliography"/>
        <w:rPr>
          <w:lang w:val="en-GB"/>
        </w:rPr>
      </w:pPr>
      <w:r w:rsidRPr="0056095D">
        <w:rPr>
          <w:lang w:val="en-GB"/>
        </w:rPr>
        <w:t xml:space="preserve">33. </w:t>
      </w:r>
      <w:r w:rsidRPr="0056095D">
        <w:rPr>
          <w:lang w:val="en-GB"/>
        </w:rPr>
        <w:tab/>
        <w:t xml:space="preserve">Becker, W.; Emmrich, F.; Horneff, G.; Burmester, G.; Seiler, F.; Schwarz, A.; Kalden, J.; Wolf, F. Imaging Rheumatoid Arthritis Specifically with Technetium 99m CD4-Specific (T-Helper Lymphocytes) Antibodies. </w:t>
      </w:r>
      <w:r w:rsidRPr="0056095D">
        <w:rPr>
          <w:i/>
          <w:iCs/>
          <w:lang w:val="en-GB"/>
        </w:rPr>
        <w:t>European journal of nuclear medicine</w:t>
      </w:r>
      <w:r w:rsidRPr="0056095D">
        <w:rPr>
          <w:lang w:val="en-GB"/>
        </w:rPr>
        <w:t xml:space="preserve"> </w:t>
      </w:r>
      <w:r w:rsidRPr="0056095D">
        <w:rPr>
          <w:b/>
          <w:bCs/>
          <w:lang w:val="en-GB"/>
        </w:rPr>
        <w:t>1990</w:t>
      </w:r>
      <w:r w:rsidRPr="0056095D">
        <w:rPr>
          <w:lang w:val="en-GB"/>
        </w:rPr>
        <w:t xml:space="preserve">, </w:t>
      </w:r>
      <w:r w:rsidRPr="0056095D">
        <w:rPr>
          <w:i/>
          <w:iCs/>
          <w:lang w:val="en-GB"/>
        </w:rPr>
        <w:t>17</w:t>
      </w:r>
      <w:r w:rsidRPr="0056095D">
        <w:rPr>
          <w:lang w:val="en-GB"/>
        </w:rPr>
        <w:t>, 156–159.</w:t>
      </w:r>
    </w:p>
    <w:p w14:paraId="69722F25" w14:textId="77777777" w:rsidR="0056095D" w:rsidRPr="0056095D" w:rsidRDefault="0056095D" w:rsidP="0056095D">
      <w:pPr>
        <w:pStyle w:val="Bibliography"/>
        <w:rPr>
          <w:lang w:val="en-GB"/>
        </w:rPr>
      </w:pPr>
      <w:r w:rsidRPr="0056095D">
        <w:rPr>
          <w:lang w:val="en-GB"/>
        </w:rPr>
        <w:t xml:space="preserve">34. </w:t>
      </w:r>
      <w:r w:rsidRPr="0056095D">
        <w:rPr>
          <w:lang w:val="en-GB"/>
        </w:rPr>
        <w:tab/>
        <w:t xml:space="preserve">Arablou, T.; Aryaeian, N.; Khodaverdi, S.; Kolahdouz-Mohammadi, R.; Moradi, Z.; Rashidi, N.; Delbandi, A.-A. The Effects of Resveratrol on the Expression of VEGF, TGF-β, and MMP-9 in Endometrial Stromal Cells of Women with Endometriosis. </w:t>
      </w:r>
      <w:r w:rsidRPr="0056095D">
        <w:rPr>
          <w:i/>
          <w:iCs/>
          <w:lang w:val="en-GB"/>
        </w:rPr>
        <w:t>Scientific Reports</w:t>
      </w:r>
      <w:r w:rsidRPr="0056095D">
        <w:rPr>
          <w:lang w:val="en-GB"/>
        </w:rPr>
        <w:t xml:space="preserve"> </w:t>
      </w:r>
      <w:r w:rsidRPr="0056095D">
        <w:rPr>
          <w:b/>
          <w:bCs/>
          <w:lang w:val="en-GB"/>
        </w:rPr>
        <w:t>2021</w:t>
      </w:r>
      <w:r w:rsidRPr="0056095D">
        <w:rPr>
          <w:lang w:val="en-GB"/>
        </w:rPr>
        <w:t xml:space="preserve">, </w:t>
      </w:r>
      <w:r w:rsidRPr="0056095D">
        <w:rPr>
          <w:i/>
          <w:iCs/>
          <w:lang w:val="en-GB"/>
        </w:rPr>
        <w:t>11</w:t>
      </w:r>
      <w:r w:rsidRPr="0056095D">
        <w:rPr>
          <w:lang w:val="en-GB"/>
        </w:rPr>
        <w:t>, 6054, doi:10.1038/s41598-021-85512-y.</w:t>
      </w:r>
    </w:p>
    <w:p w14:paraId="5C877EDF" w14:textId="77777777" w:rsidR="0056095D" w:rsidRPr="0056095D" w:rsidRDefault="0056095D" w:rsidP="0056095D">
      <w:pPr>
        <w:pStyle w:val="Bibliography"/>
        <w:rPr>
          <w:lang w:val="en-GB"/>
        </w:rPr>
      </w:pPr>
      <w:r w:rsidRPr="0056095D">
        <w:rPr>
          <w:lang w:val="en-GB"/>
        </w:rPr>
        <w:t xml:space="preserve">35. </w:t>
      </w:r>
      <w:r w:rsidRPr="0056095D">
        <w:rPr>
          <w:lang w:val="en-GB"/>
        </w:rPr>
        <w:tab/>
        <w:t xml:space="preserve">Nakahama, T.; Kimura, A.; Nguyen, N.T.; Chinen, I.; Hanieh, H.; Nohara, K.; Fujii-Kuriyama, Y.; Kishimoto, T. Aryl Hydrocarbon Receptor Deficiency in T Cells Suppresses the Development of Collagen-Induced Arthritis. </w:t>
      </w:r>
      <w:r w:rsidRPr="0056095D">
        <w:rPr>
          <w:i/>
          <w:iCs/>
          <w:lang w:val="en-GB"/>
        </w:rPr>
        <w:t>Proceedings of the National Academy of Sciences</w:t>
      </w:r>
      <w:r w:rsidRPr="0056095D">
        <w:rPr>
          <w:lang w:val="en-GB"/>
        </w:rPr>
        <w:t xml:space="preserve"> </w:t>
      </w:r>
      <w:r w:rsidRPr="0056095D">
        <w:rPr>
          <w:b/>
          <w:bCs/>
          <w:lang w:val="en-GB"/>
        </w:rPr>
        <w:t>2011</w:t>
      </w:r>
      <w:r w:rsidRPr="0056095D">
        <w:rPr>
          <w:lang w:val="en-GB"/>
        </w:rPr>
        <w:t xml:space="preserve">, </w:t>
      </w:r>
      <w:r w:rsidRPr="0056095D">
        <w:rPr>
          <w:i/>
          <w:iCs/>
          <w:lang w:val="en-GB"/>
        </w:rPr>
        <w:t>108</w:t>
      </w:r>
      <w:r w:rsidRPr="0056095D">
        <w:rPr>
          <w:lang w:val="en-GB"/>
        </w:rPr>
        <w:t>, 14222–14227, doi:10.1073/pnas.1111786108.</w:t>
      </w:r>
    </w:p>
    <w:p w14:paraId="551B2872" w14:textId="77777777" w:rsidR="0056095D" w:rsidRPr="0056095D" w:rsidRDefault="0056095D" w:rsidP="0056095D">
      <w:pPr>
        <w:pStyle w:val="Bibliography"/>
        <w:rPr>
          <w:lang w:val="en-GB"/>
        </w:rPr>
      </w:pPr>
      <w:r w:rsidRPr="0056095D">
        <w:rPr>
          <w:lang w:val="en-GB"/>
        </w:rPr>
        <w:lastRenderedPageBreak/>
        <w:t xml:space="preserve">36. </w:t>
      </w:r>
      <w:r w:rsidRPr="0056095D">
        <w:rPr>
          <w:lang w:val="en-GB"/>
        </w:rPr>
        <w:tab/>
        <w:t xml:space="preserve">Mueller, A.-L.; Payandeh, Z.; Mohammadkhani, N.; Mubarak, S.M.H.; Zakeri, A.; Alagheband Bahrami, A.; Brockmueller, A.; Shakibaei, M. Recent Advances in Understanding the Pathogenesis of Rheumatoid Arthritis: New Treatment Strategies. </w:t>
      </w:r>
      <w:r w:rsidRPr="0056095D">
        <w:rPr>
          <w:i/>
          <w:iCs/>
          <w:lang w:val="en-GB"/>
        </w:rPr>
        <w:t>Cells</w:t>
      </w:r>
      <w:r w:rsidRPr="0056095D">
        <w:rPr>
          <w:lang w:val="en-GB"/>
        </w:rPr>
        <w:t xml:space="preserve"> </w:t>
      </w:r>
      <w:r w:rsidRPr="0056095D">
        <w:rPr>
          <w:b/>
          <w:bCs/>
          <w:lang w:val="en-GB"/>
        </w:rPr>
        <w:t>2021</w:t>
      </w:r>
      <w:r w:rsidRPr="0056095D">
        <w:rPr>
          <w:lang w:val="en-GB"/>
        </w:rPr>
        <w:t xml:space="preserve">, </w:t>
      </w:r>
      <w:r w:rsidRPr="0056095D">
        <w:rPr>
          <w:i/>
          <w:iCs/>
          <w:lang w:val="en-GB"/>
        </w:rPr>
        <w:t>10</w:t>
      </w:r>
      <w:r w:rsidRPr="0056095D">
        <w:rPr>
          <w:lang w:val="en-GB"/>
        </w:rPr>
        <w:t>, doi:10.3390/cells10113017.</w:t>
      </w:r>
    </w:p>
    <w:p w14:paraId="0DEB8BC9" w14:textId="77777777" w:rsidR="0056095D" w:rsidRPr="0056095D" w:rsidRDefault="0056095D" w:rsidP="0056095D">
      <w:pPr>
        <w:pStyle w:val="Bibliography"/>
        <w:rPr>
          <w:lang w:val="en-GB"/>
        </w:rPr>
      </w:pPr>
      <w:r w:rsidRPr="0056095D">
        <w:rPr>
          <w:lang w:val="en-GB"/>
        </w:rPr>
        <w:t xml:space="preserve">37. </w:t>
      </w:r>
      <w:r w:rsidRPr="0056095D">
        <w:rPr>
          <w:lang w:val="en-GB"/>
        </w:rPr>
        <w:tab/>
        <w:t xml:space="preserve">Mohammadi, H.; Sharafkandi, N.; Hemmatzadeh, M.; Azizi, G.; Karimi, M.; Jadidi-Niaragh, F.; Baradaran, B.; Babaloo, Z. The Role of Innate Lymphoid Cells in Health and Disease. </w:t>
      </w:r>
      <w:r w:rsidRPr="0056095D">
        <w:rPr>
          <w:i/>
          <w:iCs/>
          <w:lang w:val="en-GB"/>
        </w:rPr>
        <w:t>Journal of Cellular Physiology</w:t>
      </w:r>
      <w:r w:rsidRPr="0056095D">
        <w:rPr>
          <w:lang w:val="en-GB"/>
        </w:rPr>
        <w:t xml:space="preserve"> </w:t>
      </w:r>
      <w:r w:rsidRPr="0056095D">
        <w:rPr>
          <w:b/>
          <w:bCs/>
          <w:lang w:val="en-GB"/>
        </w:rPr>
        <w:t>2018</w:t>
      </w:r>
      <w:r w:rsidRPr="0056095D">
        <w:rPr>
          <w:lang w:val="en-GB"/>
        </w:rPr>
        <w:t xml:space="preserve">, </w:t>
      </w:r>
      <w:r w:rsidRPr="0056095D">
        <w:rPr>
          <w:i/>
          <w:iCs/>
          <w:lang w:val="en-GB"/>
        </w:rPr>
        <w:t>233</w:t>
      </w:r>
      <w:r w:rsidRPr="0056095D">
        <w:rPr>
          <w:lang w:val="en-GB"/>
        </w:rPr>
        <w:t>, 4512–4529, doi:10.1002/JCP.26250.</w:t>
      </w:r>
    </w:p>
    <w:p w14:paraId="205E66DA" w14:textId="77777777" w:rsidR="0056095D" w:rsidRPr="0056095D" w:rsidRDefault="0056095D" w:rsidP="0056095D">
      <w:pPr>
        <w:pStyle w:val="Bibliography"/>
        <w:rPr>
          <w:lang w:val="en-GB"/>
        </w:rPr>
      </w:pPr>
      <w:r w:rsidRPr="0056095D">
        <w:rPr>
          <w:lang w:val="en-GB"/>
        </w:rPr>
        <w:t xml:space="preserve">38. </w:t>
      </w:r>
      <w:r w:rsidRPr="0056095D">
        <w:rPr>
          <w:lang w:val="en-GB"/>
        </w:rPr>
        <w:tab/>
        <w:t xml:space="preserve">Kany, S.; Vollrath, J.T.; Relja, B. Cytokines in Inflammatory Disease. </w:t>
      </w:r>
      <w:r w:rsidRPr="0056095D">
        <w:rPr>
          <w:i/>
          <w:iCs/>
          <w:lang w:val="en-GB"/>
        </w:rPr>
        <w:t>International Journal of Molecular Sciences</w:t>
      </w:r>
      <w:r w:rsidRPr="0056095D">
        <w:rPr>
          <w:lang w:val="en-GB"/>
        </w:rPr>
        <w:t xml:space="preserve"> </w:t>
      </w:r>
      <w:r w:rsidRPr="0056095D">
        <w:rPr>
          <w:b/>
          <w:bCs/>
          <w:lang w:val="en-GB"/>
        </w:rPr>
        <w:t>2019</w:t>
      </w:r>
      <w:r w:rsidRPr="0056095D">
        <w:rPr>
          <w:lang w:val="en-GB"/>
        </w:rPr>
        <w:t xml:space="preserve">, </w:t>
      </w:r>
      <w:r w:rsidRPr="0056095D">
        <w:rPr>
          <w:i/>
          <w:iCs/>
          <w:lang w:val="en-GB"/>
        </w:rPr>
        <w:t>20</w:t>
      </w:r>
      <w:r w:rsidRPr="0056095D">
        <w:rPr>
          <w:lang w:val="en-GB"/>
        </w:rPr>
        <w:t>, doi:10.3390/ijms20236008.</w:t>
      </w:r>
    </w:p>
    <w:p w14:paraId="609C81F3" w14:textId="77777777" w:rsidR="0056095D" w:rsidRPr="0056095D" w:rsidRDefault="0056095D" w:rsidP="0056095D">
      <w:pPr>
        <w:pStyle w:val="Bibliography"/>
        <w:rPr>
          <w:lang w:val="en-GB"/>
        </w:rPr>
      </w:pPr>
      <w:r w:rsidRPr="0056095D">
        <w:rPr>
          <w:lang w:val="en-GB"/>
        </w:rPr>
        <w:t xml:space="preserve">39. </w:t>
      </w:r>
      <w:r w:rsidRPr="0056095D">
        <w:rPr>
          <w:lang w:val="en-GB"/>
        </w:rPr>
        <w:tab/>
        <w:t xml:space="preserve">Peng, Q.; Wang, J.; Han, M.; Zhao, M.; Li, K.; Lu, T.; Guo, Q.; Jiang, Q. Tanshinone IIA Inhibits Osteoclastogenesis in Rheumatoid Arthritis via LDHC-Regulated ROS Generation. </w:t>
      </w:r>
      <w:r w:rsidRPr="0056095D">
        <w:rPr>
          <w:i/>
          <w:iCs/>
          <w:lang w:val="en-GB"/>
        </w:rPr>
        <w:t>Chinese Medicine</w:t>
      </w:r>
      <w:r w:rsidRPr="0056095D">
        <w:rPr>
          <w:lang w:val="en-GB"/>
        </w:rPr>
        <w:t xml:space="preserve"> </w:t>
      </w:r>
      <w:r w:rsidRPr="0056095D">
        <w:rPr>
          <w:b/>
          <w:bCs/>
          <w:lang w:val="en-GB"/>
        </w:rPr>
        <w:t>2023</w:t>
      </w:r>
      <w:r w:rsidRPr="0056095D">
        <w:rPr>
          <w:lang w:val="en-GB"/>
        </w:rPr>
        <w:t xml:space="preserve">, </w:t>
      </w:r>
      <w:r w:rsidRPr="0056095D">
        <w:rPr>
          <w:i/>
          <w:iCs/>
          <w:lang w:val="en-GB"/>
        </w:rPr>
        <w:t>18</w:t>
      </w:r>
      <w:r w:rsidRPr="0056095D">
        <w:rPr>
          <w:lang w:val="en-GB"/>
        </w:rPr>
        <w:t>, 54, doi:10.1186/s13020-023-00765-1.</w:t>
      </w:r>
    </w:p>
    <w:p w14:paraId="6F322F6D" w14:textId="77777777" w:rsidR="0056095D" w:rsidRPr="0056095D" w:rsidRDefault="0056095D" w:rsidP="0056095D">
      <w:pPr>
        <w:pStyle w:val="Bibliography"/>
        <w:rPr>
          <w:lang w:val="en-GB"/>
        </w:rPr>
      </w:pPr>
      <w:r w:rsidRPr="0056095D">
        <w:rPr>
          <w:lang w:val="en-GB"/>
        </w:rPr>
        <w:t xml:space="preserve">40. </w:t>
      </w:r>
      <w:r w:rsidRPr="0056095D">
        <w:rPr>
          <w:lang w:val="en-GB"/>
        </w:rPr>
        <w:tab/>
        <w:t xml:space="preserve">Abdulkadir, S.; Li, C.; Jiang, W.; Zhao, X.; Sang, P.; Wei, L.; Hu, Y.; Li, Q.; Cai, J. Modulating Angiogenesis by Proteomimetics of Vascular Endothelial Growth Factor. </w:t>
      </w:r>
      <w:r w:rsidRPr="0056095D">
        <w:rPr>
          <w:i/>
          <w:iCs/>
          <w:lang w:val="en-GB"/>
        </w:rPr>
        <w:t>J. Am. Chem. Soc.</w:t>
      </w:r>
      <w:r w:rsidRPr="0056095D">
        <w:rPr>
          <w:lang w:val="en-GB"/>
        </w:rPr>
        <w:t xml:space="preserve"> </w:t>
      </w:r>
      <w:r w:rsidRPr="0056095D">
        <w:rPr>
          <w:b/>
          <w:bCs/>
          <w:lang w:val="en-GB"/>
        </w:rPr>
        <w:t>2022</w:t>
      </w:r>
      <w:r w:rsidRPr="0056095D">
        <w:rPr>
          <w:lang w:val="en-GB"/>
        </w:rPr>
        <w:t xml:space="preserve">, </w:t>
      </w:r>
      <w:r w:rsidRPr="0056095D">
        <w:rPr>
          <w:i/>
          <w:iCs/>
          <w:lang w:val="en-GB"/>
        </w:rPr>
        <w:t>144</w:t>
      </w:r>
      <w:r w:rsidRPr="0056095D">
        <w:rPr>
          <w:lang w:val="en-GB"/>
        </w:rPr>
        <w:t>, 270–281, doi:10.1021/jacs.1c09571.</w:t>
      </w:r>
    </w:p>
    <w:p w14:paraId="735254DE" w14:textId="77777777" w:rsidR="0056095D" w:rsidRPr="007F381F" w:rsidRDefault="0056095D" w:rsidP="0056095D">
      <w:pPr>
        <w:pStyle w:val="Bibliography"/>
        <w:rPr>
          <w:lang w:val="it-IT"/>
        </w:rPr>
      </w:pPr>
      <w:r w:rsidRPr="0056095D">
        <w:rPr>
          <w:lang w:val="en-GB"/>
        </w:rPr>
        <w:t xml:space="preserve">41. </w:t>
      </w:r>
      <w:r w:rsidRPr="0056095D">
        <w:rPr>
          <w:lang w:val="en-GB"/>
        </w:rPr>
        <w:tab/>
        <w:t xml:space="preserve">Kloesch, B.; Becker, T.; Dietersdorfer, E.; Kiener, H.; Steiner, G. Anti-Inflammatory and Apoptotic Effects of the Polyphenol Curcumin on Human Fibroblast-like Synoviocytes. </w:t>
      </w:r>
      <w:r w:rsidRPr="007F381F">
        <w:rPr>
          <w:i/>
          <w:iCs/>
          <w:lang w:val="it-IT"/>
        </w:rPr>
        <w:t>International Immunopharmacology</w:t>
      </w:r>
      <w:r w:rsidRPr="007F381F">
        <w:rPr>
          <w:lang w:val="it-IT"/>
        </w:rPr>
        <w:t xml:space="preserve"> </w:t>
      </w:r>
      <w:r w:rsidRPr="007F381F">
        <w:rPr>
          <w:b/>
          <w:bCs/>
          <w:lang w:val="it-IT"/>
        </w:rPr>
        <w:t>2013</w:t>
      </w:r>
      <w:r w:rsidRPr="007F381F">
        <w:rPr>
          <w:lang w:val="it-IT"/>
        </w:rPr>
        <w:t xml:space="preserve">, </w:t>
      </w:r>
      <w:r w:rsidRPr="007F381F">
        <w:rPr>
          <w:i/>
          <w:iCs/>
          <w:lang w:val="it-IT"/>
        </w:rPr>
        <w:t>15</w:t>
      </w:r>
      <w:r w:rsidRPr="007F381F">
        <w:rPr>
          <w:lang w:val="it-IT"/>
        </w:rPr>
        <w:t>, 400–405, doi:10.1016/j.intimp.2013.01.003.</w:t>
      </w:r>
    </w:p>
    <w:p w14:paraId="388EB49F" w14:textId="77777777" w:rsidR="0056095D" w:rsidRPr="0056095D" w:rsidRDefault="0056095D" w:rsidP="0056095D">
      <w:pPr>
        <w:pStyle w:val="Bibliography"/>
        <w:rPr>
          <w:lang w:val="en-GB"/>
        </w:rPr>
      </w:pPr>
      <w:r w:rsidRPr="00A417B6">
        <w:rPr>
          <w:lang w:val="it-IT"/>
        </w:rPr>
        <w:t xml:space="preserve">42. </w:t>
      </w:r>
      <w:r w:rsidRPr="00A417B6">
        <w:rPr>
          <w:lang w:val="it-IT"/>
        </w:rPr>
        <w:tab/>
        <w:t xml:space="preserve">Ciliento, M.S.; Venturelli, V.; Schettini, N.; Bertola, R.; Garaffoni, C.; Lanza, G.; Gafà, R.; Borghi, A.; Corazza, M.; Zabotti, A.; et al. </w:t>
      </w:r>
      <w:r w:rsidRPr="0056095D">
        <w:rPr>
          <w:lang w:val="en-GB"/>
        </w:rPr>
        <w:t xml:space="preserve">Evaluation of the Synovial Effects of Biological and Targeted Synthetic DMARDs in Patients with Psoriatic Arthritis: A Systematic Literature Review and Meta-Analysis. </w:t>
      </w:r>
      <w:r w:rsidRPr="0056095D">
        <w:rPr>
          <w:i/>
          <w:iCs/>
          <w:lang w:val="en-GB"/>
        </w:rPr>
        <w:t>International Journal of Molecular Sciences</w:t>
      </w:r>
      <w:r w:rsidRPr="0056095D">
        <w:rPr>
          <w:lang w:val="en-GB"/>
        </w:rPr>
        <w:t xml:space="preserve"> </w:t>
      </w:r>
      <w:r w:rsidRPr="0056095D">
        <w:rPr>
          <w:b/>
          <w:bCs/>
          <w:lang w:val="en-GB"/>
        </w:rPr>
        <w:t>2023</w:t>
      </w:r>
      <w:r w:rsidRPr="0056095D">
        <w:rPr>
          <w:lang w:val="en-GB"/>
        </w:rPr>
        <w:t xml:space="preserve">, </w:t>
      </w:r>
      <w:r w:rsidRPr="0056095D">
        <w:rPr>
          <w:i/>
          <w:iCs/>
          <w:lang w:val="en-GB"/>
        </w:rPr>
        <w:t>24</w:t>
      </w:r>
      <w:r w:rsidRPr="0056095D">
        <w:rPr>
          <w:lang w:val="en-GB"/>
        </w:rPr>
        <w:t>, doi:10.3390/ijms24055006.</w:t>
      </w:r>
    </w:p>
    <w:p w14:paraId="55B407DC" w14:textId="77777777" w:rsidR="0056095D" w:rsidRPr="0056095D" w:rsidRDefault="0056095D" w:rsidP="0056095D">
      <w:pPr>
        <w:pStyle w:val="Bibliography"/>
        <w:rPr>
          <w:lang w:val="en-GB"/>
        </w:rPr>
      </w:pPr>
      <w:r w:rsidRPr="0056095D">
        <w:rPr>
          <w:lang w:val="en-GB"/>
        </w:rPr>
        <w:t xml:space="preserve">43. </w:t>
      </w:r>
      <w:r w:rsidRPr="0056095D">
        <w:rPr>
          <w:lang w:val="en-GB"/>
        </w:rPr>
        <w:tab/>
        <w:t xml:space="preserve">Khoshroo, A.; Ramezani, K.; Moghimi, N.; Bonakdar, M.; Ramezani, N. The Effect of Disease-Modifying Antirheumatic Drugs (DMARDs) on Bone Homeostasis in Rheumatoid Arthritis (RA) Patients. </w:t>
      </w:r>
      <w:r w:rsidRPr="0056095D">
        <w:rPr>
          <w:i/>
          <w:iCs/>
          <w:lang w:val="en-GB"/>
        </w:rPr>
        <w:t>Inflammopharmacology</w:t>
      </w:r>
      <w:r w:rsidRPr="0056095D">
        <w:rPr>
          <w:lang w:val="en-GB"/>
        </w:rPr>
        <w:t xml:space="preserve"> </w:t>
      </w:r>
      <w:r w:rsidRPr="0056095D">
        <w:rPr>
          <w:b/>
          <w:bCs/>
          <w:lang w:val="en-GB"/>
        </w:rPr>
        <w:t>2023</w:t>
      </w:r>
      <w:r w:rsidRPr="0056095D">
        <w:rPr>
          <w:lang w:val="en-GB"/>
        </w:rPr>
        <w:t xml:space="preserve">, </w:t>
      </w:r>
      <w:r w:rsidRPr="0056095D">
        <w:rPr>
          <w:i/>
          <w:iCs/>
          <w:lang w:val="en-GB"/>
        </w:rPr>
        <w:t>31</w:t>
      </w:r>
      <w:r w:rsidRPr="0056095D">
        <w:rPr>
          <w:lang w:val="en-GB"/>
        </w:rPr>
        <w:t>, 689–697, doi:10.1007/s10787-022-01088-7.</w:t>
      </w:r>
    </w:p>
    <w:p w14:paraId="769E636D" w14:textId="77777777" w:rsidR="0056095D" w:rsidRPr="0056095D" w:rsidRDefault="0056095D" w:rsidP="0056095D">
      <w:pPr>
        <w:pStyle w:val="Bibliography"/>
        <w:rPr>
          <w:lang w:val="en-GB"/>
        </w:rPr>
      </w:pPr>
      <w:r w:rsidRPr="0056095D">
        <w:rPr>
          <w:lang w:val="en-GB"/>
        </w:rPr>
        <w:t xml:space="preserve">44. </w:t>
      </w:r>
      <w:r w:rsidRPr="0056095D">
        <w:rPr>
          <w:lang w:val="en-GB"/>
        </w:rPr>
        <w:tab/>
        <w:t xml:space="preserve">Ramiro, S.; Sepriano, A.; Chatzidionysiou, K.; Nam, J.L.; Smolen, J.S.; van der Heijde, D.; Dougados, M.; van Vollenhoven, R.; Bijlsma, J.W.; Burmester, G.R.; et al. Safety of Synthetic and Biological DMARDs: A Systematic Literature Review Informing the 2016 Update of the EULAR Recommendations for Management of Rheumatoid Arthritis. </w:t>
      </w:r>
      <w:r w:rsidRPr="0056095D">
        <w:rPr>
          <w:i/>
          <w:iCs/>
          <w:lang w:val="en-GB"/>
        </w:rPr>
        <w:t>Ann Rheum Dis</w:t>
      </w:r>
      <w:r w:rsidRPr="0056095D">
        <w:rPr>
          <w:lang w:val="en-GB"/>
        </w:rPr>
        <w:t xml:space="preserve"> </w:t>
      </w:r>
      <w:r w:rsidRPr="0056095D">
        <w:rPr>
          <w:b/>
          <w:bCs/>
          <w:lang w:val="en-GB"/>
        </w:rPr>
        <w:t>2017</w:t>
      </w:r>
      <w:r w:rsidRPr="0056095D">
        <w:rPr>
          <w:lang w:val="en-GB"/>
        </w:rPr>
        <w:t xml:space="preserve">, </w:t>
      </w:r>
      <w:r w:rsidRPr="0056095D">
        <w:rPr>
          <w:i/>
          <w:iCs/>
          <w:lang w:val="en-GB"/>
        </w:rPr>
        <w:t>76</w:t>
      </w:r>
      <w:r w:rsidRPr="0056095D">
        <w:rPr>
          <w:lang w:val="en-GB"/>
        </w:rPr>
        <w:t>, 1101, doi:10.1136/annrheumdis-2016-210708.</w:t>
      </w:r>
    </w:p>
    <w:p w14:paraId="35594B01" w14:textId="77777777" w:rsidR="0056095D" w:rsidRPr="0056095D" w:rsidRDefault="0056095D" w:rsidP="0056095D">
      <w:pPr>
        <w:pStyle w:val="Bibliography"/>
        <w:rPr>
          <w:lang w:val="en-GB"/>
        </w:rPr>
      </w:pPr>
      <w:r w:rsidRPr="0056095D">
        <w:rPr>
          <w:lang w:val="en-GB"/>
        </w:rPr>
        <w:t xml:space="preserve">45. </w:t>
      </w:r>
      <w:r w:rsidRPr="0056095D">
        <w:rPr>
          <w:lang w:val="en-GB"/>
        </w:rPr>
        <w:tab/>
        <w:t xml:space="preserve">Raica, M.; Cimpean, A.M. Platelet-Derived Growth Factor (PDGF)/PDGF Receptors (PDGFR) Axis as Target for Antitumor and Antiangiogenic Therapy. </w:t>
      </w:r>
      <w:r w:rsidRPr="0056095D">
        <w:rPr>
          <w:i/>
          <w:iCs/>
          <w:lang w:val="en-GB"/>
        </w:rPr>
        <w:t>Pharmaceuticals</w:t>
      </w:r>
      <w:r w:rsidRPr="0056095D">
        <w:rPr>
          <w:lang w:val="en-GB"/>
        </w:rPr>
        <w:t xml:space="preserve"> </w:t>
      </w:r>
      <w:r w:rsidRPr="0056095D">
        <w:rPr>
          <w:b/>
          <w:bCs/>
          <w:lang w:val="en-GB"/>
        </w:rPr>
        <w:t>2010</w:t>
      </w:r>
      <w:r w:rsidRPr="0056095D">
        <w:rPr>
          <w:lang w:val="en-GB"/>
        </w:rPr>
        <w:t xml:space="preserve">, </w:t>
      </w:r>
      <w:r w:rsidRPr="0056095D">
        <w:rPr>
          <w:i/>
          <w:iCs/>
          <w:lang w:val="en-GB"/>
        </w:rPr>
        <w:t>3</w:t>
      </w:r>
      <w:r w:rsidRPr="0056095D">
        <w:rPr>
          <w:lang w:val="en-GB"/>
        </w:rPr>
        <w:t>, 572–599, doi:10.3390/ph3030572.</w:t>
      </w:r>
    </w:p>
    <w:p w14:paraId="3D9F2953" w14:textId="77777777" w:rsidR="0056095D" w:rsidRPr="0056095D" w:rsidRDefault="0056095D" w:rsidP="0056095D">
      <w:pPr>
        <w:pStyle w:val="Bibliography"/>
        <w:rPr>
          <w:lang w:val="en-GB"/>
        </w:rPr>
      </w:pPr>
      <w:r w:rsidRPr="0056095D">
        <w:rPr>
          <w:lang w:val="en-GB"/>
        </w:rPr>
        <w:t xml:space="preserve">46. </w:t>
      </w:r>
      <w:r w:rsidRPr="0056095D">
        <w:rPr>
          <w:lang w:val="en-GB"/>
        </w:rPr>
        <w:tab/>
        <w:t xml:space="preserve">Sahlström, P.; Joshua, V.; Valkovskaia, V.; Biese, C.; Stålesen, R.; Israelsson, L.; Végvári, Á.; Scheel-Toellner, D.; Klareskog, L.; Hansson, M. Autoreactive B Cells against Malondialdehyde-Induced Protein Cross-Links Are Present in the Joint, Lung, and Bone Marrow of Rheumatoid Arthritis Patients. </w:t>
      </w:r>
      <w:r w:rsidRPr="0056095D">
        <w:rPr>
          <w:i/>
          <w:iCs/>
          <w:lang w:val="en-GB"/>
        </w:rPr>
        <w:t>Journal of Biological Chemistry</w:t>
      </w:r>
      <w:r w:rsidRPr="0056095D">
        <w:rPr>
          <w:lang w:val="en-GB"/>
        </w:rPr>
        <w:t xml:space="preserve"> </w:t>
      </w:r>
      <w:r w:rsidRPr="0056095D">
        <w:rPr>
          <w:b/>
          <w:bCs/>
          <w:lang w:val="en-GB"/>
        </w:rPr>
        <w:t>2023</w:t>
      </w:r>
      <w:r w:rsidRPr="0056095D">
        <w:rPr>
          <w:lang w:val="en-GB"/>
        </w:rPr>
        <w:t xml:space="preserve">, </w:t>
      </w:r>
      <w:r w:rsidRPr="0056095D">
        <w:rPr>
          <w:i/>
          <w:iCs/>
          <w:lang w:val="en-GB"/>
        </w:rPr>
        <w:t>299</w:t>
      </w:r>
      <w:r w:rsidRPr="0056095D">
        <w:rPr>
          <w:lang w:val="en-GB"/>
        </w:rPr>
        <w:t>.</w:t>
      </w:r>
    </w:p>
    <w:p w14:paraId="1E012554" w14:textId="77777777" w:rsidR="0056095D" w:rsidRPr="0056095D" w:rsidRDefault="0056095D" w:rsidP="0056095D">
      <w:pPr>
        <w:pStyle w:val="Bibliography"/>
        <w:rPr>
          <w:lang w:val="en-GB"/>
        </w:rPr>
      </w:pPr>
      <w:r w:rsidRPr="0056095D">
        <w:rPr>
          <w:lang w:val="en-GB"/>
        </w:rPr>
        <w:t xml:space="preserve">47. </w:t>
      </w:r>
      <w:r w:rsidRPr="0056095D">
        <w:rPr>
          <w:lang w:val="en-GB"/>
        </w:rPr>
        <w:tab/>
        <w:t xml:space="preserve">Olczyk, K.; Partyka, R.; Zając, K.; Szkudłapski, D. Characteristics of TNF-Alpha, Type I, III Collagen, and Matrix Metalloproteinases. Their Clinical Applications. </w:t>
      </w:r>
      <w:r w:rsidRPr="0056095D">
        <w:rPr>
          <w:i/>
          <w:iCs/>
          <w:lang w:val="en-GB"/>
        </w:rPr>
        <w:t>Polish Journal of Applied Sciences</w:t>
      </w:r>
      <w:r w:rsidRPr="0056095D">
        <w:rPr>
          <w:lang w:val="en-GB"/>
        </w:rPr>
        <w:t xml:space="preserve"> </w:t>
      </w:r>
      <w:r w:rsidRPr="0056095D">
        <w:rPr>
          <w:b/>
          <w:bCs/>
          <w:lang w:val="en-GB"/>
        </w:rPr>
        <w:t>2024</w:t>
      </w:r>
      <w:r w:rsidRPr="0056095D">
        <w:rPr>
          <w:lang w:val="en-GB"/>
        </w:rPr>
        <w:t xml:space="preserve">, </w:t>
      </w:r>
      <w:r w:rsidRPr="0056095D">
        <w:rPr>
          <w:i/>
          <w:iCs/>
          <w:lang w:val="en-GB"/>
        </w:rPr>
        <w:t>9</w:t>
      </w:r>
      <w:r w:rsidRPr="0056095D">
        <w:rPr>
          <w:lang w:val="en-GB"/>
        </w:rPr>
        <w:t>, 27–31.</w:t>
      </w:r>
    </w:p>
    <w:p w14:paraId="2D01C8A1" w14:textId="77777777" w:rsidR="0056095D" w:rsidRPr="0056095D" w:rsidRDefault="0056095D" w:rsidP="0056095D">
      <w:pPr>
        <w:pStyle w:val="Bibliography"/>
        <w:rPr>
          <w:lang w:val="en-GB"/>
        </w:rPr>
      </w:pPr>
      <w:r w:rsidRPr="0056095D">
        <w:rPr>
          <w:lang w:val="en-GB"/>
        </w:rPr>
        <w:t xml:space="preserve">48. </w:t>
      </w:r>
      <w:r w:rsidRPr="0056095D">
        <w:rPr>
          <w:lang w:val="en-GB"/>
        </w:rPr>
        <w:tab/>
        <w:t xml:space="preserve">Abdallah, E.M.; Alhatlani, B.Y.; de Paula Menezes, R.; Martins, C.H. Back to Nature: Medicinal Plants as Promising Sources for Antibacterial Drugs in the Post-Antibiotic Era. </w:t>
      </w:r>
      <w:r w:rsidRPr="0056095D">
        <w:rPr>
          <w:i/>
          <w:iCs/>
          <w:lang w:val="en-GB"/>
        </w:rPr>
        <w:t>Plants</w:t>
      </w:r>
      <w:r w:rsidRPr="0056095D">
        <w:rPr>
          <w:lang w:val="en-GB"/>
        </w:rPr>
        <w:t xml:space="preserve"> </w:t>
      </w:r>
      <w:r w:rsidRPr="0056095D">
        <w:rPr>
          <w:b/>
          <w:bCs/>
          <w:lang w:val="en-GB"/>
        </w:rPr>
        <w:t>2023</w:t>
      </w:r>
      <w:r w:rsidRPr="0056095D">
        <w:rPr>
          <w:lang w:val="en-GB"/>
        </w:rPr>
        <w:t xml:space="preserve">, </w:t>
      </w:r>
      <w:r w:rsidRPr="0056095D">
        <w:rPr>
          <w:i/>
          <w:iCs/>
          <w:lang w:val="en-GB"/>
        </w:rPr>
        <w:t>12</w:t>
      </w:r>
      <w:r w:rsidRPr="0056095D">
        <w:rPr>
          <w:lang w:val="en-GB"/>
        </w:rPr>
        <w:t>, doi:10.3390/plants12173077.</w:t>
      </w:r>
    </w:p>
    <w:p w14:paraId="387A9C69" w14:textId="77777777" w:rsidR="0056095D" w:rsidRPr="0056095D" w:rsidRDefault="0056095D" w:rsidP="0056095D">
      <w:pPr>
        <w:pStyle w:val="Bibliography"/>
        <w:rPr>
          <w:lang w:val="en-GB"/>
        </w:rPr>
      </w:pPr>
      <w:r w:rsidRPr="0056095D">
        <w:rPr>
          <w:lang w:val="en-GB"/>
        </w:rPr>
        <w:lastRenderedPageBreak/>
        <w:t xml:space="preserve">49. </w:t>
      </w:r>
      <w:r w:rsidRPr="0056095D">
        <w:rPr>
          <w:lang w:val="en-GB"/>
        </w:rPr>
        <w:tab/>
        <w:t xml:space="preserve">Adetuyi, B.O.; Odelade, K.A.; Odine, G.O.; Adetuyi, O.A.; Omowumi, S.O.; Ogunlana, O.O.; Egbuna, C. Neurorestorative Potential of Medicinal Plants and Their Phytochemicals. In </w:t>
      </w:r>
      <w:r w:rsidRPr="0056095D">
        <w:rPr>
          <w:i/>
          <w:iCs/>
          <w:lang w:val="en-GB"/>
        </w:rPr>
        <w:t>Phytochemical Drug Discovery for Central Nervous System Disorders</w:t>
      </w:r>
      <w:r w:rsidRPr="0056095D">
        <w:rPr>
          <w:lang w:val="en-GB"/>
        </w:rPr>
        <w:t>; 2023; pp. 291–310 ISBN 978-1-119-79412-7.</w:t>
      </w:r>
    </w:p>
    <w:p w14:paraId="52CF2C67" w14:textId="77777777" w:rsidR="0056095D" w:rsidRPr="0056095D" w:rsidRDefault="0056095D" w:rsidP="0056095D">
      <w:pPr>
        <w:pStyle w:val="Bibliography"/>
        <w:rPr>
          <w:lang w:val="en-GB"/>
        </w:rPr>
      </w:pPr>
      <w:r w:rsidRPr="0056095D">
        <w:rPr>
          <w:lang w:val="en-GB"/>
        </w:rPr>
        <w:t xml:space="preserve">50. </w:t>
      </w:r>
      <w:r w:rsidRPr="0056095D">
        <w:rPr>
          <w:lang w:val="en-GB"/>
        </w:rPr>
        <w:tab/>
        <w:t xml:space="preserve">Ahmadi, R.; Ebrahimzadeh, M.A. Resveratrol – A Comprehensive Review of Recent Advances in Anticancer Drug Design and Development. </w:t>
      </w:r>
      <w:r w:rsidRPr="0056095D">
        <w:rPr>
          <w:i/>
          <w:iCs/>
          <w:lang w:val="en-GB"/>
        </w:rPr>
        <w:t>European Journal of Medicinal Chemistry</w:t>
      </w:r>
      <w:r w:rsidRPr="0056095D">
        <w:rPr>
          <w:lang w:val="en-GB"/>
        </w:rPr>
        <w:t xml:space="preserve"> </w:t>
      </w:r>
      <w:r w:rsidRPr="0056095D">
        <w:rPr>
          <w:b/>
          <w:bCs/>
          <w:lang w:val="en-GB"/>
        </w:rPr>
        <w:t>2020</w:t>
      </w:r>
      <w:r w:rsidRPr="0056095D">
        <w:rPr>
          <w:lang w:val="en-GB"/>
        </w:rPr>
        <w:t xml:space="preserve">, </w:t>
      </w:r>
      <w:r w:rsidRPr="0056095D">
        <w:rPr>
          <w:i/>
          <w:iCs/>
          <w:lang w:val="en-GB"/>
        </w:rPr>
        <w:t>200</w:t>
      </w:r>
      <w:r w:rsidRPr="0056095D">
        <w:rPr>
          <w:lang w:val="en-GB"/>
        </w:rPr>
        <w:t>, 112356, doi:10.1016/j.ejmech.2020.112356.</w:t>
      </w:r>
    </w:p>
    <w:p w14:paraId="70E75776" w14:textId="77777777" w:rsidR="0056095D" w:rsidRPr="0056095D" w:rsidRDefault="0056095D" w:rsidP="0056095D">
      <w:pPr>
        <w:pStyle w:val="Bibliography"/>
        <w:rPr>
          <w:lang w:val="en-GB"/>
        </w:rPr>
      </w:pPr>
      <w:r w:rsidRPr="0056095D">
        <w:rPr>
          <w:lang w:val="en-GB"/>
        </w:rPr>
        <w:t xml:space="preserve">51. </w:t>
      </w:r>
      <w:r w:rsidRPr="0056095D">
        <w:rPr>
          <w:lang w:val="en-GB"/>
        </w:rPr>
        <w:tab/>
        <w:t xml:space="preserve">Jang, M.; Cai, L.; Udeani, G.O.; Slowing, K.V.; Thomas, C.F.; Beecher, C.W.; Fong, H.H.; Farnsworth, N.R.; Kinghorn, A.D.; Mehta, R.G. Cancer Chemopreventive Activity of Resveratrol, a Natural Product Derived from Grapes. </w:t>
      </w:r>
      <w:r w:rsidRPr="0056095D">
        <w:rPr>
          <w:i/>
          <w:iCs/>
          <w:lang w:val="en-GB"/>
        </w:rPr>
        <w:t>science</w:t>
      </w:r>
      <w:r w:rsidRPr="0056095D">
        <w:rPr>
          <w:lang w:val="en-GB"/>
        </w:rPr>
        <w:t xml:space="preserve"> </w:t>
      </w:r>
      <w:r w:rsidRPr="0056095D">
        <w:rPr>
          <w:b/>
          <w:bCs/>
          <w:lang w:val="en-GB"/>
        </w:rPr>
        <w:t>1997</w:t>
      </w:r>
      <w:r w:rsidRPr="0056095D">
        <w:rPr>
          <w:lang w:val="en-GB"/>
        </w:rPr>
        <w:t xml:space="preserve">, </w:t>
      </w:r>
      <w:r w:rsidRPr="0056095D">
        <w:rPr>
          <w:i/>
          <w:iCs/>
          <w:lang w:val="en-GB"/>
        </w:rPr>
        <w:t>275</w:t>
      </w:r>
      <w:r w:rsidRPr="0056095D">
        <w:rPr>
          <w:lang w:val="en-GB"/>
        </w:rPr>
        <w:t>, 218–220.</w:t>
      </w:r>
    </w:p>
    <w:p w14:paraId="76134738" w14:textId="77777777" w:rsidR="0056095D" w:rsidRPr="0056095D" w:rsidRDefault="0056095D" w:rsidP="0056095D">
      <w:pPr>
        <w:pStyle w:val="Bibliography"/>
        <w:rPr>
          <w:lang w:val="en-GB"/>
        </w:rPr>
      </w:pPr>
      <w:r w:rsidRPr="0056095D">
        <w:rPr>
          <w:lang w:val="en-GB"/>
        </w:rPr>
        <w:t xml:space="preserve">52. </w:t>
      </w:r>
      <w:r w:rsidRPr="0056095D">
        <w:rPr>
          <w:lang w:val="en-GB"/>
        </w:rPr>
        <w:tab/>
        <w:t xml:space="preserve">Aparicio-Soto, M.; Sánchez-Hidalgo, M.; Rosillo, M.Á.; Castejón, M.L.; Alarcón-de-la-Lastra, C. Extra Virgin Olive Oil: A Key Functional Food for Prevention of Immune-Inflammatory Diseases. </w:t>
      </w:r>
      <w:r w:rsidRPr="0056095D">
        <w:rPr>
          <w:i/>
          <w:iCs/>
          <w:lang w:val="en-GB"/>
        </w:rPr>
        <w:t>Food Funct.</w:t>
      </w:r>
      <w:r w:rsidRPr="0056095D">
        <w:rPr>
          <w:lang w:val="en-GB"/>
        </w:rPr>
        <w:t xml:space="preserve"> </w:t>
      </w:r>
      <w:r w:rsidRPr="0056095D">
        <w:rPr>
          <w:b/>
          <w:bCs/>
          <w:lang w:val="en-GB"/>
        </w:rPr>
        <w:t>2016</w:t>
      </w:r>
      <w:r w:rsidRPr="0056095D">
        <w:rPr>
          <w:lang w:val="en-GB"/>
        </w:rPr>
        <w:t xml:space="preserve">, </w:t>
      </w:r>
      <w:r w:rsidRPr="0056095D">
        <w:rPr>
          <w:i/>
          <w:iCs/>
          <w:lang w:val="en-GB"/>
        </w:rPr>
        <w:t>7</w:t>
      </w:r>
      <w:r w:rsidRPr="0056095D">
        <w:rPr>
          <w:lang w:val="en-GB"/>
        </w:rPr>
        <w:t>, 4492–4505, doi:10.1039/C6FO01094F.</w:t>
      </w:r>
    </w:p>
    <w:p w14:paraId="5CA02B33" w14:textId="77777777" w:rsidR="0056095D" w:rsidRPr="0056095D" w:rsidRDefault="0056095D" w:rsidP="0056095D">
      <w:pPr>
        <w:pStyle w:val="Bibliography"/>
        <w:rPr>
          <w:lang w:val="en-GB"/>
        </w:rPr>
      </w:pPr>
      <w:r w:rsidRPr="0056095D">
        <w:rPr>
          <w:lang w:val="en-GB"/>
        </w:rPr>
        <w:t xml:space="preserve">53. </w:t>
      </w:r>
      <w:r w:rsidRPr="0056095D">
        <w:rPr>
          <w:lang w:val="en-GB"/>
        </w:rPr>
        <w:tab/>
        <w:t xml:space="preserve">Andreani, C.; Bartolacci, C.; Wijnant, K.; Crinelli, R.; Bianchi, M.; Magnani, M.; Hysi, A.; Iezzi, M.; Amici, A.; Marchini, C. Resveratrol Fuels HER2 and ERα-Positive Breast Cancer Behaving as Proteasome Inhibitor. </w:t>
      </w:r>
      <w:r w:rsidRPr="0056095D">
        <w:rPr>
          <w:i/>
          <w:iCs/>
          <w:lang w:val="en-GB"/>
        </w:rPr>
        <w:t>Aging</w:t>
      </w:r>
      <w:r w:rsidRPr="0056095D">
        <w:rPr>
          <w:lang w:val="en-GB"/>
        </w:rPr>
        <w:t xml:space="preserve"> </w:t>
      </w:r>
      <w:r w:rsidRPr="0056095D">
        <w:rPr>
          <w:b/>
          <w:bCs/>
          <w:lang w:val="en-GB"/>
        </w:rPr>
        <w:t>2017</w:t>
      </w:r>
      <w:r w:rsidRPr="0056095D">
        <w:rPr>
          <w:lang w:val="en-GB"/>
        </w:rPr>
        <w:t xml:space="preserve">, </w:t>
      </w:r>
      <w:r w:rsidRPr="0056095D">
        <w:rPr>
          <w:i/>
          <w:iCs/>
          <w:lang w:val="en-GB"/>
        </w:rPr>
        <w:t>9</w:t>
      </w:r>
      <w:r w:rsidRPr="0056095D">
        <w:rPr>
          <w:lang w:val="en-GB"/>
        </w:rPr>
        <w:t>, 508–523, doi:10.18632/aging.101175.</w:t>
      </w:r>
    </w:p>
    <w:p w14:paraId="07A6271C" w14:textId="77777777" w:rsidR="0056095D" w:rsidRPr="0056095D" w:rsidRDefault="0056095D" w:rsidP="0056095D">
      <w:pPr>
        <w:pStyle w:val="Bibliography"/>
        <w:rPr>
          <w:lang w:val="en-GB"/>
        </w:rPr>
      </w:pPr>
      <w:r w:rsidRPr="0056095D">
        <w:rPr>
          <w:lang w:val="en-GB"/>
        </w:rPr>
        <w:t xml:space="preserve">54. </w:t>
      </w:r>
      <w:r w:rsidRPr="0056095D">
        <w:rPr>
          <w:lang w:val="en-GB"/>
        </w:rPr>
        <w:tab/>
        <w:t xml:space="preserve">Opara, E.; Chohan, M. Culinary Herbs and Spices: Their Bioactive Properties, the Contribution of Polyphenols and the Challenges in Deducing Their True Health Benefits. </w:t>
      </w:r>
      <w:r w:rsidRPr="0056095D">
        <w:rPr>
          <w:i/>
          <w:iCs/>
          <w:lang w:val="en-GB"/>
        </w:rPr>
        <w:t>IJMS</w:t>
      </w:r>
      <w:r w:rsidRPr="0056095D">
        <w:rPr>
          <w:lang w:val="en-GB"/>
        </w:rPr>
        <w:t xml:space="preserve"> </w:t>
      </w:r>
      <w:r w:rsidRPr="0056095D">
        <w:rPr>
          <w:b/>
          <w:bCs/>
          <w:lang w:val="en-GB"/>
        </w:rPr>
        <w:t>2014</w:t>
      </w:r>
      <w:r w:rsidRPr="0056095D">
        <w:rPr>
          <w:lang w:val="en-GB"/>
        </w:rPr>
        <w:t xml:space="preserve">, </w:t>
      </w:r>
      <w:r w:rsidRPr="0056095D">
        <w:rPr>
          <w:i/>
          <w:iCs/>
          <w:lang w:val="en-GB"/>
        </w:rPr>
        <w:t>15</w:t>
      </w:r>
      <w:r w:rsidRPr="0056095D">
        <w:rPr>
          <w:lang w:val="en-GB"/>
        </w:rPr>
        <w:t>, 19183–19202, doi:10.3390/ijms151019183.</w:t>
      </w:r>
    </w:p>
    <w:p w14:paraId="0C372003" w14:textId="77777777" w:rsidR="0056095D" w:rsidRPr="0056095D" w:rsidRDefault="0056095D" w:rsidP="0056095D">
      <w:pPr>
        <w:pStyle w:val="Bibliography"/>
        <w:rPr>
          <w:lang w:val="en-GB"/>
        </w:rPr>
      </w:pPr>
      <w:r w:rsidRPr="0056095D">
        <w:rPr>
          <w:lang w:val="en-GB"/>
        </w:rPr>
        <w:t xml:space="preserve">55. </w:t>
      </w:r>
      <w:r w:rsidRPr="0056095D">
        <w:rPr>
          <w:lang w:val="en-GB"/>
        </w:rPr>
        <w:tab/>
        <w:t xml:space="preserve">Yashin, A.; Yashin, Y.; Xia, X.; Nemzer, B. Antioxidant Activity of Spices and Their Impact on Human Health: A Review. </w:t>
      </w:r>
      <w:r w:rsidRPr="0056095D">
        <w:rPr>
          <w:i/>
          <w:iCs/>
          <w:lang w:val="en-GB"/>
        </w:rPr>
        <w:t>Antioxidants</w:t>
      </w:r>
      <w:r w:rsidRPr="0056095D">
        <w:rPr>
          <w:lang w:val="en-GB"/>
        </w:rPr>
        <w:t xml:space="preserve"> </w:t>
      </w:r>
      <w:r w:rsidRPr="0056095D">
        <w:rPr>
          <w:b/>
          <w:bCs/>
          <w:lang w:val="en-GB"/>
        </w:rPr>
        <w:t>2017</w:t>
      </w:r>
      <w:r w:rsidRPr="0056095D">
        <w:rPr>
          <w:lang w:val="en-GB"/>
        </w:rPr>
        <w:t xml:space="preserve">, </w:t>
      </w:r>
      <w:r w:rsidRPr="0056095D">
        <w:rPr>
          <w:i/>
          <w:iCs/>
          <w:lang w:val="en-GB"/>
        </w:rPr>
        <w:t>6</w:t>
      </w:r>
      <w:r w:rsidRPr="0056095D">
        <w:rPr>
          <w:lang w:val="en-GB"/>
        </w:rPr>
        <w:t>, 70, doi:10.3390/antiox6030070.</w:t>
      </w:r>
    </w:p>
    <w:p w14:paraId="39D3C777" w14:textId="77777777" w:rsidR="0056095D" w:rsidRPr="0056095D" w:rsidRDefault="0056095D" w:rsidP="0056095D">
      <w:pPr>
        <w:pStyle w:val="Bibliography"/>
        <w:rPr>
          <w:lang w:val="en-GB"/>
        </w:rPr>
      </w:pPr>
      <w:r w:rsidRPr="0056095D">
        <w:rPr>
          <w:lang w:val="en-GB"/>
        </w:rPr>
        <w:t xml:space="preserve">56. </w:t>
      </w:r>
      <w:r w:rsidRPr="0056095D">
        <w:rPr>
          <w:lang w:val="en-GB"/>
        </w:rPr>
        <w:tab/>
        <w:t>Abbas, M.; Saeed, F.; Anjum, F.M.; Tufail, T.; Bashir, M.S.; Ishtiaq, A.; Hussain, S.; Suleria, H.A.R. Natural Polyphenols: An Overview. 12.</w:t>
      </w:r>
    </w:p>
    <w:p w14:paraId="0C97F8CD" w14:textId="77777777" w:rsidR="0056095D" w:rsidRPr="0056095D" w:rsidRDefault="0056095D" w:rsidP="0056095D">
      <w:pPr>
        <w:pStyle w:val="Bibliography"/>
        <w:rPr>
          <w:lang w:val="en-GB"/>
        </w:rPr>
      </w:pPr>
      <w:r w:rsidRPr="0056095D">
        <w:rPr>
          <w:lang w:val="en-GB"/>
        </w:rPr>
        <w:t xml:space="preserve">57. </w:t>
      </w:r>
      <w:r w:rsidRPr="0056095D">
        <w:rPr>
          <w:lang w:val="en-GB"/>
        </w:rPr>
        <w:tab/>
        <w:t xml:space="preserve">Čižmárová, B.; Hubková, B.; Tomečková, V.; Birková, A. Flavonoids as Promising Natural Compounds in the Prevention and Treatment of Selected Skin Diseases. </w:t>
      </w:r>
      <w:r w:rsidRPr="0056095D">
        <w:rPr>
          <w:i/>
          <w:iCs/>
          <w:lang w:val="en-GB"/>
        </w:rPr>
        <w:t>International Journal of Molecular Sciences</w:t>
      </w:r>
      <w:r w:rsidRPr="0056095D">
        <w:rPr>
          <w:lang w:val="en-GB"/>
        </w:rPr>
        <w:t xml:space="preserve"> </w:t>
      </w:r>
      <w:r w:rsidRPr="0056095D">
        <w:rPr>
          <w:b/>
          <w:bCs/>
          <w:lang w:val="en-GB"/>
        </w:rPr>
        <w:t>2023</w:t>
      </w:r>
      <w:r w:rsidRPr="0056095D">
        <w:rPr>
          <w:lang w:val="en-GB"/>
        </w:rPr>
        <w:t xml:space="preserve">, </w:t>
      </w:r>
      <w:r w:rsidRPr="0056095D">
        <w:rPr>
          <w:i/>
          <w:iCs/>
          <w:lang w:val="en-GB"/>
        </w:rPr>
        <w:t>24</w:t>
      </w:r>
      <w:r w:rsidRPr="0056095D">
        <w:rPr>
          <w:lang w:val="en-GB"/>
        </w:rPr>
        <w:t>, doi:10.3390/ijms24076324.</w:t>
      </w:r>
    </w:p>
    <w:p w14:paraId="3D307869" w14:textId="77777777" w:rsidR="0056095D" w:rsidRPr="0056095D" w:rsidRDefault="0056095D" w:rsidP="0056095D">
      <w:pPr>
        <w:pStyle w:val="Bibliography"/>
        <w:rPr>
          <w:lang w:val="en-GB"/>
        </w:rPr>
      </w:pPr>
      <w:r w:rsidRPr="0056095D">
        <w:rPr>
          <w:lang w:val="en-GB"/>
        </w:rPr>
        <w:t xml:space="preserve">58. </w:t>
      </w:r>
      <w:r w:rsidRPr="0056095D">
        <w:rPr>
          <w:lang w:val="en-GB"/>
        </w:rPr>
        <w:tab/>
        <w:t xml:space="preserve">Aras, A.; Khokhar, A.R.; Qureshi, M.Z.; Silva, M.F.; Sobczak-Kupiec, A.; Pineda, E.A.G.; Hechenleitner, A.A.W.; Farooqi, A.A. Targeting Cancer with Nano-Bullets: Curcumin, EGCG, Resveratrol and Quercetin on Flying Carpets. </w:t>
      </w:r>
      <w:r w:rsidRPr="0056095D">
        <w:rPr>
          <w:i/>
          <w:iCs/>
          <w:lang w:val="en-GB"/>
        </w:rPr>
        <w:t>Asian Pacific Journal of Cancer Prevention</w:t>
      </w:r>
      <w:r w:rsidRPr="0056095D">
        <w:rPr>
          <w:lang w:val="en-GB"/>
        </w:rPr>
        <w:t xml:space="preserve"> </w:t>
      </w:r>
      <w:r w:rsidRPr="0056095D">
        <w:rPr>
          <w:b/>
          <w:bCs/>
          <w:lang w:val="en-GB"/>
        </w:rPr>
        <w:t>2014</w:t>
      </w:r>
      <w:r w:rsidRPr="0056095D">
        <w:rPr>
          <w:lang w:val="en-GB"/>
        </w:rPr>
        <w:t xml:space="preserve">, </w:t>
      </w:r>
      <w:r w:rsidRPr="0056095D">
        <w:rPr>
          <w:i/>
          <w:iCs/>
          <w:lang w:val="en-GB"/>
        </w:rPr>
        <w:t>15</w:t>
      </w:r>
      <w:r w:rsidRPr="0056095D">
        <w:rPr>
          <w:lang w:val="en-GB"/>
        </w:rPr>
        <w:t>, 3865–3871, doi:10.7314/APJCP.2014.15.9.3865.</w:t>
      </w:r>
    </w:p>
    <w:p w14:paraId="078826DE" w14:textId="77777777" w:rsidR="0056095D" w:rsidRPr="0056095D" w:rsidRDefault="0056095D" w:rsidP="0056095D">
      <w:pPr>
        <w:pStyle w:val="Bibliography"/>
        <w:rPr>
          <w:lang w:val="en-GB"/>
        </w:rPr>
      </w:pPr>
      <w:r w:rsidRPr="0056095D">
        <w:rPr>
          <w:lang w:val="en-GB"/>
        </w:rPr>
        <w:t xml:space="preserve">59. </w:t>
      </w:r>
      <w:r w:rsidRPr="0056095D">
        <w:rPr>
          <w:lang w:val="en-GB"/>
        </w:rPr>
        <w:tab/>
        <w:t xml:space="preserve">Morales, M.; Barcelo, A.; Pedreño, M. Plant Stilbenes: Recent Advances in Their Chemistry and Biology. </w:t>
      </w:r>
      <w:r w:rsidRPr="0056095D">
        <w:rPr>
          <w:i/>
          <w:iCs/>
          <w:lang w:val="en-GB"/>
        </w:rPr>
        <w:t>Adv. Plant Physiol</w:t>
      </w:r>
      <w:r w:rsidRPr="0056095D">
        <w:rPr>
          <w:lang w:val="en-GB"/>
        </w:rPr>
        <w:t xml:space="preserve"> </w:t>
      </w:r>
      <w:r w:rsidRPr="0056095D">
        <w:rPr>
          <w:b/>
          <w:bCs/>
          <w:lang w:val="en-GB"/>
        </w:rPr>
        <w:t>2000</w:t>
      </w:r>
      <w:r w:rsidRPr="0056095D">
        <w:rPr>
          <w:lang w:val="en-GB"/>
        </w:rPr>
        <w:t xml:space="preserve">, </w:t>
      </w:r>
      <w:r w:rsidRPr="0056095D">
        <w:rPr>
          <w:i/>
          <w:iCs/>
          <w:lang w:val="en-GB"/>
        </w:rPr>
        <w:t>3</w:t>
      </w:r>
      <w:r w:rsidRPr="0056095D">
        <w:rPr>
          <w:lang w:val="en-GB"/>
        </w:rPr>
        <w:t>, 39–70.</w:t>
      </w:r>
    </w:p>
    <w:p w14:paraId="0D47DA82" w14:textId="77777777" w:rsidR="0056095D" w:rsidRPr="0056095D" w:rsidRDefault="0056095D" w:rsidP="0056095D">
      <w:pPr>
        <w:pStyle w:val="Bibliography"/>
        <w:rPr>
          <w:lang w:val="en-GB"/>
        </w:rPr>
      </w:pPr>
      <w:r w:rsidRPr="0056095D">
        <w:rPr>
          <w:lang w:val="en-GB"/>
        </w:rPr>
        <w:t xml:space="preserve">60. </w:t>
      </w:r>
      <w:r w:rsidRPr="0056095D">
        <w:rPr>
          <w:lang w:val="en-GB"/>
        </w:rPr>
        <w:tab/>
        <w:t xml:space="preserve">Wang, N.; Wang, Z.-Y.; Mo, S.-L.; Loo, T.Y.; Wang, D.-M.; Luo, H.-B.; Yang, D.-P.; Chen, Y.-L.; Shen, J.-G.; Chen, J.-P. Ellagic Acid, a Phenolic Compound, Exerts Anti-Angiogenesis Effects via VEGFR-2 Signaling Pathway in Breast Cancer. </w:t>
      </w:r>
      <w:r w:rsidRPr="0056095D">
        <w:rPr>
          <w:i/>
          <w:iCs/>
          <w:lang w:val="en-GB"/>
        </w:rPr>
        <w:t>Breast Cancer Res Treat</w:t>
      </w:r>
      <w:r w:rsidRPr="0056095D">
        <w:rPr>
          <w:lang w:val="en-GB"/>
        </w:rPr>
        <w:t xml:space="preserve"> </w:t>
      </w:r>
      <w:r w:rsidRPr="0056095D">
        <w:rPr>
          <w:b/>
          <w:bCs/>
          <w:lang w:val="en-GB"/>
        </w:rPr>
        <w:t>2012</w:t>
      </w:r>
      <w:r w:rsidRPr="0056095D">
        <w:rPr>
          <w:lang w:val="en-GB"/>
        </w:rPr>
        <w:t xml:space="preserve">, </w:t>
      </w:r>
      <w:r w:rsidRPr="0056095D">
        <w:rPr>
          <w:i/>
          <w:iCs/>
          <w:lang w:val="en-GB"/>
        </w:rPr>
        <w:t>134</w:t>
      </w:r>
      <w:r w:rsidRPr="0056095D">
        <w:rPr>
          <w:lang w:val="en-GB"/>
        </w:rPr>
        <w:t>, 943–955, doi:10.1007/s10549-012-1977-9.</w:t>
      </w:r>
    </w:p>
    <w:p w14:paraId="1896681F" w14:textId="77777777" w:rsidR="0056095D" w:rsidRPr="0056095D" w:rsidRDefault="0056095D" w:rsidP="0056095D">
      <w:pPr>
        <w:pStyle w:val="Bibliography"/>
        <w:rPr>
          <w:lang w:val="en-GB"/>
        </w:rPr>
      </w:pPr>
      <w:r w:rsidRPr="0056095D">
        <w:rPr>
          <w:lang w:val="en-GB"/>
        </w:rPr>
        <w:t xml:space="preserve">61. </w:t>
      </w:r>
      <w:r w:rsidRPr="0056095D">
        <w:rPr>
          <w:lang w:val="en-GB"/>
        </w:rPr>
        <w:tab/>
        <w:t xml:space="preserve">Akar, F.; Sumlu, E.; Alçığır, M.E.; Bostancı, A.; Sadi, G. Potential Mechanistic Pathways Underlying Intestinal and Hepatic Effects of Kefir in High-Fructose-Fed Rats. </w:t>
      </w:r>
      <w:r w:rsidRPr="0056095D">
        <w:rPr>
          <w:i/>
          <w:iCs/>
          <w:lang w:val="en-GB"/>
        </w:rPr>
        <w:t>Food Research International</w:t>
      </w:r>
      <w:r w:rsidRPr="0056095D">
        <w:rPr>
          <w:lang w:val="en-GB"/>
        </w:rPr>
        <w:t xml:space="preserve"> </w:t>
      </w:r>
      <w:r w:rsidRPr="0056095D">
        <w:rPr>
          <w:b/>
          <w:bCs/>
          <w:lang w:val="en-GB"/>
        </w:rPr>
        <w:t>2021</w:t>
      </w:r>
      <w:r w:rsidRPr="0056095D">
        <w:rPr>
          <w:lang w:val="en-GB"/>
        </w:rPr>
        <w:t xml:space="preserve">, </w:t>
      </w:r>
      <w:r w:rsidRPr="0056095D">
        <w:rPr>
          <w:i/>
          <w:iCs/>
          <w:lang w:val="en-GB"/>
        </w:rPr>
        <w:t>143</w:t>
      </w:r>
      <w:r w:rsidRPr="0056095D">
        <w:rPr>
          <w:lang w:val="en-GB"/>
        </w:rPr>
        <w:t>.</w:t>
      </w:r>
    </w:p>
    <w:p w14:paraId="5D253E42" w14:textId="77777777" w:rsidR="0056095D" w:rsidRPr="0056095D" w:rsidRDefault="0056095D" w:rsidP="0056095D">
      <w:pPr>
        <w:pStyle w:val="Bibliography"/>
        <w:rPr>
          <w:lang w:val="en-GB"/>
        </w:rPr>
      </w:pPr>
      <w:r w:rsidRPr="0056095D">
        <w:rPr>
          <w:lang w:val="en-GB"/>
        </w:rPr>
        <w:t xml:space="preserve">62. </w:t>
      </w:r>
      <w:r w:rsidRPr="0056095D">
        <w:rPr>
          <w:lang w:val="en-GB"/>
        </w:rPr>
        <w:tab/>
        <w:t xml:space="preserve">Amawi, H.; Ashby, C.; Samuel, T.; Peraman, R.; Tiwari, A. Polyphenolic Nutrients in Cancer Chemoprevention and Metastasis: Role of the Epithelial-to-Mesenchymal (EMT) Pathway. </w:t>
      </w:r>
      <w:r w:rsidRPr="0056095D">
        <w:rPr>
          <w:i/>
          <w:iCs/>
          <w:lang w:val="en-GB"/>
        </w:rPr>
        <w:t>Nutrients</w:t>
      </w:r>
      <w:r w:rsidRPr="0056095D">
        <w:rPr>
          <w:lang w:val="en-GB"/>
        </w:rPr>
        <w:t xml:space="preserve"> </w:t>
      </w:r>
      <w:r w:rsidRPr="0056095D">
        <w:rPr>
          <w:b/>
          <w:bCs/>
          <w:lang w:val="en-GB"/>
        </w:rPr>
        <w:t>2017</w:t>
      </w:r>
      <w:r w:rsidRPr="0056095D">
        <w:rPr>
          <w:lang w:val="en-GB"/>
        </w:rPr>
        <w:t xml:space="preserve">, </w:t>
      </w:r>
      <w:r w:rsidRPr="0056095D">
        <w:rPr>
          <w:i/>
          <w:iCs/>
          <w:lang w:val="en-GB"/>
        </w:rPr>
        <w:t>9</w:t>
      </w:r>
      <w:r w:rsidRPr="0056095D">
        <w:rPr>
          <w:lang w:val="en-GB"/>
        </w:rPr>
        <w:t>, 911, doi:10.3390/nu9080911.</w:t>
      </w:r>
    </w:p>
    <w:p w14:paraId="78D25160" w14:textId="77777777" w:rsidR="0056095D" w:rsidRPr="0056095D" w:rsidRDefault="0056095D" w:rsidP="0056095D">
      <w:pPr>
        <w:pStyle w:val="Bibliography"/>
        <w:rPr>
          <w:lang w:val="en-GB"/>
        </w:rPr>
      </w:pPr>
      <w:r w:rsidRPr="0056095D">
        <w:rPr>
          <w:lang w:val="en-GB"/>
        </w:rPr>
        <w:t xml:space="preserve">63. </w:t>
      </w:r>
      <w:r w:rsidRPr="0056095D">
        <w:rPr>
          <w:lang w:val="en-GB"/>
        </w:rPr>
        <w:tab/>
        <w:t xml:space="preserve">Aiyer, H.S.; Warri, A.M.; Woode, D.R.; Hilakivi-Clarke, L.; Clarke, R. Influence of Berry Polyphenols on Receptor Signaling and Cell-Death Pathways: Implications for Breast Cancer Prevention. </w:t>
      </w:r>
      <w:r w:rsidRPr="0056095D">
        <w:rPr>
          <w:i/>
          <w:iCs/>
          <w:lang w:val="en-GB"/>
        </w:rPr>
        <w:t>J. Agric. Food Chem.</w:t>
      </w:r>
      <w:r w:rsidRPr="0056095D">
        <w:rPr>
          <w:lang w:val="en-GB"/>
        </w:rPr>
        <w:t xml:space="preserve"> </w:t>
      </w:r>
      <w:r w:rsidRPr="0056095D">
        <w:rPr>
          <w:b/>
          <w:bCs/>
          <w:lang w:val="en-GB"/>
        </w:rPr>
        <w:t>2012</w:t>
      </w:r>
      <w:r w:rsidRPr="0056095D">
        <w:rPr>
          <w:lang w:val="en-GB"/>
        </w:rPr>
        <w:t>, 16.</w:t>
      </w:r>
    </w:p>
    <w:p w14:paraId="3788C331" w14:textId="77777777" w:rsidR="0056095D" w:rsidRPr="0056095D" w:rsidRDefault="0056095D" w:rsidP="0056095D">
      <w:pPr>
        <w:pStyle w:val="Bibliography"/>
        <w:rPr>
          <w:lang w:val="en-GB"/>
        </w:rPr>
      </w:pPr>
      <w:r w:rsidRPr="0056095D">
        <w:rPr>
          <w:lang w:val="en-GB"/>
        </w:rPr>
        <w:lastRenderedPageBreak/>
        <w:t xml:space="preserve">64. </w:t>
      </w:r>
      <w:r w:rsidRPr="0056095D">
        <w:rPr>
          <w:lang w:val="en-GB"/>
        </w:rPr>
        <w:tab/>
        <w:t xml:space="preserve">Demoulin, B.; Hermant, M.; Castrogiovanni, C.; Staudt, C.; Dumont, P. Resveratrol Induces DNA Damage in Colon Cancer Cells by Poisoning Topoisomerase II and Activates the ATM Kinase to Trigger P53-Dependent Apoptosis. </w:t>
      </w:r>
      <w:r w:rsidRPr="0056095D">
        <w:rPr>
          <w:i/>
          <w:iCs/>
          <w:lang w:val="en-GB"/>
        </w:rPr>
        <w:t>Toxicology in Vitro</w:t>
      </w:r>
      <w:r w:rsidRPr="0056095D">
        <w:rPr>
          <w:lang w:val="en-GB"/>
        </w:rPr>
        <w:t xml:space="preserve"> </w:t>
      </w:r>
      <w:r w:rsidRPr="0056095D">
        <w:rPr>
          <w:b/>
          <w:bCs/>
          <w:lang w:val="en-GB"/>
        </w:rPr>
        <w:t>2015</w:t>
      </w:r>
      <w:r w:rsidRPr="0056095D">
        <w:rPr>
          <w:lang w:val="en-GB"/>
        </w:rPr>
        <w:t xml:space="preserve">, </w:t>
      </w:r>
      <w:r w:rsidRPr="0056095D">
        <w:rPr>
          <w:i/>
          <w:iCs/>
          <w:lang w:val="en-GB"/>
        </w:rPr>
        <w:t>29</w:t>
      </w:r>
      <w:r w:rsidRPr="0056095D">
        <w:rPr>
          <w:lang w:val="en-GB"/>
        </w:rPr>
        <w:t>, 1156–1165, doi:10.1016/j.tiv.2015.04.015.</w:t>
      </w:r>
    </w:p>
    <w:p w14:paraId="14B4F742" w14:textId="77777777" w:rsidR="0056095D" w:rsidRPr="0056095D" w:rsidRDefault="0056095D" w:rsidP="0056095D">
      <w:pPr>
        <w:pStyle w:val="Bibliography"/>
        <w:rPr>
          <w:lang w:val="en-GB"/>
        </w:rPr>
      </w:pPr>
      <w:r w:rsidRPr="0056095D">
        <w:rPr>
          <w:lang w:val="en-GB"/>
        </w:rPr>
        <w:t xml:space="preserve">65. </w:t>
      </w:r>
      <w:r w:rsidRPr="0056095D">
        <w:rPr>
          <w:lang w:val="en-GB"/>
        </w:rPr>
        <w:tab/>
        <w:t xml:space="preserve">Cháirez-Ramírez, M.H.; de la Cruz-López, K.G.; García-Carrancá, A. Polyphenols as Antitumor Agents Targeting Key Players in Cancer-Driving Signaling Pathways. </w:t>
      </w:r>
      <w:r w:rsidRPr="0056095D">
        <w:rPr>
          <w:i/>
          <w:iCs/>
          <w:lang w:val="en-GB"/>
        </w:rPr>
        <w:t>Front. Pharmacol.</w:t>
      </w:r>
      <w:r w:rsidRPr="0056095D">
        <w:rPr>
          <w:lang w:val="en-GB"/>
        </w:rPr>
        <w:t xml:space="preserve"> </w:t>
      </w:r>
      <w:r w:rsidRPr="0056095D">
        <w:rPr>
          <w:b/>
          <w:bCs/>
          <w:lang w:val="en-GB"/>
        </w:rPr>
        <w:t>2021</w:t>
      </w:r>
      <w:r w:rsidRPr="0056095D">
        <w:rPr>
          <w:lang w:val="en-GB"/>
        </w:rPr>
        <w:t xml:space="preserve">, </w:t>
      </w:r>
      <w:r w:rsidRPr="0056095D">
        <w:rPr>
          <w:i/>
          <w:iCs/>
          <w:lang w:val="en-GB"/>
        </w:rPr>
        <w:t>12</w:t>
      </w:r>
      <w:r w:rsidRPr="0056095D">
        <w:rPr>
          <w:lang w:val="en-GB"/>
        </w:rPr>
        <w:t>, 710304, doi:10.3389/fphar.2021.710304.</w:t>
      </w:r>
    </w:p>
    <w:p w14:paraId="7D7E6B40" w14:textId="77777777" w:rsidR="0056095D" w:rsidRPr="00A417B6" w:rsidRDefault="0056095D" w:rsidP="0056095D">
      <w:pPr>
        <w:pStyle w:val="Bibliography"/>
        <w:rPr>
          <w:lang w:val="it-IT"/>
        </w:rPr>
      </w:pPr>
      <w:r w:rsidRPr="0056095D">
        <w:rPr>
          <w:lang w:val="en-GB"/>
        </w:rPr>
        <w:t xml:space="preserve">66. </w:t>
      </w:r>
      <w:r w:rsidRPr="0056095D">
        <w:rPr>
          <w:lang w:val="en-GB"/>
        </w:rPr>
        <w:tab/>
        <w:t xml:space="preserve">Reboredo-Rodríguez, P.; Varela-López, A.; Forbes-Hernández, T.Y.; Gasparrini, M.; Afrin, S.; Cianciosi, D.; Zhang, J.; Manna, P.P.; Bompadre, S.; Quiles, J.L.; et al. Phenolic Compounds Isolated from Olive Oil as Nutraceutical Tools for the Prevention and Management of Cancer and Cardiovascular Diseases. </w:t>
      </w:r>
      <w:r w:rsidRPr="00A417B6">
        <w:rPr>
          <w:i/>
          <w:iCs/>
          <w:lang w:val="it-IT"/>
        </w:rPr>
        <w:t>IJMS</w:t>
      </w:r>
      <w:r w:rsidRPr="00A417B6">
        <w:rPr>
          <w:lang w:val="it-IT"/>
        </w:rPr>
        <w:t xml:space="preserve"> </w:t>
      </w:r>
      <w:r w:rsidRPr="00A417B6">
        <w:rPr>
          <w:b/>
          <w:bCs/>
          <w:lang w:val="it-IT"/>
        </w:rPr>
        <w:t>2018</w:t>
      </w:r>
      <w:r w:rsidRPr="00A417B6">
        <w:rPr>
          <w:lang w:val="it-IT"/>
        </w:rPr>
        <w:t xml:space="preserve">, </w:t>
      </w:r>
      <w:r w:rsidRPr="00A417B6">
        <w:rPr>
          <w:i/>
          <w:iCs/>
          <w:lang w:val="it-IT"/>
        </w:rPr>
        <w:t>19</w:t>
      </w:r>
      <w:r w:rsidRPr="00A417B6">
        <w:rPr>
          <w:lang w:val="it-IT"/>
        </w:rPr>
        <w:t>, 2305, doi:10.3390/ijms19082305.</w:t>
      </w:r>
    </w:p>
    <w:p w14:paraId="75E57301" w14:textId="77777777" w:rsidR="0056095D" w:rsidRPr="0056095D" w:rsidRDefault="0056095D" w:rsidP="0056095D">
      <w:pPr>
        <w:pStyle w:val="Bibliography"/>
        <w:rPr>
          <w:lang w:val="en-GB"/>
        </w:rPr>
      </w:pPr>
      <w:r w:rsidRPr="00A417B6">
        <w:rPr>
          <w:lang w:val="it-IT"/>
        </w:rPr>
        <w:t xml:space="preserve">67. </w:t>
      </w:r>
      <w:r w:rsidRPr="00A417B6">
        <w:rPr>
          <w:lang w:val="it-IT"/>
        </w:rPr>
        <w:tab/>
        <w:t xml:space="preserve">Francesco, A.D.; Falconi, A.; Germanio, C.D.; Bonaventura, M.V.M.D.; Costa, A.; Caramuta, S.; Carlo, M.D.; Compagnone, D.; Dainese, E.; Cifani, C.; et al. </w:t>
      </w:r>
      <w:r w:rsidRPr="0056095D">
        <w:rPr>
          <w:lang w:val="en-GB"/>
        </w:rPr>
        <w:t xml:space="preserve">Extravirgin Olive Oil Up-Regulates CB1 Tumor Suppressor Gene in Human Colon Cancer Cells and in Rat Colon via Epigenetic Mechanisms. </w:t>
      </w:r>
      <w:r w:rsidRPr="0056095D">
        <w:rPr>
          <w:i/>
          <w:iCs/>
          <w:lang w:val="en-GB"/>
        </w:rPr>
        <w:t>The Journal of Nutritional Biochemistry</w:t>
      </w:r>
      <w:r w:rsidRPr="0056095D">
        <w:rPr>
          <w:lang w:val="en-GB"/>
        </w:rPr>
        <w:t xml:space="preserve"> </w:t>
      </w:r>
      <w:r w:rsidRPr="0056095D">
        <w:rPr>
          <w:b/>
          <w:bCs/>
          <w:lang w:val="en-GB"/>
        </w:rPr>
        <w:t>2015</w:t>
      </w:r>
      <w:r w:rsidRPr="0056095D">
        <w:rPr>
          <w:lang w:val="en-GB"/>
        </w:rPr>
        <w:t xml:space="preserve">, </w:t>
      </w:r>
      <w:r w:rsidRPr="0056095D">
        <w:rPr>
          <w:i/>
          <w:iCs/>
          <w:lang w:val="en-GB"/>
        </w:rPr>
        <w:t>26</w:t>
      </w:r>
      <w:r w:rsidRPr="0056095D">
        <w:rPr>
          <w:lang w:val="en-GB"/>
        </w:rPr>
        <w:t>, 250–258, doi:https://doi.org/10.1016/j.jnutbio.2014.10.013.</w:t>
      </w:r>
    </w:p>
    <w:p w14:paraId="7E79D7D5" w14:textId="77777777" w:rsidR="0056095D" w:rsidRPr="0056095D" w:rsidRDefault="0056095D" w:rsidP="0056095D">
      <w:pPr>
        <w:pStyle w:val="Bibliography"/>
        <w:rPr>
          <w:lang w:val="en-GB"/>
        </w:rPr>
      </w:pPr>
      <w:r w:rsidRPr="0056095D">
        <w:rPr>
          <w:lang w:val="en-GB"/>
        </w:rPr>
        <w:t xml:space="preserve">68. </w:t>
      </w:r>
      <w:r w:rsidRPr="0056095D">
        <w:rPr>
          <w:lang w:val="en-GB"/>
        </w:rPr>
        <w:tab/>
        <w:t xml:space="preserve">Bahar, M.E.; Kim, H.J.; Kim, D.R. Targeting the RAS/RAF/MAPK Pathway for Cancer Therapy: From Mechanism to Clinical Studies. </w:t>
      </w:r>
      <w:r w:rsidRPr="0056095D">
        <w:rPr>
          <w:i/>
          <w:iCs/>
          <w:lang w:val="en-GB"/>
        </w:rPr>
        <w:t>Signal transduction and targeted therapy</w:t>
      </w:r>
      <w:r w:rsidRPr="0056095D">
        <w:rPr>
          <w:lang w:val="en-GB"/>
        </w:rPr>
        <w:t xml:space="preserve"> </w:t>
      </w:r>
      <w:r w:rsidRPr="0056095D">
        <w:rPr>
          <w:b/>
          <w:bCs/>
          <w:lang w:val="en-GB"/>
        </w:rPr>
        <w:t>2023</w:t>
      </w:r>
      <w:r w:rsidRPr="0056095D">
        <w:rPr>
          <w:lang w:val="en-GB"/>
        </w:rPr>
        <w:t xml:space="preserve">, </w:t>
      </w:r>
      <w:r w:rsidRPr="0056095D">
        <w:rPr>
          <w:i/>
          <w:iCs/>
          <w:lang w:val="en-GB"/>
        </w:rPr>
        <w:t>8</w:t>
      </w:r>
      <w:r w:rsidRPr="0056095D">
        <w:rPr>
          <w:lang w:val="en-GB"/>
        </w:rPr>
        <w:t>, 455.</w:t>
      </w:r>
    </w:p>
    <w:p w14:paraId="235A0AEE" w14:textId="77777777" w:rsidR="0056095D" w:rsidRPr="0056095D" w:rsidRDefault="0056095D" w:rsidP="0056095D">
      <w:pPr>
        <w:pStyle w:val="Bibliography"/>
        <w:rPr>
          <w:lang w:val="en-GB"/>
        </w:rPr>
      </w:pPr>
      <w:r w:rsidRPr="0056095D">
        <w:rPr>
          <w:lang w:val="en-GB"/>
        </w:rPr>
        <w:t xml:space="preserve">69. </w:t>
      </w:r>
      <w:r w:rsidRPr="0056095D">
        <w:rPr>
          <w:lang w:val="en-GB"/>
        </w:rPr>
        <w:tab/>
        <w:t xml:space="preserve">Kanai, T.; Kondo, N.; Okada, M.; Sano, H.; Okumura, G.; Kijima, Y.; Ogose, A.; Kawashima, H.; Endo, N. The JNK Pathway Represents a Novel Target in the Treatment of Rheumatoid Arthritis through the Suppression of MMP-3. </w:t>
      </w:r>
      <w:r w:rsidRPr="0056095D">
        <w:rPr>
          <w:i/>
          <w:iCs/>
          <w:lang w:val="en-GB"/>
        </w:rPr>
        <w:t>Journal of Orthopaedic Surgery and Research</w:t>
      </w:r>
      <w:r w:rsidRPr="0056095D">
        <w:rPr>
          <w:lang w:val="en-GB"/>
        </w:rPr>
        <w:t xml:space="preserve"> </w:t>
      </w:r>
      <w:r w:rsidRPr="0056095D">
        <w:rPr>
          <w:b/>
          <w:bCs/>
          <w:lang w:val="en-GB"/>
        </w:rPr>
        <w:t>2020</w:t>
      </w:r>
      <w:r w:rsidRPr="0056095D">
        <w:rPr>
          <w:lang w:val="en-GB"/>
        </w:rPr>
        <w:t xml:space="preserve">, </w:t>
      </w:r>
      <w:r w:rsidRPr="0056095D">
        <w:rPr>
          <w:i/>
          <w:iCs/>
          <w:lang w:val="en-GB"/>
        </w:rPr>
        <w:t>15</w:t>
      </w:r>
      <w:r w:rsidRPr="0056095D">
        <w:rPr>
          <w:lang w:val="en-GB"/>
        </w:rPr>
        <w:t>, 1–10.</w:t>
      </w:r>
    </w:p>
    <w:p w14:paraId="50620C60" w14:textId="77777777" w:rsidR="0056095D" w:rsidRPr="0056095D" w:rsidRDefault="0056095D" w:rsidP="0056095D">
      <w:pPr>
        <w:pStyle w:val="Bibliography"/>
        <w:rPr>
          <w:lang w:val="en-GB"/>
        </w:rPr>
      </w:pPr>
      <w:r w:rsidRPr="0056095D">
        <w:rPr>
          <w:lang w:val="en-GB"/>
        </w:rPr>
        <w:t xml:space="preserve">70. </w:t>
      </w:r>
      <w:r w:rsidRPr="0056095D">
        <w:rPr>
          <w:lang w:val="en-GB"/>
        </w:rPr>
        <w:tab/>
        <w:t xml:space="preserve">Ko, J.-C.; Syu, J.-J.; Chen, J.-C.; Wang, T.-J.; Chang, P.-Y.; Chen, C.-Y.; Jian, Y.-T.; Jian, Y.-J.; Lin, Y.-W. Resveratrol Enhances Etoposide-Induced Cytotoxicity through Down-Regulating ERK1/2 and AKT-Mediated X-Ray Repair Cross-Complement Group 1 (XRCC1) Protein Expression in Human Non-Small-Cell Lung Cancer Cells. </w:t>
      </w:r>
      <w:r w:rsidRPr="0056095D">
        <w:rPr>
          <w:i/>
          <w:iCs/>
          <w:lang w:val="en-GB"/>
        </w:rPr>
        <w:t>Basic &amp; Clinical Pharmacology &amp; Toxicology</w:t>
      </w:r>
      <w:r w:rsidRPr="0056095D">
        <w:rPr>
          <w:lang w:val="en-GB"/>
        </w:rPr>
        <w:t xml:space="preserve"> </w:t>
      </w:r>
      <w:r w:rsidRPr="0056095D">
        <w:rPr>
          <w:b/>
          <w:bCs/>
          <w:lang w:val="en-GB"/>
        </w:rPr>
        <w:t>2015</w:t>
      </w:r>
      <w:r w:rsidRPr="0056095D">
        <w:rPr>
          <w:lang w:val="en-GB"/>
        </w:rPr>
        <w:t xml:space="preserve">, </w:t>
      </w:r>
      <w:r w:rsidRPr="0056095D">
        <w:rPr>
          <w:i/>
          <w:iCs/>
          <w:lang w:val="en-GB"/>
        </w:rPr>
        <w:t>117</w:t>
      </w:r>
      <w:r w:rsidRPr="0056095D">
        <w:rPr>
          <w:lang w:val="en-GB"/>
        </w:rPr>
        <w:t>, 383–391, doi:10.1111/bcpt.12425.</w:t>
      </w:r>
    </w:p>
    <w:p w14:paraId="5C819664" w14:textId="77777777" w:rsidR="0056095D" w:rsidRPr="0056095D" w:rsidRDefault="0056095D" w:rsidP="0056095D">
      <w:pPr>
        <w:pStyle w:val="Bibliography"/>
        <w:rPr>
          <w:lang w:val="en-GB"/>
        </w:rPr>
      </w:pPr>
      <w:r w:rsidRPr="0056095D">
        <w:rPr>
          <w:lang w:val="en-GB"/>
        </w:rPr>
        <w:t xml:space="preserve">71. </w:t>
      </w:r>
      <w:r w:rsidRPr="0056095D">
        <w:rPr>
          <w:lang w:val="en-GB"/>
        </w:rPr>
        <w:tab/>
        <w:t xml:space="preserve">Rosillo, M.Á.; Sánchez-Hidalgo, M.; Castejón, M.L.; Montoya, T.; González-Benjumea, A.; Fernández-Bolaños, J.G.; Alarcón-de-la-Lastra, C. Extra-Virgin Olive Oil Phenols Hydroxytyrosol and Hydroxytyrosol Acetate, down-Regulate the Production of Mediators Involved in Joint Erosion in Human Synovial Cells. </w:t>
      </w:r>
      <w:r w:rsidRPr="0056095D">
        <w:rPr>
          <w:i/>
          <w:iCs/>
          <w:lang w:val="en-GB"/>
        </w:rPr>
        <w:t>Journal of Functional Foods</w:t>
      </w:r>
      <w:r w:rsidRPr="0056095D">
        <w:rPr>
          <w:lang w:val="en-GB"/>
        </w:rPr>
        <w:t xml:space="preserve"> </w:t>
      </w:r>
      <w:r w:rsidRPr="0056095D">
        <w:rPr>
          <w:b/>
          <w:bCs/>
          <w:lang w:val="en-GB"/>
        </w:rPr>
        <w:t>2017</w:t>
      </w:r>
      <w:r w:rsidRPr="0056095D">
        <w:rPr>
          <w:lang w:val="en-GB"/>
        </w:rPr>
        <w:t xml:space="preserve">, </w:t>
      </w:r>
      <w:r w:rsidRPr="0056095D">
        <w:rPr>
          <w:i/>
          <w:iCs/>
          <w:lang w:val="en-GB"/>
        </w:rPr>
        <w:t>36</w:t>
      </w:r>
      <w:r w:rsidRPr="0056095D">
        <w:rPr>
          <w:lang w:val="en-GB"/>
        </w:rPr>
        <w:t>, 27–33, doi:10.1016/j.jff.2017.06.041.</w:t>
      </w:r>
    </w:p>
    <w:p w14:paraId="72735A29" w14:textId="77777777" w:rsidR="0056095D" w:rsidRPr="0056095D" w:rsidRDefault="0056095D" w:rsidP="0056095D">
      <w:pPr>
        <w:pStyle w:val="Bibliography"/>
        <w:rPr>
          <w:lang w:val="en-GB"/>
        </w:rPr>
      </w:pPr>
      <w:r w:rsidRPr="0056095D">
        <w:rPr>
          <w:lang w:val="en-GB"/>
        </w:rPr>
        <w:t xml:space="preserve">72. </w:t>
      </w:r>
      <w:r w:rsidRPr="0056095D">
        <w:rPr>
          <w:lang w:val="en-GB"/>
        </w:rPr>
        <w:tab/>
        <w:t xml:space="preserve">Ali, H.E.; Radwan, R.R. Synthesis, Characterization and Evaluation of Resveratrol-Loaded Functionalized Carbon Nanotubes as a Novel Delivery System in Radiation Enteropathy. </w:t>
      </w:r>
      <w:r w:rsidRPr="0056095D">
        <w:rPr>
          <w:i/>
          <w:iCs/>
          <w:lang w:val="en-GB"/>
        </w:rPr>
        <w:t>European Journal of Pharmaceutical Sciences</w:t>
      </w:r>
      <w:r w:rsidRPr="0056095D">
        <w:rPr>
          <w:lang w:val="en-GB"/>
        </w:rPr>
        <w:t xml:space="preserve"> </w:t>
      </w:r>
      <w:r w:rsidRPr="0056095D">
        <w:rPr>
          <w:b/>
          <w:bCs/>
          <w:lang w:val="en-GB"/>
        </w:rPr>
        <w:t>2021</w:t>
      </w:r>
      <w:r w:rsidRPr="0056095D">
        <w:rPr>
          <w:lang w:val="en-GB"/>
        </w:rPr>
        <w:t xml:space="preserve">, </w:t>
      </w:r>
      <w:r w:rsidRPr="0056095D">
        <w:rPr>
          <w:i/>
          <w:iCs/>
          <w:lang w:val="en-GB"/>
        </w:rPr>
        <w:t>167</w:t>
      </w:r>
      <w:r w:rsidRPr="0056095D">
        <w:rPr>
          <w:lang w:val="en-GB"/>
        </w:rPr>
        <w:t>, 106002, doi:10.1016/j.ejps.2021.106002.</w:t>
      </w:r>
    </w:p>
    <w:p w14:paraId="4E56BCF2" w14:textId="77777777" w:rsidR="0056095D" w:rsidRPr="0056095D" w:rsidRDefault="0056095D" w:rsidP="0056095D">
      <w:pPr>
        <w:pStyle w:val="Bibliography"/>
        <w:rPr>
          <w:lang w:val="en-GB"/>
        </w:rPr>
      </w:pPr>
      <w:r w:rsidRPr="0056095D">
        <w:rPr>
          <w:lang w:val="en-GB"/>
        </w:rPr>
        <w:t xml:space="preserve">73. </w:t>
      </w:r>
      <w:r w:rsidRPr="0056095D">
        <w:rPr>
          <w:lang w:val="en-GB"/>
        </w:rPr>
        <w:tab/>
        <w:t xml:space="preserve">Behl, T.; Mehta, K.; Sehgal, A.; Singh, S.; Sharma, N.; Ahmadi, A.; Arora, S.; Bungau, S. Exploring the Role of Polyphenols in Rheumatoid Arthritis. </w:t>
      </w:r>
      <w:r w:rsidRPr="0056095D">
        <w:rPr>
          <w:i/>
          <w:iCs/>
          <w:lang w:val="en-GB"/>
        </w:rPr>
        <w:t>Critical Reviews in Food Science and Nutrition</w:t>
      </w:r>
      <w:r w:rsidRPr="0056095D">
        <w:rPr>
          <w:lang w:val="en-GB"/>
        </w:rPr>
        <w:t xml:space="preserve"> </w:t>
      </w:r>
      <w:r w:rsidRPr="0056095D">
        <w:rPr>
          <w:b/>
          <w:bCs/>
          <w:lang w:val="en-GB"/>
        </w:rPr>
        <w:t>2021</w:t>
      </w:r>
      <w:r w:rsidRPr="0056095D">
        <w:rPr>
          <w:lang w:val="en-GB"/>
        </w:rPr>
        <w:t>, 1–22, doi:10.1080/10408398.2021.1924613.</w:t>
      </w:r>
    </w:p>
    <w:p w14:paraId="709B78E3" w14:textId="77777777" w:rsidR="0056095D" w:rsidRPr="0056095D" w:rsidRDefault="0056095D" w:rsidP="0056095D">
      <w:pPr>
        <w:pStyle w:val="Bibliography"/>
        <w:rPr>
          <w:lang w:val="en-GB"/>
        </w:rPr>
      </w:pPr>
      <w:r w:rsidRPr="0056095D">
        <w:rPr>
          <w:lang w:val="en-GB"/>
        </w:rPr>
        <w:t xml:space="preserve">74. </w:t>
      </w:r>
      <w:r w:rsidRPr="0056095D">
        <w:rPr>
          <w:lang w:val="en-GB"/>
        </w:rPr>
        <w:tab/>
        <w:t xml:space="preserve">Guasch-Ferré, M.; Willett, W.C. The Mediterranean Diet and Health: A Comprehensive Overview. </w:t>
      </w:r>
      <w:r w:rsidRPr="0056095D">
        <w:rPr>
          <w:i/>
          <w:iCs/>
          <w:lang w:val="en-GB"/>
        </w:rPr>
        <w:t>Journal of Internal Medicine</w:t>
      </w:r>
      <w:r w:rsidRPr="0056095D">
        <w:rPr>
          <w:lang w:val="en-GB"/>
        </w:rPr>
        <w:t xml:space="preserve"> </w:t>
      </w:r>
      <w:r w:rsidRPr="0056095D">
        <w:rPr>
          <w:b/>
          <w:bCs/>
          <w:lang w:val="en-GB"/>
        </w:rPr>
        <w:t>2021</w:t>
      </w:r>
      <w:r w:rsidRPr="0056095D">
        <w:rPr>
          <w:lang w:val="en-GB"/>
        </w:rPr>
        <w:t xml:space="preserve">, </w:t>
      </w:r>
      <w:r w:rsidRPr="0056095D">
        <w:rPr>
          <w:i/>
          <w:iCs/>
          <w:lang w:val="en-GB"/>
        </w:rPr>
        <w:t>290</w:t>
      </w:r>
      <w:r w:rsidRPr="0056095D">
        <w:rPr>
          <w:lang w:val="en-GB"/>
        </w:rPr>
        <w:t>, 549–566, doi:10.1111/joim.13333.</w:t>
      </w:r>
    </w:p>
    <w:p w14:paraId="177988AA" w14:textId="77777777" w:rsidR="0056095D" w:rsidRPr="0056095D" w:rsidRDefault="0056095D" w:rsidP="0056095D">
      <w:pPr>
        <w:pStyle w:val="Bibliography"/>
        <w:rPr>
          <w:lang w:val="en-GB"/>
        </w:rPr>
      </w:pPr>
      <w:r w:rsidRPr="0056095D">
        <w:rPr>
          <w:lang w:val="en-GB"/>
        </w:rPr>
        <w:t xml:space="preserve">75. </w:t>
      </w:r>
      <w:r w:rsidRPr="0056095D">
        <w:rPr>
          <w:lang w:val="en-GB"/>
        </w:rPr>
        <w:tab/>
        <w:t xml:space="preserve">Aparicio-Soto, M.; Sánchez-Hidalgo, M.; Rosillo, M.Á.; Castejón, M.L.; Alarcón-de-la-Lastra, C. Extra Virgin Olive Oil: A Key Functional Food for Prevention of Immune-Inflammatory Diseases. </w:t>
      </w:r>
      <w:r w:rsidRPr="0056095D">
        <w:rPr>
          <w:i/>
          <w:iCs/>
          <w:lang w:val="en-GB"/>
        </w:rPr>
        <w:t>Food Funct.</w:t>
      </w:r>
      <w:r w:rsidRPr="0056095D">
        <w:rPr>
          <w:lang w:val="en-GB"/>
        </w:rPr>
        <w:t xml:space="preserve"> </w:t>
      </w:r>
      <w:r w:rsidRPr="0056095D">
        <w:rPr>
          <w:b/>
          <w:bCs/>
          <w:lang w:val="en-GB"/>
        </w:rPr>
        <w:t>2016</w:t>
      </w:r>
      <w:r w:rsidRPr="0056095D">
        <w:rPr>
          <w:lang w:val="en-GB"/>
        </w:rPr>
        <w:t xml:space="preserve">, </w:t>
      </w:r>
      <w:r w:rsidRPr="0056095D">
        <w:rPr>
          <w:i/>
          <w:iCs/>
          <w:lang w:val="en-GB"/>
        </w:rPr>
        <w:t>7</w:t>
      </w:r>
      <w:r w:rsidRPr="0056095D">
        <w:rPr>
          <w:lang w:val="en-GB"/>
        </w:rPr>
        <w:t>, 4492–4505, doi:10.1039/C6FO01094F.</w:t>
      </w:r>
    </w:p>
    <w:p w14:paraId="2C7CA053" w14:textId="77777777" w:rsidR="0056095D" w:rsidRPr="0056095D" w:rsidRDefault="0056095D" w:rsidP="0056095D">
      <w:pPr>
        <w:pStyle w:val="Bibliography"/>
        <w:rPr>
          <w:lang w:val="en-GB"/>
        </w:rPr>
      </w:pPr>
      <w:r w:rsidRPr="0056095D">
        <w:rPr>
          <w:lang w:val="en-GB"/>
        </w:rPr>
        <w:lastRenderedPageBreak/>
        <w:t xml:space="preserve">76. </w:t>
      </w:r>
      <w:r w:rsidRPr="0056095D">
        <w:rPr>
          <w:lang w:val="en-GB"/>
        </w:rPr>
        <w:tab/>
        <w:t xml:space="preserve">Barker, D. Lignans. </w:t>
      </w:r>
      <w:r w:rsidRPr="0056095D">
        <w:rPr>
          <w:i/>
          <w:iCs/>
          <w:lang w:val="en-GB"/>
        </w:rPr>
        <w:t>Molecules</w:t>
      </w:r>
      <w:r w:rsidRPr="0056095D">
        <w:rPr>
          <w:lang w:val="en-GB"/>
        </w:rPr>
        <w:t xml:space="preserve"> </w:t>
      </w:r>
      <w:r w:rsidRPr="0056095D">
        <w:rPr>
          <w:b/>
          <w:bCs/>
          <w:lang w:val="en-GB"/>
        </w:rPr>
        <w:t>2019</w:t>
      </w:r>
      <w:r w:rsidRPr="0056095D">
        <w:rPr>
          <w:lang w:val="en-GB"/>
        </w:rPr>
        <w:t xml:space="preserve">, </w:t>
      </w:r>
      <w:r w:rsidRPr="0056095D">
        <w:rPr>
          <w:i/>
          <w:iCs/>
          <w:lang w:val="en-GB"/>
        </w:rPr>
        <w:t>24</w:t>
      </w:r>
      <w:r w:rsidRPr="0056095D">
        <w:rPr>
          <w:lang w:val="en-GB"/>
        </w:rPr>
        <w:t>, doi:10.3390/molecules24071424.</w:t>
      </w:r>
    </w:p>
    <w:p w14:paraId="441F5D54" w14:textId="77777777" w:rsidR="0056095D" w:rsidRPr="0056095D" w:rsidRDefault="0056095D" w:rsidP="0056095D">
      <w:pPr>
        <w:pStyle w:val="Bibliography"/>
        <w:rPr>
          <w:lang w:val="en-GB"/>
        </w:rPr>
      </w:pPr>
      <w:r w:rsidRPr="0056095D">
        <w:rPr>
          <w:lang w:val="en-GB"/>
        </w:rPr>
        <w:t xml:space="preserve">77. </w:t>
      </w:r>
      <w:r w:rsidRPr="0056095D">
        <w:rPr>
          <w:lang w:val="en-GB"/>
        </w:rPr>
        <w:tab/>
        <w:t xml:space="preserve">Cook, M.T.; Mafuvadze, B.; Besch-Williford, C.; Ellersieck, M.R.; Goyette, S.; Hyder, S.M. Luteolin Suppresses Development of Medroxyprogesterone Acetate-Accelerated 7,12-Dimethylbenz(a)Anthracene-Induced Mammary Tumors in Sprague-Dawley Rats. </w:t>
      </w:r>
      <w:r w:rsidRPr="0056095D">
        <w:rPr>
          <w:i/>
          <w:iCs/>
          <w:lang w:val="en-GB"/>
        </w:rPr>
        <w:t>Oncology Reports</w:t>
      </w:r>
      <w:r w:rsidRPr="0056095D">
        <w:rPr>
          <w:lang w:val="en-GB"/>
        </w:rPr>
        <w:t xml:space="preserve"> </w:t>
      </w:r>
      <w:r w:rsidRPr="0056095D">
        <w:rPr>
          <w:b/>
          <w:bCs/>
          <w:lang w:val="en-GB"/>
        </w:rPr>
        <w:t>2016</w:t>
      </w:r>
      <w:r w:rsidRPr="0056095D">
        <w:rPr>
          <w:lang w:val="en-GB"/>
        </w:rPr>
        <w:t xml:space="preserve">, </w:t>
      </w:r>
      <w:r w:rsidRPr="0056095D">
        <w:rPr>
          <w:i/>
          <w:iCs/>
          <w:lang w:val="en-GB"/>
        </w:rPr>
        <w:t>35</w:t>
      </w:r>
      <w:r w:rsidRPr="0056095D">
        <w:rPr>
          <w:lang w:val="en-GB"/>
        </w:rPr>
        <w:t>, 825–832, doi:10.3892/or.2015.4431.</w:t>
      </w:r>
    </w:p>
    <w:p w14:paraId="024C3CCE" w14:textId="77777777" w:rsidR="0056095D" w:rsidRPr="0056095D" w:rsidRDefault="0056095D" w:rsidP="0056095D">
      <w:pPr>
        <w:pStyle w:val="Bibliography"/>
        <w:rPr>
          <w:lang w:val="en-GB"/>
        </w:rPr>
      </w:pPr>
      <w:r w:rsidRPr="0056095D">
        <w:rPr>
          <w:lang w:val="en-GB"/>
        </w:rPr>
        <w:t xml:space="preserve">78. </w:t>
      </w:r>
      <w:r w:rsidRPr="0056095D">
        <w:rPr>
          <w:lang w:val="en-GB"/>
        </w:rPr>
        <w:tab/>
        <w:t xml:space="preserve">Mohd Zaffarin, A.S.; Ng, S.-F.; Ng, M.H.; Hassan, H.; Alias, E. Pharmacology and Pharmacokinetics of Vitamin E: Nanoformulations to Enhance Bioavailability. </w:t>
      </w:r>
      <w:r w:rsidRPr="0056095D">
        <w:rPr>
          <w:i/>
          <w:iCs/>
          <w:lang w:val="en-GB"/>
        </w:rPr>
        <w:t>IJN</w:t>
      </w:r>
      <w:r w:rsidRPr="0056095D">
        <w:rPr>
          <w:lang w:val="en-GB"/>
        </w:rPr>
        <w:t xml:space="preserve"> </w:t>
      </w:r>
      <w:r w:rsidRPr="0056095D">
        <w:rPr>
          <w:b/>
          <w:bCs/>
          <w:lang w:val="en-GB"/>
        </w:rPr>
        <w:t>2020</w:t>
      </w:r>
      <w:r w:rsidRPr="0056095D">
        <w:rPr>
          <w:lang w:val="en-GB"/>
        </w:rPr>
        <w:t xml:space="preserve">, </w:t>
      </w:r>
      <w:r w:rsidRPr="0056095D">
        <w:rPr>
          <w:i/>
          <w:iCs/>
          <w:lang w:val="en-GB"/>
        </w:rPr>
        <w:t>Volume 15</w:t>
      </w:r>
      <w:r w:rsidRPr="0056095D">
        <w:rPr>
          <w:lang w:val="en-GB"/>
        </w:rPr>
        <w:t>, 9961–9974, doi:10.2147/IJN.S276355.</w:t>
      </w:r>
    </w:p>
    <w:p w14:paraId="41C563C8" w14:textId="77777777" w:rsidR="0056095D" w:rsidRPr="0056095D" w:rsidRDefault="0056095D" w:rsidP="0056095D">
      <w:pPr>
        <w:pStyle w:val="Bibliography"/>
        <w:rPr>
          <w:lang w:val="en-GB"/>
        </w:rPr>
      </w:pPr>
      <w:r w:rsidRPr="0056095D">
        <w:rPr>
          <w:lang w:val="en-GB"/>
        </w:rPr>
        <w:t xml:space="preserve">79. </w:t>
      </w:r>
      <w:r w:rsidRPr="0056095D">
        <w:rPr>
          <w:lang w:val="en-GB"/>
        </w:rPr>
        <w:tab/>
        <w:t xml:space="preserve">Nazrun, A.S.; Norazlina, M.; Norliza, M.; Nirwana, S.I. The Anti-Inflammatory Role of Vitamin e in Prevention of Osteoporosis. </w:t>
      </w:r>
      <w:r w:rsidRPr="0056095D">
        <w:rPr>
          <w:i/>
          <w:iCs/>
          <w:lang w:val="en-GB"/>
        </w:rPr>
        <w:t>Advances in Pharmacological Sciences</w:t>
      </w:r>
      <w:r w:rsidRPr="0056095D">
        <w:rPr>
          <w:lang w:val="en-GB"/>
        </w:rPr>
        <w:t xml:space="preserve"> </w:t>
      </w:r>
      <w:r w:rsidRPr="0056095D">
        <w:rPr>
          <w:b/>
          <w:bCs/>
          <w:lang w:val="en-GB"/>
        </w:rPr>
        <w:t>2012</w:t>
      </w:r>
      <w:r w:rsidRPr="0056095D">
        <w:rPr>
          <w:lang w:val="en-GB"/>
        </w:rPr>
        <w:t xml:space="preserve">, </w:t>
      </w:r>
      <w:r w:rsidRPr="0056095D">
        <w:rPr>
          <w:i/>
          <w:iCs/>
          <w:lang w:val="en-GB"/>
        </w:rPr>
        <w:t>2012</w:t>
      </w:r>
      <w:r w:rsidRPr="0056095D">
        <w:rPr>
          <w:lang w:val="en-GB"/>
        </w:rPr>
        <w:t>, doi:10.1155/2012/142702.</w:t>
      </w:r>
    </w:p>
    <w:p w14:paraId="4C91CB4C" w14:textId="77777777" w:rsidR="0056095D" w:rsidRPr="0056095D" w:rsidRDefault="0056095D" w:rsidP="0056095D">
      <w:pPr>
        <w:pStyle w:val="Bibliography"/>
        <w:rPr>
          <w:lang w:val="en-GB"/>
        </w:rPr>
      </w:pPr>
      <w:r w:rsidRPr="0056095D">
        <w:rPr>
          <w:lang w:val="en-GB"/>
        </w:rPr>
        <w:t xml:space="preserve">80. </w:t>
      </w:r>
      <w:r w:rsidRPr="0056095D">
        <w:rPr>
          <w:lang w:val="en-GB"/>
        </w:rPr>
        <w:tab/>
        <w:t xml:space="preserve">Trela-Makowej, A.; Leśkiewicz, M.; Kruk, J.; Żądło, A.; Basta-Kaim, A.; Szymańska, R. Antioxidant and Neuroprotective Activity of Vitamin E Homologues: In Vitro Study. </w:t>
      </w:r>
      <w:r w:rsidRPr="0056095D">
        <w:rPr>
          <w:i/>
          <w:iCs/>
          <w:lang w:val="en-GB"/>
        </w:rPr>
        <w:t>Metabolites</w:t>
      </w:r>
      <w:r w:rsidRPr="0056095D">
        <w:rPr>
          <w:lang w:val="en-GB"/>
        </w:rPr>
        <w:t xml:space="preserve"> </w:t>
      </w:r>
      <w:r w:rsidRPr="0056095D">
        <w:rPr>
          <w:b/>
          <w:bCs/>
          <w:lang w:val="en-GB"/>
        </w:rPr>
        <w:t>2022</w:t>
      </w:r>
      <w:r w:rsidRPr="0056095D">
        <w:rPr>
          <w:lang w:val="en-GB"/>
        </w:rPr>
        <w:t xml:space="preserve">, </w:t>
      </w:r>
      <w:r w:rsidRPr="0056095D">
        <w:rPr>
          <w:i/>
          <w:iCs/>
          <w:lang w:val="en-GB"/>
        </w:rPr>
        <w:t>12</w:t>
      </w:r>
      <w:r w:rsidRPr="0056095D">
        <w:rPr>
          <w:lang w:val="en-GB"/>
        </w:rPr>
        <w:t>, doi:10.3390/metabo12070608.</w:t>
      </w:r>
    </w:p>
    <w:p w14:paraId="1030F2B6" w14:textId="77777777" w:rsidR="0056095D" w:rsidRPr="0056095D" w:rsidRDefault="0056095D" w:rsidP="0056095D">
      <w:pPr>
        <w:pStyle w:val="Bibliography"/>
        <w:rPr>
          <w:lang w:val="en-GB"/>
        </w:rPr>
      </w:pPr>
      <w:r w:rsidRPr="0056095D">
        <w:rPr>
          <w:lang w:val="en-GB"/>
        </w:rPr>
        <w:t xml:space="preserve">81. </w:t>
      </w:r>
      <w:r w:rsidRPr="0056095D">
        <w:rPr>
          <w:lang w:val="en-GB"/>
        </w:rPr>
        <w:tab/>
        <w:t xml:space="preserve">Bozaykut, P.; Karademir, B.; Yazgan, B.; Sozen, E.; Siow, R.C.M.; Mann, G.E.; Ozer, N.K. Effects of Vitamin E on Peroxisome Proliferator-Activated Receptor γ and Nuclear Factor-Erythroid 2-Related Factor 2 in Hypercholesterolemia-Induced Atherosclerosis. </w:t>
      </w:r>
      <w:r w:rsidRPr="0056095D">
        <w:rPr>
          <w:i/>
          <w:iCs/>
          <w:lang w:val="en-GB"/>
        </w:rPr>
        <w:t>Free Radical Biology and Medicine</w:t>
      </w:r>
      <w:r w:rsidRPr="0056095D">
        <w:rPr>
          <w:lang w:val="en-GB"/>
        </w:rPr>
        <w:t xml:space="preserve"> </w:t>
      </w:r>
      <w:r w:rsidRPr="0056095D">
        <w:rPr>
          <w:b/>
          <w:bCs/>
          <w:lang w:val="en-GB"/>
        </w:rPr>
        <w:t>2014</w:t>
      </w:r>
      <w:r w:rsidRPr="0056095D">
        <w:rPr>
          <w:lang w:val="en-GB"/>
        </w:rPr>
        <w:t xml:space="preserve">, </w:t>
      </w:r>
      <w:r w:rsidRPr="0056095D">
        <w:rPr>
          <w:i/>
          <w:iCs/>
          <w:lang w:val="en-GB"/>
        </w:rPr>
        <w:t>70</w:t>
      </w:r>
      <w:r w:rsidRPr="0056095D">
        <w:rPr>
          <w:lang w:val="en-GB"/>
        </w:rPr>
        <w:t>, 174–181, doi:10.1016/j.freeradbiomed.2014.02.017.</w:t>
      </w:r>
    </w:p>
    <w:p w14:paraId="40DBEA43" w14:textId="77777777" w:rsidR="0056095D" w:rsidRPr="0056095D" w:rsidRDefault="0056095D" w:rsidP="0056095D">
      <w:pPr>
        <w:pStyle w:val="Bibliography"/>
        <w:rPr>
          <w:lang w:val="en-GB"/>
        </w:rPr>
      </w:pPr>
      <w:r w:rsidRPr="0056095D">
        <w:rPr>
          <w:lang w:val="en-GB"/>
        </w:rPr>
        <w:t xml:space="preserve">82. </w:t>
      </w:r>
      <w:r w:rsidRPr="0056095D">
        <w:rPr>
          <w:lang w:val="en-GB"/>
        </w:rPr>
        <w:tab/>
        <w:t xml:space="preserve">Clifford, T.; Acton, J.P.; Cocksedge, S.P.; Davies, K.A.B.; Bailey, S.J. The Effect of Dietary Phytochemicals on Nuclear Factor Erythroid 2-Related Factor 2 (Nrf2) Activation: A Systematic Review of Human Intervention Trials. </w:t>
      </w:r>
      <w:r w:rsidRPr="0056095D">
        <w:rPr>
          <w:i/>
          <w:iCs/>
          <w:lang w:val="en-GB"/>
        </w:rPr>
        <w:t>Molecular Biology Reports</w:t>
      </w:r>
      <w:r w:rsidRPr="0056095D">
        <w:rPr>
          <w:lang w:val="en-GB"/>
        </w:rPr>
        <w:t xml:space="preserve"> </w:t>
      </w:r>
      <w:r w:rsidRPr="0056095D">
        <w:rPr>
          <w:b/>
          <w:bCs/>
          <w:lang w:val="en-GB"/>
        </w:rPr>
        <w:t>2021</w:t>
      </w:r>
      <w:r w:rsidRPr="0056095D">
        <w:rPr>
          <w:lang w:val="en-GB"/>
        </w:rPr>
        <w:t xml:space="preserve">, </w:t>
      </w:r>
      <w:r w:rsidRPr="0056095D">
        <w:rPr>
          <w:i/>
          <w:iCs/>
          <w:lang w:val="en-GB"/>
        </w:rPr>
        <w:t>48</w:t>
      </w:r>
      <w:r w:rsidRPr="0056095D">
        <w:rPr>
          <w:lang w:val="en-GB"/>
        </w:rPr>
        <w:t>, 1745–1761, doi:10.1007/s11033-020-06041-x.</w:t>
      </w:r>
    </w:p>
    <w:p w14:paraId="4FB6E461" w14:textId="77777777" w:rsidR="0056095D" w:rsidRPr="0056095D" w:rsidRDefault="0056095D" w:rsidP="0056095D">
      <w:pPr>
        <w:pStyle w:val="Bibliography"/>
        <w:rPr>
          <w:lang w:val="en-GB"/>
        </w:rPr>
      </w:pPr>
      <w:r w:rsidRPr="0056095D">
        <w:rPr>
          <w:lang w:val="en-GB"/>
        </w:rPr>
        <w:t xml:space="preserve">83. </w:t>
      </w:r>
      <w:r w:rsidRPr="0056095D">
        <w:rPr>
          <w:lang w:val="en-GB"/>
        </w:rPr>
        <w:tab/>
        <w:t xml:space="preserve">Albuquerque, B.; Costa, M.S.; Peça, I.N.; Cardoso, M.M. Production of Double‐walled Nanoparticles Containing Meloxicam. </w:t>
      </w:r>
      <w:r w:rsidRPr="0056095D">
        <w:rPr>
          <w:i/>
          <w:iCs/>
          <w:lang w:val="en-GB"/>
        </w:rPr>
        <w:t>Polymer Engineering &amp; Science</w:t>
      </w:r>
      <w:r w:rsidRPr="0056095D">
        <w:rPr>
          <w:lang w:val="en-GB"/>
        </w:rPr>
        <w:t xml:space="preserve"> </w:t>
      </w:r>
      <w:r w:rsidRPr="0056095D">
        <w:rPr>
          <w:b/>
          <w:bCs/>
          <w:lang w:val="en-GB"/>
        </w:rPr>
        <w:t>2013</w:t>
      </w:r>
      <w:r w:rsidRPr="0056095D">
        <w:rPr>
          <w:lang w:val="en-GB"/>
        </w:rPr>
        <w:t xml:space="preserve">, </w:t>
      </w:r>
      <w:r w:rsidRPr="0056095D">
        <w:rPr>
          <w:i/>
          <w:iCs/>
          <w:lang w:val="en-GB"/>
        </w:rPr>
        <w:t>53</w:t>
      </w:r>
      <w:r w:rsidRPr="0056095D">
        <w:rPr>
          <w:lang w:val="en-GB"/>
        </w:rPr>
        <w:t>, 146–152.</w:t>
      </w:r>
    </w:p>
    <w:p w14:paraId="3664477D" w14:textId="77777777" w:rsidR="0056095D" w:rsidRPr="0056095D" w:rsidRDefault="0056095D" w:rsidP="0056095D">
      <w:pPr>
        <w:pStyle w:val="Bibliography"/>
        <w:rPr>
          <w:lang w:val="en-GB"/>
        </w:rPr>
      </w:pPr>
      <w:r w:rsidRPr="0056095D">
        <w:rPr>
          <w:lang w:val="en-GB"/>
        </w:rPr>
        <w:t xml:space="preserve">84. </w:t>
      </w:r>
      <w:r w:rsidRPr="0056095D">
        <w:rPr>
          <w:lang w:val="en-GB"/>
        </w:rPr>
        <w:tab/>
        <w:t xml:space="preserve">Anjum, S.; Hashim, M.; Malik, S.A.; Khan, M.; Lorenzo, J.M.; Abbasi, B.H.; Hano, C. Recent Advances in Zinc Oxide Nanoparticles (ZnO NPs) for Cancer Diagnosis, Target Drug Delivery, and Treatment. </w:t>
      </w:r>
      <w:r w:rsidRPr="0056095D">
        <w:rPr>
          <w:i/>
          <w:iCs/>
          <w:lang w:val="en-GB"/>
        </w:rPr>
        <w:t>Cancers</w:t>
      </w:r>
      <w:r w:rsidRPr="0056095D">
        <w:rPr>
          <w:lang w:val="en-GB"/>
        </w:rPr>
        <w:t xml:space="preserve"> </w:t>
      </w:r>
      <w:r w:rsidRPr="0056095D">
        <w:rPr>
          <w:b/>
          <w:bCs/>
          <w:lang w:val="en-GB"/>
        </w:rPr>
        <w:t>2021</w:t>
      </w:r>
      <w:r w:rsidRPr="0056095D">
        <w:rPr>
          <w:lang w:val="en-GB"/>
        </w:rPr>
        <w:t xml:space="preserve">, </w:t>
      </w:r>
      <w:r w:rsidRPr="0056095D">
        <w:rPr>
          <w:i/>
          <w:iCs/>
          <w:lang w:val="en-GB"/>
        </w:rPr>
        <w:t>13</w:t>
      </w:r>
      <w:r w:rsidRPr="0056095D">
        <w:rPr>
          <w:lang w:val="en-GB"/>
        </w:rPr>
        <w:t>, 4570, doi:10.3390/cancers13184570.</w:t>
      </w:r>
    </w:p>
    <w:p w14:paraId="40174F9E" w14:textId="77777777" w:rsidR="0056095D" w:rsidRPr="0056095D" w:rsidRDefault="0056095D" w:rsidP="0056095D">
      <w:pPr>
        <w:pStyle w:val="Bibliography"/>
        <w:rPr>
          <w:lang w:val="en-GB"/>
        </w:rPr>
      </w:pPr>
      <w:r w:rsidRPr="0056095D">
        <w:rPr>
          <w:lang w:val="en-GB"/>
        </w:rPr>
        <w:t xml:space="preserve">85. </w:t>
      </w:r>
      <w:r w:rsidRPr="0056095D">
        <w:rPr>
          <w:lang w:val="en-GB"/>
        </w:rPr>
        <w:tab/>
        <w:t xml:space="preserve">Albuquerque, B.; Costa, M.S.; Peça, I.N.; Cardoso, M.M. Production of Double‐walled Nanoparticles Containing Meloxicam. </w:t>
      </w:r>
      <w:r w:rsidRPr="0056095D">
        <w:rPr>
          <w:i/>
          <w:iCs/>
          <w:lang w:val="en-GB"/>
        </w:rPr>
        <w:t>Polymer Engineering &amp; Science</w:t>
      </w:r>
      <w:r w:rsidRPr="0056095D">
        <w:rPr>
          <w:lang w:val="en-GB"/>
        </w:rPr>
        <w:t xml:space="preserve"> </w:t>
      </w:r>
      <w:r w:rsidRPr="0056095D">
        <w:rPr>
          <w:b/>
          <w:bCs/>
          <w:lang w:val="en-GB"/>
        </w:rPr>
        <w:t>2013</w:t>
      </w:r>
      <w:r w:rsidRPr="0056095D">
        <w:rPr>
          <w:lang w:val="en-GB"/>
        </w:rPr>
        <w:t xml:space="preserve">, </w:t>
      </w:r>
      <w:r w:rsidRPr="0056095D">
        <w:rPr>
          <w:i/>
          <w:iCs/>
          <w:lang w:val="en-GB"/>
        </w:rPr>
        <w:t>53</w:t>
      </w:r>
      <w:r w:rsidRPr="0056095D">
        <w:rPr>
          <w:lang w:val="en-GB"/>
        </w:rPr>
        <w:t>, 146–152.</w:t>
      </w:r>
    </w:p>
    <w:p w14:paraId="595625A2" w14:textId="77777777" w:rsidR="0056095D" w:rsidRPr="0056095D" w:rsidRDefault="0056095D" w:rsidP="0056095D">
      <w:pPr>
        <w:pStyle w:val="Bibliography"/>
        <w:rPr>
          <w:lang w:val="en-GB"/>
        </w:rPr>
      </w:pPr>
      <w:r w:rsidRPr="0056095D">
        <w:rPr>
          <w:lang w:val="en-GB"/>
        </w:rPr>
        <w:t xml:space="preserve">86. </w:t>
      </w:r>
      <w:r w:rsidRPr="0056095D">
        <w:rPr>
          <w:lang w:val="en-GB"/>
        </w:rPr>
        <w:tab/>
        <w:t xml:space="preserve">Schneider, Y.; Vincent, F.; Duranton, B.Ã.; Badolo, L.; Gosse, F.; Bergmann, C.; Seiler, N.; Raul, F. </w:t>
      </w:r>
      <w:r w:rsidRPr="0056095D">
        <w:rPr>
          <w:i/>
          <w:iCs/>
          <w:lang w:val="en-GB"/>
        </w:rPr>
        <w:t>Anti-Proliferative Effect of Resveratrol, a Natural Component of Grapes and Wine, on Human Colonic Cancer Cells</w:t>
      </w:r>
      <w:r w:rsidRPr="0056095D">
        <w:rPr>
          <w:lang w:val="en-GB"/>
        </w:rPr>
        <w:t>;</w:t>
      </w:r>
    </w:p>
    <w:p w14:paraId="58EE8B65" w14:textId="77777777" w:rsidR="0056095D" w:rsidRPr="0056095D" w:rsidRDefault="0056095D" w:rsidP="0056095D">
      <w:pPr>
        <w:pStyle w:val="Bibliography"/>
        <w:rPr>
          <w:lang w:val="en-GB"/>
        </w:rPr>
      </w:pPr>
      <w:r w:rsidRPr="0056095D">
        <w:rPr>
          <w:lang w:val="en-GB"/>
        </w:rPr>
        <w:t xml:space="preserve">87. </w:t>
      </w:r>
      <w:r w:rsidRPr="0056095D">
        <w:rPr>
          <w:lang w:val="en-GB"/>
        </w:rPr>
        <w:tab/>
        <w:t xml:space="preserve">Amin, M.; Huang, W.; Seynhaeve, A.L.B.; Ten Hagen, T.L.M. Hyperthermia and Temperature-Sensitive Nanomaterials for Spatiotemporal Drug Delivery to Solid Tumors. </w:t>
      </w:r>
      <w:r w:rsidRPr="0056095D">
        <w:rPr>
          <w:i/>
          <w:iCs/>
          <w:lang w:val="en-GB"/>
        </w:rPr>
        <w:t>Pharmaceutics</w:t>
      </w:r>
      <w:r w:rsidRPr="0056095D">
        <w:rPr>
          <w:lang w:val="en-GB"/>
        </w:rPr>
        <w:t xml:space="preserve"> </w:t>
      </w:r>
      <w:r w:rsidRPr="0056095D">
        <w:rPr>
          <w:b/>
          <w:bCs/>
          <w:lang w:val="en-GB"/>
        </w:rPr>
        <w:t>2020</w:t>
      </w:r>
      <w:r w:rsidRPr="0056095D">
        <w:rPr>
          <w:lang w:val="en-GB"/>
        </w:rPr>
        <w:t xml:space="preserve">, </w:t>
      </w:r>
      <w:r w:rsidRPr="0056095D">
        <w:rPr>
          <w:i/>
          <w:iCs/>
          <w:lang w:val="en-GB"/>
        </w:rPr>
        <w:t>12</w:t>
      </w:r>
      <w:r w:rsidRPr="0056095D">
        <w:rPr>
          <w:lang w:val="en-GB"/>
        </w:rPr>
        <w:t>, 1007, doi:10.3390/pharmaceutics12111007.</w:t>
      </w:r>
    </w:p>
    <w:p w14:paraId="52668FD6" w14:textId="77777777" w:rsidR="0056095D" w:rsidRPr="0056095D" w:rsidRDefault="0056095D" w:rsidP="0056095D">
      <w:pPr>
        <w:pStyle w:val="Bibliography"/>
        <w:rPr>
          <w:lang w:val="en-GB"/>
        </w:rPr>
      </w:pPr>
      <w:r w:rsidRPr="0056095D">
        <w:rPr>
          <w:lang w:val="en-GB"/>
        </w:rPr>
        <w:t xml:space="preserve">88. </w:t>
      </w:r>
      <w:r w:rsidRPr="0056095D">
        <w:rPr>
          <w:lang w:val="en-GB"/>
        </w:rPr>
        <w:tab/>
        <w:t xml:space="preserve">Chaudhary, Z.; Subramaniam, S.; Khan, G.M.; Abeer, M.M.; Qu, Z.; Janjua, T.; Kumeria, T.; Batra, J.; Popat, A. Encapsulation and Controlled Release of Resveratrol Within Functionalized Mesoporous Silica Nanoparticles for Prostate Cancer Therapy. </w:t>
      </w:r>
      <w:r w:rsidRPr="0056095D">
        <w:rPr>
          <w:i/>
          <w:iCs/>
          <w:lang w:val="en-GB"/>
        </w:rPr>
        <w:t>Front. Bioeng. Biotechnol.</w:t>
      </w:r>
      <w:r w:rsidRPr="0056095D">
        <w:rPr>
          <w:lang w:val="en-GB"/>
        </w:rPr>
        <w:t xml:space="preserve"> </w:t>
      </w:r>
      <w:r w:rsidRPr="0056095D">
        <w:rPr>
          <w:b/>
          <w:bCs/>
          <w:lang w:val="en-GB"/>
        </w:rPr>
        <w:t>2019</w:t>
      </w:r>
      <w:r w:rsidRPr="0056095D">
        <w:rPr>
          <w:lang w:val="en-GB"/>
        </w:rPr>
        <w:t xml:space="preserve">, </w:t>
      </w:r>
      <w:r w:rsidRPr="0056095D">
        <w:rPr>
          <w:i/>
          <w:iCs/>
          <w:lang w:val="en-GB"/>
        </w:rPr>
        <w:t>7</w:t>
      </w:r>
      <w:r w:rsidRPr="0056095D">
        <w:rPr>
          <w:lang w:val="en-GB"/>
        </w:rPr>
        <w:t>, 225, doi:10.3389/fbioe.2019.00225.</w:t>
      </w:r>
    </w:p>
    <w:p w14:paraId="43A8DF08" w14:textId="77777777" w:rsidR="0056095D" w:rsidRPr="0056095D" w:rsidRDefault="0056095D" w:rsidP="0056095D">
      <w:pPr>
        <w:pStyle w:val="Bibliography"/>
        <w:rPr>
          <w:lang w:val="en-GB"/>
        </w:rPr>
      </w:pPr>
      <w:r w:rsidRPr="0056095D">
        <w:rPr>
          <w:lang w:val="en-GB"/>
        </w:rPr>
        <w:t xml:space="preserve">89. </w:t>
      </w:r>
      <w:r w:rsidRPr="0056095D">
        <w:rPr>
          <w:lang w:val="en-GB"/>
        </w:rPr>
        <w:tab/>
        <w:t xml:space="preserve">Annaji, M.; Poudel, I.; Boddu, S.H.S.; Arnold, R.D.; Tiwari, A.K.; Babu, R.J. Resveratrol‐loaded Nanomedicines for Cancer Applications. </w:t>
      </w:r>
      <w:r w:rsidRPr="0056095D">
        <w:rPr>
          <w:i/>
          <w:iCs/>
          <w:lang w:val="en-GB"/>
        </w:rPr>
        <w:t>Cancer Reports</w:t>
      </w:r>
      <w:r w:rsidRPr="0056095D">
        <w:rPr>
          <w:lang w:val="en-GB"/>
        </w:rPr>
        <w:t xml:space="preserve"> </w:t>
      </w:r>
      <w:r w:rsidRPr="0056095D">
        <w:rPr>
          <w:b/>
          <w:bCs/>
          <w:lang w:val="en-GB"/>
        </w:rPr>
        <w:t>2021</w:t>
      </w:r>
      <w:r w:rsidRPr="0056095D">
        <w:rPr>
          <w:lang w:val="en-GB"/>
        </w:rPr>
        <w:t xml:space="preserve">, </w:t>
      </w:r>
      <w:r w:rsidRPr="0056095D">
        <w:rPr>
          <w:i/>
          <w:iCs/>
          <w:lang w:val="en-GB"/>
        </w:rPr>
        <w:t>4</w:t>
      </w:r>
      <w:r w:rsidRPr="0056095D">
        <w:rPr>
          <w:lang w:val="en-GB"/>
        </w:rPr>
        <w:t>, doi:10.1002/cnr2.1353.</w:t>
      </w:r>
    </w:p>
    <w:p w14:paraId="40810B06" w14:textId="77777777" w:rsidR="0056095D" w:rsidRPr="0056095D" w:rsidRDefault="0056095D" w:rsidP="0056095D">
      <w:pPr>
        <w:pStyle w:val="Bibliography"/>
        <w:rPr>
          <w:lang w:val="en-GB"/>
        </w:rPr>
      </w:pPr>
      <w:r w:rsidRPr="0056095D">
        <w:rPr>
          <w:lang w:val="en-GB"/>
        </w:rPr>
        <w:lastRenderedPageBreak/>
        <w:t xml:space="preserve">90. </w:t>
      </w:r>
      <w:r w:rsidRPr="0056095D">
        <w:rPr>
          <w:lang w:val="en-GB"/>
        </w:rPr>
        <w:tab/>
        <w:t xml:space="preserve">Boboc, M.; Curti, F.; Fleacă, A.M.; Jianu, M.L.; Roşu, A.-M.; Curutiu, C.; Lazar, V.; Chifiriuc, M.C.; Grumezescu, A.M. Chapter 14 - Preparation and Antimicrobial Activity of Inorganic Nanoparticles: Promising Solutions to Fight Antibiotic Resistance. In </w:t>
      </w:r>
      <w:r w:rsidRPr="0056095D">
        <w:rPr>
          <w:i/>
          <w:iCs/>
          <w:lang w:val="en-GB"/>
        </w:rPr>
        <w:t>Nanostructures for Antimicrobial Therapy</w:t>
      </w:r>
      <w:r w:rsidRPr="0056095D">
        <w:rPr>
          <w:lang w:val="en-GB"/>
        </w:rPr>
        <w:t>; Ficai, A., Grumezescu, A.M., Eds.; Elsevier, 2017; pp. 325–340 ISBN 978-0-323-46152-8.</w:t>
      </w:r>
    </w:p>
    <w:p w14:paraId="3190CC35" w14:textId="77777777" w:rsidR="0056095D" w:rsidRPr="0056095D" w:rsidRDefault="0056095D" w:rsidP="0056095D">
      <w:pPr>
        <w:pStyle w:val="Bibliography"/>
        <w:rPr>
          <w:lang w:val="en-GB"/>
        </w:rPr>
      </w:pPr>
      <w:r w:rsidRPr="0056095D">
        <w:rPr>
          <w:lang w:val="en-GB"/>
        </w:rPr>
        <w:t xml:space="preserve">91. </w:t>
      </w:r>
      <w:r w:rsidRPr="0056095D">
        <w:rPr>
          <w:lang w:val="en-GB"/>
        </w:rPr>
        <w:tab/>
        <w:t xml:space="preserve">Caddeo, C.; Nacher, A.; Vassallo, A.; Armentano, M.F.; Pons, R.; Fernàndez-Busquets, X.; Carbone, C.; Valenti, D.; Fadda, A.M.; Manconi, M. Effect of Quercetin and Resveratrol Co-Incorporated in Liposomes against Inflammatory/Oxidative Response Associated with Skin Cancer. </w:t>
      </w:r>
      <w:r w:rsidRPr="0056095D">
        <w:rPr>
          <w:i/>
          <w:iCs/>
          <w:lang w:val="en-GB"/>
        </w:rPr>
        <w:t>International Journal of Pharmaceutics</w:t>
      </w:r>
      <w:r w:rsidRPr="0056095D">
        <w:rPr>
          <w:lang w:val="en-GB"/>
        </w:rPr>
        <w:t xml:space="preserve"> </w:t>
      </w:r>
      <w:r w:rsidRPr="0056095D">
        <w:rPr>
          <w:b/>
          <w:bCs/>
          <w:lang w:val="en-GB"/>
        </w:rPr>
        <w:t>2016</w:t>
      </w:r>
      <w:r w:rsidRPr="0056095D">
        <w:rPr>
          <w:lang w:val="en-GB"/>
        </w:rPr>
        <w:t xml:space="preserve">, </w:t>
      </w:r>
      <w:r w:rsidRPr="0056095D">
        <w:rPr>
          <w:i/>
          <w:iCs/>
          <w:lang w:val="en-GB"/>
        </w:rPr>
        <w:t>513</w:t>
      </w:r>
      <w:r w:rsidRPr="0056095D">
        <w:rPr>
          <w:lang w:val="en-GB"/>
        </w:rPr>
        <w:t>, 153–163, doi:10.1016/j.ijpharm.2016.09.014.</w:t>
      </w:r>
    </w:p>
    <w:p w14:paraId="1AF6DDBB" w14:textId="77777777" w:rsidR="0056095D" w:rsidRPr="0056095D" w:rsidRDefault="0056095D" w:rsidP="0056095D">
      <w:pPr>
        <w:pStyle w:val="Bibliography"/>
        <w:rPr>
          <w:lang w:val="en-GB"/>
        </w:rPr>
      </w:pPr>
      <w:r w:rsidRPr="0056095D">
        <w:rPr>
          <w:lang w:val="en-GB"/>
        </w:rPr>
        <w:t xml:space="preserve">92. </w:t>
      </w:r>
      <w:r w:rsidRPr="0056095D">
        <w:rPr>
          <w:lang w:val="en-GB"/>
        </w:rPr>
        <w:tab/>
        <w:t xml:space="preserve">Cardoso, B.D.; Rodrigues, A.R.O.; Bañobre-López, M.; Almeida, B.G.; Amorim, C.O.; Amaral, V.S.; Coutinho, P.J.G.; Castanheira, E.M.S. Magnetoliposomes Based on Shape Anisotropic Calcium/Magnesium Ferrite Nanoparticles as Nanocarriers for Doxorubicin. </w:t>
      </w:r>
      <w:r w:rsidRPr="0056095D">
        <w:rPr>
          <w:i/>
          <w:iCs/>
          <w:lang w:val="en-GB"/>
        </w:rPr>
        <w:t>Pharmaceutics</w:t>
      </w:r>
      <w:r w:rsidRPr="0056095D">
        <w:rPr>
          <w:lang w:val="en-GB"/>
        </w:rPr>
        <w:t xml:space="preserve"> </w:t>
      </w:r>
      <w:r w:rsidRPr="0056095D">
        <w:rPr>
          <w:b/>
          <w:bCs/>
          <w:lang w:val="en-GB"/>
        </w:rPr>
        <w:t>2021</w:t>
      </w:r>
      <w:r w:rsidRPr="0056095D">
        <w:rPr>
          <w:lang w:val="en-GB"/>
        </w:rPr>
        <w:t xml:space="preserve">, </w:t>
      </w:r>
      <w:r w:rsidRPr="0056095D">
        <w:rPr>
          <w:i/>
          <w:iCs/>
          <w:lang w:val="en-GB"/>
        </w:rPr>
        <w:t>13</w:t>
      </w:r>
      <w:r w:rsidRPr="0056095D">
        <w:rPr>
          <w:lang w:val="en-GB"/>
        </w:rPr>
        <w:t>, 1248, doi:10.3390/pharmaceutics13081248.</w:t>
      </w:r>
    </w:p>
    <w:p w14:paraId="0BA5058F" w14:textId="77777777" w:rsidR="0056095D" w:rsidRPr="0056095D" w:rsidRDefault="0056095D" w:rsidP="0056095D">
      <w:pPr>
        <w:pStyle w:val="Bibliography"/>
        <w:rPr>
          <w:lang w:val="en-GB"/>
        </w:rPr>
      </w:pPr>
      <w:r w:rsidRPr="0056095D">
        <w:rPr>
          <w:lang w:val="en-GB"/>
        </w:rPr>
        <w:t xml:space="preserve">93. </w:t>
      </w:r>
      <w:r w:rsidRPr="0056095D">
        <w:rPr>
          <w:lang w:val="en-GB"/>
        </w:rPr>
        <w:tab/>
        <w:t xml:space="preserve">Nsairat, H.; Khater, D.; Sayed, U.; Odeh, F.; Al Bawab, A.; Alshaer, W. Liposomes: Structure, Composition, Types, and Clinical Applications. </w:t>
      </w:r>
      <w:r w:rsidRPr="0056095D">
        <w:rPr>
          <w:i/>
          <w:iCs/>
          <w:lang w:val="en-GB"/>
        </w:rPr>
        <w:t>Heliyon</w:t>
      </w:r>
      <w:r w:rsidRPr="0056095D">
        <w:rPr>
          <w:lang w:val="en-GB"/>
        </w:rPr>
        <w:t xml:space="preserve"> </w:t>
      </w:r>
      <w:r w:rsidRPr="0056095D">
        <w:rPr>
          <w:b/>
          <w:bCs/>
          <w:lang w:val="en-GB"/>
        </w:rPr>
        <w:t>2022</w:t>
      </w:r>
      <w:r w:rsidRPr="0056095D">
        <w:rPr>
          <w:lang w:val="en-GB"/>
        </w:rPr>
        <w:t xml:space="preserve">, </w:t>
      </w:r>
      <w:r w:rsidRPr="0056095D">
        <w:rPr>
          <w:i/>
          <w:iCs/>
          <w:lang w:val="en-GB"/>
        </w:rPr>
        <w:t>8</w:t>
      </w:r>
      <w:r w:rsidRPr="0056095D">
        <w:rPr>
          <w:lang w:val="en-GB"/>
        </w:rPr>
        <w:t>, doi:10.1016/j.heliyon.2022.e09394.</w:t>
      </w:r>
    </w:p>
    <w:p w14:paraId="54D30262" w14:textId="77777777" w:rsidR="0056095D" w:rsidRPr="0056095D" w:rsidRDefault="0056095D" w:rsidP="0056095D">
      <w:pPr>
        <w:pStyle w:val="Bibliography"/>
        <w:rPr>
          <w:lang w:val="en-GB"/>
        </w:rPr>
      </w:pPr>
      <w:r w:rsidRPr="0056095D">
        <w:rPr>
          <w:lang w:val="en-GB"/>
        </w:rPr>
        <w:t xml:space="preserve">94. </w:t>
      </w:r>
      <w:r w:rsidRPr="0056095D">
        <w:rPr>
          <w:lang w:val="en-GB"/>
        </w:rPr>
        <w:tab/>
        <w:t xml:space="preserve">Meng, J.; Guo, F.; Xu, H.; Liang, W.; Wang, C.; Yang, X.-D. Combination Therapy Using Co-Encapsulated Resveratrol and Paclitaxel in Liposomes for Drug Resistance Reversal in Breast Cancer Cells in Vivo. </w:t>
      </w:r>
      <w:r w:rsidRPr="0056095D">
        <w:rPr>
          <w:i/>
          <w:iCs/>
          <w:lang w:val="en-GB"/>
        </w:rPr>
        <w:t>Sci Rep</w:t>
      </w:r>
      <w:r w:rsidRPr="0056095D">
        <w:rPr>
          <w:lang w:val="en-GB"/>
        </w:rPr>
        <w:t xml:space="preserve"> </w:t>
      </w:r>
      <w:r w:rsidRPr="0056095D">
        <w:rPr>
          <w:b/>
          <w:bCs/>
          <w:lang w:val="en-GB"/>
        </w:rPr>
        <w:t>2016</w:t>
      </w:r>
      <w:r w:rsidRPr="0056095D">
        <w:rPr>
          <w:lang w:val="en-GB"/>
        </w:rPr>
        <w:t xml:space="preserve">, </w:t>
      </w:r>
      <w:r w:rsidRPr="0056095D">
        <w:rPr>
          <w:i/>
          <w:iCs/>
          <w:lang w:val="en-GB"/>
        </w:rPr>
        <w:t>6</w:t>
      </w:r>
      <w:r w:rsidRPr="0056095D">
        <w:rPr>
          <w:lang w:val="en-GB"/>
        </w:rPr>
        <w:t>, 22390, doi:10.1038/srep22390.</w:t>
      </w:r>
    </w:p>
    <w:p w14:paraId="3E0F55B9" w14:textId="77777777" w:rsidR="0056095D" w:rsidRPr="0056095D" w:rsidRDefault="0056095D" w:rsidP="0056095D">
      <w:pPr>
        <w:pStyle w:val="Bibliography"/>
        <w:rPr>
          <w:lang w:val="en-GB"/>
        </w:rPr>
      </w:pPr>
      <w:r w:rsidRPr="0056095D">
        <w:rPr>
          <w:lang w:val="en-GB"/>
        </w:rPr>
        <w:t xml:space="preserve">95. </w:t>
      </w:r>
      <w:r w:rsidRPr="0056095D">
        <w:rPr>
          <w:lang w:val="en-GB"/>
        </w:rPr>
        <w:tab/>
        <w:t xml:space="preserve">German-Cortés, J.; Vilar-Hernández, M.; Rafael, D.; Abasolo, I.; Andrade, F. Solid Lipid Nanoparticles: Multitasking Nano-Carriers for Cancer Treatment. </w:t>
      </w:r>
      <w:r w:rsidRPr="0056095D">
        <w:rPr>
          <w:i/>
          <w:iCs/>
          <w:lang w:val="en-GB"/>
        </w:rPr>
        <w:t>Pharmaceutics</w:t>
      </w:r>
      <w:r w:rsidRPr="0056095D">
        <w:rPr>
          <w:lang w:val="en-GB"/>
        </w:rPr>
        <w:t xml:space="preserve"> </w:t>
      </w:r>
      <w:r w:rsidRPr="0056095D">
        <w:rPr>
          <w:b/>
          <w:bCs/>
          <w:lang w:val="en-GB"/>
        </w:rPr>
        <w:t>2023</w:t>
      </w:r>
      <w:r w:rsidRPr="0056095D">
        <w:rPr>
          <w:lang w:val="en-GB"/>
        </w:rPr>
        <w:t xml:space="preserve">, </w:t>
      </w:r>
      <w:r w:rsidRPr="0056095D">
        <w:rPr>
          <w:i/>
          <w:iCs/>
          <w:lang w:val="en-GB"/>
        </w:rPr>
        <w:t>15</w:t>
      </w:r>
      <w:r w:rsidRPr="0056095D">
        <w:rPr>
          <w:lang w:val="en-GB"/>
        </w:rPr>
        <w:t>, 831.</w:t>
      </w:r>
    </w:p>
    <w:p w14:paraId="6D58782A" w14:textId="77777777" w:rsidR="0056095D" w:rsidRPr="0056095D" w:rsidRDefault="0056095D" w:rsidP="0056095D">
      <w:pPr>
        <w:pStyle w:val="Bibliography"/>
        <w:rPr>
          <w:lang w:val="en-GB"/>
        </w:rPr>
      </w:pPr>
      <w:r w:rsidRPr="0056095D">
        <w:rPr>
          <w:lang w:val="en-GB"/>
        </w:rPr>
        <w:t xml:space="preserve">96. </w:t>
      </w:r>
      <w:r w:rsidRPr="0056095D">
        <w:rPr>
          <w:lang w:val="en-GB"/>
        </w:rPr>
        <w:tab/>
        <w:t xml:space="preserve">Jose, S.; Anju, S.S.; Cinu, T.A.; Aleykutty, N.A.; Thomas, S.; Souto, E.B. In Vivo Pharmacokinetics and Biodistribution of Resveratrol-Loaded Solid Lipid Nanoparticles for Brain Delivery. </w:t>
      </w:r>
      <w:r w:rsidRPr="0056095D">
        <w:rPr>
          <w:i/>
          <w:iCs/>
          <w:lang w:val="en-GB"/>
        </w:rPr>
        <w:t>International Journal of Pharmaceutics</w:t>
      </w:r>
      <w:r w:rsidRPr="0056095D">
        <w:rPr>
          <w:lang w:val="en-GB"/>
        </w:rPr>
        <w:t xml:space="preserve"> </w:t>
      </w:r>
      <w:r w:rsidRPr="0056095D">
        <w:rPr>
          <w:b/>
          <w:bCs/>
          <w:lang w:val="en-GB"/>
        </w:rPr>
        <w:t>2014</w:t>
      </w:r>
      <w:r w:rsidRPr="0056095D">
        <w:rPr>
          <w:lang w:val="en-GB"/>
        </w:rPr>
        <w:t xml:space="preserve">, </w:t>
      </w:r>
      <w:r w:rsidRPr="0056095D">
        <w:rPr>
          <w:i/>
          <w:iCs/>
          <w:lang w:val="en-GB"/>
        </w:rPr>
        <w:t>474</w:t>
      </w:r>
      <w:r w:rsidRPr="0056095D">
        <w:rPr>
          <w:lang w:val="en-GB"/>
        </w:rPr>
        <w:t>, 6–13, doi:10.1016/j.ijpharm.2014.08.003.</w:t>
      </w:r>
    </w:p>
    <w:p w14:paraId="7606DAEA" w14:textId="77777777" w:rsidR="0056095D" w:rsidRPr="0056095D" w:rsidRDefault="0056095D" w:rsidP="0056095D">
      <w:pPr>
        <w:pStyle w:val="Bibliography"/>
        <w:rPr>
          <w:lang w:val="en-GB"/>
        </w:rPr>
      </w:pPr>
      <w:r w:rsidRPr="0056095D">
        <w:rPr>
          <w:lang w:val="en-GB"/>
        </w:rPr>
        <w:t xml:space="preserve">97. </w:t>
      </w:r>
      <w:r w:rsidRPr="0056095D">
        <w:rPr>
          <w:lang w:val="en-GB"/>
        </w:rPr>
        <w:tab/>
        <w:t xml:space="preserve">Pandey, S.; Shaikh, F.; Gupta, A.; Tripathi, P.; Yadav, J.S. A Recent Update: Solid Lipid Nanoparticles for Effective Drug Delivery. </w:t>
      </w:r>
      <w:r w:rsidRPr="0056095D">
        <w:rPr>
          <w:i/>
          <w:iCs/>
          <w:lang w:val="en-GB"/>
        </w:rPr>
        <w:t>Adv Pharm Bull</w:t>
      </w:r>
      <w:r w:rsidRPr="0056095D">
        <w:rPr>
          <w:lang w:val="en-GB"/>
        </w:rPr>
        <w:t xml:space="preserve"> </w:t>
      </w:r>
      <w:r w:rsidRPr="0056095D">
        <w:rPr>
          <w:b/>
          <w:bCs/>
          <w:lang w:val="en-GB"/>
        </w:rPr>
        <w:t>2022</w:t>
      </w:r>
      <w:r w:rsidRPr="0056095D">
        <w:rPr>
          <w:lang w:val="en-GB"/>
        </w:rPr>
        <w:t xml:space="preserve">, </w:t>
      </w:r>
      <w:r w:rsidRPr="0056095D">
        <w:rPr>
          <w:i/>
          <w:iCs/>
          <w:lang w:val="en-GB"/>
        </w:rPr>
        <w:t>12</w:t>
      </w:r>
      <w:r w:rsidRPr="0056095D">
        <w:rPr>
          <w:lang w:val="en-GB"/>
        </w:rPr>
        <w:t>, 17–33, doi:10.34172/apb.2022.007.</w:t>
      </w:r>
    </w:p>
    <w:p w14:paraId="0009465D" w14:textId="77777777" w:rsidR="0056095D" w:rsidRPr="0056095D" w:rsidRDefault="0056095D" w:rsidP="0056095D">
      <w:pPr>
        <w:pStyle w:val="Bibliography"/>
        <w:rPr>
          <w:lang w:val="en-GB"/>
        </w:rPr>
      </w:pPr>
      <w:r w:rsidRPr="0056095D">
        <w:rPr>
          <w:lang w:val="en-GB"/>
        </w:rPr>
        <w:t xml:space="preserve">98. </w:t>
      </w:r>
      <w:r w:rsidRPr="0056095D">
        <w:rPr>
          <w:lang w:val="en-GB"/>
        </w:rPr>
        <w:tab/>
        <w:t xml:space="preserve">Gagliardi, A.; Giuliano, E.; Venkateswararao, E.; Fresta, M.; Bulotta, S.; Awasthi, V.; Cosco, D. Biodegradable Polymeric Nanoparticles for Drug Delivery to Solid Tumors. </w:t>
      </w:r>
      <w:r w:rsidRPr="0056095D">
        <w:rPr>
          <w:i/>
          <w:iCs/>
          <w:lang w:val="en-GB"/>
        </w:rPr>
        <w:t>Front. Pharmacol.</w:t>
      </w:r>
      <w:r w:rsidRPr="0056095D">
        <w:rPr>
          <w:lang w:val="en-GB"/>
        </w:rPr>
        <w:t xml:space="preserve"> </w:t>
      </w:r>
      <w:r w:rsidRPr="0056095D">
        <w:rPr>
          <w:b/>
          <w:bCs/>
          <w:lang w:val="en-GB"/>
        </w:rPr>
        <w:t>2021</w:t>
      </w:r>
      <w:r w:rsidRPr="0056095D">
        <w:rPr>
          <w:lang w:val="en-GB"/>
        </w:rPr>
        <w:t xml:space="preserve">, </w:t>
      </w:r>
      <w:r w:rsidRPr="0056095D">
        <w:rPr>
          <w:i/>
          <w:iCs/>
          <w:lang w:val="en-GB"/>
        </w:rPr>
        <w:t>12</w:t>
      </w:r>
      <w:r w:rsidRPr="0056095D">
        <w:rPr>
          <w:lang w:val="en-GB"/>
        </w:rPr>
        <w:t>, 601626, doi:10.3389/fphar.2021.601626.</w:t>
      </w:r>
    </w:p>
    <w:p w14:paraId="7EDCFAEE" w14:textId="77777777" w:rsidR="0056095D" w:rsidRPr="0056095D" w:rsidRDefault="0056095D" w:rsidP="0056095D">
      <w:pPr>
        <w:pStyle w:val="Bibliography"/>
        <w:rPr>
          <w:lang w:val="en-GB"/>
        </w:rPr>
      </w:pPr>
      <w:r w:rsidRPr="0056095D">
        <w:rPr>
          <w:lang w:val="en-GB"/>
        </w:rPr>
        <w:t xml:space="preserve">99. </w:t>
      </w:r>
      <w:r w:rsidRPr="0056095D">
        <w:rPr>
          <w:lang w:val="en-GB"/>
        </w:rPr>
        <w:tab/>
        <w:t xml:space="preserve">Zielińska, A.; Carreiró, F.; Oliveira, A.M.; Neves, A.; Pires, B.; Venkatesh, D.N.; Durazzo, A.; Lucarini, M.; Eder, P.; Silva, A.M.; et al. Polymeric Nanoparticles: Production, Characterization, Toxicology and Ecotoxicology. </w:t>
      </w:r>
      <w:r w:rsidRPr="0056095D">
        <w:rPr>
          <w:i/>
          <w:iCs/>
          <w:lang w:val="en-GB"/>
        </w:rPr>
        <w:t>Molecules</w:t>
      </w:r>
      <w:r w:rsidRPr="0056095D">
        <w:rPr>
          <w:lang w:val="en-GB"/>
        </w:rPr>
        <w:t xml:space="preserve"> </w:t>
      </w:r>
      <w:r w:rsidRPr="0056095D">
        <w:rPr>
          <w:b/>
          <w:bCs/>
          <w:lang w:val="en-GB"/>
        </w:rPr>
        <w:t>2020</w:t>
      </w:r>
      <w:r w:rsidRPr="0056095D">
        <w:rPr>
          <w:lang w:val="en-GB"/>
        </w:rPr>
        <w:t xml:space="preserve">, </w:t>
      </w:r>
      <w:r w:rsidRPr="0056095D">
        <w:rPr>
          <w:i/>
          <w:iCs/>
          <w:lang w:val="en-GB"/>
        </w:rPr>
        <w:t>25</w:t>
      </w:r>
      <w:r w:rsidRPr="0056095D">
        <w:rPr>
          <w:lang w:val="en-GB"/>
        </w:rPr>
        <w:t>, 3731, doi:10.3390/molecules25163731.</w:t>
      </w:r>
    </w:p>
    <w:p w14:paraId="7E936F8C" w14:textId="77777777" w:rsidR="0056095D" w:rsidRPr="0056095D" w:rsidRDefault="0056095D" w:rsidP="0056095D">
      <w:pPr>
        <w:pStyle w:val="Bibliography"/>
        <w:rPr>
          <w:lang w:val="en-GB"/>
        </w:rPr>
      </w:pPr>
      <w:r w:rsidRPr="0056095D">
        <w:rPr>
          <w:lang w:val="en-GB"/>
        </w:rPr>
        <w:t xml:space="preserve">100. </w:t>
      </w:r>
      <w:r w:rsidRPr="0056095D">
        <w:rPr>
          <w:lang w:val="en-GB"/>
        </w:rPr>
        <w:tab/>
        <w:t xml:space="preserve">Aldawsari, H.M.; Alhakamy, N.A.; Padder, R.; Husain, M.; Md, S. Preparation and Characterization of Chitosan Coated PLGA Nanoparticles of Resveratrol: Improved Stability, Antioxidant and Apoptotic Activities in H1299 Lung Cancer Cells. </w:t>
      </w:r>
      <w:r w:rsidRPr="0056095D">
        <w:rPr>
          <w:i/>
          <w:iCs/>
          <w:lang w:val="en-GB"/>
        </w:rPr>
        <w:t>Coatings</w:t>
      </w:r>
      <w:r w:rsidRPr="0056095D">
        <w:rPr>
          <w:lang w:val="en-GB"/>
        </w:rPr>
        <w:t xml:space="preserve"> </w:t>
      </w:r>
      <w:r w:rsidRPr="0056095D">
        <w:rPr>
          <w:b/>
          <w:bCs/>
          <w:lang w:val="en-GB"/>
        </w:rPr>
        <w:t>2020</w:t>
      </w:r>
      <w:r w:rsidRPr="0056095D">
        <w:rPr>
          <w:lang w:val="en-GB"/>
        </w:rPr>
        <w:t xml:space="preserve">, </w:t>
      </w:r>
      <w:r w:rsidRPr="0056095D">
        <w:rPr>
          <w:i/>
          <w:iCs/>
          <w:lang w:val="en-GB"/>
        </w:rPr>
        <w:t>10</w:t>
      </w:r>
      <w:r w:rsidRPr="0056095D">
        <w:rPr>
          <w:lang w:val="en-GB"/>
        </w:rPr>
        <w:t>, doi:10.3390/coatings10050439.</w:t>
      </w:r>
    </w:p>
    <w:p w14:paraId="792B5BB2" w14:textId="77777777" w:rsidR="0056095D" w:rsidRPr="0056095D" w:rsidRDefault="0056095D" w:rsidP="0056095D">
      <w:pPr>
        <w:pStyle w:val="Bibliography"/>
        <w:rPr>
          <w:lang w:val="en-GB"/>
        </w:rPr>
      </w:pPr>
      <w:r w:rsidRPr="0056095D">
        <w:rPr>
          <w:lang w:val="en-GB"/>
        </w:rPr>
        <w:t xml:space="preserve">101. </w:t>
      </w:r>
      <w:r w:rsidRPr="0056095D">
        <w:rPr>
          <w:lang w:val="en-GB"/>
        </w:rPr>
        <w:tab/>
        <w:t xml:space="preserve">Jin, S.-E.; Jin, H.-E. Synthesis, Characterization, and Three-Dimensional Structure Generation of Zinc Oxide-Based Nanomedicine for Biomedical Applications. </w:t>
      </w:r>
      <w:r w:rsidRPr="0056095D">
        <w:rPr>
          <w:i/>
          <w:iCs/>
          <w:lang w:val="en-GB"/>
        </w:rPr>
        <w:t>Pharmaceutics</w:t>
      </w:r>
      <w:r w:rsidRPr="0056095D">
        <w:rPr>
          <w:lang w:val="en-GB"/>
        </w:rPr>
        <w:t xml:space="preserve"> </w:t>
      </w:r>
      <w:r w:rsidRPr="0056095D">
        <w:rPr>
          <w:b/>
          <w:bCs/>
          <w:lang w:val="en-GB"/>
        </w:rPr>
        <w:t>2019</w:t>
      </w:r>
      <w:r w:rsidRPr="0056095D">
        <w:rPr>
          <w:lang w:val="en-GB"/>
        </w:rPr>
        <w:t xml:space="preserve">, </w:t>
      </w:r>
      <w:r w:rsidRPr="0056095D">
        <w:rPr>
          <w:i/>
          <w:iCs/>
          <w:lang w:val="en-GB"/>
        </w:rPr>
        <w:t>11</w:t>
      </w:r>
      <w:r w:rsidRPr="0056095D">
        <w:rPr>
          <w:lang w:val="en-GB"/>
        </w:rPr>
        <w:t>, 575, doi:10.3390/pharmaceutics11110575.</w:t>
      </w:r>
    </w:p>
    <w:p w14:paraId="0F69B606" w14:textId="77777777" w:rsidR="0056095D" w:rsidRPr="0056095D" w:rsidRDefault="0056095D" w:rsidP="0056095D">
      <w:pPr>
        <w:pStyle w:val="Bibliography"/>
        <w:rPr>
          <w:lang w:val="en-GB"/>
        </w:rPr>
      </w:pPr>
      <w:r w:rsidRPr="0056095D">
        <w:rPr>
          <w:lang w:val="en-GB"/>
        </w:rPr>
        <w:lastRenderedPageBreak/>
        <w:t xml:space="preserve">102. </w:t>
      </w:r>
      <w:r w:rsidRPr="0056095D">
        <w:rPr>
          <w:lang w:val="en-GB"/>
        </w:rPr>
        <w:tab/>
        <w:t xml:space="preserve">Arvizo, R.; Bhattacharya, R.; Mukherjee, P. Gold Nanoparticles: Opportunities and Challenges in Nanomedicine. </w:t>
      </w:r>
      <w:r w:rsidRPr="0056095D">
        <w:rPr>
          <w:i/>
          <w:iCs/>
          <w:lang w:val="en-GB"/>
        </w:rPr>
        <w:t>Expert Opinion on Drug Delivery</w:t>
      </w:r>
      <w:r w:rsidRPr="0056095D">
        <w:rPr>
          <w:lang w:val="en-GB"/>
        </w:rPr>
        <w:t xml:space="preserve"> </w:t>
      </w:r>
      <w:r w:rsidRPr="0056095D">
        <w:rPr>
          <w:b/>
          <w:bCs/>
          <w:lang w:val="en-GB"/>
        </w:rPr>
        <w:t>2010</w:t>
      </w:r>
      <w:r w:rsidRPr="0056095D">
        <w:rPr>
          <w:lang w:val="en-GB"/>
        </w:rPr>
        <w:t xml:space="preserve">, </w:t>
      </w:r>
      <w:r w:rsidRPr="0056095D">
        <w:rPr>
          <w:i/>
          <w:iCs/>
          <w:lang w:val="en-GB"/>
        </w:rPr>
        <w:t>7</w:t>
      </w:r>
      <w:r w:rsidRPr="0056095D">
        <w:rPr>
          <w:lang w:val="en-GB"/>
        </w:rPr>
        <w:t>, 753–763, doi:10.1517/17425241003777010.</w:t>
      </w:r>
    </w:p>
    <w:p w14:paraId="6578CF7B" w14:textId="77777777" w:rsidR="0056095D" w:rsidRPr="0056095D" w:rsidRDefault="0056095D" w:rsidP="0056095D">
      <w:pPr>
        <w:pStyle w:val="Bibliography"/>
        <w:rPr>
          <w:lang w:val="en-GB"/>
        </w:rPr>
      </w:pPr>
      <w:r w:rsidRPr="0056095D">
        <w:rPr>
          <w:lang w:val="en-GB"/>
        </w:rPr>
        <w:t xml:space="preserve">103. </w:t>
      </w:r>
      <w:r w:rsidRPr="0056095D">
        <w:rPr>
          <w:lang w:val="en-GB"/>
        </w:rPr>
        <w:tab/>
        <w:t xml:space="preserve">Park, S., Young; Chae, S., Yeong; Park, J., Oh; Lee, K., Jin; Park, G. Gold-Conjugated Resveratrol Nanoparticles Attenuate the Invasion and MMP-9 and COX-2 Expression in Breast Cancer Cells. </w:t>
      </w:r>
      <w:r w:rsidRPr="0056095D">
        <w:rPr>
          <w:i/>
          <w:iCs/>
          <w:lang w:val="en-GB"/>
        </w:rPr>
        <w:t>Oncol Rep</w:t>
      </w:r>
      <w:r w:rsidRPr="0056095D">
        <w:rPr>
          <w:lang w:val="en-GB"/>
        </w:rPr>
        <w:t xml:space="preserve"> </w:t>
      </w:r>
      <w:r w:rsidRPr="0056095D">
        <w:rPr>
          <w:b/>
          <w:bCs/>
          <w:lang w:val="en-GB"/>
        </w:rPr>
        <w:t>2016</w:t>
      </w:r>
      <w:r w:rsidRPr="0056095D">
        <w:rPr>
          <w:lang w:val="en-GB"/>
        </w:rPr>
        <w:t xml:space="preserve">, </w:t>
      </w:r>
      <w:r w:rsidRPr="0056095D">
        <w:rPr>
          <w:i/>
          <w:iCs/>
          <w:lang w:val="en-GB"/>
        </w:rPr>
        <w:t>35</w:t>
      </w:r>
      <w:r w:rsidRPr="0056095D">
        <w:rPr>
          <w:lang w:val="en-GB"/>
        </w:rPr>
        <w:t>, 3248–3256, doi:10.3892/or.2016.4716.</w:t>
      </w:r>
    </w:p>
    <w:p w14:paraId="66BC9093" w14:textId="77777777" w:rsidR="0056095D" w:rsidRPr="0056095D" w:rsidRDefault="0056095D" w:rsidP="0056095D">
      <w:pPr>
        <w:pStyle w:val="Bibliography"/>
        <w:rPr>
          <w:lang w:val="en-GB"/>
        </w:rPr>
      </w:pPr>
      <w:r w:rsidRPr="0056095D">
        <w:rPr>
          <w:lang w:val="en-GB"/>
        </w:rPr>
        <w:t xml:space="preserve">104. </w:t>
      </w:r>
      <w:r w:rsidRPr="0056095D">
        <w:rPr>
          <w:lang w:val="en-GB"/>
        </w:rPr>
        <w:tab/>
        <w:t xml:space="preserve">Kamal, R.; Chadha, V.D.; Dhawan, D.K. Physiological Uptake and Retention of Radiolabeled Resveratrol Loaded Gold Nanoparticles (99mTc-Res-AuNP) in Colon Cancer Tissue. </w:t>
      </w:r>
      <w:r w:rsidRPr="0056095D">
        <w:rPr>
          <w:i/>
          <w:iCs/>
          <w:lang w:val="en-GB"/>
        </w:rPr>
        <w:t>Nanomedicine: Nanotechnology, Biology and Medicine</w:t>
      </w:r>
      <w:r w:rsidRPr="0056095D">
        <w:rPr>
          <w:lang w:val="en-GB"/>
        </w:rPr>
        <w:t xml:space="preserve"> </w:t>
      </w:r>
      <w:r w:rsidRPr="0056095D">
        <w:rPr>
          <w:b/>
          <w:bCs/>
          <w:lang w:val="en-GB"/>
        </w:rPr>
        <w:t>2018</w:t>
      </w:r>
      <w:r w:rsidRPr="0056095D">
        <w:rPr>
          <w:lang w:val="en-GB"/>
        </w:rPr>
        <w:t xml:space="preserve">, </w:t>
      </w:r>
      <w:r w:rsidRPr="0056095D">
        <w:rPr>
          <w:i/>
          <w:iCs/>
          <w:lang w:val="en-GB"/>
        </w:rPr>
        <w:t>14</w:t>
      </w:r>
      <w:r w:rsidRPr="0056095D">
        <w:rPr>
          <w:lang w:val="en-GB"/>
        </w:rPr>
        <w:t>, 1059–1071, doi:10.1016/j.nano.2018.01.008.</w:t>
      </w:r>
    </w:p>
    <w:p w14:paraId="6B035102" w14:textId="77777777" w:rsidR="0056095D" w:rsidRPr="0056095D" w:rsidRDefault="0056095D" w:rsidP="0056095D">
      <w:pPr>
        <w:pStyle w:val="Bibliography"/>
        <w:rPr>
          <w:lang w:val="en-GB"/>
        </w:rPr>
      </w:pPr>
      <w:r w:rsidRPr="0056095D">
        <w:rPr>
          <w:lang w:val="en-GB"/>
        </w:rPr>
        <w:t xml:space="preserve">105. </w:t>
      </w:r>
      <w:r w:rsidRPr="0056095D">
        <w:rPr>
          <w:lang w:val="en-GB"/>
        </w:rPr>
        <w:tab/>
        <w:t xml:space="preserve">Panigrahi, G.K.; Satapathy, K.B. Chapter 18 - Biological Synthesis of Gold Nanoparticles by Microbes: Mechanistic Aspects, Biomedical Applications, and Future Prospects. In </w:t>
      </w:r>
      <w:r w:rsidRPr="0056095D">
        <w:rPr>
          <w:i/>
          <w:iCs/>
          <w:lang w:val="en-GB"/>
        </w:rPr>
        <w:t>Entrepreneurship with Microorganisms</w:t>
      </w:r>
      <w:r w:rsidRPr="0056095D">
        <w:rPr>
          <w:lang w:val="en-GB"/>
        </w:rPr>
        <w:t>; Shukla, A.C., Ed.; Academic Press, 2024; pp. 371–388 ISBN 978-0-443-19049-0.</w:t>
      </w:r>
    </w:p>
    <w:p w14:paraId="7947B25C" w14:textId="77777777" w:rsidR="0056095D" w:rsidRPr="0056095D" w:rsidRDefault="0056095D" w:rsidP="0056095D">
      <w:pPr>
        <w:pStyle w:val="Bibliography"/>
        <w:rPr>
          <w:lang w:val="en-GB"/>
        </w:rPr>
      </w:pPr>
      <w:r w:rsidRPr="0056095D">
        <w:rPr>
          <w:lang w:val="en-GB"/>
        </w:rPr>
        <w:t xml:space="preserve">106. </w:t>
      </w:r>
      <w:r w:rsidRPr="0056095D">
        <w:rPr>
          <w:lang w:val="en-GB"/>
        </w:rPr>
        <w:tab/>
        <w:t xml:space="preserve">Ali, A.; Rahimian Koloor, S.S.; Alshehri, A.H.; Arockiarajan, A. Carbon Nanotube Characteristics and Enhancement Effects on the Mechanical Features of Polymer-Based Materials and Structures – A Review. </w:t>
      </w:r>
      <w:r w:rsidRPr="0056095D">
        <w:rPr>
          <w:i/>
          <w:iCs/>
          <w:lang w:val="en-GB"/>
        </w:rPr>
        <w:t>Journal of Materials Research and Technology</w:t>
      </w:r>
      <w:r w:rsidRPr="0056095D">
        <w:rPr>
          <w:lang w:val="en-GB"/>
        </w:rPr>
        <w:t xml:space="preserve"> </w:t>
      </w:r>
      <w:r w:rsidRPr="0056095D">
        <w:rPr>
          <w:b/>
          <w:bCs/>
          <w:lang w:val="en-GB"/>
        </w:rPr>
        <w:t>2023</w:t>
      </w:r>
      <w:r w:rsidRPr="0056095D">
        <w:rPr>
          <w:lang w:val="en-GB"/>
        </w:rPr>
        <w:t xml:space="preserve">, </w:t>
      </w:r>
      <w:r w:rsidRPr="0056095D">
        <w:rPr>
          <w:i/>
          <w:iCs/>
          <w:lang w:val="en-GB"/>
        </w:rPr>
        <w:t>24</w:t>
      </w:r>
      <w:r w:rsidRPr="0056095D">
        <w:rPr>
          <w:lang w:val="en-GB"/>
        </w:rPr>
        <w:t>, 6495–6521, doi:10.1016/j.jmrt.2023.04.072.</w:t>
      </w:r>
    </w:p>
    <w:p w14:paraId="4E925E32" w14:textId="77777777" w:rsidR="0056095D" w:rsidRPr="0056095D" w:rsidRDefault="0056095D" w:rsidP="0056095D">
      <w:pPr>
        <w:pStyle w:val="Bibliography"/>
        <w:rPr>
          <w:lang w:val="en-GB"/>
        </w:rPr>
      </w:pPr>
      <w:r w:rsidRPr="0056095D">
        <w:rPr>
          <w:lang w:val="en-GB"/>
        </w:rPr>
        <w:t xml:space="preserve">107. </w:t>
      </w:r>
      <w:r w:rsidRPr="0056095D">
        <w:rPr>
          <w:lang w:val="en-GB"/>
        </w:rPr>
        <w:tab/>
        <w:t xml:space="preserve">Kong, H.; Luo, P.; Gao, C.; Yan, D. Polyelectrolyte-Functionalized Multiwalled Carbon Nanotubes: Preparation, Characterization and Layer-by-Layer Self-Assembly. </w:t>
      </w:r>
      <w:r w:rsidRPr="0056095D">
        <w:rPr>
          <w:i/>
          <w:iCs/>
          <w:lang w:val="en-GB"/>
        </w:rPr>
        <w:t>Polymer</w:t>
      </w:r>
      <w:r w:rsidRPr="0056095D">
        <w:rPr>
          <w:lang w:val="en-GB"/>
        </w:rPr>
        <w:t xml:space="preserve"> </w:t>
      </w:r>
      <w:r w:rsidRPr="0056095D">
        <w:rPr>
          <w:b/>
          <w:bCs/>
          <w:lang w:val="en-GB"/>
        </w:rPr>
        <w:t>2005</w:t>
      </w:r>
      <w:r w:rsidRPr="0056095D">
        <w:rPr>
          <w:lang w:val="en-GB"/>
        </w:rPr>
        <w:t xml:space="preserve">, </w:t>
      </w:r>
      <w:r w:rsidRPr="0056095D">
        <w:rPr>
          <w:i/>
          <w:iCs/>
          <w:lang w:val="en-GB"/>
        </w:rPr>
        <w:t>46</w:t>
      </w:r>
      <w:r w:rsidRPr="0056095D">
        <w:rPr>
          <w:lang w:val="en-GB"/>
        </w:rPr>
        <w:t>, 2472–2485.</w:t>
      </w:r>
    </w:p>
    <w:p w14:paraId="603477DB" w14:textId="77777777" w:rsidR="0056095D" w:rsidRPr="0056095D" w:rsidRDefault="0056095D" w:rsidP="0056095D">
      <w:pPr>
        <w:pStyle w:val="Bibliography"/>
        <w:rPr>
          <w:lang w:val="en-GB"/>
        </w:rPr>
      </w:pPr>
      <w:r w:rsidRPr="0056095D">
        <w:rPr>
          <w:lang w:val="en-GB"/>
        </w:rPr>
        <w:t xml:space="preserve">108. </w:t>
      </w:r>
      <w:r w:rsidRPr="0056095D">
        <w:rPr>
          <w:lang w:val="en-GB"/>
        </w:rPr>
        <w:tab/>
        <w:t xml:space="preserve">Wahid, M.H.; Eroglu, E.; Chen, X.; Smith, S.M.; Raston, C.L. Functional Multi-Layer Graphene-Algae Hybrid Material Formed Using Vortex Fluidics. </w:t>
      </w:r>
      <w:r w:rsidRPr="0056095D">
        <w:rPr>
          <w:i/>
          <w:iCs/>
          <w:lang w:val="en-GB"/>
        </w:rPr>
        <w:t>Green Chemistry</w:t>
      </w:r>
      <w:r w:rsidRPr="0056095D">
        <w:rPr>
          <w:lang w:val="en-GB"/>
        </w:rPr>
        <w:t xml:space="preserve"> </w:t>
      </w:r>
      <w:r w:rsidRPr="0056095D">
        <w:rPr>
          <w:b/>
          <w:bCs/>
          <w:lang w:val="en-GB"/>
        </w:rPr>
        <w:t>2013</w:t>
      </w:r>
      <w:r w:rsidRPr="0056095D">
        <w:rPr>
          <w:lang w:val="en-GB"/>
        </w:rPr>
        <w:t xml:space="preserve">, </w:t>
      </w:r>
      <w:r w:rsidRPr="0056095D">
        <w:rPr>
          <w:i/>
          <w:iCs/>
          <w:lang w:val="en-GB"/>
        </w:rPr>
        <w:t>15</w:t>
      </w:r>
      <w:r w:rsidRPr="0056095D">
        <w:rPr>
          <w:lang w:val="en-GB"/>
        </w:rPr>
        <w:t>, 650–655, doi:10.1039/C2GC36892G.</w:t>
      </w:r>
    </w:p>
    <w:p w14:paraId="57E708A4" w14:textId="77777777" w:rsidR="0056095D" w:rsidRPr="0056095D" w:rsidRDefault="0056095D" w:rsidP="0056095D">
      <w:pPr>
        <w:pStyle w:val="Bibliography"/>
        <w:rPr>
          <w:lang w:val="en-GB"/>
        </w:rPr>
      </w:pPr>
      <w:r w:rsidRPr="0056095D">
        <w:rPr>
          <w:lang w:val="en-GB"/>
        </w:rPr>
        <w:t xml:space="preserve">109. </w:t>
      </w:r>
      <w:r w:rsidRPr="0056095D">
        <w:rPr>
          <w:lang w:val="en-GB"/>
        </w:rPr>
        <w:tab/>
        <w:t xml:space="preserve">Ding, N.; Dou, C.; Wang, Y.; Liu, F.; Guan, G.; Huo, D.; Li, Y.; Yang, J.; Wei, K.; Yang, M.; et al. Antishear Stress Bionic Carbon Nanotube Mesh Coating with Intracellular Controlled Drug Delivery Constructing Small-Diameter Tissue–Engineered Vascular Grafts. </w:t>
      </w:r>
      <w:r w:rsidRPr="0056095D">
        <w:rPr>
          <w:i/>
          <w:iCs/>
          <w:lang w:val="en-GB"/>
        </w:rPr>
        <w:t>Advanced Healthcare Materials</w:t>
      </w:r>
      <w:r w:rsidRPr="0056095D">
        <w:rPr>
          <w:lang w:val="en-GB"/>
        </w:rPr>
        <w:t xml:space="preserve"> </w:t>
      </w:r>
      <w:r w:rsidRPr="0056095D">
        <w:rPr>
          <w:b/>
          <w:bCs/>
          <w:lang w:val="en-GB"/>
        </w:rPr>
        <w:t>2018</w:t>
      </w:r>
      <w:r w:rsidRPr="0056095D">
        <w:rPr>
          <w:lang w:val="en-GB"/>
        </w:rPr>
        <w:t xml:space="preserve">, </w:t>
      </w:r>
      <w:r w:rsidRPr="0056095D">
        <w:rPr>
          <w:i/>
          <w:iCs/>
          <w:lang w:val="en-GB"/>
        </w:rPr>
        <w:t>7</w:t>
      </w:r>
      <w:r w:rsidRPr="0056095D">
        <w:rPr>
          <w:lang w:val="en-GB"/>
        </w:rPr>
        <w:t>, 1800026, doi:10.1002/adhm.201800026.</w:t>
      </w:r>
    </w:p>
    <w:p w14:paraId="55434DA0" w14:textId="77777777" w:rsidR="0056095D" w:rsidRPr="0056095D" w:rsidRDefault="0056095D" w:rsidP="0056095D">
      <w:pPr>
        <w:pStyle w:val="Bibliography"/>
        <w:rPr>
          <w:lang w:val="en-GB"/>
        </w:rPr>
      </w:pPr>
      <w:r w:rsidRPr="0056095D">
        <w:rPr>
          <w:lang w:val="en-GB"/>
        </w:rPr>
        <w:t xml:space="preserve">110. </w:t>
      </w:r>
      <w:r w:rsidRPr="0056095D">
        <w:rPr>
          <w:lang w:val="en-GB"/>
        </w:rPr>
        <w:tab/>
        <w:t xml:space="preserve">Zare, H.; Ahmadi, S.; Ghasemi, A.; Ghanbari, M.; Rabiee, N.; Bagherzadeh, M.; Karimi, M.; Webster, T.J.; Hamblin, M.R.; Mostafavi, E. Carbon Nanotubes: Smart Drug/Gene Delivery Carriers. </w:t>
      </w:r>
      <w:r w:rsidRPr="0056095D">
        <w:rPr>
          <w:i/>
          <w:iCs/>
          <w:lang w:val="en-GB"/>
        </w:rPr>
        <w:t>IJN</w:t>
      </w:r>
      <w:r w:rsidRPr="0056095D">
        <w:rPr>
          <w:lang w:val="en-GB"/>
        </w:rPr>
        <w:t xml:space="preserve"> </w:t>
      </w:r>
      <w:r w:rsidRPr="0056095D">
        <w:rPr>
          <w:b/>
          <w:bCs/>
          <w:lang w:val="en-GB"/>
        </w:rPr>
        <w:t>2021</w:t>
      </w:r>
      <w:r w:rsidRPr="0056095D">
        <w:rPr>
          <w:lang w:val="en-GB"/>
        </w:rPr>
        <w:t xml:space="preserve">, </w:t>
      </w:r>
      <w:r w:rsidRPr="0056095D">
        <w:rPr>
          <w:i/>
          <w:iCs/>
          <w:lang w:val="en-GB"/>
        </w:rPr>
        <w:t>Volume 16</w:t>
      </w:r>
      <w:r w:rsidRPr="0056095D">
        <w:rPr>
          <w:lang w:val="en-GB"/>
        </w:rPr>
        <w:t>, 1681–1706, doi:10.2147/IJN.S299448.</w:t>
      </w:r>
    </w:p>
    <w:p w14:paraId="1205C8FF" w14:textId="77777777" w:rsidR="0056095D" w:rsidRPr="0056095D" w:rsidRDefault="0056095D" w:rsidP="0056095D">
      <w:pPr>
        <w:pStyle w:val="Bibliography"/>
        <w:rPr>
          <w:lang w:val="en-GB"/>
        </w:rPr>
      </w:pPr>
      <w:r w:rsidRPr="0056095D">
        <w:rPr>
          <w:lang w:val="en-GB"/>
        </w:rPr>
        <w:t xml:space="preserve">111. </w:t>
      </w:r>
      <w:r w:rsidRPr="0056095D">
        <w:rPr>
          <w:lang w:val="en-GB"/>
        </w:rPr>
        <w:tab/>
        <w:t xml:space="preserve">Pu, Z.; Wei, Y.; Sun, Y.; Wang, Y.; Zhu, S. Carbon Nanotubes as Carriers in Drug Delivery for Non-Small Cell Lung Cancer, Mechanistic Analysis of Their Carcinogenic Potential, Safety Profiling and Identification of Biomarkers. </w:t>
      </w:r>
      <w:r w:rsidRPr="0056095D">
        <w:rPr>
          <w:i/>
          <w:iCs/>
          <w:lang w:val="en-GB"/>
        </w:rPr>
        <w:t>IJN</w:t>
      </w:r>
      <w:r w:rsidRPr="0056095D">
        <w:rPr>
          <w:lang w:val="en-GB"/>
        </w:rPr>
        <w:t xml:space="preserve"> </w:t>
      </w:r>
      <w:r w:rsidRPr="0056095D">
        <w:rPr>
          <w:b/>
          <w:bCs/>
          <w:lang w:val="en-GB"/>
        </w:rPr>
        <w:t>2022</w:t>
      </w:r>
      <w:r w:rsidRPr="0056095D">
        <w:rPr>
          <w:lang w:val="en-GB"/>
        </w:rPr>
        <w:t xml:space="preserve">, </w:t>
      </w:r>
      <w:r w:rsidRPr="0056095D">
        <w:rPr>
          <w:i/>
          <w:iCs/>
          <w:lang w:val="en-GB"/>
        </w:rPr>
        <w:t>Volume 17</w:t>
      </w:r>
      <w:r w:rsidRPr="0056095D">
        <w:rPr>
          <w:lang w:val="en-GB"/>
        </w:rPr>
        <w:t>, 6157–6180, doi:10.2147/IJN.S384592.</w:t>
      </w:r>
    </w:p>
    <w:p w14:paraId="02FC9843" w14:textId="77777777" w:rsidR="0056095D" w:rsidRPr="0056095D" w:rsidRDefault="0056095D" w:rsidP="0056095D">
      <w:pPr>
        <w:pStyle w:val="Bibliography"/>
        <w:rPr>
          <w:lang w:val="en-GB"/>
        </w:rPr>
      </w:pPr>
      <w:r w:rsidRPr="0056095D">
        <w:rPr>
          <w:lang w:val="en-GB"/>
        </w:rPr>
        <w:t xml:space="preserve">112. </w:t>
      </w:r>
      <w:r w:rsidRPr="0056095D">
        <w:rPr>
          <w:lang w:val="en-GB"/>
        </w:rPr>
        <w:tab/>
        <w:t xml:space="preserve">Kausar, A.; Ahmad, I.; Aldaghri, O.; Ibnaouf, K.H.; Eisa, M.H. Shape Memory Graphene Nanocomposites—Fundamentals, Properties, and Significance. </w:t>
      </w:r>
      <w:r w:rsidRPr="0056095D">
        <w:rPr>
          <w:i/>
          <w:iCs/>
          <w:lang w:val="en-GB"/>
        </w:rPr>
        <w:t>Processes</w:t>
      </w:r>
      <w:r w:rsidRPr="0056095D">
        <w:rPr>
          <w:lang w:val="en-GB"/>
        </w:rPr>
        <w:t xml:space="preserve"> </w:t>
      </w:r>
      <w:r w:rsidRPr="0056095D">
        <w:rPr>
          <w:b/>
          <w:bCs/>
          <w:lang w:val="en-GB"/>
        </w:rPr>
        <w:t>2023</w:t>
      </w:r>
      <w:r w:rsidRPr="0056095D">
        <w:rPr>
          <w:lang w:val="en-GB"/>
        </w:rPr>
        <w:t xml:space="preserve">, </w:t>
      </w:r>
      <w:r w:rsidRPr="0056095D">
        <w:rPr>
          <w:i/>
          <w:iCs/>
          <w:lang w:val="en-GB"/>
        </w:rPr>
        <w:t>11</w:t>
      </w:r>
      <w:r w:rsidRPr="0056095D">
        <w:rPr>
          <w:lang w:val="en-GB"/>
        </w:rPr>
        <w:t>, doi:10.3390/pr11041171.</w:t>
      </w:r>
    </w:p>
    <w:p w14:paraId="2F69E99B" w14:textId="77777777" w:rsidR="0056095D" w:rsidRPr="0056095D" w:rsidRDefault="0056095D" w:rsidP="0056095D">
      <w:pPr>
        <w:pStyle w:val="Bibliography"/>
        <w:rPr>
          <w:lang w:val="en-GB"/>
        </w:rPr>
      </w:pPr>
      <w:r w:rsidRPr="0056095D">
        <w:rPr>
          <w:lang w:val="en-GB"/>
        </w:rPr>
        <w:t xml:space="preserve">113. </w:t>
      </w:r>
      <w:r w:rsidRPr="0056095D">
        <w:rPr>
          <w:lang w:val="en-GB"/>
        </w:rPr>
        <w:tab/>
        <w:t xml:space="preserve">Akbarzadeh, M.J.; Hashemian, S.; Moktarian, N. Structural and Magnetic Properties of Zeolitic Imidazolate Framework Supported on Nickel Titanate. </w:t>
      </w:r>
      <w:r w:rsidRPr="0056095D">
        <w:rPr>
          <w:i/>
          <w:iCs/>
          <w:lang w:val="en-GB"/>
        </w:rPr>
        <w:t>Journal of Molecular Structure</w:t>
      </w:r>
      <w:r w:rsidRPr="0056095D">
        <w:rPr>
          <w:lang w:val="en-GB"/>
        </w:rPr>
        <w:t xml:space="preserve"> </w:t>
      </w:r>
      <w:r w:rsidRPr="0056095D">
        <w:rPr>
          <w:b/>
          <w:bCs/>
          <w:lang w:val="en-GB"/>
        </w:rPr>
        <w:t>2021</w:t>
      </w:r>
      <w:r w:rsidRPr="0056095D">
        <w:rPr>
          <w:lang w:val="en-GB"/>
        </w:rPr>
        <w:t xml:space="preserve">, </w:t>
      </w:r>
      <w:r w:rsidRPr="0056095D">
        <w:rPr>
          <w:i/>
          <w:iCs/>
          <w:lang w:val="en-GB"/>
        </w:rPr>
        <w:t>1240</w:t>
      </w:r>
      <w:r w:rsidRPr="0056095D">
        <w:rPr>
          <w:lang w:val="en-GB"/>
        </w:rPr>
        <w:t>, 130555, doi:10.1016/j.molstruc.2021.130555.</w:t>
      </w:r>
    </w:p>
    <w:p w14:paraId="0D3399AF" w14:textId="77777777" w:rsidR="0056095D" w:rsidRPr="0056095D" w:rsidRDefault="0056095D" w:rsidP="0056095D">
      <w:pPr>
        <w:pStyle w:val="Bibliography"/>
        <w:rPr>
          <w:lang w:val="en-GB"/>
        </w:rPr>
      </w:pPr>
      <w:r w:rsidRPr="0056095D">
        <w:rPr>
          <w:lang w:val="en-GB"/>
        </w:rPr>
        <w:t xml:space="preserve">114. </w:t>
      </w:r>
      <w:r w:rsidRPr="0056095D">
        <w:rPr>
          <w:lang w:val="en-GB"/>
        </w:rPr>
        <w:tab/>
        <w:t xml:space="preserve">Banerjee, R.; Phan, A.; Wang, B.; Knobler, C.; Furukawa, H.; O’Keeffe, M.; Yaghi, O.M. High-Throughput Synthesis of Zeolitic Imidazolate Frameworks and Application to CO2 Capture. </w:t>
      </w:r>
      <w:r w:rsidRPr="0056095D">
        <w:rPr>
          <w:i/>
          <w:iCs/>
          <w:lang w:val="en-GB"/>
        </w:rPr>
        <w:t>Science</w:t>
      </w:r>
      <w:r w:rsidRPr="0056095D">
        <w:rPr>
          <w:lang w:val="en-GB"/>
        </w:rPr>
        <w:t xml:space="preserve"> </w:t>
      </w:r>
      <w:r w:rsidRPr="0056095D">
        <w:rPr>
          <w:b/>
          <w:bCs/>
          <w:lang w:val="en-GB"/>
        </w:rPr>
        <w:t>2008</w:t>
      </w:r>
      <w:r w:rsidRPr="0056095D">
        <w:rPr>
          <w:lang w:val="en-GB"/>
        </w:rPr>
        <w:t xml:space="preserve">, </w:t>
      </w:r>
      <w:r w:rsidRPr="0056095D">
        <w:rPr>
          <w:i/>
          <w:iCs/>
          <w:lang w:val="en-GB"/>
        </w:rPr>
        <w:t>319</w:t>
      </w:r>
      <w:r w:rsidRPr="0056095D">
        <w:rPr>
          <w:lang w:val="en-GB"/>
        </w:rPr>
        <w:t>, 939–943.</w:t>
      </w:r>
    </w:p>
    <w:p w14:paraId="0F9B85CD" w14:textId="77777777" w:rsidR="0056095D" w:rsidRPr="0056095D" w:rsidRDefault="0056095D" w:rsidP="0056095D">
      <w:pPr>
        <w:pStyle w:val="Bibliography"/>
        <w:rPr>
          <w:lang w:val="en-GB"/>
        </w:rPr>
      </w:pPr>
      <w:r w:rsidRPr="0056095D">
        <w:rPr>
          <w:lang w:val="en-GB"/>
        </w:rPr>
        <w:lastRenderedPageBreak/>
        <w:t xml:space="preserve">115. </w:t>
      </w:r>
      <w:r w:rsidRPr="0056095D">
        <w:rPr>
          <w:lang w:val="en-GB"/>
        </w:rPr>
        <w:tab/>
        <w:t xml:space="preserve">Liu, W.; Semcheddine, F.; Jiang, H.; Wang, X. Acid-Responsive Multifunctional Zeolitic Imidazolate Framework-8 (ZIF-8) Nanocomposites for Tumor Chemo-Photothermal Synergistic Therapy. </w:t>
      </w:r>
      <w:r w:rsidRPr="0056095D">
        <w:rPr>
          <w:i/>
          <w:iCs/>
          <w:lang w:val="en-GB"/>
        </w:rPr>
        <w:t>Bioconjugate Chem.</w:t>
      </w:r>
      <w:r w:rsidRPr="0056095D">
        <w:rPr>
          <w:lang w:val="en-GB"/>
        </w:rPr>
        <w:t xml:space="preserve"> </w:t>
      </w:r>
      <w:r w:rsidRPr="0056095D">
        <w:rPr>
          <w:b/>
          <w:bCs/>
          <w:lang w:val="en-GB"/>
        </w:rPr>
        <w:t>2022</w:t>
      </w:r>
      <w:r w:rsidRPr="0056095D">
        <w:rPr>
          <w:lang w:val="en-GB"/>
        </w:rPr>
        <w:t xml:space="preserve">, </w:t>
      </w:r>
      <w:r w:rsidRPr="0056095D">
        <w:rPr>
          <w:i/>
          <w:iCs/>
          <w:lang w:val="en-GB"/>
        </w:rPr>
        <w:t>33</w:t>
      </w:r>
      <w:r w:rsidRPr="0056095D">
        <w:rPr>
          <w:lang w:val="en-GB"/>
        </w:rPr>
        <w:t>, 1405–1414, doi:10.1021/acs.bioconjchem.2c00246.</w:t>
      </w:r>
    </w:p>
    <w:p w14:paraId="5C68B7ED" w14:textId="77777777" w:rsidR="0056095D" w:rsidRPr="0056095D" w:rsidRDefault="0056095D" w:rsidP="0056095D">
      <w:pPr>
        <w:pStyle w:val="Bibliography"/>
        <w:rPr>
          <w:lang w:val="en-GB"/>
        </w:rPr>
      </w:pPr>
      <w:r w:rsidRPr="0056095D">
        <w:rPr>
          <w:lang w:val="en-GB"/>
        </w:rPr>
        <w:t xml:space="preserve">116. </w:t>
      </w:r>
      <w:r w:rsidRPr="0056095D">
        <w:rPr>
          <w:lang w:val="en-GB"/>
        </w:rPr>
        <w:tab/>
        <w:t xml:space="preserve">Wang, D.; Wu, Q.; Ren, X.; Niu, M.; Ren, J.; Meng, X. Tunable Zeolitic Imidazolate Framework-8 Nanoparticles for Biomedical Applications. </w:t>
      </w:r>
      <w:r w:rsidRPr="0056095D">
        <w:rPr>
          <w:i/>
          <w:iCs/>
          <w:lang w:val="en-GB"/>
        </w:rPr>
        <w:t>Small Methods</w:t>
      </w:r>
      <w:r w:rsidRPr="0056095D">
        <w:rPr>
          <w:lang w:val="en-GB"/>
        </w:rPr>
        <w:t xml:space="preserve"> </w:t>
      </w:r>
      <w:r w:rsidRPr="0056095D">
        <w:rPr>
          <w:b/>
          <w:bCs/>
          <w:lang w:val="en-GB"/>
        </w:rPr>
        <w:t>2024</w:t>
      </w:r>
      <w:r w:rsidRPr="0056095D">
        <w:rPr>
          <w:lang w:val="en-GB"/>
        </w:rPr>
        <w:t xml:space="preserve">, </w:t>
      </w:r>
      <w:r w:rsidRPr="0056095D">
        <w:rPr>
          <w:i/>
          <w:iCs/>
          <w:lang w:val="en-GB"/>
        </w:rPr>
        <w:t>8</w:t>
      </w:r>
      <w:r w:rsidRPr="0056095D">
        <w:rPr>
          <w:lang w:val="en-GB"/>
        </w:rPr>
        <w:t>, 2301270, doi:10.1002/smtd.202301270.</w:t>
      </w:r>
    </w:p>
    <w:p w14:paraId="3864F09D" w14:textId="77777777" w:rsidR="0056095D" w:rsidRPr="0056095D" w:rsidRDefault="0056095D" w:rsidP="0056095D">
      <w:pPr>
        <w:pStyle w:val="Bibliography"/>
        <w:rPr>
          <w:lang w:val="en-GB"/>
        </w:rPr>
      </w:pPr>
      <w:r w:rsidRPr="0056095D">
        <w:rPr>
          <w:lang w:val="en-GB"/>
        </w:rPr>
        <w:t xml:space="preserve">117. </w:t>
      </w:r>
      <w:r w:rsidRPr="0056095D">
        <w:rPr>
          <w:lang w:val="en-GB"/>
        </w:rPr>
        <w:tab/>
        <w:t xml:space="preserve">Di Renzo, F.; Cambon, H.; Dutartre, R. A 28-Year-Old Synthesis of Micelle-Templated Mesoporous Silica. </w:t>
      </w:r>
      <w:r w:rsidRPr="0056095D">
        <w:rPr>
          <w:i/>
          <w:iCs/>
          <w:lang w:val="en-GB"/>
        </w:rPr>
        <w:t>Microporous Materials</w:t>
      </w:r>
      <w:r w:rsidRPr="0056095D">
        <w:rPr>
          <w:lang w:val="en-GB"/>
        </w:rPr>
        <w:t xml:space="preserve"> </w:t>
      </w:r>
      <w:r w:rsidRPr="0056095D">
        <w:rPr>
          <w:b/>
          <w:bCs/>
          <w:lang w:val="en-GB"/>
        </w:rPr>
        <w:t>1997</w:t>
      </w:r>
      <w:r w:rsidRPr="0056095D">
        <w:rPr>
          <w:lang w:val="en-GB"/>
        </w:rPr>
        <w:t xml:space="preserve">, </w:t>
      </w:r>
      <w:r w:rsidRPr="0056095D">
        <w:rPr>
          <w:i/>
          <w:iCs/>
          <w:lang w:val="en-GB"/>
        </w:rPr>
        <w:t>10</w:t>
      </w:r>
      <w:r w:rsidRPr="0056095D">
        <w:rPr>
          <w:lang w:val="en-GB"/>
        </w:rPr>
        <w:t>, 283–286, doi:10.1016/S0927-6513(97)00028-X.</w:t>
      </w:r>
    </w:p>
    <w:p w14:paraId="136F97FF" w14:textId="77777777" w:rsidR="0056095D" w:rsidRPr="0056095D" w:rsidRDefault="0056095D" w:rsidP="0056095D">
      <w:pPr>
        <w:pStyle w:val="Bibliography"/>
        <w:rPr>
          <w:lang w:val="en-GB"/>
        </w:rPr>
      </w:pPr>
      <w:r w:rsidRPr="0056095D">
        <w:rPr>
          <w:lang w:val="en-GB"/>
        </w:rPr>
        <w:t xml:space="preserve">118. </w:t>
      </w:r>
      <w:r w:rsidRPr="0056095D">
        <w:rPr>
          <w:lang w:val="en-GB"/>
        </w:rPr>
        <w:tab/>
        <w:t xml:space="preserve">Feng, Y.; Liao, Z.; Li, M.; Zhang, H.; Li, T.; Qin, X.; Li, S.; Wu, C.; You, F.; Liao, X.; et al. Mesoporous Silica Nanoparticles-Based Nanoplatforms: Basic Construction, Current State, and Emerging Applications in Anticancer Therapeutics. </w:t>
      </w:r>
      <w:r w:rsidRPr="0056095D">
        <w:rPr>
          <w:i/>
          <w:iCs/>
          <w:lang w:val="en-GB"/>
        </w:rPr>
        <w:t>Advanced Healthcare Materials</w:t>
      </w:r>
      <w:r w:rsidRPr="0056095D">
        <w:rPr>
          <w:lang w:val="en-GB"/>
        </w:rPr>
        <w:t xml:space="preserve"> </w:t>
      </w:r>
      <w:r w:rsidRPr="0056095D">
        <w:rPr>
          <w:b/>
          <w:bCs/>
          <w:lang w:val="en-GB"/>
        </w:rPr>
        <w:t>2023</w:t>
      </w:r>
      <w:r w:rsidRPr="0056095D">
        <w:rPr>
          <w:lang w:val="en-GB"/>
        </w:rPr>
        <w:t xml:space="preserve">, </w:t>
      </w:r>
      <w:r w:rsidRPr="0056095D">
        <w:rPr>
          <w:i/>
          <w:iCs/>
          <w:lang w:val="en-GB"/>
        </w:rPr>
        <w:t>12</w:t>
      </w:r>
      <w:r w:rsidRPr="0056095D">
        <w:rPr>
          <w:lang w:val="en-GB"/>
        </w:rPr>
        <w:t>, 2201884, doi:10.1002/adhm.202201884.</w:t>
      </w:r>
    </w:p>
    <w:p w14:paraId="3B26C6C3" w14:textId="77777777" w:rsidR="0056095D" w:rsidRPr="0056095D" w:rsidRDefault="0056095D" w:rsidP="0056095D">
      <w:pPr>
        <w:pStyle w:val="Bibliography"/>
        <w:rPr>
          <w:lang w:val="en-GB"/>
        </w:rPr>
      </w:pPr>
      <w:r w:rsidRPr="0056095D">
        <w:rPr>
          <w:lang w:val="en-GB"/>
        </w:rPr>
        <w:t xml:space="preserve">119. </w:t>
      </w:r>
      <w:r w:rsidRPr="0056095D">
        <w:rPr>
          <w:lang w:val="en-GB"/>
        </w:rPr>
        <w:tab/>
        <w:t xml:space="preserve">Gu, Y.; Fei, Z. Mesoporous Silica Nanoparticles Loaded with Resveratrol Are Used for Targeted Breast Cancer Therapy. </w:t>
      </w:r>
      <w:r w:rsidRPr="0056095D">
        <w:rPr>
          <w:i/>
          <w:iCs/>
          <w:lang w:val="en-GB"/>
        </w:rPr>
        <w:t>Journal of Oncology</w:t>
      </w:r>
      <w:r w:rsidRPr="0056095D">
        <w:rPr>
          <w:lang w:val="en-GB"/>
        </w:rPr>
        <w:t xml:space="preserve"> </w:t>
      </w:r>
      <w:r w:rsidRPr="0056095D">
        <w:rPr>
          <w:b/>
          <w:bCs/>
          <w:lang w:val="en-GB"/>
        </w:rPr>
        <w:t>2022</w:t>
      </w:r>
      <w:r w:rsidRPr="0056095D">
        <w:rPr>
          <w:lang w:val="en-GB"/>
        </w:rPr>
        <w:t xml:space="preserve">, </w:t>
      </w:r>
      <w:r w:rsidRPr="0056095D">
        <w:rPr>
          <w:i/>
          <w:iCs/>
          <w:lang w:val="en-GB"/>
        </w:rPr>
        <w:t>2022</w:t>
      </w:r>
      <w:r w:rsidRPr="0056095D">
        <w:rPr>
          <w:lang w:val="en-GB"/>
        </w:rPr>
        <w:t>, 1–11, doi:10.1155/2022/8471331.</w:t>
      </w:r>
    </w:p>
    <w:p w14:paraId="59A3F85C" w14:textId="77777777" w:rsidR="0056095D" w:rsidRPr="0056095D" w:rsidRDefault="0056095D" w:rsidP="0056095D">
      <w:pPr>
        <w:pStyle w:val="Bibliography"/>
        <w:rPr>
          <w:lang w:val="en-GB"/>
        </w:rPr>
      </w:pPr>
      <w:r w:rsidRPr="0056095D">
        <w:rPr>
          <w:lang w:val="en-GB"/>
        </w:rPr>
        <w:t xml:space="preserve">120. </w:t>
      </w:r>
      <w:r w:rsidRPr="0056095D">
        <w:rPr>
          <w:lang w:val="en-GB"/>
        </w:rPr>
        <w:tab/>
        <w:t xml:space="preserve">Lérida-Viso, A.; Estepa-Fernández, A.; García-Fernández, A.; Martí-Centelles, V.; Martínez-Máñez, R. Biosafety of Mesoporous Silica Nanoparticles; towards Clinical Translation. </w:t>
      </w:r>
      <w:r w:rsidRPr="0056095D">
        <w:rPr>
          <w:i/>
          <w:iCs/>
          <w:lang w:val="en-GB"/>
        </w:rPr>
        <w:t>Advanced Drug Delivery Reviews</w:t>
      </w:r>
      <w:r w:rsidRPr="0056095D">
        <w:rPr>
          <w:lang w:val="en-GB"/>
        </w:rPr>
        <w:t xml:space="preserve"> </w:t>
      </w:r>
      <w:r w:rsidRPr="0056095D">
        <w:rPr>
          <w:b/>
          <w:bCs/>
          <w:lang w:val="en-GB"/>
        </w:rPr>
        <w:t>2023</w:t>
      </w:r>
      <w:r w:rsidRPr="0056095D">
        <w:rPr>
          <w:lang w:val="en-GB"/>
        </w:rPr>
        <w:t>, 115049.</w:t>
      </w:r>
    </w:p>
    <w:p w14:paraId="027BD33E" w14:textId="77777777" w:rsidR="0056095D" w:rsidRPr="0056095D" w:rsidRDefault="0056095D" w:rsidP="0056095D">
      <w:pPr>
        <w:pStyle w:val="Bibliography"/>
        <w:rPr>
          <w:lang w:val="en-GB"/>
        </w:rPr>
      </w:pPr>
      <w:r w:rsidRPr="0056095D">
        <w:rPr>
          <w:lang w:val="en-GB"/>
        </w:rPr>
        <w:t xml:space="preserve">121. </w:t>
      </w:r>
      <w:r w:rsidRPr="0056095D">
        <w:rPr>
          <w:lang w:val="en-GB"/>
        </w:rPr>
        <w:tab/>
        <w:t xml:space="preserve">JONES, J.R. 12 - Bioactive Glass. In </w:t>
      </w:r>
      <w:r w:rsidRPr="0056095D">
        <w:rPr>
          <w:i/>
          <w:iCs/>
          <w:lang w:val="en-GB"/>
        </w:rPr>
        <w:t>Bioceramics and their Clinical Applications</w:t>
      </w:r>
      <w:r w:rsidRPr="0056095D">
        <w:rPr>
          <w:lang w:val="en-GB"/>
        </w:rPr>
        <w:t>; Kokubo, T., Ed.; Woodhead Publishing, 2008; pp. 266–283 ISBN 978-1-84569-204-9.</w:t>
      </w:r>
    </w:p>
    <w:p w14:paraId="6363A1A0" w14:textId="77777777" w:rsidR="0056095D" w:rsidRPr="0056095D" w:rsidRDefault="0056095D" w:rsidP="0056095D">
      <w:pPr>
        <w:pStyle w:val="Bibliography"/>
        <w:rPr>
          <w:lang w:val="en-GB"/>
        </w:rPr>
      </w:pPr>
      <w:r w:rsidRPr="0056095D">
        <w:rPr>
          <w:lang w:val="en-GB"/>
        </w:rPr>
        <w:t xml:space="preserve">122. </w:t>
      </w:r>
      <w:r w:rsidRPr="0056095D">
        <w:rPr>
          <w:lang w:val="en-GB"/>
        </w:rPr>
        <w:tab/>
        <w:t xml:space="preserve">Araujo, M.S. de 45S5 BioglassÂ®-Based Compositions Containing Alumina and Strontium. </w:t>
      </w:r>
      <w:r w:rsidRPr="0056095D">
        <w:rPr>
          <w:b/>
          <w:bCs/>
          <w:lang w:val="en-GB"/>
        </w:rPr>
        <w:t>2023</w:t>
      </w:r>
      <w:r w:rsidRPr="0056095D">
        <w:rPr>
          <w:lang w:val="en-GB"/>
        </w:rPr>
        <w:t>.</w:t>
      </w:r>
    </w:p>
    <w:p w14:paraId="003C6880" w14:textId="77777777" w:rsidR="0056095D" w:rsidRPr="0056095D" w:rsidRDefault="0056095D" w:rsidP="0056095D">
      <w:pPr>
        <w:pStyle w:val="Bibliography"/>
        <w:rPr>
          <w:lang w:val="en-GB"/>
        </w:rPr>
      </w:pPr>
      <w:r w:rsidRPr="0056095D">
        <w:rPr>
          <w:lang w:val="en-GB"/>
        </w:rPr>
        <w:t xml:space="preserve">123. </w:t>
      </w:r>
      <w:r w:rsidRPr="0056095D">
        <w:rPr>
          <w:lang w:val="en-GB"/>
        </w:rPr>
        <w:tab/>
        <w:t xml:space="preserve">Bhattacharya, S.; Roy, P.; Saha, R.; Chakraborty, J. Bioceramics and Bioactive Glasses for Skin Wound Healing. </w:t>
      </w:r>
      <w:r w:rsidRPr="0056095D">
        <w:rPr>
          <w:i/>
          <w:iCs/>
          <w:lang w:val="en-GB"/>
        </w:rPr>
        <w:t>Bioceramics: Status in Tissue Engineering and Regenerative Medicine (Part 2)</w:t>
      </w:r>
      <w:r w:rsidRPr="0056095D">
        <w:rPr>
          <w:lang w:val="en-GB"/>
        </w:rPr>
        <w:t xml:space="preserve"> </w:t>
      </w:r>
      <w:r w:rsidRPr="0056095D">
        <w:rPr>
          <w:b/>
          <w:bCs/>
          <w:lang w:val="en-GB"/>
        </w:rPr>
        <w:t>2024</w:t>
      </w:r>
      <w:r w:rsidRPr="0056095D">
        <w:rPr>
          <w:lang w:val="en-GB"/>
        </w:rPr>
        <w:t>, 261.</w:t>
      </w:r>
    </w:p>
    <w:p w14:paraId="288193CC" w14:textId="77777777" w:rsidR="0056095D" w:rsidRPr="0056095D" w:rsidRDefault="0056095D" w:rsidP="0056095D">
      <w:pPr>
        <w:pStyle w:val="Bibliography"/>
        <w:rPr>
          <w:lang w:val="en-GB"/>
        </w:rPr>
      </w:pPr>
      <w:r w:rsidRPr="0056095D">
        <w:rPr>
          <w:lang w:val="en-GB"/>
        </w:rPr>
        <w:t xml:space="preserve">124. </w:t>
      </w:r>
      <w:r w:rsidRPr="0056095D">
        <w:rPr>
          <w:lang w:val="en-GB"/>
        </w:rPr>
        <w:tab/>
        <w:t xml:space="preserve">Arcos Navarrete, D.; Portolés Pérez, M.T. Mesoporous Bioactive Nanoparticles for Bone Tissue Applications. </w:t>
      </w:r>
      <w:r w:rsidRPr="0056095D">
        <w:rPr>
          <w:b/>
          <w:bCs/>
          <w:lang w:val="en-GB"/>
        </w:rPr>
        <w:t>2023</w:t>
      </w:r>
      <w:r w:rsidRPr="0056095D">
        <w:rPr>
          <w:lang w:val="en-GB"/>
        </w:rPr>
        <w:t>.</w:t>
      </w:r>
    </w:p>
    <w:p w14:paraId="0E0FD3C7" w14:textId="77777777" w:rsidR="0056095D" w:rsidRPr="0056095D" w:rsidRDefault="0056095D" w:rsidP="0056095D">
      <w:pPr>
        <w:pStyle w:val="Bibliography"/>
        <w:rPr>
          <w:lang w:val="en-GB"/>
        </w:rPr>
      </w:pPr>
      <w:r w:rsidRPr="0056095D">
        <w:rPr>
          <w:lang w:val="en-GB"/>
        </w:rPr>
        <w:t xml:space="preserve">125. </w:t>
      </w:r>
      <w:r w:rsidRPr="0056095D">
        <w:rPr>
          <w:lang w:val="en-GB"/>
        </w:rPr>
        <w:tab/>
        <w:t xml:space="preserve">Moeini, A.; Hassanzadeh Chinijani, T.; Malek Khachatourian, A.; Vinicius Lia Fook, M.; Baino, F.; Montazerian, M. A Critical Review of Bioactive Glasses and Glass–Ceramics in Cancer Therapy. </w:t>
      </w:r>
      <w:r w:rsidRPr="0056095D">
        <w:rPr>
          <w:i/>
          <w:iCs/>
          <w:lang w:val="en-GB"/>
        </w:rPr>
        <w:t>International Journal of Applied Glass Science</w:t>
      </w:r>
      <w:r w:rsidRPr="0056095D">
        <w:rPr>
          <w:lang w:val="en-GB"/>
        </w:rPr>
        <w:t xml:space="preserve"> </w:t>
      </w:r>
      <w:r w:rsidRPr="0056095D">
        <w:rPr>
          <w:b/>
          <w:bCs/>
          <w:lang w:val="en-GB"/>
        </w:rPr>
        <w:t>2023</w:t>
      </w:r>
      <w:r w:rsidRPr="0056095D">
        <w:rPr>
          <w:lang w:val="en-GB"/>
        </w:rPr>
        <w:t xml:space="preserve">, </w:t>
      </w:r>
      <w:r w:rsidRPr="0056095D">
        <w:rPr>
          <w:i/>
          <w:iCs/>
          <w:lang w:val="en-GB"/>
        </w:rPr>
        <w:t>14</w:t>
      </w:r>
      <w:r w:rsidRPr="0056095D">
        <w:rPr>
          <w:lang w:val="en-GB"/>
        </w:rPr>
        <w:t>, 69–87.</w:t>
      </w:r>
    </w:p>
    <w:p w14:paraId="103C32EB" w14:textId="77777777" w:rsidR="0056095D" w:rsidRPr="0056095D" w:rsidRDefault="0056095D" w:rsidP="0056095D">
      <w:pPr>
        <w:pStyle w:val="Bibliography"/>
        <w:rPr>
          <w:lang w:val="en-GB"/>
        </w:rPr>
      </w:pPr>
      <w:r w:rsidRPr="0056095D">
        <w:rPr>
          <w:lang w:val="en-GB"/>
        </w:rPr>
        <w:t xml:space="preserve">126. </w:t>
      </w:r>
      <w:r w:rsidRPr="0056095D">
        <w:rPr>
          <w:lang w:val="en-GB"/>
        </w:rPr>
        <w:tab/>
        <w:t xml:space="preserve">Chen, J.; Chen, X.; Yang, Z.; Tan, X.; Wang, J.; Chen, Y. Preparation and Characterization of Folic Acid Functionalized Bioactive Glass for Targeted Delivery and Sustained Release of Methotrexate. </w:t>
      </w:r>
      <w:r w:rsidRPr="0056095D">
        <w:rPr>
          <w:i/>
          <w:iCs/>
          <w:lang w:val="en-GB"/>
        </w:rPr>
        <w:t>Journal of Biomedical Materials Research Part A</w:t>
      </w:r>
      <w:r w:rsidRPr="0056095D">
        <w:rPr>
          <w:lang w:val="en-GB"/>
        </w:rPr>
        <w:t xml:space="preserve"> </w:t>
      </w:r>
      <w:r w:rsidRPr="0056095D">
        <w:rPr>
          <w:b/>
          <w:bCs/>
          <w:lang w:val="en-GB"/>
        </w:rPr>
        <w:t>2019</w:t>
      </w:r>
      <w:r w:rsidRPr="0056095D">
        <w:rPr>
          <w:lang w:val="en-GB"/>
        </w:rPr>
        <w:t xml:space="preserve">, </w:t>
      </w:r>
      <w:r w:rsidRPr="0056095D">
        <w:rPr>
          <w:i/>
          <w:iCs/>
          <w:lang w:val="en-GB"/>
        </w:rPr>
        <w:t>107</w:t>
      </w:r>
      <w:r w:rsidRPr="0056095D">
        <w:rPr>
          <w:lang w:val="en-GB"/>
        </w:rPr>
        <w:t>, 319–329, doi:10.1002/jbm.a.36471.</w:t>
      </w:r>
    </w:p>
    <w:p w14:paraId="707A08A2" w14:textId="77777777" w:rsidR="0056095D" w:rsidRPr="0056095D" w:rsidRDefault="0056095D" w:rsidP="0056095D">
      <w:pPr>
        <w:pStyle w:val="Bibliography"/>
        <w:rPr>
          <w:lang w:val="en-GB"/>
        </w:rPr>
      </w:pPr>
      <w:r w:rsidRPr="0056095D">
        <w:rPr>
          <w:lang w:val="en-GB"/>
        </w:rPr>
        <w:t xml:space="preserve">127. </w:t>
      </w:r>
      <w:r w:rsidRPr="0056095D">
        <w:rPr>
          <w:lang w:val="en-GB"/>
        </w:rPr>
        <w:tab/>
        <w:t xml:space="preserve">Dolskiy, A.A.; Grishchenko, I.V.; Yudkin, D.V. Cell Cultures for Virology: Usability, Advantages, and Prospects. </w:t>
      </w:r>
      <w:r w:rsidRPr="0056095D">
        <w:rPr>
          <w:i/>
          <w:iCs/>
          <w:lang w:val="en-GB"/>
        </w:rPr>
        <w:t>International Journal of Molecular Sciences</w:t>
      </w:r>
      <w:r w:rsidRPr="0056095D">
        <w:rPr>
          <w:lang w:val="en-GB"/>
        </w:rPr>
        <w:t xml:space="preserve"> </w:t>
      </w:r>
      <w:r w:rsidRPr="0056095D">
        <w:rPr>
          <w:b/>
          <w:bCs/>
          <w:lang w:val="en-GB"/>
        </w:rPr>
        <w:t>2020</w:t>
      </w:r>
      <w:r w:rsidRPr="0056095D">
        <w:rPr>
          <w:lang w:val="en-GB"/>
        </w:rPr>
        <w:t xml:space="preserve">, </w:t>
      </w:r>
      <w:r w:rsidRPr="0056095D">
        <w:rPr>
          <w:i/>
          <w:iCs/>
          <w:lang w:val="en-GB"/>
        </w:rPr>
        <w:t>21</w:t>
      </w:r>
      <w:r w:rsidRPr="0056095D">
        <w:rPr>
          <w:lang w:val="en-GB"/>
        </w:rPr>
        <w:t>, doi:10.3390/ijms21217978.</w:t>
      </w:r>
    </w:p>
    <w:p w14:paraId="14AA0F96" w14:textId="77777777" w:rsidR="0056095D" w:rsidRPr="0056095D" w:rsidRDefault="0056095D" w:rsidP="0056095D">
      <w:pPr>
        <w:pStyle w:val="Bibliography"/>
        <w:rPr>
          <w:lang w:val="en-GB"/>
        </w:rPr>
      </w:pPr>
      <w:r w:rsidRPr="0056095D">
        <w:rPr>
          <w:lang w:val="en-GB"/>
        </w:rPr>
        <w:t xml:space="preserve">128. </w:t>
      </w:r>
      <w:r w:rsidRPr="0056095D">
        <w:rPr>
          <w:lang w:val="en-GB"/>
        </w:rPr>
        <w:tab/>
        <w:t xml:space="preserve">Cardoso, B.D.; Castanheira, E.M.S.; Lanceros-Méndez, S.; Cardoso, V.F. Recent Advances on Cell Culture Platforms for In Vitro Drug Screening and Cell Therapies: From Conventional to Microfluidic Strategies. </w:t>
      </w:r>
      <w:r w:rsidRPr="0056095D">
        <w:rPr>
          <w:i/>
          <w:iCs/>
          <w:lang w:val="en-GB"/>
        </w:rPr>
        <w:t>Advanced Healthcare Materials</w:t>
      </w:r>
      <w:r w:rsidRPr="0056095D">
        <w:rPr>
          <w:lang w:val="en-GB"/>
        </w:rPr>
        <w:t xml:space="preserve"> </w:t>
      </w:r>
      <w:r w:rsidRPr="0056095D">
        <w:rPr>
          <w:b/>
          <w:bCs/>
          <w:lang w:val="en-GB"/>
        </w:rPr>
        <w:t>2023</w:t>
      </w:r>
      <w:r w:rsidRPr="0056095D">
        <w:rPr>
          <w:lang w:val="en-GB"/>
        </w:rPr>
        <w:t xml:space="preserve">, </w:t>
      </w:r>
      <w:r w:rsidRPr="0056095D">
        <w:rPr>
          <w:i/>
          <w:iCs/>
          <w:lang w:val="en-GB"/>
        </w:rPr>
        <w:t>12</w:t>
      </w:r>
      <w:r w:rsidRPr="0056095D">
        <w:rPr>
          <w:lang w:val="en-GB"/>
        </w:rPr>
        <w:t>, 2202936, doi:10.1002/adhm.202202936.</w:t>
      </w:r>
    </w:p>
    <w:p w14:paraId="5B24B426" w14:textId="77777777" w:rsidR="0056095D" w:rsidRPr="0056095D" w:rsidRDefault="0056095D" w:rsidP="0056095D">
      <w:pPr>
        <w:pStyle w:val="Bibliography"/>
        <w:rPr>
          <w:lang w:val="en-GB"/>
        </w:rPr>
      </w:pPr>
      <w:r w:rsidRPr="0056095D">
        <w:rPr>
          <w:lang w:val="en-GB"/>
        </w:rPr>
        <w:t xml:space="preserve">129. </w:t>
      </w:r>
      <w:r w:rsidRPr="0056095D">
        <w:rPr>
          <w:lang w:val="en-GB"/>
        </w:rPr>
        <w:tab/>
        <w:t xml:space="preserve">Orellana, E.A.; Kasinski, A.L. Sulforhodamine B (SRB) Assay in Cell Culture to Investigate Cell Proliferation. </w:t>
      </w:r>
      <w:r w:rsidRPr="0056095D">
        <w:rPr>
          <w:i/>
          <w:iCs/>
          <w:lang w:val="en-GB"/>
        </w:rPr>
        <w:t>Bio-protocol</w:t>
      </w:r>
      <w:r w:rsidRPr="0056095D">
        <w:rPr>
          <w:lang w:val="en-GB"/>
        </w:rPr>
        <w:t xml:space="preserve"> </w:t>
      </w:r>
      <w:r w:rsidRPr="0056095D">
        <w:rPr>
          <w:b/>
          <w:bCs/>
          <w:lang w:val="en-GB"/>
        </w:rPr>
        <w:t>2016</w:t>
      </w:r>
      <w:r w:rsidRPr="0056095D">
        <w:rPr>
          <w:lang w:val="en-GB"/>
        </w:rPr>
        <w:t xml:space="preserve">, </w:t>
      </w:r>
      <w:r w:rsidRPr="0056095D">
        <w:rPr>
          <w:i/>
          <w:iCs/>
          <w:lang w:val="en-GB"/>
        </w:rPr>
        <w:t>6</w:t>
      </w:r>
      <w:r w:rsidRPr="0056095D">
        <w:rPr>
          <w:lang w:val="en-GB"/>
        </w:rPr>
        <w:t>, e1984, doi:10.21769/BioProtoc.1984.</w:t>
      </w:r>
    </w:p>
    <w:p w14:paraId="2A1FFAA9" w14:textId="77777777" w:rsidR="0056095D" w:rsidRPr="0056095D" w:rsidRDefault="0056095D" w:rsidP="0056095D">
      <w:pPr>
        <w:pStyle w:val="Bibliography"/>
        <w:rPr>
          <w:lang w:val="en-GB"/>
        </w:rPr>
      </w:pPr>
      <w:r w:rsidRPr="0056095D">
        <w:rPr>
          <w:lang w:val="en-GB"/>
        </w:rPr>
        <w:lastRenderedPageBreak/>
        <w:t xml:space="preserve">130. </w:t>
      </w:r>
      <w:r w:rsidRPr="0056095D">
        <w:rPr>
          <w:lang w:val="en-GB"/>
        </w:rPr>
        <w:tab/>
        <w:t xml:space="preserve">McAlary, L.; Shephard, V.K.; Sher, M.; Rice, L.J.; Yerbury, J.J.; Cashman, N.R.; Plotkin, S.S. Assessment of Protein Inclusions in Cultured Cells Using Automated Image Analysis. </w:t>
      </w:r>
      <w:r w:rsidRPr="0056095D">
        <w:rPr>
          <w:i/>
          <w:iCs/>
          <w:lang w:val="en-GB"/>
        </w:rPr>
        <w:t>STAR Protocols</w:t>
      </w:r>
      <w:r w:rsidRPr="0056095D">
        <w:rPr>
          <w:lang w:val="en-GB"/>
        </w:rPr>
        <w:t xml:space="preserve"> </w:t>
      </w:r>
      <w:r w:rsidRPr="0056095D">
        <w:rPr>
          <w:b/>
          <w:bCs/>
          <w:lang w:val="en-GB"/>
        </w:rPr>
        <w:t>2022</w:t>
      </w:r>
      <w:r w:rsidRPr="0056095D">
        <w:rPr>
          <w:lang w:val="en-GB"/>
        </w:rPr>
        <w:t xml:space="preserve">, </w:t>
      </w:r>
      <w:r w:rsidRPr="0056095D">
        <w:rPr>
          <w:i/>
          <w:iCs/>
          <w:lang w:val="en-GB"/>
        </w:rPr>
        <w:t>3</w:t>
      </w:r>
      <w:r w:rsidRPr="0056095D">
        <w:rPr>
          <w:lang w:val="en-GB"/>
        </w:rPr>
        <w:t>, 101748, doi:10.1016/j.xpro.2022.101748.</w:t>
      </w:r>
    </w:p>
    <w:p w14:paraId="27DFEB9B" w14:textId="77777777" w:rsidR="0056095D" w:rsidRPr="0056095D" w:rsidRDefault="0056095D" w:rsidP="0056095D">
      <w:pPr>
        <w:pStyle w:val="Bibliography"/>
        <w:rPr>
          <w:lang w:val="en-GB"/>
        </w:rPr>
      </w:pPr>
      <w:r w:rsidRPr="0056095D">
        <w:rPr>
          <w:lang w:val="en-GB"/>
        </w:rPr>
        <w:t xml:space="preserve">131. </w:t>
      </w:r>
      <w:r w:rsidRPr="0056095D">
        <w:rPr>
          <w:lang w:val="en-GB"/>
        </w:rPr>
        <w:tab/>
        <w:t xml:space="preserve">Koç, E.; Çelik-Uzuner, S.; Uzuner, U.; Çakmak, R. The Detailed Comparison of Cell Death Detected by Annexin V-PI Counterstain Using Fluorescence Microscope, Flow Cytometry and Automated Cell Counter in Mammalian and Microalgae Cells. </w:t>
      </w:r>
      <w:r w:rsidRPr="0056095D">
        <w:rPr>
          <w:i/>
          <w:iCs/>
          <w:lang w:val="en-GB"/>
        </w:rPr>
        <w:t>Journal of Fluorescence</w:t>
      </w:r>
      <w:r w:rsidRPr="0056095D">
        <w:rPr>
          <w:lang w:val="en-GB"/>
        </w:rPr>
        <w:t xml:space="preserve"> </w:t>
      </w:r>
      <w:r w:rsidRPr="0056095D">
        <w:rPr>
          <w:b/>
          <w:bCs/>
          <w:lang w:val="en-GB"/>
        </w:rPr>
        <w:t>2018</w:t>
      </w:r>
      <w:r w:rsidRPr="0056095D">
        <w:rPr>
          <w:lang w:val="en-GB"/>
        </w:rPr>
        <w:t xml:space="preserve">, </w:t>
      </w:r>
      <w:r w:rsidRPr="0056095D">
        <w:rPr>
          <w:i/>
          <w:iCs/>
          <w:lang w:val="en-GB"/>
        </w:rPr>
        <w:t>28</w:t>
      </w:r>
      <w:r w:rsidRPr="0056095D">
        <w:rPr>
          <w:lang w:val="en-GB"/>
        </w:rPr>
        <w:t>, 1393–1404, doi:10.1007/s10895-018-2306-4.</w:t>
      </w:r>
    </w:p>
    <w:p w14:paraId="545E545A" w14:textId="77777777" w:rsidR="0056095D" w:rsidRPr="0056095D" w:rsidRDefault="0056095D" w:rsidP="0056095D">
      <w:pPr>
        <w:pStyle w:val="Bibliography"/>
        <w:rPr>
          <w:lang w:val="en-GB"/>
        </w:rPr>
      </w:pPr>
      <w:r w:rsidRPr="0056095D">
        <w:rPr>
          <w:lang w:val="en-GB"/>
        </w:rPr>
        <w:t xml:space="preserve">132. </w:t>
      </w:r>
      <w:r w:rsidRPr="0056095D">
        <w:rPr>
          <w:lang w:val="en-GB"/>
        </w:rPr>
        <w:tab/>
        <w:t xml:space="preserve">Cadena-Herrera, D.; Esparza-De Lara, J.E.; Ramírez-Ibañez, N.D.; López-Morales, C.A.; Pérez, N.O.; Flores-Ortiz, L.F.; Medina-Rivero, E. Validation of Three Viable-Cell Counting Methods: Manual, Semi-Automated, and Automated. </w:t>
      </w:r>
      <w:r w:rsidRPr="0056095D">
        <w:rPr>
          <w:i/>
          <w:iCs/>
          <w:lang w:val="en-GB"/>
        </w:rPr>
        <w:t>Biotechnology Reports</w:t>
      </w:r>
      <w:r w:rsidRPr="0056095D">
        <w:rPr>
          <w:lang w:val="en-GB"/>
        </w:rPr>
        <w:t xml:space="preserve"> </w:t>
      </w:r>
      <w:r w:rsidRPr="0056095D">
        <w:rPr>
          <w:b/>
          <w:bCs/>
          <w:lang w:val="en-GB"/>
        </w:rPr>
        <w:t>2015</w:t>
      </w:r>
      <w:r w:rsidRPr="0056095D">
        <w:rPr>
          <w:lang w:val="en-GB"/>
        </w:rPr>
        <w:t xml:space="preserve">, </w:t>
      </w:r>
      <w:r w:rsidRPr="0056095D">
        <w:rPr>
          <w:i/>
          <w:iCs/>
          <w:lang w:val="en-GB"/>
        </w:rPr>
        <w:t>7</w:t>
      </w:r>
      <w:r w:rsidRPr="0056095D">
        <w:rPr>
          <w:lang w:val="en-GB"/>
        </w:rPr>
        <w:t>, 9–16, doi:10.1016/j.btre.2015.04.004.</w:t>
      </w:r>
    </w:p>
    <w:p w14:paraId="41D6DFA1" w14:textId="77777777" w:rsidR="0056095D" w:rsidRPr="0056095D" w:rsidRDefault="0056095D" w:rsidP="0056095D">
      <w:pPr>
        <w:pStyle w:val="Bibliography"/>
        <w:rPr>
          <w:lang w:val="en-GB"/>
        </w:rPr>
      </w:pPr>
      <w:r w:rsidRPr="0056095D">
        <w:rPr>
          <w:lang w:val="en-GB"/>
        </w:rPr>
        <w:t xml:space="preserve">133. </w:t>
      </w:r>
      <w:r w:rsidRPr="0056095D">
        <w:rPr>
          <w:lang w:val="en-GB"/>
        </w:rPr>
        <w:tab/>
        <w:t xml:space="preserve">Rana, P. Analysis of Cellular and Subcellular Morphology Using Machine Learning in Microscopy Images. </w:t>
      </w:r>
      <w:r w:rsidRPr="0056095D">
        <w:rPr>
          <w:b/>
          <w:bCs/>
          <w:lang w:val="en-GB"/>
        </w:rPr>
        <w:t>2023</w:t>
      </w:r>
      <w:r w:rsidRPr="0056095D">
        <w:rPr>
          <w:lang w:val="en-GB"/>
        </w:rPr>
        <w:t>.</w:t>
      </w:r>
    </w:p>
    <w:p w14:paraId="6B4E02A5" w14:textId="77777777" w:rsidR="0056095D" w:rsidRPr="0056095D" w:rsidRDefault="0056095D" w:rsidP="0056095D">
      <w:pPr>
        <w:pStyle w:val="Bibliography"/>
        <w:rPr>
          <w:lang w:val="en-GB"/>
        </w:rPr>
      </w:pPr>
      <w:r w:rsidRPr="0056095D">
        <w:rPr>
          <w:lang w:val="en-GB"/>
        </w:rPr>
        <w:t xml:space="preserve">134. </w:t>
      </w:r>
      <w:r w:rsidRPr="0056095D">
        <w:rPr>
          <w:lang w:val="en-GB"/>
        </w:rPr>
        <w:tab/>
        <w:t xml:space="preserve">Coudray, N.; Ocampo, P.S.; Sakellaropoulos, T.; Narula, N.; Snuderl, M.; Fenyö, D.; Moreira, A.L.; Razavian, N.; Tsirigos, A. Classification and Mutation Prediction from Non–Small Cell Lung Cancer Histopathology Images Using Deep Learning. </w:t>
      </w:r>
      <w:r w:rsidRPr="0056095D">
        <w:rPr>
          <w:i/>
          <w:iCs/>
          <w:lang w:val="en-GB"/>
        </w:rPr>
        <w:t>Nat Med</w:t>
      </w:r>
      <w:r w:rsidRPr="0056095D">
        <w:rPr>
          <w:lang w:val="en-GB"/>
        </w:rPr>
        <w:t xml:space="preserve"> </w:t>
      </w:r>
      <w:r w:rsidRPr="0056095D">
        <w:rPr>
          <w:b/>
          <w:bCs/>
          <w:lang w:val="en-GB"/>
        </w:rPr>
        <w:t>2018</w:t>
      </w:r>
      <w:r w:rsidRPr="0056095D">
        <w:rPr>
          <w:lang w:val="en-GB"/>
        </w:rPr>
        <w:t xml:space="preserve">, </w:t>
      </w:r>
      <w:r w:rsidRPr="0056095D">
        <w:rPr>
          <w:i/>
          <w:iCs/>
          <w:lang w:val="en-GB"/>
        </w:rPr>
        <w:t>24</w:t>
      </w:r>
      <w:r w:rsidRPr="0056095D">
        <w:rPr>
          <w:lang w:val="en-GB"/>
        </w:rPr>
        <w:t>, 1559–1567, doi:10.1038/s41591-018-0177-5.</w:t>
      </w:r>
    </w:p>
    <w:p w14:paraId="2AC86802" w14:textId="77777777" w:rsidR="0056095D" w:rsidRPr="0056095D" w:rsidRDefault="0056095D" w:rsidP="0056095D">
      <w:pPr>
        <w:pStyle w:val="Bibliography"/>
        <w:rPr>
          <w:lang w:val="en-GB"/>
        </w:rPr>
      </w:pPr>
      <w:r w:rsidRPr="0056095D">
        <w:rPr>
          <w:lang w:val="en-GB"/>
        </w:rPr>
        <w:t xml:space="preserve">135. </w:t>
      </w:r>
      <w:r w:rsidRPr="0056095D">
        <w:rPr>
          <w:lang w:val="en-GB"/>
        </w:rPr>
        <w:tab/>
        <w:t>Maylaa, T. Deep Learning-Aided Analysis of 3D Cell Culture Microscopic Images to Enhance the Precision of the Drug Screening Process: A Use Case for Cervical Cancer.</w:t>
      </w:r>
    </w:p>
    <w:p w14:paraId="654AD623" w14:textId="77777777" w:rsidR="0056095D" w:rsidRPr="0056095D" w:rsidRDefault="0056095D" w:rsidP="0056095D">
      <w:pPr>
        <w:pStyle w:val="Bibliography"/>
        <w:rPr>
          <w:lang w:val="en-GB"/>
        </w:rPr>
      </w:pPr>
      <w:r w:rsidRPr="0056095D">
        <w:rPr>
          <w:lang w:val="en-GB"/>
        </w:rPr>
        <w:t xml:space="preserve">136. </w:t>
      </w:r>
      <w:r w:rsidRPr="0056095D">
        <w:rPr>
          <w:lang w:val="en-GB"/>
        </w:rPr>
        <w:tab/>
        <w:t xml:space="preserve">Abraham, T.; Todd, A.; Orringer, D.A.; Levenson, R. Applications of Artificial Intelligence for Image Enhancement in Pathology. In </w:t>
      </w:r>
      <w:r w:rsidRPr="0056095D">
        <w:rPr>
          <w:i/>
          <w:iCs/>
          <w:lang w:val="en-GB"/>
        </w:rPr>
        <w:t>Artificial Intelligence and Deep Learning in Pathology</w:t>
      </w:r>
      <w:r w:rsidRPr="0056095D">
        <w:rPr>
          <w:lang w:val="en-GB"/>
        </w:rPr>
        <w:t>; Elsevier, 2021; pp. 119–148.</w:t>
      </w:r>
    </w:p>
    <w:p w14:paraId="0305EC83" w14:textId="77777777" w:rsidR="0056095D" w:rsidRPr="0056095D" w:rsidRDefault="0056095D" w:rsidP="0056095D">
      <w:pPr>
        <w:pStyle w:val="Bibliography"/>
        <w:rPr>
          <w:lang w:val="en-GB"/>
        </w:rPr>
      </w:pPr>
      <w:r w:rsidRPr="0056095D">
        <w:rPr>
          <w:lang w:val="en-GB"/>
        </w:rPr>
        <w:t xml:space="preserve">137. </w:t>
      </w:r>
      <w:r w:rsidRPr="0056095D">
        <w:rPr>
          <w:lang w:val="en-GB"/>
        </w:rPr>
        <w:tab/>
        <w:t xml:space="preserve">Ding, Y.; Dhawan, G.; Jones, C.; Ness, T.; Nichols, E.; Krasnogor, N.; Reynolds, N.J. An Open Source Pipeline for Quantitative Immunohistochemistry Image Analysis of Inflammatory Skin Disease Using Artificial Intelligence. </w:t>
      </w:r>
      <w:r w:rsidRPr="0056095D">
        <w:rPr>
          <w:i/>
          <w:iCs/>
          <w:lang w:val="en-GB"/>
        </w:rPr>
        <w:t>Journal of the European Academy of Dermatology and Venereology</w:t>
      </w:r>
      <w:r w:rsidRPr="0056095D">
        <w:rPr>
          <w:lang w:val="en-GB"/>
        </w:rPr>
        <w:t xml:space="preserve"> </w:t>
      </w:r>
      <w:r w:rsidRPr="0056095D">
        <w:rPr>
          <w:b/>
          <w:bCs/>
          <w:lang w:val="en-GB"/>
        </w:rPr>
        <w:t>2023</w:t>
      </w:r>
      <w:r w:rsidRPr="0056095D">
        <w:rPr>
          <w:lang w:val="en-GB"/>
        </w:rPr>
        <w:t xml:space="preserve">, </w:t>
      </w:r>
      <w:r w:rsidRPr="0056095D">
        <w:rPr>
          <w:i/>
          <w:iCs/>
          <w:lang w:val="en-GB"/>
        </w:rPr>
        <w:t>37</w:t>
      </w:r>
      <w:r w:rsidRPr="0056095D">
        <w:rPr>
          <w:lang w:val="en-GB"/>
        </w:rPr>
        <w:t>, 605–614.</w:t>
      </w:r>
    </w:p>
    <w:p w14:paraId="154F115E" w14:textId="77777777" w:rsidR="0056095D" w:rsidRPr="0056095D" w:rsidRDefault="0056095D" w:rsidP="0056095D">
      <w:pPr>
        <w:pStyle w:val="Bibliography"/>
        <w:rPr>
          <w:lang w:val="en-GB"/>
        </w:rPr>
      </w:pPr>
      <w:r w:rsidRPr="0056095D">
        <w:rPr>
          <w:lang w:val="en-GB"/>
        </w:rPr>
        <w:t xml:space="preserve">138. </w:t>
      </w:r>
      <w:r w:rsidRPr="0056095D">
        <w:rPr>
          <w:lang w:val="en-GB"/>
        </w:rPr>
        <w:tab/>
        <w:t xml:space="preserve">Pearson, Y.E.; Kremb, S.; Butterfoss, G.L.; Xie, X.; Fahs, H.; Gunsalus, K.C. A Statistical Framework for High-Content Phenotypic Profiling Using Cellular Feature Distributions. </w:t>
      </w:r>
      <w:r w:rsidRPr="0056095D">
        <w:rPr>
          <w:i/>
          <w:iCs/>
          <w:lang w:val="en-GB"/>
        </w:rPr>
        <w:t>Commun Biol</w:t>
      </w:r>
      <w:r w:rsidRPr="0056095D">
        <w:rPr>
          <w:lang w:val="en-GB"/>
        </w:rPr>
        <w:t xml:space="preserve"> </w:t>
      </w:r>
      <w:r w:rsidRPr="0056095D">
        <w:rPr>
          <w:b/>
          <w:bCs/>
          <w:lang w:val="en-GB"/>
        </w:rPr>
        <w:t>2022</w:t>
      </w:r>
      <w:r w:rsidRPr="0056095D">
        <w:rPr>
          <w:lang w:val="en-GB"/>
        </w:rPr>
        <w:t xml:space="preserve">, </w:t>
      </w:r>
      <w:r w:rsidRPr="0056095D">
        <w:rPr>
          <w:i/>
          <w:iCs/>
          <w:lang w:val="en-GB"/>
        </w:rPr>
        <w:t>5</w:t>
      </w:r>
      <w:r w:rsidRPr="0056095D">
        <w:rPr>
          <w:lang w:val="en-GB"/>
        </w:rPr>
        <w:t>, 1409, doi:10.1038/s42003-022-04343-3.</w:t>
      </w:r>
    </w:p>
    <w:p w14:paraId="155A0A56" w14:textId="77777777" w:rsidR="0056095D" w:rsidRPr="0056095D" w:rsidRDefault="0056095D" w:rsidP="0056095D">
      <w:pPr>
        <w:pStyle w:val="Bibliography"/>
        <w:rPr>
          <w:lang w:val="en-GB"/>
        </w:rPr>
      </w:pPr>
      <w:r w:rsidRPr="0056095D">
        <w:rPr>
          <w:lang w:val="en-GB"/>
        </w:rPr>
        <w:t xml:space="preserve">139. </w:t>
      </w:r>
      <w:r w:rsidRPr="0056095D">
        <w:rPr>
          <w:lang w:val="en-GB"/>
        </w:rPr>
        <w:tab/>
        <w:t>Vance, K.; Alitinok, A.; Winfree, S.; Jensen-Smith, H.; Swanson, B.J.; Grandgenett, P.M.; Klute, K.A.; Crichton, D.J.; Hollingsworth, M.A. Machine Learning Analyses of Highly-Multiplexed Immunoﬂuorescence Identiﬁes Distinct Tumor and Stromal Cell Populations in Primary Pancreatic Tumors.</w:t>
      </w:r>
    </w:p>
    <w:p w14:paraId="3A4B3ECA" w14:textId="77777777" w:rsidR="0056095D" w:rsidRPr="0056095D" w:rsidRDefault="0056095D" w:rsidP="0056095D">
      <w:pPr>
        <w:pStyle w:val="Bibliography"/>
        <w:rPr>
          <w:lang w:val="en-GB"/>
        </w:rPr>
      </w:pPr>
      <w:r w:rsidRPr="0056095D">
        <w:rPr>
          <w:lang w:val="en-GB"/>
        </w:rPr>
        <w:t xml:space="preserve">140. </w:t>
      </w:r>
      <w:r w:rsidRPr="0056095D">
        <w:rPr>
          <w:lang w:val="en-GB"/>
        </w:rPr>
        <w:tab/>
        <w:t xml:space="preserve">Liu, R.; Dai, W.; Wu, T.; Wang, M.; Wan, S.; Liu, J. AIMIC: Deep Learning for Microscopic Image Classification. </w:t>
      </w:r>
      <w:r w:rsidRPr="0056095D">
        <w:rPr>
          <w:i/>
          <w:iCs/>
          <w:lang w:val="en-GB"/>
        </w:rPr>
        <w:t>Computer Methods and Programs in Biomedicine</w:t>
      </w:r>
      <w:r w:rsidRPr="0056095D">
        <w:rPr>
          <w:lang w:val="en-GB"/>
        </w:rPr>
        <w:t xml:space="preserve"> </w:t>
      </w:r>
      <w:r w:rsidRPr="0056095D">
        <w:rPr>
          <w:b/>
          <w:bCs/>
          <w:lang w:val="en-GB"/>
        </w:rPr>
        <w:t>2022</w:t>
      </w:r>
      <w:r w:rsidRPr="0056095D">
        <w:rPr>
          <w:lang w:val="en-GB"/>
        </w:rPr>
        <w:t xml:space="preserve">, </w:t>
      </w:r>
      <w:r w:rsidRPr="0056095D">
        <w:rPr>
          <w:i/>
          <w:iCs/>
          <w:lang w:val="en-GB"/>
        </w:rPr>
        <w:t>226</w:t>
      </w:r>
      <w:r w:rsidRPr="0056095D">
        <w:rPr>
          <w:lang w:val="en-GB"/>
        </w:rPr>
        <w:t>, 107162, doi:10.1016/j.cmpb.2022.107162.</w:t>
      </w:r>
    </w:p>
    <w:p w14:paraId="73B4920A" w14:textId="77777777" w:rsidR="0056095D" w:rsidRPr="0056095D" w:rsidRDefault="0056095D" w:rsidP="0056095D">
      <w:pPr>
        <w:pStyle w:val="Bibliography"/>
        <w:rPr>
          <w:lang w:val="en-GB"/>
        </w:rPr>
      </w:pPr>
      <w:r w:rsidRPr="0056095D">
        <w:rPr>
          <w:lang w:val="en-GB"/>
        </w:rPr>
        <w:t xml:space="preserve">141. </w:t>
      </w:r>
      <w:r w:rsidRPr="0056095D">
        <w:rPr>
          <w:lang w:val="en-GB"/>
        </w:rPr>
        <w:tab/>
        <w:t xml:space="preserve">Abut, S.; Okut, H.; Kallail, K.J. Paradigm Shift from Artificial Neural Networks (ANNs) to Deep Convolutional Neural Networks (DCNNs) in the Field of Medical Image Processing. </w:t>
      </w:r>
      <w:r w:rsidRPr="0056095D">
        <w:rPr>
          <w:i/>
          <w:iCs/>
          <w:lang w:val="en-GB"/>
        </w:rPr>
        <w:t>Expert Systems with Applications</w:t>
      </w:r>
      <w:r w:rsidRPr="0056095D">
        <w:rPr>
          <w:lang w:val="en-GB"/>
        </w:rPr>
        <w:t xml:space="preserve"> </w:t>
      </w:r>
      <w:r w:rsidRPr="0056095D">
        <w:rPr>
          <w:b/>
          <w:bCs/>
          <w:lang w:val="en-GB"/>
        </w:rPr>
        <w:t>2023</w:t>
      </w:r>
      <w:r w:rsidRPr="0056095D">
        <w:rPr>
          <w:lang w:val="en-GB"/>
        </w:rPr>
        <w:t>, 122983.</w:t>
      </w:r>
    </w:p>
    <w:p w14:paraId="71536E7C" w14:textId="77777777" w:rsidR="0056095D" w:rsidRPr="0056095D" w:rsidRDefault="0056095D" w:rsidP="0056095D">
      <w:pPr>
        <w:pStyle w:val="Bibliography"/>
        <w:rPr>
          <w:lang w:val="en-GB"/>
        </w:rPr>
      </w:pPr>
      <w:r w:rsidRPr="0056095D">
        <w:rPr>
          <w:lang w:val="en-GB"/>
        </w:rPr>
        <w:t xml:space="preserve">142. </w:t>
      </w:r>
      <w:r w:rsidRPr="0056095D">
        <w:rPr>
          <w:lang w:val="en-GB"/>
        </w:rPr>
        <w:tab/>
        <w:t xml:space="preserve">Alzubaidi, L.; Zhang, J.; Humaidi, A.J.; Al-Dujaili, A.; Duan, Y.; Al-Shamma, O.; Santamaría, J.; Fadhel, M.A.; Al-Amidie, M.; Farhan, L. Review of Deep Learning: Concepts, CNN Architectures, Challenges, Applications, Future Directions. </w:t>
      </w:r>
      <w:r w:rsidRPr="0056095D">
        <w:rPr>
          <w:i/>
          <w:iCs/>
          <w:lang w:val="en-GB"/>
        </w:rPr>
        <w:t>Journal of Big Data</w:t>
      </w:r>
      <w:r w:rsidRPr="0056095D">
        <w:rPr>
          <w:lang w:val="en-GB"/>
        </w:rPr>
        <w:t xml:space="preserve"> </w:t>
      </w:r>
      <w:r w:rsidRPr="0056095D">
        <w:rPr>
          <w:b/>
          <w:bCs/>
          <w:lang w:val="en-GB"/>
        </w:rPr>
        <w:t>2021</w:t>
      </w:r>
      <w:r w:rsidRPr="0056095D">
        <w:rPr>
          <w:lang w:val="en-GB"/>
        </w:rPr>
        <w:t xml:space="preserve">, </w:t>
      </w:r>
      <w:r w:rsidRPr="0056095D">
        <w:rPr>
          <w:i/>
          <w:iCs/>
          <w:lang w:val="en-GB"/>
        </w:rPr>
        <w:t>8</w:t>
      </w:r>
      <w:r w:rsidRPr="0056095D">
        <w:rPr>
          <w:lang w:val="en-GB"/>
        </w:rPr>
        <w:t>, 53, doi:10.1186/s40537-021-00444-8.</w:t>
      </w:r>
    </w:p>
    <w:p w14:paraId="28C2779F" w14:textId="77777777" w:rsidR="0056095D" w:rsidRPr="0056095D" w:rsidRDefault="0056095D" w:rsidP="0056095D">
      <w:pPr>
        <w:pStyle w:val="Bibliography"/>
        <w:rPr>
          <w:lang w:val="en-GB"/>
        </w:rPr>
      </w:pPr>
      <w:r w:rsidRPr="0056095D">
        <w:rPr>
          <w:lang w:val="en-GB"/>
        </w:rPr>
        <w:t xml:space="preserve">143. </w:t>
      </w:r>
      <w:r w:rsidRPr="0056095D">
        <w:rPr>
          <w:lang w:val="en-GB"/>
        </w:rPr>
        <w:tab/>
        <w:t xml:space="preserve">Aswath, A.; Alsahaf, A.; Giepmans, B.N.G.; Azzopardi, G. Segmentation in Large-Scale Cellular Electron Microscopy with Deep Learning: A Literature Survey. </w:t>
      </w:r>
      <w:r w:rsidRPr="0056095D">
        <w:rPr>
          <w:i/>
          <w:iCs/>
          <w:lang w:val="en-GB"/>
        </w:rPr>
        <w:t>Medical Image Analysis</w:t>
      </w:r>
      <w:r w:rsidRPr="0056095D">
        <w:rPr>
          <w:lang w:val="en-GB"/>
        </w:rPr>
        <w:t xml:space="preserve"> </w:t>
      </w:r>
      <w:r w:rsidRPr="0056095D">
        <w:rPr>
          <w:b/>
          <w:bCs/>
          <w:lang w:val="en-GB"/>
        </w:rPr>
        <w:t>2023</w:t>
      </w:r>
      <w:r w:rsidRPr="0056095D">
        <w:rPr>
          <w:lang w:val="en-GB"/>
        </w:rPr>
        <w:t xml:space="preserve">, </w:t>
      </w:r>
      <w:r w:rsidRPr="0056095D">
        <w:rPr>
          <w:i/>
          <w:iCs/>
          <w:lang w:val="en-GB"/>
        </w:rPr>
        <w:t>89</w:t>
      </w:r>
      <w:r w:rsidRPr="0056095D">
        <w:rPr>
          <w:lang w:val="en-GB"/>
        </w:rPr>
        <w:t>, 102920, doi:10.1016/j.media.2023.102920.</w:t>
      </w:r>
    </w:p>
    <w:p w14:paraId="4773C9E1" w14:textId="77777777" w:rsidR="0056095D" w:rsidRPr="0056095D" w:rsidRDefault="0056095D" w:rsidP="0056095D">
      <w:pPr>
        <w:pStyle w:val="Bibliography"/>
        <w:rPr>
          <w:lang w:val="en-GB"/>
        </w:rPr>
      </w:pPr>
      <w:r w:rsidRPr="0056095D">
        <w:rPr>
          <w:lang w:val="en-GB"/>
        </w:rPr>
        <w:lastRenderedPageBreak/>
        <w:t xml:space="preserve">144. </w:t>
      </w:r>
      <w:r w:rsidRPr="0056095D">
        <w:rPr>
          <w:lang w:val="en-GB"/>
        </w:rPr>
        <w:tab/>
        <w:t xml:space="preserve">Durkee, M.S.; Abraham, R.; Clark, M.R.; Giger, M.L. Artificial Intelligence and Cellular Segmentation in Tissue Microscopy Images. </w:t>
      </w:r>
      <w:r w:rsidRPr="0056095D">
        <w:rPr>
          <w:i/>
          <w:iCs/>
          <w:lang w:val="en-GB"/>
        </w:rPr>
        <w:t>The American journal of pathology</w:t>
      </w:r>
      <w:r w:rsidRPr="0056095D">
        <w:rPr>
          <w:lang w:val="en-GB"/>
        </w:rPr>
        <w:t xml:space="preserve"> </w:t>
      </w:r>
      <w:r w:rsidRPr="0056095D">
        <w:rPr>
          <w:b/>
          <w:bCs/>
          <w:lang w:val="en-GB"/>
        </w:rPr>
        <w:t>2021</w:t>
      </w:r>
      <w:r w:rsidRPr="0056095D">
        <w:rPr>
          <w:lang w:val="en-GB"/>
        </w:rPr>
        <w:t xml:space="preserve">, </w:t>
      </w:r>
      <w:r w:rsidRPr="0056095D">
        <w:rPr>
          <w:i/>
          <w:iCs/>
          <w:lang w:val="en-GB"/>
        </w:rPr>
        <w:t>191</w:t>
      </w:r>
      <w:r w:rsidRPr="0056095D">
        <w:rPr>
          <w:lang w:val="en-GB"/>
        </w:rPr>
        <w:t>, 1693–1701.</w:t>
      </w:r>
    </w:p>
    <w:p w14:paraId="4014A2A4" w14:textId="77777777" w:rsidR="0056095D" w:rsidRPr="0056095D" w:rsidRDefault="0056095D" w:rsidP="0056095D">
      <w:pPr>
        <w:pStyle w:val="Bibliography"/>
        <w:rPr>
          <w:lang w:val="en-GB"/>
        </w:rPr>
      </w:pPr>
      <w:r w:rsidRPr="0056095D">
        <w:rPr>
          <w:lang w:val="en-GB"/>
        </w:rPr>
        <w:t xml:space="preserve">145. </w:t>
      </w:r>
      <w:r w:rsidRPr="0056095D">
        <w:rPr>
          <w:lang w:val="en-GB"/>
        </w:rPr>
        <w:tab/>
        <w:t xml:space="preserve">Szklarczyk, D.; Gable, A.L.; Lyon, D.; Junge, A.; Wyder, S.; Huerta-Cepas, J.; Simonovic, M.; Doncheva, N.T.; Morris, J.H.; Bork, P.; et al. STRING V11: Protein-Protein Association Networks with Increased Coverage, Supporting Functional Discovery in Genome-Wide Experimental Datasets. </w:t>
      </w:r>
      <w:r w:rsidRPr="0056095D">
        <w:rPr>
          <w:i/>
          <w:iCs/>
          <w:lang w:val="en-GB"/>
        </w:rPr>
        <w:t>Nucleic Acids Research</w:t>
      </w:r>
      <w:r w:rsidRPr="0056095D">
        <w:rPr>
          <w:lang w:val="en-GB"/>
        </w:rPr>
        <w:t xml:space="preserve"> </w:t>
      </w:r>
      <w:r w:rsidRPr="0056095D">
        <w:rPr>
          <w:b/>
          <w:bCs/>
          <w:lang w:val="en-GB"/>
        </w:rPr>
        <w:t>2019</w:t>
      </w:r>
      <w:r w:rsidRPr="0056095D">
        <w:rPr>
          <w:lang w:val="en-GB"/>
        </w:rPr>
        <w:t xml:space="preserve">, </w:t>
      </w:r>
      <w:r w:rsidRPr="0056095D">
        <w:rPr>
          <w:i/>
          <w:iCs/>
          <w:lang w:val="en-GB"/>
        </w:rPr>
        <w:t>47</w:t>
      </w:r>
      <w:r w:rsidRPr="0056095D">
        <w:rPr>
          <w:lang w:val="en-GB"/>
        </w:rPr>
        <w:t>, D607–D613, doi:10.1093/NAR/GKY1131.</w:t>
      </w:r>
    </w:p>
    <w:p w14:paraId="72B0489D" w14:textId="77777777" w:rsidR="0056095D" w:rsidRPr="0056095D" w:rsidRDefault="0056095D" w:rsidP="0056095D">
      <w:pPr>
        <w:pStyle w:val="Bibliography"/>
        <w:rPr>
          <w:lang w:val="en-GB"/>
        </w:rPr>
      </w:pPr>
      <w:r w:rsidRPr="0056095D">
        <w:rPr>
          <w:lang w:val="en-GB"/>
        </w:rPr>
        <w:t xml:space="preserve">146. </w:t>
      </w:r>
      <w:r w:rsidRPr="0056095D">
        <w:rPr>
          <w:lang w:val="en-GB"/>
        </w:rPr>
        <w:tab/>
        <w:t xml:space="preserve">Sofka, C.M.; Potter, H.G.; Adler, R.S.; Pavlov, H. Musculoskeletal Imaging Update: Current Applications of Advanced Imaging Techniques to Evaluate the Early and Long-Term Complications of Patients with Orthopedic Implants. </w:t>
      </w:r>
      <w:r w:rsidRPr="0056095D">
        <w:rPr>
          <w:i/>
          <w:iCs/>
          <w:lang w:val="en-GB"/>
        </w:rPr>
        <w:t>HSS Jrnl</w:t>
      </w:r>
      <w:r w:rsidRPr="0056095D">
        <w:rPr>
          <w:lang w:val="en-GB"/>
        </w:rPr>
        <w:t xml:space="preserve"> </w:t>
      </w:r>
      <w:r w:rsidRPr="0056095D">
        <w:rPr>
          <w:b/>
          <w:bCs/>
          <w:lang w:val="en-GB"/>
        </w:rPr>
        <w:t>2006</w:t>
      </w:r>
      <w:r w:rsidRPr="0056095D">
        <w:rPr>
          <w:lang w:val="en-GB"/>
        </w:rPr>
        <w:t xml:space="preserve">, </w:t>
      </w:r>
      <w:r w:rsidRPr="0056095D">
        <w:rPr>
          <w:i/>
          <w:iCs/>
          <w:lang w:val="en-GB"/>
        </w:rPr>
        <w:t>2</w:t>
      </w:r>
      <w:r w:rsidRPr="0056095D">
        <w:rPr>
          <w:lang w:val="en-GB"/>
        </w:rPr>
        <w:t>, 73–77, doi:10.1007/s11420-005-0131-1.</w:t>
      </w:r>
    </w:p>
    <w:p w14:paraId="6FDEA379" w14:textId="77777777" w:rsidR="0056095D" w:rsidRPr="0056095D" w:rsidRDefault="0056095D" w:rsidP="0056095D">
      <w:pPr>
        <w:pStyle w:val="Bibliography"/>
        <w:rPr>
          <w:lang w:val="en-GB"/>
        </w:rPr>
      </w:pPr>
      <w:r w:rsidRPr="0056095D">
        <w:rPr>
          <w:lang w:val="en-GB"/>
        </w:rPr>
        <w:t xml:space="preserve">147. </w:t>
      </w:r>
      <w:r w:rsidRPr="0056095D">
        <w:rPr>
          <w:lang w:val="en-GB"/>
        </w:rPr>
        <w:tab/>
        <w:t xml:space="preserve">Bertin, D.; Bongrand, P.; Bardin, N. Comparison of the Capacity of Several Machine Learning Tools to Assist Immunofluorescence-Based Detection of Anti-Neutrophil Cytoplasmic Antibodies. </w:t>
      </w:r>
      <w:r w:rsidRPr="0056095D">
        <w:rPr>
          <w:i/>
          <w:iCs/>
          <w:lang w:val="en-GB"/>
        </w:rPr>
        <w:t>IJMS</w:t>
      </w:r>
      <w:r w:rsidRPr="0056095D">
        <w:rPr>
          <w:lang w:val="en-GB"/>
        </w:rPr>
        <w:t xml:space="preserve"> </w:t>
      </w:r>
      <w:r w:rsidRPr="0056095D">
        <w:rPr>
          <w:b/>
          <w:bCs/>
          <w:lang w:val="en-GB"/>
        </w:rPr>
        <w:t>2024</w:t>
      </w:r>
      <w:r w:rsidRPr="0056095D">
        <w:rPr>
          <w:lang w:val="en-GB"/>
        </w:rPr>
        <w:t xml:space="preserve">, </w:t>
      </w:r>
      <w:r w:rsidRPr="0056095D">
        <w:rPr>
          <w:i/>
          <w:iCs/>
          <w:lang w:val="en-GB"/>
        </w:rPr>
        <w:t>25</w:t>
      </w:r>
      <w:r w:rsidRPr="0056095D">
        <w:rPr>
          <w:lang w:val="en-GB"/>
        </w:rPr>
        <w:t>, 3270, doi:10.3390/ijms25063270.</w:t>
      </w:r>
    </w:p>
    <w:p w14:paraId="4B323D23" w14:textId="77777777" w:rsidR="0056095D" w:rsidRPr="0056095D" w:rsidRDefault="0056095D" w:rsidP="0056095D">
      <w:pPr>
        <w:pStyle w:val="Bibliography"/>
        <w:rPr>
          <w:lang w:val="en-GB"/>
        </w:rPr>
      </w:pPr>
      <w:r w:rsidRPr="0056095D">
        <w:rPr>
          <w:lang w:val="en-GB"/>
        </w:rPr>
        <w:t xml:space="preserve">148. </w:t>
      </w:r>
      <w:r w:rsidRPr="0056095D">
        <w:rPr>
          <w:lang w:val="en-GB"/>
        </w:rPr>
        <w:tab/>
        <w:t xml:space="preserve">Galić, I.; Habijan, M.; Leventić, H.; Romić, K. Machine Learning Empowering Personalized Medicine: A Comprehensive Review of Medical Image Analysis Methods. </w:t>
      </w:r>
      <w:r w:rsidRPr="0056095D">
        <w:rPr>
          <w:i/>
          <w:iCs/>
          <w:lang w:val="en-GB"/>
        </w:rPr>
        <w:t>Electronics</w:t>
      </w:r>
      <w:r w:rsidRPr="0056095D">
        <w:rPr>
          <w:lang w:val="en-GB"/>
        </w:rPr>
        <w:t xml:space="preserve"> </w:t>
      </w:r>
      <w:r w:rsidRPr="0056095D">
        <w:rPr>
          <w:b/>
          <w:bCs/>
          <w:lang w:val="en-GB"/>
        </w:rPr>
        <w:t>2023</w:t>
      </w:r>
      <w:r w:rsidRPr="0056095D">
        <w:rPr>
          <w:lang w:val="en-GB"/>
        </w:rPr>
        <w:t xml:space="preserve">, </w:t>
      </w:r>
      <w:r w:rsidRPr="0056095D">
        <w:rPr>
          <w:i/>
          <w:iCs/>
          <w:lang w:val="en-GB"/>
        </w:rPr>
        <w:t>12</w:t>
      </w:r>
      <w:r w:rsidRPr="0056095D">
        <w:rPr>
          <w:lang w:val="en-GB"/>
        </w:rPr>
        <w:t>, doi:10.3390/electronics12214411.</w:t>
      </w:r>
    </w:p>
    <w:p w14:paraId="61603C02" w14:textId="77777777" w:rsidR="0056095D" w:rsidRPr="0056095D" w:rsidRDefault="0056095D" w:rsidP="0056095D">
      <w:pPr>
        <w:pStyle w:val="Bibliography"/>
        <w:rPr>
          <w:lang w:val="en-GB"/>
        </w:rPr>
      </w:pPr>
      <w:r w:rsidRPr="0056095D">
        <w:rPr>
          <w:lang w:val="en-GB"/>
        </w:rPr>
        <w:t xml:space="preserve">149. </w:t>
      </w:r>
      <w:r w:rsidRPr="0056095D">
        <w:rPr>
          <w:lang w:val="en-GB"/>
        </w:rPr>
        <w:tab/>
        <w:t xml:space="preserve">de la Calle, C.M.; Nguyen, H.G.; Hosseini-Asl, E.; So, C.; Socher, R.; Xiong, C.; Xue, L.; Carroll, P.; Cooperberg, M.R. Artificial Intelligence for Streamlined Immunofluorescence-Based Biomarker Discovery in Prostate Cancer. </w:t>
      </w:r>
      <w:r w:rsidRPr="0056095D">
        <w:rPr>
          <w:b/>
          <w:bCs/>
          <w:lang w:val="en-GB"/>
        </w:rPr>
        <w:t>2020</w:t>
      </w:r>
      <w:r w:rsidRPr="0056095D">
        <w:rPr>
          <w:lang w:val="en-GB"/>
        </w:rPr>
        <w:t>.</w:t>
      </w:r>
    </w:p>
    <w:p w14:paraId="43EAFFD4" w14:textId="77777777" w:rsidR="0056095D" w:rsidRPr="0056095D" w:rsidRDefault="0056095D" w:rsidP="0056095D">
      <w:pPr>
        <w:pStyle w:val="Bibliography"/>
        <w:rPr>
          <w:lang w:val="en-GB"/>
        </w:rPr>
      </w:pPr>
      <w:r w:rsidRPr="0056095D">
        <w:rPr>
          <w:lang w:val="en-GB"/>
        </w:rPr>
        <w:t xml:space="preserve">150. </w:t>
      </w:r>
      <w:r w:rsidRPr="0056095D">
        <w:rPr>
          <w:lang w:val="en-GB"/>
        </w:rPr>
        <w:tab/>
        <w:t xml:space="preserve">Lau, R.P.; Kim, T.H.; Rao, J. Advances in Imaging Modalities, Artificial Intelligence, and Single Cell Biomarker Analysis, and Their Applications in Cytopathology. </w:t>
      </w:r>
      <w:r w:rsidRPr="0056095D">
        <w:rPr>
          <w:i/>
          <w:iCs/>
          <w:lang w:val="en-GB"/>
        </w:rPr>
        <w:t>Frontiers in Medicine</w:t>
      </w:r>
      <w:r w:rsidRPr="0056095D">
        <w:rPr>
          <w:lang w:val="en-GB"/>
        </w:rPr>
        <w:t xml:space="preserve"> </w:t>
      </w:r>
      <w:r w:rsidRPr="0056095D">
        <w:rPr>
          <w:b/>
          <w:bCs/>
          <w:lang w:val="en-GB"/>
        </w:rPr>
        <w:t>2021</w:t>
      </w:r>
      <w:r w:rsidRPr="0056095D">
        <w:rPr>
          <w:lang w:val="en-GB"/>
        </w:rPr>
        <w:t xml:space="preserve">, </w:t>
      </w:r>
      <w:r w:rsidRPr="0056095D">
        <w:rPr>
          <w:i/>
          <w:iCs/>
          <w:lang w:val="en-GB"/>
        </w:rPr>
        <w:t>8</w:t>
      </w:r>
      <w:r w:rsidRPr="0056095D">
        <w:rPr>
          <w:lang w:val="en-GB"/>
        </w:rPr>
        <w:t>, 689954.</w:t>
      </w:r>
    </w:p>
    <w:p w14:paraId="29653F75" w14:textId="77777777" w:rsidR="0056095D" w:rsidRPr="0056095D" w:rsidRDefault="0056095D" w:rsidP="0056095D">
      <w:pPr>
        <w:pStyle w:val="Bibliography"/>
        <w:rPr>
          <w:lang w:val="en-GB"/>
        </w:rPr>
      </w:pPr>
      <w:r w:rsidRPr="0056095D">
        <w:rPr>
          <w:lang w:val="en-GB"/>
        </w:rPr>
        <w:t xml:space="preserve">151. </w:t>
      </w:r>
      <w:r w:rsidRPr="0056095D">
        <w:rPr>
          <w:lang w:val="en-GB"/>
        </w:rPr>
        <w:tab/>
        <w:t xml:space="preserve">Li, Y. Deep Reinforcement Learning: An Overview. </w:t>
      </w:r>
      <w:r w:rsidRPr="0056095D">
        <w:rPr>
          <w:i/>
          <w:iCs/>
          <w:lang w:val="en-GB"/>
        </w:rPr>
        <w:t>arXiv preprint arXiv:1701.07274</w:t>
      </w:r>
      <w:r w:rsidRPr="0056095D">
        <w:rPr>
          <w:lang w:val="en-GB"/>
        </w:rPr>
        <w:t xml:space="preserve"> </w:t>
      </w:r>
      <w:r w:rsidRPr="0056095D">
        <w:rPr>
          <w:b/>
          <w:bCs/>
          <w:lang w:val="en-GB"/>
        </w:rPr>
        <w:t>2017</w:t>
      </w:r>
      <w:r w:rsidRPr="0056095D">
        <w:rPr>
          <w:lang w:val="en-GB"/>
        </w:rPr>
        <w:t>.</w:t>
      </w:r>
    </w:p>
    <w:p w14:paraId="2C40445F" w14:textId="77777777" w:rsidR="0056095D" w:rsidRPr="0056095D" w:rsidRDefault="0056095D" w:rsidP="0056095D">
      <w:pPr>
        <w:pStyle w:val="Bibliography"/>
        <w:rPr>
          <w:lang w:val="en-GB"/>
        </w:rPr>
      </w:pPr>
      <w:r w:rsidRPr="0056095D">
        <w:rPr>
          <w:lang w:val="en-GB"/>
        </w:rPr>
        <w:t xml:space="preserve">152. </w:t>
      </w:r>
      <w:r w:rsidRPr="0056095D">
        <w:rPr>
          <w:lang w:val="en-GB"/>
        </w:rPr>
        <w:tab/>
        <w:t xml:space="preserve">Oluwafemi, N. Recurrent Neural Networks-Architectures and Applications: Analyzing Architectures and Applications of Recurrent Neural Networks (RNNs) for Modeling Sequential Data and Time-Series Prediction. </w:t>
      </w:r>
      <w:r w:rsidRPr="0056095D">
        <w:rPr>
          <w:i/>
          <w:iCs/>
          <w:lang w:val="en-GB"/>
        </w:rPr>
        <w:t>Australian Journal of Machine Learning Research &amp; Applications</w:t>
      </w:r>
      <w:r w:rsidRPr="0056095D">
        <w:rPr>
          <w:lang w:val="en-GB"/>
        </w:rPr>
        <w:t xml:space="preserve"> </w:t>
      </w:r>
      <w:r w:rsidRPr="0056095D">
        <w:rPr>
          <w:b/>
          <w:bCs/>
          <w:lang w:val="en-GB"/>
        </w:rPr>
        <w:t>2023</w:t>
      </w:r>
      <w:r w:rsidRPr="0056095D">
        <w:rPr>
          <w:lang w:val="en-GB"/>
        </w:rPr>
        <w:t xml:space="preserve">, </w:t>
      </w:r>
      <w:r w:rsidRPr="0056095D">
        <w:rPr>
          <w:i/>
          <w:iCs/>
          <w:lang w:val="en-GB"/>
        </w:rPr>
        <w:t>3</w:t>
      </w:r>
      <w:r w:rsidRPr="0056095D">
        <w:rPr>
          <w:lang w:val="en-GB"/>
        </w:rPr>
        <w:t>, 239–249.</w:t>
      </w:r>
    </w:p>
    <w:p w14:paraId="388BB453" w14:textId="77777777" w:rsidR="0056095D" w:rsidRPr="0056095D" w:rsidRDefault="0056095D" w:rsidP="0056095D">
      <w:pPr>
        <w:pStyle w:val="Bibliography"/>
        <w:rPr>
          <w:lang w:val="en-GB"/>
        </w:rPr>
      </w:pPr>
      <w:r w:rsidRPr="0056095D">
        <w:rPr>
          <w:lang w:val="en-GB"/>
        </w:rPr>
        <w:t xml:space="preserve">153. </w:t>
      </w:r>
      <w:r w:rsidRPr="0056095D">
        <w:rPr>
          <w:lang w:val="en-GB"/>
        </w:rPr>
        <w:tab/>
        <w:t xml:space="preserve">Koller, D.; Friedman, N. </w:t>
      </w:r>
      <w:r w:rsidRPr="0056095D">
        <w:rPr>
          <w:i/>
          <w:iCs/>
          <w:lang w:val="en-GB"/>
        </w:rPr>
        <w:t>Probabilistic Graphical Models: Principles and Techniques</w:t>
      </w:r>
      <w:r w:rsidRPr="0056095D">
        <w:rPr>
          <w:lang w:val="en-GB"/>
        </w:rPr>
        <w:t>; MIT press, 2009; ISBN 0-262-01319-3.</w:t>
      </w:r>
    </w:p>
    <w:p w14:paraId="62919663" w14:textId="77777777" w:rsidR="0056095D" w:rsidRPr="0056095D" w:rsidRDefault="0056095D" w:rsidP="0056095D">
      <w:pPr>
        <w:pStyle w:val="Bibliography"/>
        <w:rPr>
          <w:lang w:val="en-GB"/>
        </w:rPr>
      </w:pPr>
      <w:r w:rsidRPr="0056095D">
        <w:rPr>
          <w:lang w:val="en-GB"/>
        </w:rPr>
        <w:t xml:space="preserve">154. </w:t>
      </w:r>
      <w:r w:rsidRPr="0056095D">
        <w:rPr>
          <w:lang w:val="en-GB"/>
        </w:rPr>
        <w:tab/>
        <w:t xml:space="preserve">Ahmed, S.F.; Alam, Md.S.B.; Hassan, M.; Rozbu, M.R.; Ishtiak, T.; Rafa, N.; Mofijur, M.; Shawkat Ali, A.B.M.; Gandomi, A.H. Deep Learning Modelling Techniques: Current Progress, Applications, Advantages, and Challenges. </w:t>
      </w:r>
      <w:r w:rsidRPr="0056095D">
        <w:rPr>
          <w:i/>
          <w:iCs/>
          <w:lang w:val="en-GB"/>
        </w:rPr>
        <w:t>Artificial Intelligence Review</w:t>
      </w:r>
      <w:r w:rsidRPr="0056095D">
        <w:rPr>
          <w:lang w:val="en-GB"/>
        </w:rPr>
        <w:t xml:space="preserve"> </w:t>
      </w:r>
      <w:r w:rsidRPr="0056095D">
        <w:rPr>
          <w:b/>
          <w:bCs/>
          <w:lang w:val="en-GB"/>
        </w:rPr>
        <w:t>2023</w:t>
      </w:r>
      <w:r w:rsidRPr="0056095D">
        <w:rPr>
          <w:lang w:val="en-GB"/>
        </w:rPr>
        <w:t xml:space="preserve">, </w:t>
      </w:r>
      <w:r w:rsidRPr="0056095D">
        <w:rPr>
          <w:i/>
          <w:iCs/>
          <w:lang w:val="en-GB"/>
        </w:rPr>
        <w:t>56</w:t>
      </w:r>
      <w:r w:rsidRPr="0056095D">
        <w:rPr>
          <w:lang w:val="en-GB"/>
        </w:rPr>
        <w:t>, 13521–13617, doi:10.1007/s10462-023-10466-8.</w:t>
      </w:r>
    </w:p>
    <w:p w14:paraId="064343B0" w14:textId="77777777" w:rsidR="0056095D" w:rsidRPr="0056095D" w:rsidRDefault="0056095D" w:rsidP="0056095D">
      <w:pPr>
        <w:pStyle w:val="Bibliography"/>
        <w:rPr>
          <w:lang w:val="en-GB"/>
        </w:rPr>
      </w:pPr>
      <w:r w:rsidRPr="0056095D">
        <w:rPr>
          <w:lang w:val="en-GB"/>
        </w:rPr>
        <w:t xml:space="preserve">155. </w:t>
      </w:r>
      <w:r w:rsidRPr="0056095D">
        <w:rPr>
          <w:lang w:val="en-GB"/>
        </w:rPr>
        <w:tab/>
        <w:t>Bertels, J.; Eelbode, T.; Berman, M.; Vandermeulen, D.; Maes, F.; Bisschops, R.; Blaschko, M. Optimizing the Dice Score and Jaccard Index for Medical Image Segmentation: Theory and Practice. In; 2019; pp. 92–100 ISBN 978-3-030-32244-1.</w:t>
      </w:r>
    </w:p>
    <w:p w14:paraId="5D8863BE" w14:textId="77777777" w:rsidR="0056095D" w:rsidRPr="0056095D" w:rsidRDefault="0056095D" w:rsidP="0056095D">
      <w:pPr>
        <w:pStyle w:val="Bibliography"/>
        <w:rPr>
          <w:lang w:val="en-GB"/>
        </w:rPr>
      </w:pPr>
      <w:r w:rsidRPr="0056095D">
        <w:rPr>
          <w:lang w:val="en-GB"/>
        </w:rPr>
        <w:t xml:space="preserve">156. </w:t>
      </w:r>
      <w:r w:rsidRPr="0056095D">
        <w:rPr>
          <w:lang w:val="en-GB"/>
        </w:rPr>
        <w:tab/>
        <w:t xml:space="preserve">Kordnoori, S.; Sabeti, M.; Mostafaei, H.; Seyed Agha Banihashemi, S. Advances in Medical Image Analysis: A Comprehensive Survey of Lung Infection Detection. </w:t>
      </w:r>
      <w:r w:rsidRPr="0056095D">
        <w:rPr>
          <w:i/>
          <w:iCs/>
          <w:lang w:val="en-GB"/>
        </w:rPr>
        <w:t>IET Image Processing</w:t>
      </w:r>
      <w:r w:rsidRPr="0056095D">
        <w:rPr>
          <w:lang w:val="en-GB"/>
        </w:rPr>
        <w:t xml:space="preserve"> </w:t>
      </w:r>
      <w:r w:rsidRPr="0056095D">
        <w:rPr>
          <w:b/>
          <w:bCs/>
          <w:lang w:val="en-GB"/>
        </w:rPr>
        <w:t>2024</w:t>
      </w:r>
      <w:r w:rsidRPr="0056095D">
        <w:rPr>
          <w:lang w:val="en-GB"/>
        </w:rPr>
        <w:t xml:space="preserve">, </w:t>
      </w:r>
      <w:r w:rsidRPr="0056095D">
        <w:rPr>
          <w:i/>
          <w:iCs/>
          <w:lang w:val="en-GB"/>
        </w:rPr>
        <w:t>18</w:t>
      </w:r>
      <w:r w:rsidRPr="0056095D">
        <w:rPr>
          <w:lang w:val="en-GB"/>
        </w:rPr>
        <w:t>, 3750–3800, doi:10.1049/ipr2.13246.</w:t>
      </w:r>
    </w:p>
    <w:p w14:paraId="546761B0" w14:textId="77777777" w:rsidR="0056095D" w:rsidRPr="0056095D" w:rsidRDefault="0056095D" w:rsidP="0056095D">
      <w:pPr>
        <w:pStyle w:val="Bibliography"/>
        <w:rPr>
          <w:lang w:val="en-GB"/>
        </w:rPr>
      </w:pPr>
      <w:r w:rsidRPr="0056095D">
        <w:rPr>
          <w:lang w:val="en-GB"/>
        </w:rPr>
        <w:t xml:space="preserve">157. </w:t>
      </w:r>
      <w:r w:rsidRPr="0056095D">
        <w:rPr>
          <w:lang w:val="en-GB"/>
        </w:rPr>
        <w:tab/>
        <w:t xml:space="preserve">Dongare, A.D.; Kharde, R.R.; Kachare, A.D. Introduction to Artificial Neural Network. </w:t>
      </w:r>
      <w:r w:rsidRPr="0056095D">
        <w:rPr>
          <w:b/>
          <w:bCs/>
          <w:lang w:val="en-GB"/>
        </w:rPr>
        <w:t>2012</w:t>
      </w:r>
      <w:r w:rsidRPr="0056095D">
        <w:rPr>
          <w:lang w:val="en-GB"/>
        </w:rPr>
        <w:t xml:space="preserve">, </w:t>
      </w:r>
      <w:r w:rsidRPr="0056095D">
        <w:rPr>
          <w:i/>
          <w:iCs/>
          <w:lang w:val="en-GB"/>
        </w:rPr>
        <w:t>2</w:t>
      </w:r>
      <w:r w:rsidRPr="0056095D">
        <w:rPr>
          <w:lang w:val="en-GB"/>
        </w:rPr>
        <w:t>.</w:t>
      </w:r>
    </w:p>
    <w:p w14:paraId="1D1B8BD5" w14:textId="77777777" w:rsidR="0056095D" w:rsidRPr="0056095D" w:rsidRDefault="0056095D" w:rsidP="0056095D">
      <w:pPr>
        <w:pStyle w:val="Bibliography"/>
        <w:rPr>
          <w:lang w:val="en-GB"/>
        </w:rPr>
      </w:pPr>
      <w:r w:rsidRPr="0056095D">
        <w:rPr>
          <w:lang w:val="en-GB"/>
        </w:rPr>
        <w:lastRenderedPageBreak/>
        <w:t xml:space="preserve">158. </w:t>
      </w:r>
      <w:r w:rsidRPr="0056095D">
        <w:rPr>
          <w:lang w:val="en-GB"/>
        </w:rPr>
        <w:tab/>
        <w:t>Magboo, V.P.C.; Abu, P.A.R. Analysis of Batch Size in the Assessment of Bone Metastasis from Bone Scans in Various Convolutional Neural Networks.; Springer, 2023; pp. 221–232.</w:t>
      </w:r>
    </w:p>
    <w:p w14:paraId="44D03DA0" w14:textId="77777777" w:rsidR="0056095D" w:rsidRPr="0056095D" w:rsidRDefault="0056095D" w:rsidP="0056095D">
      <w:pPr>
        <w:pStyle w:val="Bibliography"/>
        <w:rPr>
          <w:lang w:val="en-GB"/>
        </w:rPr>
      </w:pPr>
      <w:r w:rsidRPr="0056095D">
        <w:rPr>
          <w:lang w:val="en-GB"/>
        </w:rPr>
        <w:t xml:space="preserve">159. </w:t>
      </w:r>
      <w:r w:rsidRPr="0056095D">
        <w:rPr>
          <w:lang w:val="en-GB"/>
        </w:rPr>
        <w:tab/>
        <w:t xml:space="preserve">Berahmand, K.; Daneshfar, F.; Salehi, E.S.; Li, Y.; Xu, Y. Autoencoders and Their Applications in Machine Learning: A Survey. </w:t>
      </w:r>
      <w:r w:rsidRPr="0056095D">
        <w:rPr>
          <w:i/>
          <w:iCs/>
          <w:lang w:val="en-GB"/>
        </w:rPr>
        <w:t>Artificial Intelligence Review</w:t>
      </w:r>
      <w:r w:rsidRPr="0056095D">
        <w:rPr>
          <w:lang w:val="en-GB"/>
        </w:rPr>
        <w:t xml:space="preserve"> </w:t>
      </w:r>
      <w:r w:rsidRPr="0056095D">
        <w:rPr>
          <w:b/>
          <w:bCs/>
          <w:lang w:val="en-GB"/>
        </w:rPr>
        <w:t>2024</w:t>
      </w:r>
      <w:r w:rsidRPr="0056095D">
        <w:rPr>
          <w:lang w:val="en-GB"/>
        </w:rPr>
        <w:t xml:space="preserve">, </w:t>
      </w:r>
      <w:r w:rsidRPr="0056095D">
        <w:rPr>
          <w:i/>
          <w:iCs/>
          <w:lang w:val="en-GB"/>
        </w:rPr>
        <w:t>57</w:t>
      </w:r>
      <w:r w:rsidRPr="0056095D">
        <w:rPr>
          <w:lang w:val="en-GB"/>
        </w:rPr>
        <w:t>, 28, doi:10.1007/s10462-023-10662-6.</w:t>
      </w:r>
    </w:p>
    <w:p w14:paraId="03D8F566" w14:textId="77777777" w:rsidR="0056095D" w:rsidRPr="0056095D" w:rsidRDefault="0056095D" w:rsidP="0056095D">
      <w:pPr>
        <w:pStyle w:val="Bibliography"/>
        <w:rPr>
          <w:lang w:val="en-GB"/>
        </w:rPr>
      </w:pPr>
      <w:r w:rsidRPr="0056095D">
        <w:rPr>
          <w:lang w:val="en-GB"/>
        </w:rPr>
        <w:t xml:space="preserve">160. </w:t>
      </w:r>
      <w:r w:rsidRPr="0056095D">
        <w:rPr>
          <w:lang w:val="en-GB"/>
        </w:rPr>
        <w:tab/>
        <w:t xml:space="preserve">Dr.A, .Usha Ruby Binary Cross Entropy with Deep Learning Technique for Image Classification. </w:t>
      </w:r>
      <w:r w:rsidRPr="0056095D">
        <w:rPr>
          <w:i/>
          <w:iCs/>
          <w:lang w:val="en-GB"/>
        </w:rPr>
        <w:t>IJATCSE</w:t>
      </w:r>
      <w:r w:rsidRPr="0056095D">
        <w:rPr>
          <w:lang w:val="en-GB"/>
        </w:rPr>
        <w:t xml:space="preserve"> </w:t>
      </w:r>
      <w:r w:rsidRPr="0056095D">
        <w:rPr>
          <w:b/>
          <w:bCs/>
          <w:lang w:val="en-GB"/>
        </w:rPr>
        <w:t>2020</w:t>
      </w:r>
      <w:r w:rsidRPr="0056095D">
        <w:rPr>
          <w:lang w:val="en-GB"/>
        </w:rPr>
        <w:t xml:space="preserve">, </w:t>
      </w:r>
      <w:r w:rsidRPr="0056095D">
        <w:rPr>
          <w:i/>
          <w:iCs/>
          <w:lang w:val="en-GB"/>
        </w:rPr>
        <w:t>9</w:t>
      </w:r>
      <w:r w:rsidRPr="0056095D">
        <w:rPr>
          <w:lang w:val="en-GB"/>
        </w:rPr>
        <w:t>, 5393–5397, doi:10.30534/ijatcse/2020/175942020.</w:t>
      </w:r>
    </w:p>
    <w:p w14:paraId="354B0E77" w14:textId="77777777" w:rsidR="0056095D" w:rsidRPr="0056095D" w:rsidRDefault="0056095D" w:rsidP="0056095D">
      <w:pPr>
        <w:pStyle w:val="Bibliography"/>
        <w:rPr>
          <w:lang w:val="en-GB"/>
        </w:rPr>
      </w:pPr>
      <w:r w:rsidRPr="0056095D">
        <w:rPr>
          <w:lang w:val="en-GB"/>
        </w:rPr>
        <w:t xml:space="preserve">161. </w:t>
      </w:r>
      <w:r w:rsidRPr="0056095D">
        <w:rPr>
          <w:lang w:val="en-GB"/>
        </w:rPr>
        <w:tab/>
        <w:t xml:space="preserve">Hassan, E.; Shams, M.Y.; Hikal, N.A.; Elmougy, S. The Effect of Choosing Optimizer Algorithms to Improve Computer Vision Tasks: A Comparative Study. </w:t>
      </w:r>
      <w:r w:rsidRPr="0056095D">
        <w:rPr>
          <w:i/>
          <w:iCs/>
          <w:lang w:val="en-GB"/>
        </w:rPr>
        <w:t>Multimed Tools Appl</w:t>
      </w:r>
      <w:r w:rsidRPr="0056095D">
        <w:rPr>
          <w:lang w:val="en-GB"/>
        </w:rPr>
        <w:t xml:space="preserve"> </w:t>
      </w:r>
      <w:r w:rsidRPr="0056095D">
        <w:rPr>
          <w:b/>
          <w:bCs/>
          <w:lang w:val="en-GB"/>
        </w:rPr>
        <w:t>2023</w:t>
      </w:r>
      <w:r w:rsidRPr="0056095D">
        <w:rPr>
          <w:lang w:val="en-GB"/>
        </w:rPr>
        <w:t xml:space="preserve">, </w:t>
      </w:r>
      <w:r w:rsidRPr="0056095D">
        <w:rPr>
          <w:i/>
          <w:iCs/>
          <w:lang w:val="en-GB"/>
        </w:rPr>
        <w:t>82</w:t>
      </w:r>
      <w:r w:rsidRPr="0056095D">
        <w:rPr>
          <w:lang w:val="en-GB"/>
        </w:rPr>
        <w:t>, 16591–16633, doi:10.1007/s11042-022-13820-0.</w:t>
      </w:r>
    </w:p>
    <w:p w14:paraId="1B76BEDA" w14:textId="77777777" w:rsidR="0056095D" w:rsidRPr="0056095D" w:rsidRDefault="0056095D" w:rsidP="0056095D">
      <w:pPr>
        <w:pStyle w:val="Bibliography"/>
        <w:rPr>
          <w:lang w:val="en-GB"/>
        </w:rPr>
      </w:pPr>
      <w:r w:rsidRPr="0056095D">
        <w:rPr>
          <w:lang w:val="en-GB"/>
        </w:rPr>
        <w:t xml:space="preserve">162. </w:t>
      </w:r>
      <w:r w:rsidRPr="0056095D">
        <w:rPr>
          <w:lang w:val="en-GB"/>
        </w:rPr>
        <w:tab/>
        <w:t xml:space="preserve">Abdolrasol, M.G.M.; Hussain, S.M.S.; Ustun, T.S.; Sarker, M.R.; Hannan, M.A.; Mohamed, R.; Ali, J.A.; Mekhilef, S.; Milad, A. Artificial Neural Networks Based Optimization Techniques: A Review. </w:t>
      </w:r>
      <w:r w:rsidRPr="0056095D">
        <w:rPr>
          <w:i/>
          <w:iCs/>
          <w:lang w:val="en-GB"/>
        </w:rPr>
        <w:t>Electronics</w:t>
      </w:r>
      <w:r w:rsidRPr="0056095D">
        <w:rPr>
          <w:lang w:val="en-GB"/>
        </w:rPr>
        <w:t xml:space="preserve"> </w:t>
      </w:r>
      <w:r w:rsidRPr="0056095D">
        <w:rPr>
          <w:b/>
          <w:bCs/>
          <w:lang w:val="en-GB"/>
        </w:rPr>
        <w:t>2021</w:t>
      </w:r>
      <w:r w:rsidRPr="0056095D">
        <w:rPr>
          <w:lang w:val="en-GB"/>
        </w:rPr>
        <w:t xml:space="preserve">, </w:t>
      </w:r>
      <w:r w:rsidRPr="0056095D">
        <w:rPr>
          <w:i/>
          <w:iCs/>
          <w:lang w:val="en-GB"/>
        </w:rPr>
        <w:t>10</w:t>
      </w:r>
      <w:r w:rsidRPr="0056095D">
        <w:rPr>
          <w:lang w:val="en-GB"/>
        </w:rPr>
        <w:t>, doi:10.3390/electronics10212689.</w:t>
      </w:r>
    </w:p>
    <w:p w14:paraId="35847FF2" w14:textId="77777777" w:rsidR="0056095D" w:rsidRPr="0056095D" w:rsidRDefault="0056095D" w:rsidP="0056095D">
      <w:pPr>
        <w:pStyle w:val="Bibliography"/>
        <w:rPr>
          <w:lang w:val="en-GB"/>
        </w:rPr>
      </w:pPr>
      <w:r w:rsidRPr="0056095D">
        <w:rPr>
          <w:lang w:val="en-GB"/>
        </w:rPr>
        <w:t xml:space="preserve">163. </w:t>
      </w:r>
      <w:r w:rsidRPr="0056095D">
        <w:rPr>
          <w:lang w:val="en-GB"/>
        </w:rPr>
        <w:tab/>
        <w:t xml:space="preserve">Basha, S.S.; Dubey, S.R.; Pulabaigari, V.; Mukherjee, S. Impact of Fully Connected Layers on Performance of Convolutional Neural Networks for Image Classification. </w:t>
      </w:r>
      <w:r w:rsidRPr="0056095D">
        <w:rPr>
          <w:i/>
          <w:iCs/>
          <w:lang w:val="en-GB"/>
        </w:rPr>
        <w:t>Neurocomputing</w:t>
      </w:r>
      <w:r w:rsidRPr="0056095D">
        <w:rPr>
          <w:lang w:val="en-GB"/>
        </w:rPr>
        <w:t xml:space="preserve"> </w:t>
      </w:r>
      <w:r w:rsidRPr="0056095D">
        <w:rPr>
          <w:b/>
          <w:bCs/>
          <w:lang w:val="en-GB"/>
        </w:rPr>
        <w:t>2020</w:t>
      </w:r>
      <w:r w:rsidRPr="0056095D">
        <w:rPr>
          <w:lang w:val="en-GB"/>
        </w:rPr>
        <w:t xml:space="preserve">, </w:t>
      </w:r>
      <w:r w:rsidRPr="0056095D">
        <w:rPr>
          <w:i/>
          <w:iCs/>
          <w:lang w:val="en-GB"/>
        </w:rPr>
        <w:t>378</w:t>
      </w:r>
      <w:r w:rsidRPr="0056095D">
        <w:rPr>
          <w:lang w:val="en-GB"/>
        </w:rPr>
        <w:t>, 112–119.</w:t>
      </w:r>
    </w:p>
    <w:p w14:paraId="372D3D15" w14:textId="77777777" w:rsidR="0056095D" w:rsidRPr="0056095D" w:rsidRDefault="0056095D" w:rsidP="0056095D">
      <w:pPr>
        <w:pStyle w:val="Bibliography"/>
        <w:rPr>
          <w:lang w:val="en-GB"/>
        </w:rPr>
      </w:pPr>
      <w:r w:rsidRPr="0056095D">
        <w:rPr>
          <w:lang w:val="en-GB"/>
        </w:rPr>
        <w:t xml:space="preserve">164. </w:t>
      </w:r>
      <w:r w:rsidRPr="0056095D">
        <w:rPr>
          <w:lang w:val="en-GB"/>
        </w:rPr>
        <w:tab/>
        <w:t xml:space="preserve">Parthiban, S.; Vijeesh, T.; Gayathri, T.; Shanmugaraj, B.; Sharma, A.; Sathishkumar, R. Artificial Intelligence-Driven Systems Engineering for next-Generation Plant-Derived Biopharmaceuticals. </w:t>
      </w:r>
      <w:r w:rsidRPr="0056095D">
        <w:rPr>
          <w:i/>
          <w:iCs/>
          <w:lang w:val="en-GB"/>
        </w:rPr>
        <w:t>Front. Plant Sci.</w:t>
      </w:r>
      <w:r w:rsidRPr="0056095D">
        <w:rPr>
          <w:lang w:val="en-GB"/>
        </w:rPr>
        <w:t xml:space="preserve"> </w:t>
      </w:r>
      <w:r w:rsidRPr="0056095D">
        <w:rPr>
          <w:b/>
          <w:bCs/>
          <w:lang w:val="en-GB"/>
        </w:rPr>
        <w:t>2023</w:t>
      </w:r>
      <w:r w:rsidRPr="0056095D">
        <w:rPr>
          <w:lang w:val="en-GB"/>
        </w:rPr>
        <w:t xml:space="preserve">, </w:t>
      </w:r>
      <w:r w:rsidRPr="0056095D">
        <w:rPr>
          <w:i/>
          <w:iCs/>
          <w:lang w:val="en-GB"/>
        </w:rPr>
        <w:t>14</w:t>
      </w:r>
      <w:r w:rsidRPr="0056095D">
        <w:rPr>
          <w:lang w:val="en-GB"/>
        </w:rPr>
        <w:t>, 1252166, doi:10.3389/fpls.2023.1252166.</w:t>
      </w:r>
    </w:p>
    <w:p w14:paraId="5D8D241F" w14:textId="77777777" w:rsidR="0056095D" w:rsidRPr="0056095D" w:rsidRDefault="0056095D" w:rsidP="0056095D">
      <w:pPr>
        <w:pStyle w:val="Bibliography"/>
        <w:rPr>
          <w:lang w:val="en-GB"/>
        </w:rPr>
      </w:pPr>
      <w:r w:rsidRPr="0056095D">
        <w:rPr>
          <w:lang w:val="en-GB"/>
        </w:rPr>
        <w:t xml:space="preserve">165. </w:t>
      </w:r>
      <w:r w:rsidRPr="0056095D">
        <w:rPr>
          <w:lang w:val="en-GB"/>
        </w:rPr>
        <w:tab/>
        <w:t xml:space="preserve">Hu, W.; Zhang, Y.; Li, L. Study of the Application of Deep Convolutional Neural Networks (CNNs) in Processing Sensor Data and Biomedical Images. </w:t>
      </w:r>
      <w:r w:rsidRPr="0056095D">
        <w:rPr>
          <w:i/>
          <w:iCs/>
          <w:lang w:val="en-GB"/>
        </w:rPr>
        <w:t>Sensors</w:t>
      </w:r>
      <w:r w:rsidRPr="0056095D">
        <w:rPr>
          <w:lang w:val="en-GB"/>
        </w:rPr>
        <w:t xml:space="preserve"> </w:t>
      </w:r>
      <w:r w:rsidRPr="0056095D">
        <w:rPr>
          <w:b/>
          <w:bCs/>
          <w:lang w:val="en-GB"/>
        </w:rPr>
        <w:t>2019</w:t>
      </w:r>
      <w:r w:rsidRPr="0056095D">
        <w:rPr>
          <w:lang w:val="en-GB"/>
        </w:rPr>
        <w:t xml:space="preserve">, </w:t>
      </w:r>
      <w:r w:rsidRPr="0056095D">
        <w:rPr>
          <w:i/>
          <w:iCs/>
          <w:lang w:val="en-GB"/>
        </w:rPr>
        <w:t>19</w:t>
      </w:r>
      <w:r w:rsidRPr="0056095D">
        <w:rPr>
          <w:lang w:val="en-GB"/>
        </w:rPr>
        <w:t>, doi:10.3390/s19163584.</w:t>
      </w:r>
    </w:p>
    <w:p w14:paraId="0AAF9CC5" w14:textId="77777777" w:rsidR="0056095D" w:rsidRPr="0056095D" w:rsidRDefault="0056095D" w:rsidP="0056095D">
      <w:pPr>
        <w:pStyle w:val="Bibliography"/>
        <w:rPr>
          <w:lang w:val="en-GB"/>
        </w:rPr>
      </w:pPr>
      <w:r w:rsidRPr="0056095D">
        <w:rPr>
          <w:lang w:val="en-GB"/>
        </w:rPr>
        <w:t xml:space="preserve">166. </w:t>
      </w:r>
      <w:r w:rsidRPr="0056095D">
        <w:rPr>
          <w:lang w:val="en-GB"/>
        </w:rPr>
        <w:tab/>
        <w:t xml:space="preserve">Ma, B.; Li, X.; Xia, Y.; Zhang, Y. Autonomous Deep Learning: A Genetic DCNN Designer for Image Classification. </w:t>
      </w:r>
      <w:r w:rsidRPr="0056095D">
        <w:rPr>
          <w:i/>
          <w:iCs/>
          <w:lang w:val="en-GB"/>
        </w:rPr>
        <w:t>Neurocomputing</w:t>
      </w:r>
      <w:r w:rsidRPr="0056095D">
        <w:rPr>
          <w:lang w:val="en-GB"/>
        </w:rPr>
        <w:t xml:space="preserve"> </w:t>
      </w:r>
      <w:r w:rsidRPr="0056095D">
        <w:rPr>
          <w:b/>
          <w:bCs/>
          <w:lang w:val="en-GB"/>
        </w:rPr>
        <w:t>2020</w:t>
      </w:r>
      <w:r w:rsidRPr="0056095D">
        <w:rPr>
          <w:lang w:val="en-GB"/>
        </w:rPr>
        <w:t xml:space="preserve">, </w:t>
      </w:r>
      <w:r w:rsidRPr="0056095D">
        <w:rPr>
          <w:i/>
          <w:iCs/>
          <w:lang w:val="en-GB"/>
        </w:rPr>
        <w:t>379</w:t>
      </w:r>
      <w:r w:rsidRPr="0056095D">
        <w:rPr>
          <w:lang w:val="en-GB"/>
        </w:rPr>
        <w:t>, 152–161.</w:t>
      </w:r>
    </w:p>
    <w:p w14:paraId="0E1DED70" w14:textId="77777777" w:rsidR="0056095D" w:rsidRPr="0056095D" w:rsidRDefault="0056095D" w:rsidP="0056095D">
      <w:pPr>
        <w:pStyle w:val="Bibliography"/>
        <w:rPr>
          <w:lang w:val="en-GB"/>
        </w:rPr>
      </w:pPr>
      <w:r w:rsidRPr="0056095D">
        <w:rPr>
          <w:lang w:val="en-GB"/>
        </w:rPr>
        <w:t xml:space="preserve">167. </w:t>
      </w:r>
      <w:r w:rsidRPr="0056095D">
        <w:rPr>
          <w:lang w:val="en-GB"/>
        </w:rPr>
        <w:tab/>
        <w:t xml:space="preserve">Cohen, J.P.; Henry, Z. Lo, and Yoshua Bengio. 2017. Count-Ception: Counting by Fully Convolutional Redundant Counting. CoRR Abs/1703.08710 (2017). </w:t>
      </w:r>
      <w:r w:rsidRPr="0056095D">
        <w:rPr>
          <w:i/>
          <w:iCs/>
          <w:lang w:val="en-GB"/>
        </w:rPr>
        <w:t>arXiv preprint arXiv:1703.08710</w:t>
      </w:r>
      <w:r w:rsidRPr="0056095D">
        <w:rPr>
          <w:lang w:val="en-GB"/>
        </w:rPr>
        <w:t>.</w:t>
      </w:r>
    </w:p>
    <w:p w14:paraId="2D2A9A2F" w14:textId="77777777" w:rsidR="0056095D" w:rsidRPr="0056095D" w:rsidRDefault="0056095D" w:rsidP="0056095D">
      <w:pPr>
        <w:pStyle w:val="Bibliography"/>
        <w:rPr>
          <w:lang w:val="en-GB"/>
        </w:rPr>
      </w:pPr>
      <w:r w:rsidRPr="0056095D">
        <w:rPr>
          <w:lang w:val="en-GB"/>
        </w:rPr>
        <w:t xml:space="preserve">168. </w:t>
      </w:r>
      <w:r w:rsidRPr="0056095D">
        <w:rPr>
          <w:lang w:val="en-GB"/>
        </w:rPr>
        <w:tab/>
        <w:t xml:space="preserve">Cohen, J.P.; Henry, Z. Lo, and Yoshua Bengio. 2017. Count-Ception: Counting by Fully Convolutional Redundant Counting. CoRR Abs/1703.08710 (2017). </w:t>
      </w:r>
      <w:r w:rsidRPr="0056095D">
        <w:rPr>
          <w:i/>
          <w:iCs/>
          <w:lang w:val="en-GB"/>
        </w:rPr>
        <w:t>arXiv preprint arXiv:1703.08710</w:t>
      </w:r>
      <w:r w:rsidRPr="0056095D">
        <w:rPr>
          <w:lang w:val="en-GB"/>
        </w:rPr>
        <w:t>.</w:t>
      </w:r>
    </w:p>
    <w:p w14:paraId="5669D544" w14:textId="77777777" w:rsidR="0056095D" w:rsidRPr="0056095D" w:rsidRDefault="0056095D" w:rsidP="0056095D">
      <w:pPr>
        <w:pStyle w:val="Bibliography"/>
        <w:rPr>
          <w:lang w:val="en-GB"/>
        </w:rPr>
      </w:pPr>
      <w:r w:rsidRPr="0056095D">
        <w:rPr>
          <w:lang w:val="en-GB"/>
        </w:rPr>
        <w:t xml:space="preserve">169. </w:t>
      </w:r>
      <w:r w:rsidRPr="0056095D">
        <w:rPr>
          <w:lang w:val="en-GB"/>
        </w:rPr>
        <w:tab/>
        <w:t xml:space="preserve">Ragab, D.A.; Attallah, O.; Sharkas, M.; Ren, J.; Marshall, S. A Framework for Breast Cancer Classification Using Multi-DCNNs. </w:t>
      </w:r>
      <w:r w:rsidRPr="0056095D">
        <w:rPr>
          <w:i/>
          <w:iCs/>
          <w:lang w:val="en-GB"/>
        </w:rPr>
        <w:t>Computers in Biology and Medicine</w:t>
      </w:r>
      <w:r w:rsidRPr="0056095D">
        <w:rPr>
          <w:lang w:val="en-GB"/>
        </w:rPr>
        <w:t xml:space="preserve"> </w:t>
      </w:r>
      <w:r w:rsidRPr="0056095D">
        <w:rPr>
          <w:b/>
          <w:bCs/>
          <w:lang w:val="en-GB"/>
        </w:rPr>
        <w:t>2021</w:t>
      </w:r>
      <w:r w:rsidRPr="0056095D">
        <w:rPr>
          <w:lang w:val="en-GB"/>
        </w:rPr>
        <w:t xml:space="preserve">, </w:t>
      </w:r>
      <w:r w:rsidRPr="0056095D">
        <w:rPr>
          <w:i/>
          <w:iCs/>
          <w:lang w:val="en-GB"/>
        </w:rPr>
        <w:t>131</w:t>
      </w:r>
      <w:r w:rsidRPr="0056095D">
        <w:rPr>
          <w:lang w:val="en-GB"/>
        </w:rPr>
        <w:t>, 104245.</w:t>
      </w:r>
    </w:p>
    <w:p w14:paraId="35276387" w14:textId="77777777" w:rsidR="0056095D" w:rsidRPr="0056095D" w:rsidRDefault="0056095D" w:rsidP="0056095D">
      <w:pPr>
        <w:pStyle w:val="Bibliography"/>
        <w:rPr>
          <w:lang w:val="en-GB"/>
        </w:rPr>
      </w:pPr>
      <w:r w:rsidRPr="0056095D">
        <w:rPr>
          <w:lang w:val="en-GB"/>
        </w:rPr>
        <w:t xml:space="preserve">170. </w:t>
      </w:r>
      <w:r w:rsidRPr="0056095D">
        <w:rPr>
          <w:lang w:val="en-GB"/>
        </w:rPr>
        <w:tab/>
        <w:t xml:space="preserve">Chai, D.; Newsam, S.; Huang, J. Aerial Image Semantic Segmentation Using DCNN Predicted Distance Maps. </w:t>
      </w:r>
      <w:r w:rsidRPr="0056095D">
        <w:rPr>
          <w:i/>
          <w:iCs/>
          <w:lang w:val="en-GB"/>
        </w:rPr>
        <w:t>ISPRS Journal of Photogrammetry and Remote Sensing</w:t>
      </w:r>
      <w:r w:rsidRPr="0056095D">
        <w:rPr>
          <w:lang w:val="en-GB"/>
        </w:rPr>
        <w:t xml:space="preserve"> </w:t>
      </w:r>
      <w:r w:rsidRPr="0056095D">
        <w:rPr>
          <w:b/>
          <w:bCs/>
          <w:lang w:val="en-GB"/>
        </w:rPr>
        <w:t>2020</w:t>
      </w:r>
      <w:r w:rsidRPr="0056095D">
        <w:rPr>
          <w:lang w:val="en-GB"/>
        </w:rPr>
        <w:t xml:space="preserve">, </w:t>
      </w:r>
      <w:r w:rsidRPr="0056095D">
        <w:rPr>
          <w:i/>
          <w:iCs/>
          <w:lang w:val="en-GB"/>
        </w:rPr>
        <w:t>161</w:t>
      </w:r>
      <w:r w:rsidRPr="0056095D">
        <w:rPr>
          <w:lang w:val="en-GB"/>
        </w:rPr>
        <w:t>, 309–322.</w:t>
      </w:r>
    </w:p>
    <w:p w14:paraId="4321F302" w14:textId="77777777" w:rsidR="0056095D" w:rsidRPr="0056095D" w:rsidRDefault="0056095D" w:rsidP="0056095D">
      <w:pPr>
        <w:pStyle w:val="Bibliography"/>
        <w:rPr>
          <w:lang w:val="en-GB"/>
        </w:rPr>
      </w:pPr>
      <w:r w:rsidRPr="0056095D">
        <w:rPr>
          <w:lang w:val="en-GB"/>
        </w:rPr>
        <w:t xml:space="preserve">171. </w:t>
      </w:r>
      <w:r w:rsidRPr="0056095D">
        <w:rPr>
          <w:lang w:val="en-GB"/>
        </w:rPr>
        <w:tab/>
        <w:t xml:space="preserve">Iqbal, I.; Ullah, I.; Peng, T.; Wang, W.; Ma, N. An End-to-End Deep Convolutional Neural Network-Based Data-Driven Fusion Framework for Identification of Human Induced Pluripotent Stem Cell-Derived Endothelial Cells in Photomicrographs. </w:t>
      </w:r>
      <w:r w:rsidRPr="0056095D">
        <w:rPr>
          <w:i/>
          <w:iCs/>
          <w:lang w:val="en-GB"/>
        </w:rPr>
        <w:t>Engineering Applications of Artificial Intelligence</w:t>
      </w:r>
      <w:r w:rsidRPr="0056095D">
        <w:rPr>
          <w:lang w:val="en-GB"/>
        </w:rPr>
        <w:t xml:space="preserve"> </w:t>
      </w:r>
      <w:r w:rsidRPr="0056095D">
        <w:rPr>
          <w:b/>
          <w:bCs/>
          <w:lang w:val="en-GB"/>
        </w:rPr>
        <w:t>2025</w:t>
      </w:r>
      <w:r w:rsidRPr="0056095D">
        <w:rPr>
          <w:lang w:val="en-GB"/>
        </w:rPr>
        <w:t xml:space="preserve">, </w:t>
      </w:r>
      <w:r w:rsidRPr="0056095D">
        <w:rPr>
          <w:i/>
          <w:iCs/>
          <w:lang w:val="en-GB"/>
        </w:rPr>
        <w:t>139</w:t>
      </w:r>
      <w:r w:rsidRPr="0056095D">
        <w:rPr>
          <w:lang w:val="en-GB"/>
        </w:rPr>
        <w:t>, 109573, doi:10.1016/j.engappai.2024.109573.</w:t>
      </w:r>
    </w:p>
    <w:p w14:paraId="087459B7" w14:textId="77777777" w:rsidR="0056095D" w:rsidRPr="0056095D" w:rsidRDefault="0056095D" w:rsidP="0056095D">
      <w:pPr>
        <w:pStyle w:val="Bibliography"/>
        <w:rPr>
          <w:lang w:val="en-GB"/>
        </w:rPr>
      </w:pPr>
      <w:r w:rsidRPr="0056095D">
        <w:rPr>
          <w:lang w:val="en-GB"/>
        </w:rPr>
        <w:t xml:space="preserve">172. </w:t>
      </w:r>
      <w:r w:rsidRPr="0056095D">
        <w:rPr>
          <w:lang w:val="en-GB"/>
        </w:rPr>
        <w:tab/>
        <w:t xml:space="preserve">Z. Zeng; W. Xie; Y. Zhang; Y. Lu RIC-Unet: An Improved Neural Network Based on Unet for Nuclei Segmentation in Histology Images. </w:t>
      </w:r>
      <w:r w:rsidRPr="0056095D">
        <w:rPr>
          <w:i/>
          <w:iCs/>
          <w:lang w:val="en-GB"/>
        </w:rPr>
        <w:t>IEEE Access</w:t>
      </w:r>
      <w:r w:rsidRPr="0056095D">
        <w:rPr>
          <w:lang w:val="en-GB"/>
        </w:rPr>
        <w:t xml:space="preserve"> </w:t>
      </w:r>
      <w:r w:rsidRPr="0056095D">
        <w:rPr>
          <w:b/>
          <w:bCs/>
          <w:lang w:val="en-GB"/>
        </w:rPr>
        <w:t>2019</w:t>
      </w:r>
      <w:r w:rsidRPr="0056095D">
        <w:rPr>
          <w:lang w:val="en-GB"/>
        </w:rPr>
        <w:t xml:space="preserve">, </w:t>
      </w:r>
      <w:r w:rsidRPr="0056095D">
        <w:rPr>
          <w:i/>
          <w:iCs/>
          <w:lang w:val="en-GB"/>
        </w:rPr>
        <w:t>7</w:t>
      </w:r>
      <w:r w:rsidRPr="0056095D">
        <w:rPr>
          <w:lang w:val="en-GB"/>
        </w:rPr>
        <w:t>, 21420–21428, doi:10.1109/ACCESS.2019.2896920.</w:t>
      </w:r>
    </w:p>
    <w:p w14:paraId="72A2679E" w14:textId="77777777" w:rsidR="0056095D" w:rsidRPr="0056095D" w:rsidRDefault="0056095D" w:rsidP="0056095D">
      <w:pPr>
        <w:pStyle w:val="Bibliography"/>
        <w:rPr>
          <w:lang w:val="en-GB"/>
        </w:rPr>
      </w:pPr>
      <w:r w:rsidRPr="0056095D">
        <w:rPr>
          <w:lang w:val="en-GB"/>
        </w:rPr>
        <w:lastRenderedPageBreak/>
        <w:t xml:space="preserve">173. </w:t>
      </w:r>
      <w:r w:rsidRPr="0056095D">
        <w:rPr>
          <w:lang w:val="en-GB"/>
        </w:rPr>
        <w:tab/>
        <w:t xml:space="preserve">Rettenberger, L.; Münke, F.; Bruch, R.; Reischl, M. Mask R-CNN Outperforms U-Net in Instance Segmentation for Overlapping Cells. </w:t>
      </w:r>
      <w:r w:rsidRPr="0056095D">
        <w:rPr>
          <w:i/>
          <w:iCs/>
          <w:lang w:val="en-GB"/>
        </w:rPr>
        <w:t>Current Directions in Biomedical Engineering</w:t>
      </w:r>
      <w:r w:rsidRPr="0056095D">
        <w:rPr>
          <w:lang w:val="en-GB"/>
        </w:rPr>
        <w:t xml:space="preserve"> </w:t>
      </w:r>
      <w:r w:rsidRPr="0056095D">
        <w:rPr>
          <w:b/>
          <w:bCs/>
          <w:lang w:val="en-GB"/>
        </w:rPr>
        <w:t>2023</w:t>
      </w:r>
      <w:r w:rsidRPr="0056095D">
        <w:rPr>
          <w:lang w:val="en-GB"/>
        </w:rPr>
        <w:t xml:space="preserve">, </w:t>
      </w:r>
      <w:r w:rsidRPr="0056095D">
        <w:rPr>
          <w:i/>
          <w:iCs/>
          <w:lang w:val="en-GB"/>
        </w:rPr>
        <w:t>9</w:t>
      </w:r>
      <w:r w:rsidRPr="0056095D">
        <w:rPr>
          <w:lang w:val="en-GB"/>
        </w:rPr>
        <w:t>, 335–338, doi:10.1515/cdbme-2023-1084.</w:t>
      </w:r>
    </w:p>
    <w:p w14:paraId="5B6E03B2" w14:textId="77777777" w:rsidR="0056095D" w:rsidRPr="0056095D" w:rsidRDefault="0056095D" w:rsidP="0056095D">
      <w:pPr>
        <w:pStyle w:val="Bibliography"/>
        <w:rPr>
          <w:lang w:val="en-GB"/>
        </w:rPr>
      </w:pPr>
      <w:r w:rsidRPr="0056095D">
        <w:rPr>
          <w:lang w:val="en-GB"/>
        </w:rPr>
        <w:t xml:space="preserve">174. </w:t>
      </w:r>
      <w:r w:rsidRPr="0056095D">
        <w:rPr>
          <w:lang w:val="en-GB"/>
        </w:rPr>
        <w:tab/>
        <w:t xml:space="preserve">Goodfellow, I.; Pouget-Abadie, J.; Mirza, M.; Xu, B.; Warde-Farley, D.; Ozair, S.; Courville, A.; Bengio, Y. Generative Adversarial Nets. </w:t>
      </w:r>
      <w:r w:rsidRPr="0056095D">
        <w:rPr>
          <w:i/>
          <w:iCs/>
          <w:lang w:val="en-GB"/>
        </w:rPr>
        <w:t>Advances in neural information processing systems</w:t>
      </w:r>
      <w:r w:rsidRPr="0056095D">
        <w:rPr>
          <w:lang w:val="en-GB"/>
        </w:rPr>
        <w:t xml:space="preserve"> </w:t>
      </w:r>
      <w:r w:rsidRPr="0056095D">
        <w:rPr>
          <w:b/>
          <w:bCs/>
          <w:lang w:val="en-GB"/>
        </w:rPr>
        <w:t>2014</w:t>
      </w:r>
      <w:r w:rsidRPr="0056095D">
        <w:rPr>
          <w:lang w:val="en-GB"/>
        </w:rPr>
        <w:t xml:space="preserve">, </w:t>
      </w:r>
      <w:r w:rsidRPr="0056095D">
        <w:rPr>
          <w:i/>
          <w:iCs/>
          <w:lang w:val="en-GB"/>
        </w:rPr>
        <w:t>27</w:t>
      </w:r>
      <w:r w:rsidRPr="0056095D">
        <w:rPr>
          <w:lang w:val="en-GB"/>
        </w:rPr>
        <w:t>.</w:t>
      </w:r>
    </w:p>
    <w:p w14:paraId="2690A1B3" w14:textId="77777777" w:rsidR="0056095D" w:rsidRPr="0056095D" w:rsidRDefault="0056095D" w:rsidP="0056095D">
      <w:pPr>
        <w:pStyle w:val="Bibliography"/>
        <w:rPr>
          <w:lang w:val="en-GB"/>
        </w:rPr>
      </w:pPr>
      <w:r w:rsidRPr="0056095D">
        <w:rPr>
          <w:lang w:val="en-GB"/>
        </w:rPr>
        <w:t xml:space="preserve">175. </w:t>
      </w:r>
      <w:r w:rsidRPr="0056095D">
        <w:rPr>
          <w:lang w:val="en-GB"/>
        </w:rPr>
        <w:tab/>
        <w:t xml:space="preserve">Bos, J. Conditional Generative Deep Learning Models to Predict Fluorescence Microscopy Images from Transmitted Light Images. </w:t>
      </w:r>
      <w:r w:rsidRPr="0056095D">
        <w:rPr>
          <w:b/>
          <w:bCs/>
          <w:lang w:val="en-GB"/>
        </w:rPr>
        <w:t>2021</w:t>
      </w:r>
      <w:r w:rsidRPr="0056095D">
        <w:rPr>
          <w:lang w:val="en-GB"/>
        </w:rPr>
        <w:t>.</w:t>
      </w:r>
    </w:p>
    <w:p w14:paraId="1598284C" w14:textId="77777777" w:rsidR="0056095D" w:rsidRPr="0056095D" w:rsidRDefault="0056095D" w:rsidP="0056095D">
      <w:pPr>
        <w:pStyle w:val="Bibliography"/>
        <w:rPr>
          <w:lang w:val="en-GB"/>
        </w:rPr>
      </w:pPr>
      <w:r w:rsidRPr="0056095D">
        <w:rPr>
          <w:lang w:val="en-GB"/>
        </w:rPr>
        <w:t xml:space="preserve">176. </w:t>
      </w:r>
      <w:r w:rsidRPr="0056095D">
        <w:rPr>
          <w:lang w:val="en-GB"/>
        </w:rPr>
        <w:tab/>
        <w:t xml:space="preserve">Chen, Y.; Yang, X.-H.; Wei, Z.; Heidari, A.A.; Zheng, N.; Li, Z.; Chen, H.; Hu, H.; Zhou, Q.; Guan, Q. Generative Adversarial Networks in Medical Image Augmentation: A Review. </w:t>
      </w:r>
      <w:r w:rsidRPr="0056095D">
        <w:rPr>
          <w:i/>
          <w:iCs/>
          <w:lang w:val="en-GB"/>
        </w:rPr>
        <w:t>Computers in Biology and Medicine</w:t>
      </w:r>
      <w:r w:rsidRPr="0056095D">
        <w:rPr>
          <w:lang w:val="en-GB"/>
        </w:rPr>
        <w:t xml:space="preserve"> </w:t>
      </w:r>
      <w:r w:rsidRPr="0056095D">
        <w:rPr>
          <w:b/>
          <w:bCs/>
          <w:lang w:val="en-GB"/>
        </w:rPr>
        <w:t>2022</w:t>
      </w:r>
      <w:r w:rsidRPr="0056095D">
        <w:rPr>
          <w:lang w:val="en-GB"/>
        </w:rPr>
        <w:t xml:space="preserve">, </w:t>
      </w:r>
      <w:r w:rsidRPr="0056095D">
        <w:rPr>
          <w:i/>
          <w:iCs/>
          <w:lang w:val="en-GB"/>
        </w:rPr>
        <w:t>144</w:t>
      </w:r>
      <w:r w:rsidRPr="0056095D">
        <w:rPr>
          <w:lang w:val="en-GB"/>
        </w:rPr>
        <w:t>, 105382.</w:t>
      </w:r>
    </w:p>
    <w:p w14:paraId="094E9E0A" w14:textId="77777777" w:rsidR="0056095D" w:rsidRPr="0056095D" w:rsidRDefault="0056095D" w:rsidP="0056095D">
      <w:pPr>
        <w:pStyle w:val="Bibliography"/>
        <w:rPr>
          <w:lang w:val="en-GB"/>
        </w:rPr>
      </w:pPr>
      <w:r w:rsidRPr="0056095D">
        <w:rPr>
          <w:lang w:val="en-GB"/>
        </w:rPr>
        <w:t xml:space="preserve">177. </w:t>
      </w:r>
      <w:r w:rsidRPr="0056095D">
        <w:rPr>
          <w:lang w:val="en-GB"/>
        </w:rPr>
        <w:tab/>
        <w:t xml:space="preserve">Lesmes-Leon, D.N.; Dengel, A.; Ahmed, S. Generative Adversarial Networks in Cell Microscopy for Image Augmentation. A Systematic Review. </w:t>
      </w:r>
      <w:r w:rsidRPr="0056095D">
        <w:rPr>
          <w:i/>
          <w:iCs/>
          <w:lang w:val="en-GB"/>
        </w:rPr>
        <w:t>bioRxiv</w:t>
      </w:r>
      <w:r w:rsidRPr="0056095D">
        <w:rPr>
          <w:lang w:val="en-GB"/>
        </w:rPr>
        <w:t xml:space="preserve"> </w:t>
      </w:r>
      <w:r w:rsidRPr="0056095D">
        <w:rPr>
          <w:b/>
          <w:bCs/>
          <w:lang w:val="en-GB"/>
        </w:rPr>
        <w:t>2023</w:t>
      </w:r>
      <w:r w:rsidRPr="0056095D">
        <w:rPr>
          <w:lang w:val="en-GB"/>
        </w:rPr>
        <w:t>, 2023–08.</w:t>
      </w:r>
    </w:p>
    <w:p w14:paraId="2811A27A" w14:textId="77777777" w:rsidR="0056095D" w:rsidRPr="0056095D" w:rsidRDefault="0056095D" w:rsidP="0056095D">
      <w:pPr>
        <w:pStyle w:val="Bibliography"/>
        <w:rPr>
          <w:lang w:val="en-GB"/>
        </w:rPr>
      </w:pPr>
      <w:r w:rsidRPr="0056095D">
        <w:rPr>
          <w:lang w:val="en-GB"/>
        </w:rPr>
        <w:t xml:space="preserve">178. </w:t>
      </w:r>
      <w:r w:rsidRPr="0056095D">
        <w:rPr>
          <w:lang w:val="en-GB"/>
        </w:rPr>
        <w:tab/>
        <w:t xml:space="preserve">Lu, Y.; Chen, D.; Olaniyi, E.; Huang, Y. Generative Adversarial Networks (GANs) for Image Augmentation in Agriculture: A Systematic Review. </w:t>
      </w:r>
      <w:r w:rsidRPr="0056095D">
        <w:rPr>
          <w:i/>
          <w:iCs/>
          <w:lang w:val="en-GB"/>
        </w:rPr>
        <w:t>Computers and Electronics in Agriculture</w:t>
      </w:r>
      <w:r w:rsidRPr="0056095D">
        <w:rPr>
          <w:lang w:val="en-GB"/>
        </w:rPr>
        <w:t xml:space="preserve"> </w:t>
      </w:r>
      <w:r w:rsidRPr="0056095D">
        <w:rPr>
          <w:b/>
          <w:bCs/>
          <w:lang w:val="en-GB"/>
        </w:rPr>
        <w:t>2022</w:t>
      </w:r>
      <w:r w:rsidRPr="0056095D">
        <w:rPr>
          <w:lang w:val="en-GB"/>
        </w:rPr>
        <w:t xml:space="preserve">, </w:t>
      </w:r>
      <w:r w:rsidRPr="0056095D">
        <w:rPr>
          <w:i/>
          <w:iCs/>
          <w:lang w:val="en-GB"/>
        </w:rPr>
        <w:t>200</w:t>
      </w:r>
      <w:r w:rsidRPr="0056095D">
        <w:rPr>
          <w:lang w:val="en-GB"/>
        </w:rPr>
        <w:t>, 107208.</w:t>
      </w:r>
    </w:p>
    <w:p w14:paraId="4792E8AE" w14:textId="77777777" w:rsidR="0056095D" w:rsidRPr="0056095D" w:rsidRDefault="0056095D" w:rsidP="0056095D">
      <w:pPr>
        <w:pStyle w:val="Bibliography"/>
        <w:rPr>
          <w:lang w:val="en-GB"/>
        </w:rPr>
      </w:pPr>
      <w:r w:rsidRPr="0056095D">
        <w:rPr>
          <w:lang w:val="en-GB"/>
        </w:rPr>
        <w:t xml:space="preserve">179. </w:t>
      </w:r>
      <w:r w:rsidRPr="0056095D">
        <w:rPr>
          <w:lang w:val="en-GB"/>
        </w:rPr>
        <w:tab/>
        <w:t>Hörst, F.; Rempe, M.; Heine, L.; Seibold, C.; Keyl, J.; Baldini, G.; Ugurel, S.; Siveke, J.; Grünwald, B.; Egger, J.; et al. CellViT: Vision Transformers for Precise Cell Segmentation and Classification 2023.</w:t>
      </w:r>
    </w:p>
    <w:p w14:paraId="69F52430" w14:textId="77777777" w:rsidR="0056095D" w:rsidRPr="0056095D" w:rsidRDefault="0056095D" w:rsidP="0056095D">
      <w:pPr>
        <w:pStyle w:val="Bibliography"/>
        <w:rPr>
          <w:lang w:val="en-GB"/>
        </w:rPr>
      </w:pPr>
      <w:r w:rsidRPr="0056095D">
        <w:rPr>
          <w:lang w:val="en-GB"/>
        </w:rPr>
        <w:t xml:space="preserve">180. </w:t>
      </w:r>
      <w:r w:rsidRPr="0056095D">
        <w:rPr>
          <w:lang w:val="en-GB"/>
        </w:rPr>
        <w:tab/>
        <w:t xml:space="preserve">Khan, S.; Naseer, M.; Hayat, M.; Zamir, S.W.; Khan, F.S.; Shah, M. Transformers in Vision: A Survey. </w:t>
      </w:r>
      <w:r w:rsidRPr="0056095D">
        <w:rPr>
          <w:i/>
          <w:iCs/>
          <w:lang w:val="en-GB"/>
        </w:rPr>
        <w:t>ACM computing surveys (CSUR)</w:t>
      </w:r>
      <w:r w:rsidRPr="0056095D">
        <w:rPr>
          <w:lang w:val="en-GB"/>
        </w:rPr>
        <w:t xml:space="preserve"> </w:t>
      </w:r>
      <w:r w:rsidRPr="0056095D">
        <w:rPr>
          <w:b/>
          <w:bCs/>
          <w:lang w:val="en-GB"/>
        </w:rPr>
        <w:t>2022</w:t>
      </w:r>
      <w:r w:rsidRPr="0056095D">
        <w:rPr>
          <w:lang w:val="en-GB"/>
        </w:rPr>
        <w:t xml:space="preserve">, </w:t>
      </w:r>
      <w:r w:rsidRPr="0056095D">
        <w:rPr>
          <w:i/>
          <w:iCs/>
          <w:lang w:val="en-GB"/>
        </w:rPr>
        <w:t>54</w:t>
      </w:r>
      <w:r w:rsidRPr="0056095D">
        <w:rPr>
          <w:lang w:val="en-GB"/>
        </w:rPr>
        <w:t>, 1–41.</w:t>
      </w:r>
    </w:p>
    <w:p w14:paraId="7C7A427D" w14:textId="77777777" w:rsidR="0056095D" w:rsidRPr="0056095D" w:rsidRDefault="0056095D" w:rsidP="0056095D">
      <w:pPr>
        <w:pStyle w:val="Bibliography"/>
        <w:rPr>
          <w:lang w:val="en-GB"/>
        </w:rPr>
      </w:pPr>
      <w:r w:rsidRPr="0056095D">
        <w:rPr>
          <w:lang w:val="en-GB"/>
        </w:rPr>
        <w:t xml:space="preserve">181. </w:t>
      </w:r>
      <w:r w:rsidRPr="0056095D">
        <w:rPr>
          <w:lang w:val="en-GB"/>
        </w:rPr>
        <w:tab/>
        <w:t xml:space="preserve">Parvaiz, A.; Khalid, M.A.; Zafar, R.; Ameer, H.; Ali, M.; Fraz, M.M. Vision Transformers in Medical Computer Vision—A Contemplative Retrospection. </w:t>
      </w:r>
      <w:r w:rsidRPr="0056095D">
        <w:rPr>
          <w:i/>
          <w:iCs/>
          <w:lang w:val="en-GB"/>
        </w:rPr>
        <w:t>Engineering Applications of Artificial Intelligence</w:t>
      </w:r>
      <w:r w:rsidRPr="0056095D">
        <w:rPr>
          <w:lang w:val="en-GB"/>
        </w:rPr>
        <w:t xml:space="preserve"> </w:t>
      </w:r>
      <w:r w:rsidRPr="0056095D">
        <w:rPr>
          <w:b/>
          <w:bCs/>
          <w:lang w:val="en-GB"/>
        </w:rPr>
        <w:t>2023</w:t>
      </w:r>
      <w:r w:rsidRPr="0056095D">
        <w:rPr>
          <w:lang w:val="en-GB"/>
        </w:rPr>
        <w:t xml:space="preserve">, </w:t>
      </w:r>
      <w:r w:rsidRPr="0056095D">
        <w:rPr>
          <w:i/>
          <w:iCs/>
          <w:lang w:val="en-GB"/>
        </w:rPr>
        <w:t>122</w:t>
      </w:r>
      <w:r w:rsidRPr="0056095D">
        <w:rPr>
          <w:lang w:val="en-GB"/>
        </w:rPr>
        <w:t>, 106126.</w:t>
      </w:r>
    </w:p>
    <w:p w14:paraId="7955BBAE" w14:textId="77777777" w:rsidR="0056095D" w:rsidRPr="0056095D" w:rsidRDefault="0056095D" w:rsidP="0056095D">
      <w:pPr>
        <w:pStyle w:val="Bibliography"/>
        <w:rPr>
          <w:lang w:val="en-GB"/>
        </w:rPr>
      </w:pPr>
      <w:r w:rsidRPr="0056095D">
        <w:rPr>
          <w:lang w:val="en-GB"/>
        </w:rPr>
        <w:t xml:space="preserve">182. </w:t>
      </w:r>
      <w:r w:rsidRPr="0056095D">
        <w:rPr>
          <w:lang w:val="en-GB"/>
        </w:rPr>
        <w:tab/>
        <w:t xml:space="preserve">Alif, M.A.; Hussain, M.; Tucker, G.; Iwnicki, S. BoltVision: A Comparative Analysis of CNN, CCT, and ViT in Achieving High Accuracy for Missing Bolt Classification in Train Components. </w:t>
      </w:r>
      <w:r w:rsidRPr="0056095D">
        <w:rPr>
          <w:i/>
          <w:iCs/>
          <w:lang w:val="en-GB"/>
        </w:rPr>
        <w:t>Machines</w:t>
      </w:r>
      <w:r w:rsidRPr="0056095D">
        <w:rPr>
          <w:lang w:val="en-GB"/>
        </w:rPr>
        <w:t xml:space="preserve"> </w:t>
      </w:r>
      <w:r w:rsidRPr="0056095D">
        <w:rPr>
          <w:b/>
          <w:bCs/>
          <w:lang w:val="en-GB"/>
        </w:rPr>
        <w:t>2024</w:t>
      </w:r>
      <w:r w:rsidRPr="0056095D">
        <w:rPr>
          <w:lang w:val="en-GB"/>
        </w:rPr>
        <w:t xml:space="preserve">, </w:t>
      </w:r>
      <w:r w:rsidRPr="0056095D">
        <w:rPr>
          <w:i/>
          <w:iCs/>
          <w:lang w:val="en-GB"/>
        </w:rPr>
        <w:t>12</w:t>
      </w:r>
      <w:r w:rsidRPr="0056095D">
        <w:rPr>
          <w:lang w:val="en-GB"/>
        </w:rPr>
        <w:t>, doi:10.3390/machines12020093.</w:t>
      </w:r>
    </w:p>
    <w:p w14:paraId="690DEF3B" w14:textId="77777777" w:rsidR="0056095D" w:rsidRPr="0056095D" w:rsidRDefault="0056095D" w:rsidP="0056095D">
      <w:pPr>
        <w:pStyle w:val="Bibliography"/>
        <w:rPr>
          <w:lang w:val="en-GB"/>
        </w:rPr>
      </w:pPr>
      <w:r w:rsidRPr="0056095D">
        <w:rPr>
          <w:lang w:val="en-GB"/>
        </w:rPr>
        <w:t xml:space="preserve">183. </w:t>
      </w:r>
      <w:r w:rsidRPr="0056095D">
        <w:rPr>
          <w:lang w:val="en-GB"/>
        </w:rPr>
        <w:tab/>
        <w:t xml:space="preserve">Svatek, R.S.; Hollenbeck, B.K.; Holmäng, S.; Lee, R.; Kim, S.P.; Stenzl, A.; Lotan, Y. The Economics of Bladder Cancer: Costs and Considerations of Caring for This Disease. </w:t>
      </w:r>
      <w:r w:rsidRPr="0056095D">
        <w:rPr>
          <w:i/>
          <w:iCs/>
          <w:lang w:val="en-GB"/>
        </w:rPr>
        <w:t>European Urology</w:t>
      </w:r>
      <w:r w:rsidRPr="0056095D">
        <w:rPr>
          <w:lang w:val="en-GB"/>
        </w:rPr>
        <w:t xml:space="preserve"> </w:t>
      </w:r>
      <w:r w:rsidRPr="0056095D">
        <w:rPr>
          <w:b/>
          <w:bCs/>
          <w:lang w:val="en-GB"/>
        </w:rPr>
        <w:t>2014</w:t>
      </w:r>
      <w:r w:rsidRPr="0056095D">
        <w:rPr>
          <w:lang w:val="en-GB"/>
        </w:rPr>
        <w:t xml:space="preserve">, </w:t>
      </w:r>
      <w:r w:rsidRPr="0056095D">
        <w:rPr>
          <w:i/>
          <w:iCs/>
          <w:lang w:val="en-GB"/>
        </w:rPr>
        <w:t>66</w:t>
      </w:r>
      <w:r w:rsidRPr="0056095D">
        <w:rPr>
          <w:lang w:val="en-GB"/>
        </w:rPr>
        <w:t>, 253–262, doi:10.1016/j.eururo.2014.01.006.</w:t>
      </w:r>
    </w:p>
    <w:p w14:paraId="569F8F5C" w14:textId="77777777" w:rsidR="0056095D" w:rsidRPr="0056095D" w:rsidRDefault="0056095D" w:rsidP="0056095D">
      <w:pPr>
        <w:pStyle w:val="Bibliography"/>
        <w:rPr>
          <w:lang w:val="en-GB"/>
        </w:rPr>
      </w:pPr>
      <w:r w:rsidRPr="0056095D">
        <w:rPr>
          <w:lang w:val="en-GB"/>
        </w:rPr>
        <w:t xml:space="preserve">184. </w:t>
      </w:r>
      <w:r w:rsidRPr="0056095D">
        <w:rPr>
          <w:lang w:val="en-GB"/>
        </w:rPr>
        <w:tab/>
        <w:t xml:space="preserve">Sylvester, R.J.; Van Der Meijden, A.P.; Oosterlinck, W.; Witjes, J.A.; Bouffioux, C.; Denis, L.; Newling, D.W.; Kurth, K. Predicting Recurrence and Progression in Individual Patients with Stage Ta T1 Bladder Cancer Using EORTC Risk Tables: A Combined Analysis of 2596 Patients from Seven EORTC Trials. </w:t>
      </w:r>
      <w:r w:rsidRPr="0056095D">
        <w:rPr>
          <w:i/>
          <w:iCs/>
          <w:lang w:val="en-GB"/>
        </w:rPr>
        <w:t>European urology</w:t>
      </w:r>
      <w:r w:rsidRPr="0056095D">
        <w:rPr>
          <w:lang w:val="en-GB"/>
        </w:rPr>
        <w:t xml:space="preserve"> </w:t>
      </w:r>
      <w:r w:rsidRPr="0056095D">
        <w:rPr>
          <w:b/>
          <w:bCs/>
          <w:lang w:val="en-GB"/>
        </w:rPr>
        <w:t>2006</w:t>
      </w:r>
      <w:r w:rsidRPr="0056095D">
        <w:rPr>
          <w:lang w:val="en-GB"/>
        </w:rPr>
        <w:t xml:space="preserve">, </w:t>
      </w:r>
      <w:r w:rsidRPr="0056095D">
        <w:rPr>
          <w:i/>
          <w:iCs/>
          <w:lang w:val="en-GB"/>
        </w:rPr>
        <w:t>49</w:t>
      </w:r>
      <w:r w:rsidRPr="0056095D">
        <w:rPr>
          <w:lang w:val="en-GB"/>
        </w:rPr>
        <w:t>, 466–477.</w:t>
      </w:r>
    </w:p>
    <w:p w14:paraId="424BAFF6" w14:textId="77777777" w:rsidR="0056095D" w:rsidRPr="0056095D" w:rsidRDefault="0056095D" w:rsidP="0056095D">
      <w:pPr>
        <w:pStyle w:val="Bibliography"/>
        <w:rPr>
          <w:lang w:val="en-GB"/>
        </w:rPr>
      </w:pPr>
      <w:r w:rsidRPr="0056095D">
        <w:rPr>
          <w:lang w:val="en-GB"/>
        </w:rPr>
        <w:t xml:space="preserve">185. </w:t>
      </w:r>
      <w:r w:rsidRPr="0056095D">
        <w:rPr>
          <w:lang w:val="en-GB"/>
        </w:rPr>
        <w:tab/>
        <w:t xml:space="preserve">Johnson, L.M.; Turkbey, B.; Figg, W.D.; Choyke, P.L. Multiparametric MRI in Prostate Cancer Management. </w:t>
      </w:r>
      <w:r w:rsidRPr="0056095D">
        <w:rPr>
          <w:i/>
          <w:iCs/>
          <w:lang w:val="en-GB"/>
        </w:rPr>
        <w:t>Nat Rev Clin Oncol</w:t>
      </w:r>
      <w:r w:rsidRPr="0056095D">
        <w:rPr>
          <w:lang w:val="en-GB"/>
        </w:rPr>
        <w:t xml:space="preserve"> </w:t>
      </w:r>
      <w:r w:rsidRPr="0056095D">
        <w:rPr>
          <w:b/>
          <w:bCs/>
          <w:lang w:val="en-GB"/>
        </w:rPr>
        <w:t>2014</w:t>
      </w:r>
      <w:r w:rsidRPr="0056095D">
        <w:rPr>
          <w:lang w:val="en-GB"/>
        </w:rPr>
        <w:t xml:space="preserve">, </w:t>
      </w:r>
      <w:r w:rsidRPr="0056095D">
        <w:rPr>
          <w:i/>
          <w:iCs/>
          <w:lang w:val="en-GB"/>
        </w:rPr>
        <w:t>11</w:t>
      </w:r>
      <w:r w:rsidRPr="0056095D">
        <w:rPr>
          <w:lang w:val="en-GB"/>
        </w:rPr>
        <w:t>, 346–353, doi:10.1038/nrclinonc.2014.69.</w:t>
      </w:r>
    </w:p>
    <w:p w14:paraId="6CAA4DA7" w14:textId="77777777" w:rsidR="0056095D" w:rsidRPr="0056095D" w:rsidRDefault="0056095D" w:rsidP="0056095D">
      <w:pPr>
        <w:pStyle w:val="Bibliography"/>
        <w:rPr>
          <w:lang w:val="en-GB"/>
        </w:rPr>
      </w:pPr>
      <w:r w:rsidRPr="0056095D">
        <w:rPr>
          <w:lang w:val="en-GB"/>
        </w:rPr>
        <w:t xml:space="preserve">186. </w:t>
      </w:r>
      <w:r w:rsidRPr="0056095D">
        <w:rPr>
          <w:lang w:val="en-GB"/>
        </w:rPr>
        <w:tab/>
        <w:t xml:space="preserve">Moch, H.; Cubilla, A.L.; Humphrey, P.A.; Reuter, V.E.; Ulbright, T.M. The 2016 WHO Classification of Tumours of the Urinary System and Male Genital Organs—Part A: Renal, Penile, and Testicular Tumours. </w:t>
      </w:r>
      <w:r w:rsidRPr="0056095D">
        <w:rPr>
          <w:i/>
          <w:iCs/>
          <w:lang w:val="en-GB"/>
        </w:rPr>
        <w:t>European urology</w:t>
      </w:r>
      <w:r w:rsidRPr="0056095D">
        <w:rPr>
          <w:lang w:val="en-GB"/>
        </w:rPr>
        <w:t xml:space="preserve"> </w:t>
      </w:r>
      <w:r w:rsidRPr="0056095D">
        <w:rPr>
          <w:b/>
          <w:bCs/>
          <w:lang w:val="en-GB"/>
        </w:rPr>
        <w:t>2016</w:t>
      </w:r>
      <w:r w:rsidRPr="0056095D">
        <w:rPr>
          <w:lang w:val="en-GB"/>
        </w:rPr>
        <w:t xml:space="preserve">, </w:t>
      </w:r>
      <w:r w:rsidRPr="0056095D">
        <w:rPr>
          <w:i/>
          <w:iCs/>
          <w:lang w:val="en-GB"/>
        </w:rPr>
        <w:t>70</w:t>
      </w:r>
      <w:r w:rsidRPr="0056095D">
        <w:rPr>
          <w:lang w:val="en-GB"/>
        </w:rPr>
        <w:t>, 93–105.</w:t>
      </w:r>
    </w:p>
    <w:p w14:paraId="5C71DEFA" w14:textId="77777777" w:rsidR="0056095D" w:rsidRPr="00A417B6" w:rsidRDefault="0056095D" w:rsidP="0056095D">
      <w:pPr>
        <w:pStyle w:val="Bibliography"/>
        <w:rPr>
          <w:lang w:val="it-IT"/>
        </w:rPr>
      </w:pPr>
      <w:r w:rsidRPr="0056095D">
        <w:rPr>
          <w:lang w:val="en-GB"/>
        </w:rPr>
        <w:t xml:space="preserve">187. </w:t>
      </w:r>
      <w:r w:rsidRPr="0056095D">
        <w:rPr>
          <w:lang w:val="en-GB"/>
        </w:rPr>
        <w:tab/>
        <w:t xml:space="preserve">Thompson, J.; Lawrentschuk, N.; Frydenberg, M.; Thompson, L.; Stricker, P.; USANZ The Role of Magnetic Resonance Imaging in the Diagnosis and Management of Prostate Cancer. </w:t>
      </w:r>
      <w:r w:rsidRPr="00A417B6">
        <w:rPr>
          <w:i/>
          <w:iCs/>
          <w:lang w:val="it-IT"/>
        </w:rPr>
        <w:t>BJU International</w:t>
      </w:r>
      <w:r w:rsidRPr="00A417B6">
        <w:rPr>
          <w:lang w:val="it-IT"/>
        </w:rPr>
        <w:t xml:space="preserve"> </w:t>
      </w:r>
      <w:r w:rsidRPr="00A417B6">
        <w:rPr>
          <w:b/>
          <w:bCs/>
          <w:lang w:val="it-IT"/>
        </w:rPr>
        <w:t>2013</w:t>
      </w:r>
      <w:r w:rsidRPr="00A417B6">
        <w:rPr>
          <w:lang w:val="it-IT"/>
        </w:rPr>
        <w:t xml:space="preserve">, </w:t>
      </w:r>
      <w:r w:rsidRPr="00A417B6">
        <w:rPr>
          <w:i/>
          <w:iCs/>
          <w:lang w:val="it-IT"/>
        </w:rPr>
        <w:t>112</w:t>
      </w:r>
      <w:r w:rsidRPr="00A417B6">
        <w:rPr>
          <w:lang w:val="it-IT"/>
        </w:rPr>
        <w:t>, 6–20, doi:10.1111/bju.12381.</w:t>
      </w:r>
    </w:p>
    <w:p w14:paraId="1783F876" w14:textId="77777777" w:rsidR="0056095D" w:rsidRPr="0056095D" w:rsidRDefault="0056095D" w:rsidP="0056095D">
      <w:pPr>
        <w:pStyle w:val="Bibliography"/>
        <w:rPr>
          <w:lang w:val="en-GB"/>
        </w:rPr>
      </w:pPr>
      <w:r w:rsidRPr="00A417B6">
        <w:rPr>
          <w:lang w:val="it-IT"/>
        </w:rPr>
        <w:lastRenderedPageBreak/>
        <w:t xml:space="preserve">188. </w:t>
      </w:r>
      <w:r w:rsidRPr="00A417B6">
        <w:rPr>
          <w:lang w:val="it-IT"/>
        </w:rPr>
        <w:tab/>
        <w:t xml:space="preserve">Cutaia, G.; La Tona, G.; Comelli, A.; Vernuccio, F.; Agnello, F.; Gagliardo, C.; Salvaggio, L.; Quartuccio, N.; Sturiale, L.; Stefano, A.; et al. </w:t>
      </w:r>
      <w:r w:rsidRPr="0056095D">
        <w:rPr>
          <w:lang w:val="en-GB"/>
        </w:rPr>
        <w:t xml:space="preserve">Radiomics and Prostate MRI: Current Role and Future Applications. </w:t>
      </w:r>
      <w:r w:rsidRPr="0056095D">
        <w:rPr>
          <w:i/>
          <w:iCs/>
          <w:lang w:val="en-GB"/>
        </w:rPr>
        <w:t>Journal of Imaging</w:t>
      </w:r>
      <w:r w:rsidRPr="0056095D">
        <w:rPr>
          <w:lang w:val="en-GB"/>
        </w:rPr>
        <w:t xml:space="preserve"> </w:t>
      </w:r>
      <w:r w:rsidRPr="0056095D">
        <w:rPr>
          <w:b/>
          <w:bCs/>
          <w:lang w:val="en-GB"/>
        </w:rPr>
        <w:t>2021</w:t>
      </w:r>
      <w:r w:rsidRPr="0056095D">
        <w:rPr>
          <w:lang w:val="en-GB"/>
        </w:rPr>
        <w:t xml:space="preserve">, </w:t>
      </w:r>
      <w:r w:rsidRPr="0056095D">
        <w:rPr>
          <w:i/>
          <w:iCs/>
          <w:lang w:val="en-GB"/>
        </w:rPr>
        <w:t>7</w:t>
      </w:r>
      <w:r w:rsidRPr="0056095D">
        <w:rPr>
          <w:lang w:val="en-GB"/>
        </w:rPr>
        <w:t>, doi:10.3390/jimaging7020034.</w:t>
      </w:r>
    </w:p>
    <w:p w14:paraId="3CDF7FF7" w14:textId="77777777" w:rsidR="0056095D" w:rsidRPr="0056095D" w:rsidRDefault="0056095D" w:rsidP="0056095D">
      <w:pPr>
        <w:pStyle w:val="Bibliography"/>
        <w:rPr>
          <w:lang w:val="en-GB"/>
        </w:rPr>
      </w:pPr>
      <w:r w:rsidRPr="007F381F">
        <w:rPr>
          <w:lang w:val="it-IT"/>
        </w:rPr>
        <w:t xml:space="preserve">189. </w:t>
      </w:r>
      <w:r w:rsidRPr="007F381F">
        <w:rPr>
          <w:lang w:val="it-IT"/>
        </w:rPr>
        <w:tab/>
      </w:r>
      <w:r w:rsidRPr="00A417B6">
        <w:rPr>
          <w:lang w:val="it-IT"/>
        </w:rPr>
        <w:t xml:space="preserve">Stefano, A.; Leal, A.; Richiusa, S.; Trang, P.; Comelli, A.; Benfante, V.; Cosentino, S.; Sabini, M.G.; Tuttolomondo, A.; Altieri, R.; et al. </w:t>
      </w:r>
      <w:r w:rsidRPr="0056095D">
        <w:rPr>
          <w:lang w:val="en-GB"/>
        </w:rPr>
        <w:t xml:space="preserve">Robustness of PET Radiomics Features: Impact of Co-Registration with MRI. </w:t>
      </w:r>
      <w:r w:rsidRPr="0056095D">
        <w:rPr>
          <w:i/>
          <w:iCs/>
          <w:lang w:val="en-GB"/>
        </w:rPr>
        <w:t>Applied Sciences</w:t>
      </w:r>
      <w:r w:rsidRPr="0056095D">
        <w:rPr>
          <w:lang w:val="en-GB"/>
        </w:rPr>
        <w:t xml:space="preserve"> </w:t>
      </w:r>
      <w:r w:rsidRPr="0056095D">
        <w:rPr>
          <w:b/>
          <w:bCs/>
          <w:lang w:val="en-GB"/>
        </w:rPr>
        <w:t>2021</w:t>
      </w:r>
      <w:r w:rsidRPr="0056095D">
        <w:rPr>
          <w:lang w:val="en-GB"/>
        </w:rPr>
        <w:t xml:space="preserve">, </w:t>
      </w:r>
      <w:r w:rsidRPr="0056095D">
        <w:rPr>
          <w:i/>
          <w:iCs/>
          <w:lang w:val="en-GB"/>
        </w:rPr>
        <w:t>11</w:t>
      </w:r>
      <w:r w:rsidRPr="0056095D">
        <w:rPr>
          <w:lang w:val="en-GB"/>
        </w:rPr>
        <w:t>, doi:10.3390/app112110170.</w:t>
      </w:r>
    </w:p>
    <w:p w14:paraId="653CE9F0" w14:textId="77777777" w:rsidR="0056095D" w:rsidRPr="007F381F" w:rsidRDefault="0056095D" w:rsidP="0056095D">
      <w:pPr>
        <w:pStyle w:val="Bibliography"/>
        <w:rPr>
          <w:lang w:val="it-IT"/>
        </w:rPr>
      </w:pPr>
      <w:r w:rsidRPr="0056095D">
        <w:rPr>
          <w:lang w:val="en-GB"/>
        </w:rPr>
        <w:t xml:space="preserve">190. </w:t>
      </w:r>
      <w:r w:rsidRPr="0056095D">
        <w:rPr>
          <w:lang w:val="en-GB"/>
        </w:rPr>
        <w:tab/>
        <w:t xml:space="preserve">Aerts, H.J.W.L.; Velazquez, E.R.; Leijenaar, R.T.H.; Parmar, C.; Grossmann, P.; Cavalho, S.; Bussink, J.; Monshouwer, R.; Haibe-Kains, B.; Rietveld, D.H.F.; et al. Decoding Tumour Phenotype by Noninvasive Imaging Using a Quantitative Radiomics Approach. </w:t>
      </w:r>
      <w:r w:rsidRPr="007F381F">
        <w:rPr>
          <w:i/>
          <w:iCs/>
          <w:lang w:val="it-IT"/>
        </w:rPr>
        <w:t>Nature Communications</w:t>
      </w:r>
      <w:r w:rsidRPr="007F381F">
        <w:rPr>
          <w:lang w:val="it-IT"/>
        </w:rPr>
        <w:t xml:space="preserve"> </w:t>
      </w:r>
      <w:r w:rsidRPr="007F381F">
        <w:rPr>
          <w:b/>
          <w:bCs/>
          <w:lang w:val="it-IT"/>
        </w:rPr>
        <w:t>2014</w:t>
      </w:r>
      <w:r w:rsidRPr="007F381F">
        <w:rPr>
          <w:lang w:val="it-IT"/>
        </w:rPr>
        <w:t xml:space="preserve">, </w:t>
      </w:r>
      <w:r w:rsidRPr="007F381F">
        <w:rPr>
          <w:i/>
          <w:iCs/>
          <w:lang w:val="it-IT"/>
        </w:rPr>
        <w:t>5</w:t>
      </w:r>
      <w:r w:rsidRPr="007F381F">
        <w:rPr>
          <w:lang w:val="it-IT"/>
        </w:rPr>
        <w:t>.</w:t>
      </w:r>
    </w:p>
    <w:p w14:paraId="6CE799C4" w14:textId="77777777" w:rsidR="0056095D" w:rsidRPr="0056095D" w:rsidRDefault="0056095D" w:rsidP="0056095D">
      <w:pPr>
        <w:pStyle w:val="Bibliography"/>
        <w:rPr>
          <w:lang w:val="en-GB"/>
        </w:rPr>
      </w:pPr>
      <w:r w:rsidRPr="007F381F">
        <w:rPr>
          <w:lang w:val="it-IT"/>
        </w:rPr>
        <w:t xml:space="preserve">191. </w:t>
      </w:r>
      <w:r w:rsidRPr="007F381F">
        <w:rPr>
          <w:lang w:val="it-IT"/>
        </w:rPr>
        <w:tab/>
      </w:r>
      <w:r w:rsidRPr="00A417B6">
        <w:rPr>
          <w:lang w:val="it-IT"/>
        </w:rPr>
        <w:t xml:space="preserve">Benfante, V.; Stefano, A.; Comelli, A.; Giaccone, P.; Cammarata, F.P.; Richiusa, S.; Scopelliti, F.; Pometti, M.; Ficarra, M.; Cosentino, S.; et al. </w:t>
      </w:r>
      <w:r w:rsidRPr="0056095D">
        <w:rPr>
          <w:lang w:val="en-GB"/>
        </w:rPr>
        <w:t xml:space="preserve">A New Preclinical Decision Support System Based on PET Radiomics: A Preliminary Study on the Evaluation of an Innovative 64Cu-Labeled Chelator in Mouse Models. </w:t>
      </w:r>
      <w:r w:rsidRPr="0056095D">
        <w:rPr>
          <w:i/>
          <w:iCs/>
          <w:lang w:val="en-GB"/>
        </w:rPr>
        <w:t>J. Imaging</w:t>
      </w:r>
      <w:r w:rsidRPr="0056095D">
        <w:rPr>
          <w:lang w:val="en-GB"/>
        </w:rPr>
        <w:t xml:space="preserve"> </w:t>
      </w:r>
      <w:r w:rsidRPr="0056095D">
        <w:rPr>
          <w:b/>
          <w:bCs/>
          <w:lang w:val="en-GB"/>
        </w:rPr>
        <w:t>2022</w:t>
      </w:r>
      <w:r w:rsidRPr="0056095D">
        <w:rPr>
          <w:lang w:val="en-GB"/>
        </w:rPr>
        <w:t xml:space="preserve">, </w:t>
      </w:r>
      <w:r w:rsidRPr="0056095D">
        <w:rPr>
          <w:i/>
          <w:iCs/>
          <w:lang w:val="en-GB"/>
        </w:rPr>
        <w:t>8</w:t>
      </w:r>
      <w:r w:rsidRPr="0056095D">
        <w:rPr>
          <w:lang w:val="en-GB"/>
        </w:rPr>
        <w:t>, 92, doi:10.3390/jimaging8040092.</w:t>
      </w:r>
    </w:p>
    <w:p w14:paraId="0C02DE88" w14:textId="77777777" w:rsidR="0056095D" w:rsidRPr="0056095D" w:rsidRDefault="0056095D" w:rsidP="0056095D">
      <w:pPr>
        <w:pStyle w:val="Bibliography"/>
        <w:rPr>
          <w:lang w:val="en-GB"/>
        </w:rPr>
      </w:pPr>
      <w:r w:rsidRPr="0056095D">
        <w:rPr>
          <w:lang w:val="en-GB"/>
        </w:rPr>
        <w:t xml:space="preserve">192. </w:t>
      </w:r>
      <w:r w:rsidRPr="0056095D">
        <w:rPr>
          <w:lang w:val="en-GB"/>
        </w:rPr>
        <w:tab/>
        <w:t xml:space="preserve">Mirmomen, S.M.; Shinagare, A.B.; Williams, K.E.; Silverman, S.G.; Malayeri, A.A. Preoperative Imaging for Locoregional Staging of Bladder Cancer. </w:t>
      </w:r>
      <w:r w:rsidRPr="0056095D">
        <w:rPr>
          <w:i/>
          <w:iCs/>
          <w:lang w:val="en-GB"/>
        </w:rPr>
        <w:t>Abdominal Radiology</w:t>
      </w:r>
      <w:r w:rsidRPr="0056095D">
        <w:rPr>
          <w:lang w:val="en-GB"/>
        </w:rPr>
        <w:t xml:space="preserve"> </w:t>
      </w:r>
      <w:r w:rsidRPr="0056095D">
        <w:rPr>
          <w:b/>
          <w:bCs/>
          <w:lang w:val="en-GB"/>
        </w:rPr>
        <w:t>2019</w:t>
      </w:r>
      <w:r w:rsidRPr="0056095D">
        <w:rPr>
          <w:lang w:val="en-GB"/>
        </w:rPr>
        <w:t xml:space="preserve">, </w:t>
      </w:r>
      <w:r w:rsidRPr="0056095D">
        <w:rPr>
          <w:i/>
          <w:iCs/>
          <w:lang w:val="en-GB"/>
        </w:rPr>
        <w:t>44</w:t>
      </w:r>
      <w:r w:rsidRPr="0056095D">
        <w:rPr>
          <w:lang w:val="en-GB"/>
        </w:rPr>
        <w:t>, 3843–3857.</w:t>
      </w:r>
    </w:p>
    <w:p w14:paraId="651FB14A" w14:textId="77777777" w:rsidR="0056095D" w:rsidRPr="0056095D" w:rsidRDefault="0056095D" w:rsidP="0056095D">
      <w:pPr>
        <w:pStyle w:val="Bibliography"/>
        <w:rPr>
          <w:lang w:val="en-GB"/>
        </w:rPr>
      </w:pPr>
      <w:r w:rsidRPr="0056095D">
        <w:rPr>
          <w:lang w:val="en-GB"/>
        </w:rPr>
        <w:t xml:space="preserve">193. </w:t>
      </w:r>
      <w:r w:rsidRPr="0056095D">
        <w:rPr>
          <w:lang w:val="en-GB"/>
        </w:rPr>
        <w:tab/>
        <w:t xml:space="preserve">Wang, H.; Xu, X.; Zhang, X.; Liu, Y.; Ouyang, L.; Du, P.; Li, S.; Tian, Q.; Ling, J.; Guo, Y. Elaboration of a Multisequence MRI-Based Radiomics Signature for the Preoperative Prediction of the Muscle-Invasive Status of Bladder Cancer: A Double-Center Study. </w:t>
      </w:r>
      <w:r w:rsidRPr="0056095D">
        <w:rPr>
          <w:i/>
          <w:iCs/>
          <w:lang w:val="en-GB"/>
        </w:rPr>
        <w:t>European radiology</w:t>
      </w:r>
      <w:r w:rsidRPr="0056095D">
        <w:rPr>
          <w:lang w:val="en-GB"/>
        </w:rPr>
        <w:t xml:space="preserve"> </w:t>
      </w:r>
      <w:r w:rsidRPr="0056095D">
        <w:rPr>
          <w:b/>
          <w:bCs/>
          <w:lang w:val="en-GB"/>
        </w:rPr>
        <w:t>2020</w:t>
      </w:r>
      <w:r w:rsidRPr="0056095D">
        <w:rPr>
          <w:lang w:val="en-GB"/>
        </w:rPr>
        <w:t xml:space="preserve">, </w:t>
      </w:r>
      <w:r w:rsidRPr="0056095D">
        <w:rPr>
          <w:i/>
          <w:iCs/>
          <w:lang w:val="en-GB"/>
        </w:rPr>
        <w:t>30</w:t>
      </w:r>
      <w:r w:rsidRPr="0056095D">
        <w:rPr>
          <w:lang w:val="en-GB"/>
        </w:rPr>
        <w:t>, 4816–4827.</w:t>
      </w:r>
    </w:p>
    <w:p w14:paraId="0BE15255" w14:textId="77777777" w:rsidR="0056095D" w:rsidRPr="0056095D" w:rsidRDefault="0056095D" w:rsidP="0056095D">
      <w:pPr>
        <w:pStyle w:val="Bibliography"/>
        <w:rPr>
          <w:lang w:val="en-GB"/>
        </w:rPr>
      </w:pPr>
      <w:r w:rsidRPr="0056095D">
        <w:rPr>
          <w:lang w:val="en-GB"/>
        </w:rPr>
        <w:t xml:space="preserve">194. </w:t>
      </w:r>
      <w:r w:rsidRPr="0056095D">
        <w:rPr>
          <w:lang w:val="en-GB"/>
        </w:rPr>
        <w:tab/>
        <w:t xml:space="preserve">Barone, S.; Cannella, R.; Comelli, A.; Pellegrino, A.; Salvaggio, G.; Stefano, A.; Vernuccio, F. Hybrid Descriptive-Inferential Method for Key Feature Selection in Prostate Cancer Radiomics. </w:t>
      </w:r>
      <w:r w:rsidRPr="0056095D">
        <w:rPr>
          <w:i/>
          <w:iCs/>
          <w:lang w:val="en-GB"/>
        </w:rPr>
        <w:t>Applied Stochastic Models in Business and Industry</w:t>
      </w:r>
      <w:r w:rsidRPr="0056095D">
        <w:rPr>
          <w:lang w:val="en-GB"/>
        </w:rPr>
        <w:t xml:space="preserve"> </w:t>
      </w:r>
      <w:r w:rsidRPr="0056095D">
        <w:rPr>
          <w:b/>
          <w:bCs/>
          <w:lang w:val="en-GB"/>
        </w:rPr>
        <w:t>2021</w:t>
      </w:r>
      <w:r w:rsidRPr="0056095D">
        <w:rPr>
          <w:lang w:val="en-GB"/>
        </w:rPr>
        <w:t xml:space="preserve">, </w:t>
      </w:r>
      <w:r w:rsidRPr="0056095D">
        <w:rPr>
          <w:i/>
          <w:iCs/>
          <w:lang w:val="en-GB"/>
        </w:rPr>
        <w:t>37</w:t>
      </w:r>
      <w:r w:rsidRPr="0056095D">
        <w:rPr>
          <w:lang w:val="en-GB"/>
        </w:rPr>
        <w:t>, 961–972, doi:10.1002/asmb.2642.</w:t>
      </w:r>
    </w:p>
    <w:p w14:paraId="5E203050" w14:textId="77777777" w:rsidR="0056095D" w:rsidRPr="0056095D" w:rsidRDefault="0056095D" w:rsidP="0056095D">
      <w:pPr>
        <w:pStyle w:val="Bibliography"/>
        <w:rPr>
          <w:lang w:val="en-GB"/>
        </w:rPr>
      </w:pPr>
      <w:r w:rsidRPr="0056095D">
        <w:rPr>
          <w:lang w:val="en-GB"/>
        </w:rPr>
        <w:t xml:space="preserve">195. </w:t>
      </w:r>
      <w:r w:rsidRPr="0056095D">
        <w:rPr>
          <w:lang w:val="en-GB"/>
        </w:rPr>
        <w:tab/>
        <w:t xml:space="preserve">Alongi, P.; Laudicella, R.; Stefano, A.; Caobelli, F.; Comelli, A.; Vento, A.; Sardina, D.; Ganduscio, G.; Toia, P.; Ceci, F. Choline PET/CT Features to Predict Survival Outcome in High-Risk Prostate Cancer Restaging: A Preliminary Machine-Learning Radiomics Study. </w:t>
      </w:r>
      <w:r w:rsidRPr="0056095D">
        <w:rPr>
          <w:i/>
          <w:iCs/>
          <w:lang w:val="en-GB"/>
        </w:rPr>
        <w:t>The quarterly journal of nuclear medicine and molecular imaging: official publication of the Italian Association of Nuclear Medicine (AIMN)[and] the International Association of Radiopharmacology (IAR),[and] Section of the Society of...</w:t>
      </w:r>
      <w:r w:rsidRPr="0056095D">
        <w:rPr>
          <w:lang w:val="en-GB"/>
        </w:rPr>
        <w:t xml:space="preserve"> </w:t>
      </w:r>
      <w:r w:rsidRPr="0056095D">
        <w:rPr>
          <w:b/>
          <w:bCs/>
          <w:lang w:val="en-GB"/>
        </w:rPr>
        <w:t>2020</w:t>
      </w:r>
      <w:r w:rsidRPr="0056095D">
        <w:rPr>
          <w:lang w:val="en-GB"/>
        </w:rPr>
        <w:t xml:space="preserve">, </w:t>
      </w:r>
      <w:r w:rsidRPr="0056095D">
        <w:rPr>
          <w:i/>
          <w:iCs/>
          <w:lang w:val="en-GB"/>
        </w:rPr>
        <w:t>66</w:t>
      </w:r>
      <w:r w:rsidRPr="0056095D">
        <w:rPr>
          <w:lang w:val="en-GB"/>
        </w:rPr>
        <w:t>, 352–360.</w:t>
      </w:r>
    </w:p>
    <w:p w14:paraId="13EA5810" w14:textId="77777777" w:rsidR="0056095D" w:rsidRPr="0056095D" w:rsidRDefault="0056095D" w:rsidP="0056095D">
      <w:pPr>
        <w:pStyle w:val="Bibliography"/>
        <w:rPr>
          <w:lang w:val="en-GB"/>
        </w:rPr>
      </w:pPr>
      <w:r w:rsidRPr="00A417B6">
        <w:rPr>
          <w:lang w:val="it-IT"/>
        </w:rPr>
        <w:t xml:space="preserve">196. </w:t>
      </w:r>
      <w:r w:rsidRPr="00A417B6">
        <w:rPr>
          <w:lang w:val="it-IT"/>
        </w:rPr>
        <w:tab/>
        <w:t xml:space="preserve">Comelli, A.; Stefano, A.; Coronnello, C.; Russo, G.; Vernuccio, F.; Cannella, R.; Salvaggio, G.; Lagalla, R.; Barone, S. Radiomics: A New Biomedical Workflow to Create a Predictive Model. </w:t>
      </w:r>
      <w:r w:rsidRPr="0056095D">
        <w:rPr>
          <w:lang w:val="en-GB"/>
        </w:rPr>
        <w:t>In Proceedings of the Medical Image Understanding and Analysis; Papież, B.W., Namburete, A.I.L., Yaqub, M., Noble, J.A., Eds.; Springer International Publishing: Cham, 2020; pp. 280–293.</w:t>
      </w:r>
    </w:p>
    <w:p w14:paraId="20411FFA" w14:textId="77777777" w:rsidR="0056095D" w:rsidRPr="0056095D" w:rsidRDefault="0056095D" w:rsidP="0056095D">
      <w:pPr>
        <w:pStyle w:val="Bibliography"/>
        <w:rPr>
          <w:lang w:val="en-GB"/>
        </w:rPr>
      </w:pPr>
      <w:r w:rsidRPr="0056095D">
        <w:rPr>
          <w:lang w:val="en-GB"/>
        </w:rPr>
        <w:t xml:space="preserve">197. </w:t>
      </w:r>
      <w:r w:rsidRPr="0056095D">
        <w:rPr>
          <w:lang w:val="en-GB"/>
        </w:rPr>
        <w:tab/>
        <w:t>Cairone, L.; Benfante, V.; Bignardi, S.; Marinozzi, F.; Yezzi, A.; Tuttolomondo, A.; Salvaggio, G.; Bini, F.; Comelli, A. Robustness of Radiomics Features to Varying Segmentation Algorithms in Magnetic Resonance Images. In Proceedings of the Image Analysis and Processing. ICIAP 2022 Workshops; Mazzeo, P.L., Frontoni, E., Sclaroff, S., Distante, C., Eds.; Springer International Publishing: Cham, 2022; pp. 462–472.</w:t>
      </w:r>
    </w:p>
    <w:p w14:paraId="7D747C34" w14:textId="77777777" w:rsidR="0056095D" w:rsidRPr="00A417B6" w:rsidRDefault="0056095D" w:rsidP="0056095D">
      <w:pPr>
        <w:pStyle w:val="Bibliography"/>
        <w:rPr>
          <w:lang w:val="it-IT"/>
        </w:rPr>
      </w:pPr>
      <w:r w:rsidRPr="00A417B6">
        <w:rPr>
          <w:lang w:val="it-IT"/>
        </w:rPr>
        <w:lastRenderedPageBreak/>
        <w:t xml:space="preserve">198. </w:t>
      </w:r>
      <w:r w:rsidRPr="00A417B6">
        <w:rPr>
          <w:lang w:val="it-IT"/>
        </w:rPr>
        <w:tab/>
        <w:t xml:space="preserve">Vernuccio, F.; Cannella, R.; Comelli, A.; Salvaggio, G.; Lagalla, R.; Midiri, M. Radiomics and Artificial Intelligence: New Frontiers in Medicine. </w:t>
      </w:r>
      <w:r w:rsidRPr="00A417B6">
        <w:rPr>
          <w:i/>
          <w:iCs/>
          <w:lang w:val="it-IT"/>
        </w:rPr>
        <w:t>Recenti Progressi in Medicina</w:t>
      </w:r>
      <w:r w:rsidRPr="00A417B6">
        <w:rPr>
          <w:lang w:val="it-IT"/>
        </w:rPr>
        <w:t xml:space="preserve"> </w:t>
      </w:r>
      <w:r w:rsidRPr="00A417B6">
        <w:rPr>
          <w:b/>
          <w:bCs/>
          <w:lang w:val="it-IT"/>
        </w:rPr>
        <w:t>2020</w:t>
      </w:r>
      <w:r w:rsidRPr="00A417B6">
        <w:rPr>
          <w:lang w:val="it-IT"/>
        </w:rPr>
        <w:t xml:space="preserve">, </w:t>
      </w:r>
      <w:r w:rsidRPr="00A417B6">
        <w:rPr>
          <w:i/>
          <w:iCs/>
          <w:lang w:val="it-IT"/>
        </w:rPr>
        <w:t>111</w:t>
      </w:r>
      <w:r w:rsidRPr="00A417B6">
        <w:rPr>
          <w:lang w:val="it-IT"/>
        </w:rPr>
        <w:t>, 130–135.</w:t>
      </w:r>
    </w:p>
    <w:p w14:paraId="78CDD48B" w14:textId="77777777" w:rsidR="0056095D" w:rsidRPr="00A417B6" w:rsidRDefault="0056095D" w:rsidP="0056095D">
      <w:pPr>
        <w:pStyle w:val="Bibliography"/>
        <w:rPr>
          <w:lang w:val="it-IT"/>
        </w:rPr>
      </w:pPr>
      <w:r w:rsidRPr="00A417B6">
        <w:rPr>
          <w:lang w:val="it-IT"/>
        </w:rPr>
        <w:t xml:space="preserve">199. </w:t>
      </w:r>
      <w:r w:rsidRPr="00A417B6">
        <w:rPr>
          <w:lang w:val="it-IT"/>
        </w:rPr>
        <w:tab/>
        <w:t xml:space="preserve">Panebianco, V.; De Berardinis, E.; Barchetti, G.; Simone, G.; Leonardo, C.; Grompone, M.D.; Del Monte, M.; Carano, D.; Gallucci, M.; Catto, J.; et al. </w:t>
      </w:r>
      <w:r w:rsidRPr="0056095D">
        <w:rPr>
          <w:lang w:val="en-GB"/>
        </w:rPr>
        <w:t xml:space="preserve">An Evaluation of Morphological and Functional Multi-Parametric MRI Sequences in Classifying Non-Muscle and Muscle Invasive Bladder Cancer. </w:t>
      </w:r>
      <w:r w:rsidRPr="00A417B6">
        <w:rPr>
          <w:i/>
          <w:iCs/>
          <w:lang w:val="it-IT"/>
        </w:rPr>
        <w:t>European Radiology</w:t>
      </w:r>
      <w:r w:rsidRPr="00A417B6">
        <w:rPr>
          <w:lang w:val="it-IT"/>
        </w:rPr>
        <w:t xml:space="preserve"> </w:t>
      </w:r>
      <w:r w:rsidRPr="00A417B6">
        <w:rPr>
          <w:b/>
          <w:bCs/>
          <w:lang w:val="it-IT"/>
        </w:rPr>
        <w:t>2017</w:t>
      </w:r>
      <w:r w:rsidRPr="00A417B6">
        <w:rPr>
          <w:lang w:val="it-IT"/>
        </w:rPr>
        <w:t xml:space="preserve">, </w:t>
      </w:r>
      <w:r w:rsidRPr="00A417B6">
        <w:rPr>
          <w:i/>
          <w:iCs/>
          <w:lang w:val="it-IT"/>
        </w:rPr>
        <w:t>27</w:t>
      </w:r>
      <w:r w:rsidRPr="00A417B6">
        <w:rPr>
          <w:lang w:val="it-IT"/>
        </w:rPr>
        <w:t>, 3759–3766, doi:10.1007/s00330-017-4758-3.</w:t>
      </w:r>
    </w:p>
    <w:p w14:paraId="0B5FC9DE" w14:textId="77777777" w:rsidR="0056095D" w:rsidRPr="0056095D" w:rsidRDefault="0056095D" w:rsidP="0056095D">
      <w:pPr>
        <w:pStyle w:val="Bibliography"/>
        <w:rPr>
          <w:lang w:val="en-GB"/>
        </w:rPr>
      </w:pPr>
      <w:r w:rsidRPr="00A417B6">
        <w:rPr>
          <w:lang w:val="it-IT"/>
        </w:rPr>
        <w:t xml:space="preserve">200. </w:t>
      </w:r>
      <w:r w:rsidRPr="00A417B6">
        <w:rPr>
          <w:lang w:val="it-IT"/>
        </w:rPr>
        <w:tab/>
        <w:t xml:space="preserve">Alongi, P.; Stefano, A.; Comelli, A.; Spataro, A.; Formica, G.; Laudicella, R.; Lanzafame, H.; Panasiti, F.; Longo, C.; Midiri, F.; et al. </w:t>
      </w:r>
      <w:r w:rsidRPr="0056095D">
        <w:rPr>
          <w:lang w:val="en-GB"/>
        </w:rPr>
        <w:t xml:space="preserve">Artificial Intelligence Applications on Restaging [18F]FDG PET/CT in Metastatic Colorectal Cancer: A Preliminary Report of Morpho-Functional Radiomics Classification for Prediction of Disease Outcome. </w:t>
      </w:r>
      <w:r w:rsidRPr="0056095D">
        <w:rPr>
          <w:i/>
          <w:iCs/>
          <w:lang w:val="en-GB"/>
        </w:rPr>
        <w:t>Applied Sciences</w:t>
      </w:r>
      <w:r w:rsidRPr="0056095D">
        <w:rPr>
          <w:lang w:val="en-GB"/>
        </w:rPr>
        <w:t xml:space="preserve"> </w:t>
      </w:r>
      <w:r w:rsidRPr="0056095D">
        <w:rPr>
          <w:b/>
          <w:bCs/>
          <w:lang w:val="en-GB"/>
        </w:rPr>
        <w:t>2022</w:t>
      </w:r>
      <w:r w:rsidRPr="0056095D">
        <w:rPr>
          <w:lang w:val="en-GB"/>
        </w:rPr>
        <w:t xml:space="preserve">, </w:t>
      </w:r>
      <w:r w:rsidRPr="0056095D">
        <w:rPr>
          <w:i/>
          <w:iCs/>
          <w:lang w:val="en-GB"/>
        </w:rPr>
        <w:t>12</w:t>
      </w:r>
      <w:r w:rsidRPr="0056095D">
        <w:rPr>
          <w:lang w:val="en-GB"/>
        </w:rPr>
        <w:t>, doi:10.3390/app12062941.</w:t>
      </w:r>
    </w:p>
    <w:p w14:paraId="74CFF661" w14:textId="77777777" w:rsidR="0056095D" w:rsidRPr="0056095D" w:rsidRDefault="0056095D" w:rsidP="0056095D">
      <w:pPr>
        <w:pStyle w:val="Bibliography"/>
        <w:rPr>
          <w:lang w:val="en-GB"/>
        </w:rPr>
      </w:pPr>
      <w:r w:rsidRPr="0056095D">
        <w:rPr>
          <w:lang w:val="en-GB"/>
        </w:rPr>
        <w:t xml:space="preserve">201. </w:t>
      </w:r>
      <w:r w:rsidRPr="0056095D">
        <w:rPr>
          <w:lang w:val="en-GB"/>
        </w:rPr>
        <w:tab/>
        <w:t>Comelli, A.; Stefano, A.; Bignardi, S.; Coronnello, C.; Russo, G.; Sabini, M.G.; Ippolito, M.; Yezzi, A. Tissue Classification to Support Local Active Delineation of Brain Tumors. In Proceedings of the Medical Image Understanding and Analysis; Zheng, Y., Williams, B.M., Chen, K., Eds.; Springer International Publishing: Cham, 2020; pp. 3–14.</w:t>
      </w:r>
    </w:p>
    <w:p w14:paraId="692BD1EF" w14:textId="77777777" w:rsidR="0056095D" w:rsidRPr="0056095D" w:rsidRDefault="0056095D" w:rsidP="0056095D">
      <w:pPr>
        <w:pStyle w:val="Bibliography"/>
        <w:rPr>
          <w:lang w:val="en-GB"/>
        </w:rPr>
      </w:pPr>
      <w:r w:rsidRPr="0056095D">
        <w:rPr>
          <w:lang w:val="en-GB"/>
        </w:rPr>
        <w:t xml:space="preserve">202. </w:t>
      </w:r>
      <w:r w:rsidRPr="0056095D">
        <w:rPr>
          <w:lang w:val="en-GB"/>
        </w:rPr>
        <w:tab/>
        <w:t xml:space="preserve">Agnello, L.; Comelli, A.; Ardizzone, E.; Vitabile, S. Unsupervised Tissue Classification of Brain MR Images for Voxel-Based Morphometry Analysis. </w:t>
      </w:r>
      <w:r w:rsidRPr="0056095D">
        <w:rPr>
          <w:i/>
          <w:iCs/>
          <w:lang w:val="en-GB"/>
        </w:rPr>
        <w:t>International Journal of Imaging Systems and Technology</w:t>
      </w:r>
      <w:r w:rsidRPr="0056095D">
        <w:rPr>
          <w:lang w:val="en-GB"/>
        </w:rPr>
        <w:t xml:space="preserve"> </w:t>
      </w:r>
      <w:r w:rsidRPr="0056095D">
        <w:rPr>
          <w:b/>
          <w:bCs/>
          <w:lang w:val="en-GB"/>
        </w:rPr>
        <w:t>2016</w:t>
      </w:r>
      <w:r w:rsidRPr="0056095D">
        <w:rPr>
          <w:lang w:val="en-GB"/>
        </w:rPr>
        <w:t xml:space="preserve">, </w:t>
      </w:r>
      <w:r w:rsidRPr="0056095D">
        <w:rPr>
          <w:i/>
          <w:iCs/>
          <w:lang w:val="en-GB"/>
        </w:rPr>
        <w:t>26</w:t>
      </w:r>
      <w:r w:rsidRPr="0056095D">
        <w:rPr>
          <w:lang w:val="en-GB"/>
        </w:rPr>
        <w:t>, 136–150, doi:10.1002/ima.22168.</w:t>
      </w:r>
    </w:p>
    <w:p w14:paraId="5121B0D7" w14:textId="77777777" w:rsidR="0056095D" w:rsidRPr="0056095D" w:rsidRDefault="0056095D" w:rsidP="0056095D">
      <w:pPr>
        <w:pStyle w:val="Bibliography"/>
        <w:rPr>
          <w:lang w:val="en-GB"/>
        </w:rPr>
      </w:pPr>
      <w:r w:rsidRPr="0056095D">
        <w:rPr>
          <w:lang w:val="en-GB"/>
        </w:rPr>
        <w:t xml:space="preserve">203. </w:t>
      </w:r>
      <w:r w:rsidRPr="0056095D">
        <w:rPr>
          <w:lang w:val="en-GB"/>
        </w:rPr>
        <w:tab/>
        <w:t xml:space="preserve">Kim, Y.-Y.; Lee, S.; Kim, M.-J.; Kang, B.-C.; Dhakal, H.; Choi, Y.-A.; Park, P.-H.; Choi, H.; Shin, T.-Y.; Choi, H.G.; et al. Tyrosol Attenuates Lipopolysaccharide-Induced Acute Lung Injury by Inhibiting the Inflammatory Response and Maintaining the Alveolar Capillary Barrier. </w:t>
      </w:r>
      <w:r w:rsidRPr="0056095D">
        <w:rPr>
          <w:i/>
          <w:iCs/>
          <w:lang w:val="en-GB"/>
        </w:rPr>
        <w:t>Food and Chemical Toxicology</w:t>
      </w:r>
      <w:r w:rsidRPr="0056095D">
        <w:rPr>
          <w:lang w:val="en-GB"/>
        </w:rPr>
        <w:t xml:space="preserve"> </w:t>
      </w:r>
      <w:r w:rsidRPr="0056095D">
        <w:rPr>
          <w:b/>
          <w:bCs/>
          <w:lang w:val="en-GB"/>
        </w:rPr>
        <w:t>2017</w:t>
      </w:r>
      <w:r w:rsidRPr="0056095D">
        <w:rPr>
          <w:lang w:val="en-GB"/>
        </w:rPr>
        <w:t xml:space="preserve">, </w:t>
      </w:r>
      <w:r w:rsidRPr="0056095D">
        <w:rPr>
          <w:i/>
          <w:iCs/>
          <w:lang w:val="en-GB"/>
        </w:rPr>
        <w:t>109</w:t>
      </w:r>
      <w:r w:rsidRPr="0056095D">
        <w:rPr>
          <w:lang w:val="en-GB"/>
        </w:rPr>
        <w:t>, 526–533, doi:10.1016/j.fct.2017.09.053.</w:t>
      </w:r>
    </w:p>
    <w:p w14:paraId="1489FAFB" w14:textId="77777777" w:rsidR="0056095D" w:rsidRPr="0056095D" w:rsidRDefault="0056095D" w:rsidP="0056095D">
      <w:pPr>
        <w:pStyle w:val="Bibliography"/>
        <w:rPr>
          <w:lang w:val="en-GB"/>
        </w:rPr>
      </w:pPr>
      <w:r w:rsidRPr="007F381F">
        <w:t xml:space="preserve">204. </w:t>
      </w:r>
      <w:r w:rsidRPr="007F381F">
        <w:tab/>
        <w:t xml:space="preserve">Luo, G.; Huang, Y.; Mo, D.; Ma, N.; Gao, F.; Song, L.; Sun, X.; Xu, X.; Liu, L.; Huo, X.; et al. </w:t>
      </w:r>
      <w:r w:rsidRPr="0056095D">
        <w:rPr>
          <w:lang w:val="en-GB"/>
        </w:rPr>
        <w:t xml:space="preserve">Tyrosol Attenuates Pro-Inflammatory Cytokines from Cultured Astrocytes and NF-κB Activation in in Vitro Oxygen Glucose Deprivation. </w:t>
      </w:r>
      <w:r w:rsidRPr="0056095D">
        <w:rPr>
          <w:i/>
          <w:iCs/>
          <w:lang w:val="en-GB"/>
        </w:rPr>
        <w:t>Neurochemistry International</w:t>
      </w:r>
      <w:r w:rsidRPr="0056095D">
        <w:rPr>
          <w:lang w:val="en-GB"/>
        </w:rPr>
        <w:t xml:space="preserve"> </w:t>
      </w:r>
      <w:r w:rsidRPr="0056095D">
        <w:rPr>
          <w:b/>
          <w:bCs/>
          <w:lang w:val="en-GB"/>
        </w:rPr>
        <w:t>2018</w:t>
      </w:r>
      <w:r w:rsidRPr="0056095D">
        <w:rPr>
          <w:lang w:val="en-GB"/>
        </w:rPr>
        <w:t xml:space="preserve">, </w:t>
      </w:r>
      <w:r w:rsidRPr="0056095D">
        <w:rPr>
          <w:i/>
          <w:iCs/>
          <w:lang w:val="en-GB"/>
        </w:rPr>
        <w:t>121</w:t>
      </w:r>
      <w:r w:rsidRPr="0056095D">
        <w:rPr>
          <w:lang w:val="en-GB"/>
        </w:rPr>
        <w:t>, 140–145, doi:10.1016/j.neuint.2018.10.006.</w:t>
      </w:r>
    </w:p>
    <w:p w14:paraId="0C6E1E9E" w14:textId="77777777" w:rsidR="0056095D" w:rsidRPr="0056095D" w:rsidRDefault="0056095D" w:rsidP="0056095D">
      <w:pPr>
        <w:pStyle w:val="Bibliography"/>
        <w:rPr>
          <w:lang w:val="en-GB"/>
        </w:rPr>
      </w:pPr>
      <w:r w:rsidRPr="0056095D">
        <w:rPr>
          <w:lang w:val="en-GB"/>
        </w:rPr>
        <w:t xml:space="preserve">205. </w:t>
      </w:r>
      <w:r w:rsidRPr="0056095D">
        <w:rPr>
          <w:lang w:val="en-GB"/>
        </w:rPr>
        <w:tab/>
        <w:t xml:space="preserve">Scotece, M.; Gómez, R.; Conde, J.; Lopez, V.; Gómez-Reino, J.J.; Lago, F.; Smith, A.B.; Gualillo, O. Further Evidence for the Anti-Inflammatory Activity of Oleocanthal: Inhibition of MIP-1α and IL-6 in J774 Macrophages and in ATDC5 Chondrocytes. </w:t>
      </w:r>
      <w:r w:rsidRPr="0056095D">
        <w:rPr>
          <w:i/>
          <w:iCs/>
          <w:lang w:val="en-GB"/>
        </w:rPr>
        <w:t>Life Sciences</w:t>
      </w:r>
      <w:r w:rsidRPr="0056095D">
        <w:rPr>
          <w:lang w:val="en-GB"/>
        </w:rPr>
        <w:t xml:space="preserve"> </w:t>
      </w:r>
      <w:r w:rsidRPr="0056095D">
        <w:rPr>
          <w:b/>
          <w:bCs/>
          <w:lang w:val="en-GB"/>
        </w:rPr>
        <w:t>2012</w:t>
      </w:r>
      <w:r w:rsidRPr="0056095D">
        <w:rPr>
          <w:lang w:val="en-GB"/>
        </w:rPr>
        <w:t xml:space="preserve">, </w:t>
      </w:r>
      <w:r w:rsidRPr="0056095D">
        <w:rPr>
          <w:i/>
          <w:iCs/>
          <w:lang w:val="en-GB"/>
        </w:rPr>
        <w:t>91</w:t>
      </w:r>
      <w:r w:rsidRPr="0056095D">
        <w:rPr>
          <w:lang w:val="en-GB"/>
        </w:rPr>
        <w:t>, 1229–1235, doi:10.1016/j.lfs.2012.09.012.</w:t>
      </w:r>
    </w:p>
    <w:p w14:paraId="7799460C" w14:textId="77777777" w:rsidR="0056095D" w:rsidRPr="0056095D" w:rsidRDefault="0056095D" w:rsidP="0056095D">
      <w:pPr>
        <w:pStyle w:val="Bibliography"/>
        <w:rPr>
          <w:lang w:val="en-GB"/>
        </w:rPr>
      </w:pPr>
      <w:r w:rsidRPr="0056095D">
        <w:rPr>
          <w:lang w:val="en-GB"/>
        </w:rPr>
        <w:t xml:space="preserve">206. </w:t>
      </w:r>
      <w:r w:rsidRPr="0056095D">
        <w:rPr>
          <w:lang w:val="en-GB"/>
        </w:rPr>
        <w:tab/>
        <w:t xml:space="preserve">Castejón, M.L.; Rosillo, M.Á.; Montoya, T.; González-Benjumea, A.; Fernández-Bolaños, J.M.; Alarcón-de-la-Lastra, C. Oleuropein Down-Regulated IL-1β-Induced Inflammation and Oxidative Stress in Human Synovial Fibroblast Cell Line SW982. </w:t>
      </w:r>
      <w:r w:rsidRPr="0056095D">
        <w:rPr>
          <w:i/>
          <w:iCs/>
          <w:lang w:val="en-GB"/>
        </w:rPr>
        <w:t>Food Funct.</w:t>
      </w:r>
      <w:r w:rsidRPr="0056095D">
        <w:rPr>
          <w:lang w:val="en-GB"/>
        </w:rPr>
        <w:t xml:space="preserve"> </w:t>
      </w:r>
      <w:r w:rsidRPr="0056095D">
        <w:rPr>
          <w:b/>
          <w:bCs/>
          <w:lang w:val="en-GB"/>
        </w:rPr>
        <w:t>2017</w:t>
      </w:r>
      <w:r w:rsidRPr="0056095D">
        <w:rPr>
          <w:lang w:val="en-GB"/>
        </w:rPr>
        <w:t xml:space="preserve">, </w:t>
      </w:r>
      <w:r w:rsidRPr="0056095D">
        <w:rPr>
          <w:i/>
          <w:iCs/>
          <w:lang w:val="en-GB"/>
        </w:rPr>
        <w:t>8</w:t>
      </w:r>
      <w:r w:rsidRPr="0056095D">
        <w:rPr>
          <w:lang w:val="en-GB"/>
        </w:rPr>
        <w:t>, 1890–1898, doi:10.1039/C7FO00210F.</w:t>
      </w:r>
    </w:p>
    <w:p w14:paraId="4E213278" w14:textId="77777777" w:rsidR="0056095D" w:rsidRPr="0056095D" w:rsidRDefault="0056095D" w:rsidP="0056095D">
      <w:pPr>
        <w:pStyle w:val="Bibliography"/>
        <w:rPr>
          <w:lang w:val="en-GB"/>
        </w:rPr>
      </w:pPr>
      <w:r w:rsidRPr="0056095D">
        <w:rPr>
          <w:lang w:val="en-GB"/>
        </w:rPr>
        <w:t xml:space="preserve">207. </w:t>
      </w:r>
      <w:r w:rsidRPr="0056095D">
        <w:rPr>
          <w:lang w:val="en-GB"/>
        </w:rPr>
        <w:tab/>
        <w:t xml:space="preserve">Kronski, E.; Fiori, M.E.; Barbieri, O.; Astigiano, S.; Mirisola, V.; Killian, P.H.; Bruno, A.; Pagani, A.; Rovera, F.; Pfeffer, U.; et al. miR181b Is Induced by the Chemopreventive Polyphenol Curcumin and Inhibits Breast Cancer Metastasis via Down-Regulation of the Inflammatory Cytokines CXCL1 and -2. </w:t>
      </w:r>
      <w:r w:rsidRPr="0056095D">
        <w:rPr>
          <w:i/>
          <w:iCs/>
          <w:lang w:val="en-GB"/>
        </w:rPr>
        <w:t>Molecular Oncology</w:t>
      </w:r>
      <w:r w:rsidRPr="0056095D">
        <w:rPr>
          <w:lang w:val="en-GB"/>
        </w:rPr>
        <w:t xml:space="preserve"> </w:t>
      </w:r>
      <w:r w:rsidRPr="0056095D">
        <w:rPr>
          <w:b/>
          <w:bCs/>
          <w:lang w:val="en-GB"/>
        </w:rPr>
        <w:t>2014</w:t>
      </w:r>
      <w:r w:rsidRPr="0056095D">
        <w:rPr>
          <w:lang w:val="en-GB"/>
        </w:rPr>
        <w:t xml:space="preserve">, </w:t>
      </w:r>
      <w:r w:rsidRPr="0056095D">
        <w:rPr>
          <w:i/>
          <w:iCs/>
          <w:lang w:val="en-GB"/>
        </w:rPr>
        <w:t>8</w:t>
      </w:r>
      <w:r w:rsidRPr="0056095D">
        <w:rPr>
          <w:lang w:val="en-GB"/>
        </w:rPr>
        <w:t>, 581–595, doi:https://doi.org/10.1016/j.molonc.2014.01.005.</w:t>
      </w:r>
    </w:p>
    <w:p w14:paraId="6A9A0606" w14:textId="77777777" w:rsidR="0056095D" w:rsidRPr="0056095D" w:rsidRDefault="0056095D" w:rsidP="0056095D">
      <w:pPr>
        <w:pStyle w:val="Bibliography"/>
        <w:rPr>
          <w:lang w:val="en-GB"/>
        </w:rPr>
      </w:pPr>
      <w:r w:rsidRPr="0056095D">
        <w:rPr>
          <w:lang w:val="en-GB"/>
        </w:rPr>
        <w:t xml:space="preserve">208. </w:t>
      </w:r>
      <w:r w:rsidRPr="0056095D">
        <w:rPr>
          <w:lang w:val="en-GB"/>
        </w:rPr>
        <w:tab/>
        <w:t xml:space="preserve">Zhang, Y.; Wang, G.; Wang, T.; Cao, W.; Zhang, L.; Chen, X. Nrf2–Keap1 Pathway–Mediated Effects of Resveratrol on Oxidative Stress and Apoptosis in Hydrogen Peroxide–Treated Rheumatoid Arthritis Fibroblast‐like Synoviocytes. </w:t>
      </w:r>
      <w:r w:rsidRPr="0056095D">
        <w:rPr>
          <w:i/>
          <w:iCs/>
          <w:lang w:val="en-GB"/>
        </w:rPr>
        <w:t>Ann. N.Y. Acad. Sci.</w:t>
      </w:r>
      <w:r w:rsidRPr="0056095D">
        <w:rPr>
          <w:lang w:val="en-GB"/>
        </w:rPr>
        <w:t xml:space="preserve"> </w:t>
      </w:r>
      <w:r w:rsidRPr="0056095D">
        <w:rPr>
          <w:b/>
          <w:bCs/>
          <w:lang w:val="en-GB"/>
        </w:rPr>
        <w:t>2019</w:t>
      </w:r>
      <w:r w:rsidRPr="0056095D">
        <w:rPr>
          <w:lang w:val="en-GB"/>
        </w:rPr>
        <w:t xml:space="preserve">, </w:t>
      </w:r>
      <w:r w:rsidRPr="0056095D">
        <w:rPr>
          <w:i/>
          <w:iCs/>
          <w:lang w:val="en-GB"/>
        </w:rPr>
        <w:t>1457</w:t>
      </w:r>
      <w:r w:rsidRPr="0056095D">
        <w:rPr>
          <w:lang w:val="en-GB"/>
        </w:rPr>
        <w:t>, 166–178, doi:10.1111/nyas.14196.</w:t>
      </w:r>
    </w:p>
    <w:p w14:paraId="31E60B9E" w14:textId="77777777" w:rsidR="0056095D" w:rsidRPr="0056095D" w:rsidRDefault="0056095D" w:rsidP="0056095D">
      <w:pPr>
        <w:pStyle w:val="Bibliography"/>
        <w:rPr>
          <w:lang w:val="en-GB"/>
        </w:rPr>
      </w:pPr>
      <w:r w:rsidRPr="0056095D">
        <w:rPr>
          <w:lang w:val="en-GB"/>
        </w:rPr>
        <w:lastRenderedPageBreak/>
        <w:t xml:space="preserve">209. </w:t>
      </w:r>
      <w:r w:rsidRPr="0056095D">
        <w:rPr>
          <w:lang w:val="en-GB"/>
        </w:rPr>
        <w:tab/>
        <w:t xml:space="preserve">Nakayama, H.; Yaguchi, T.; Yoshiya, S.; Nishizaki, T. Resveratrol Induces Apoptosis MH7A Human Rheumatoid Arthritis Synovial Cells in a Sirtuin 1-Dependent Manner. </w:t>
      </w:r>
      <w:r w:rsidRPr="0056095D">
        <w:rPr>
          <w:i/>
          <w:iCs/>
          <w:lang w:val="en-GB"/>
        </w:rPr>
        <w:t>Rheumatol Int</w:t>
      </w:r>
      <w:r w:rsidRPr="0056095D">
        <w:rPr>
          <w:lang w:val="en-GB"/>
        </w:rPr>
        <w:t xml:space="preserve"> </w:t>
      </w:r>
      <w:r w:rsidRPr="0056095D">
        <w:rPr>
          <w:b/>
          <w:bCs/>
          <w:lang w:val="en-GB"/>
        </w:rPr>
        <w:t>2012</w:t>
      </w:r>
      <w:r w:rsidRPr="0056095D">
        <w:rPr>
          <w:lang w:val="en-GB"/>
        </w:rPr>
        <w:t xml:space="preserve">, </w:t>
      </w:r>
      <w:r w:rsidRPr="0056095D">
        <w:rPr>
          <w:i/>
          <w:iCs/>
          <w:lang w:val="en-GB"/>
        </w:rPr>
        <w:t>32</w:t>
      </w:r>
      <w:r w:rsidRPr="0056095D">
        <w:rPr>
          <w:lang w:val="en-GB"/>
        </w:rPr>
        <w:t>, 151–157, doi:10.1007/s00296-010-1598-8.</w:t>
      </w:r>
    </w:p>
    <w:p w14:paraId="61587467" w14:textId="77777777" w:rsidR="0056095D" w:rsidRPr="0056095D" w:rsidRDefault="0056095D" w:rsidP="0056095D">
      <w:pPr>
        <w:pStyle w:val="Bibliography"/>
        <w:rPr>
          <w:lang w:val="en-GB"/>
        </w:rPr>
      </w:pPr>
      <w:r w:rsidRPr="0056095D">
        <w:rPr>
          <w:lang w:val="en-GB"/>
        </w:rPr>
        <w:t xml:space="preserve">210. </w:t>
      </w:r>
      <w:r w:rsidRPr="0056095D">
        <w:rPr>
          <w:lang w:val="en-GB"/>
        </w:rPr>
        <w:tab/>
        <w:t xml:space="preserve">Wang, J.; Zhao, Q. Kaempferitrin Inhibits Proliferation, Induces Apoptosis, and Ameliorates Inflammation in Human Rheumatoid Arthritis Fibroblast‐like Synoviocytes. </w:t>
      </w:r>
      <w:r w:rsidRPr="0056095D">
        <w:rPr>
          <w:i/>
          <w:iCs/>
          <w:lang w:val="en-GB"/>
        </w:rPr>
        <w:t>Phytotherapy Research</w:t>
      </w:r>
      <w:r w:rsidRPr="0056095D">
        <w:rPr>
          <w:lang w:val="en-GB"/>
        </w:rPr>
        <w:t xml:space="preserve"> </w:t>
      </w:r>
      <w:r w:rsidRPr="0056095D">
        <w:rPr>
          <w:b/>
          <w:bCs/>
          <w:lang w:val="en-GB"/>
        </w:rPr>
        <w:t>2019</w:t>
      </w:r>
      <w:r w:rsidRPr="0056095D">
        <w:rPr>
          <w:lang w:val="en-GB"/>
        </w:rPr>
        <w:t xml:space="preserve">, </w:t>
      </w:r>
      <w:r w:rsidRPr="0056095D">
        <w:rPr>
          <w:i/>
          <w:iCs/>
          <w:lang w:val="en-GB"/>
        </w:rPr>
        <w:t>33</w:t>
      </w:r>
      <w:r w:rsidRPr="0056095D">
        <w:rPr>
          <w:lang w:val="en-GB"/>
        </w:rPr>
        <w:t>, 1726–1735, doi:10.1002/ptr.6364.</w:t>
      </w:r>
    </w:p>
    <w:p w14:paraId="1976829D" w14:textId="77777777" w:rsidR="0056095D" w:rsidRPr="0056095D" w:rsidRDefault="0056095D" w:rsidP="0056095D">
      <w:pPr>
        <w:pStyle w:val="Bibliography"/>
        <w:rPr>
          <w:lang w:val="en-GB"/>
        </w:rPr>
      </w:pPr>
      <w:r w:rsidRPr="0056095D">
        <w:rPr>
          <w:lang w:val="en-GB"/>
        </w:rPr>
        <w:t xml:space="preserve">211. </w:t>
      </w:r>
      <w:r w:rsidRPr="0056095D">
        <w:rPr>
          <w:lang w:val="en-GB"/>
        </w:rPr>
        <w:tab/>
        <w:t xml:space="preserve">Yoon, H.-Y.; Lee, E.-G.; Lee, H.; Cho, I.J.; Choi, Y.J.; Sung, M.-S.; Yoo, H.-G.; Yoo, W.-H. Kaempferol Inhibits IL-1β-Induced Proliferation of Rheumatoid Arthritis Synovial Fibroblasts and the Production of COX-2, PGE2 and MMPs. </w:t>
      </w:r>
      <w:r w:rsidRPr="0056095D">
        <w:rPr>
          <w:i/>
          <w:iCs/>
          <w:lang w:val="en-GB"/>
        </w:rPr>
        <w:t>International Journal of Molecular Medicine</w:t>
      </w:r>
      <w:r w:rsidRPr="0056095D">
        <w:rPr>
          <w:lang w:val="en-GB"/>
        </w:rPr>
        <w:t xml:space="preserve"> </w:t>
      </w:r>
      <w:r w:rsidRPr="0056095D">
        <w:rPr>
          <w:b/>
          <w:bCs/>
          <w:lang w:val="en-GB"/>
        </w:rPr>
        <w:t>2013</w:t>
      </w:r>
      <w:r w:rsidRPr="0056095D">
        <w:rPr>
          <w:lang w:val="en-GB"/>
        </w:rPr>
        <w:t xml:space="preserve">, </w:t>
      </w:r>
      <w:r w:rsidRPr="0056095D">
        <w:rPr>
          <w:i/>
          <w:iCs/>
          <w:lang w:val="en-GB"/>
        </w:rPr>
        <w:t>32</w:t>
      </w:r>
      <w:r w:rsidRPr="0056095D">
        <w:rPr>
          <w:lang w:val="en-GB"/>
        </w:rPr>
        <w:t>, 971–977, doi:10.3892/ijmm.2013.1468.</w:t>
      </w:r>
    </w:p>
    <w:p w14:paraId="727D89CA" w14:textId="77777777" w:rsidR="0056095D" w:rsidRPr="0056095D" w:rsidRDefault="0056095D" w:rsidP="0056095D">
      <w:pPr>
        <w:pStyle w:val="Bibliography"/>
        <w:rPr>
          <w:lang w:val="en-GB"/>
        </w:rPr>
      </w:pPr>
      <w:r w:rsidRPr="0056095D">
        <w:rPr>
          <w:lang w:val="en-GB"/>
        </w:rPr>
        <w:t xml:space="preserve">212. </w:t>
      </w:r>
      <w:r w:rsidRPr="0056095D">
        <w:rPr>
          <w:lang w:val="en-GB"/>
        </w:rPr>
        <w:tab/>
        <w:t xml:space="preserve">Yoon, C.-H.; Chung, S.-J.; Lee, S.-W.; Park, Y.-B.; Lee, S.-K.; Park, M.-C. Gallic Acid, a Natural Polyphenolic Acid, Induces Apoptosis and Inhibits Proinflammatory Gene Expressions in Rheumatoid Arthritis Fibroblast-like Synoviocytes. </w:t>
      </w:r>
      <w:r w:rsidRPr="0056095D">
        <w:rPr>
          <w:i/>
          <w:iCs/>
          <w:lang w:val="en-GB"/>
        </w:rPr>
        <w:t>Joint Bone Spine</w:t>
      </w:r>
      <w:r w:rsidRPr="0056095D">
        <w:rPr>
          <w:lang w:val="en-GB"/>
        </w:rPr>
        <w:t xml:space="preserve"> </w:t>
      </w:r>
      <w:r w:rsidRPr="0056095D">
        <w:rPr>
          <w:b/>
          <w:bCs/>
          <w:lang w:val="en-GB"/>
        </w:rPr>
        <w:t>2013</w:t>
      </w:r>
      <w:r w:rsidRPr="0056095D">
        <w:rPr>
          <w:lang w:val="en-GB"/>
        </w:rPr>
        <w:t xml:space="preserve">, </w:t>
      </w:r>
      <w:r w:rsidRPr="0056095D">
        <w:rPr>
          <w:i/>
          <w:iCs/>
          <w:lang w:val="en-GB"/>
        </w:rPr>
        <w:t>80</w:t>
      </w:r>
      <w:r w:rsidRPr="0056095D">
        <w:rPr>
          <w:lang w:val="en-GB"/>
        </w:rPr>
        <w:t>, 274–279, doi:10.1016/j.jbspin.2012.08.010.</w:t>
      </w:r>
    </w:p>
    <w:p w14:paraId="551BF288" w14:textId="77777777" w:rsidR="0056095D" w:rsidRPr="0056095D" w:rsidRDefault="0056095D" w:rsidP="0056095D">
      <w:pPr>
        <w:pStyle w:val="Bibliography"/>
        <w:rPr>
          <w:lang w:val="en-GB"/>
        </w:rPr>
      </w:pPr>
      <w:r w:rsidRPr="0056095D">
        <w:rPr>
          <w:lang w:val="en-GB"/>
        </w:rPr>
        <w:t xml:space="preserve">213. </w:t>
      </w:r>
      <w:r w:rsidRPr="0056095D">
        <w:rPr>
          <w:lang w:val="en-GB"/>
        </w:rPr>
        <w:tab/>
        <w:t xml:space="preserve">Sung, M.-S.; Lee, E.-G.; Jeon, H.-S.; Chae, H.-J.; Park, S.J.; Lee, Y.C.; Yoo, W.-H. Quercetin Inhibits IL-1β-Induced Proliferation and Production of MMPs, COX-2, and PGE2 by Rheumatoid Synovial Fibroblast. </w:t>
      </w:r>
      <w:r w:rsidRPr="0056095D">
        <w:rPr>
          <w:i/>
          <w:iCs/>
          <w:lang w:val="en-GB"/>
        </w:rPr>
        <w:t>Inflammation</w:t>
      </w:r>
      <w:r w:rsidRPr="0056095D">
        <w:rPr>
          <w:lang w:val="en-GB"/>
        </w:rPr>
        <w:t xml:space="preserve"> </w:t>
      </w:r>
      <w:r w:rsidRPr="0056095D">
        <w:rPr>
          <w:b/>
          <w:bCs/>
          <w:lang w:val="en-GB"/>
        </w:rPr>
        <w:t>2012</w:t>
      </w:r>
      <w:r w:rsidRPr="0056095D">
        <w:rPr>
          <w:lang w:val="en-GB"/>
        </w:rPr>
        <w:t xml:space="preserve">, </w:t>
      </w:r>
      <w:r w:rsidRPr="0056095D">
        <w:rPr>
          <w:i/>
          <w:iCs/>
          <w:lang w:val="en-GB"/>
        </w:rPr>
        <w:t>35</w:t>
      </w:r>
      <w:r w:rsidRPr="0056095D">
        <w:rPr>
          <w:lang w:val="en-GB"/>
        </w:rPr>
        <w:t>, 1585–1594, doi:10.1007/s10753-012-9473-2.</w:t>
      </w:r>
    </w:p>
    <w:p w14:paraId="2C3437AE" w14:textId="77777777" w:rsidR="0056095D" w:rsidRPr="0056095D" w:rsidRDefault="0056095D" w:rsidP="0056095D">
      <w:pPr>
        <w:pStyle w:val="Bibliography"/>
        <w:rPr>
          <w:lang w:val="en-GB"/>
        </w:rPr>
      </w:pPr>
      <w:r w:rsidRPr="0056095D">
        <w:rPr>
          <w:lang w:val="en-GB"/>
        </w:rPr>
        <w:t xml:space="preserve">214. </w:t>
      </w:r>
      <w:r w:rsidRPr="0056095D">
        <w:rPr>
          <w:lang w:val="en-GB"/>
        </w:rPr>
        <w:tab/>
        <w:t xml:space="preserve">Jhaveri, A.; Deshpande, P.; Pattni, B.; Torchilin, V. Transferrin-Targeted, Resveratrol-Loaded Liposomes for the Treatment of Glioblastoma. </w:t>
      </w:r>
      <w:r w:rsidRPr="0056095D">
        <w:rPr>
          <w:i/>
          <w:iCs/>
          <w:lang w:val="en-GB"/>
        </w:rPr>
        <w:t>Journal of Controlled Release</w:t>
      </w:r>
      <w:r w:rsidRPr="0056095D">
        <w:rPr>
          <w:lang w:val="en-GB"/>
        </w:rPr>
        <w:t xml:space="preserve"> </w:t>
      </w:r>
      <w:r w:rsidRPr="0056095D">
        <w:rPr>
          <w:b/>
          <w:bCs/>
          <w:lang w:val="en-GB"/>
        </w:rPr>
        <w:t>2018</w:t>
      </w:r>
      <w:r w:rsidRPr="0056095D">
        <w:rPr>
          <w:lang w:val="en-GB"/>
        </w:rPr>
        <w:t xml:space="preserve">, </w:t>
      </w:r>
      <w:r w:rsidRPr="0056095D">
        <w:rPr>
          <w:i/>
          <w:iCs/>
          <w:lang w:val="en-GB"/>
        </w:rPr>
        <w:t>277</w:t>
      </w:r>
      <w:r w:rsidRPr="0056095D">
        <w:rPr>
          <w:lang w:val="en-GB"/>
        </w:rPr>
        <w:t>, 89–101, doi:10.1016/j.jconrel.2018.03.006.</w:t>
      </w:r>
    </w:p>
    <w:p w14:paraId="6A48D3BE" w14:textId="77777777" w:rsidR="0056095D" w:rsidRPr="0056095D" w:rsidRDefault="0056095D" w:rsidP="0056095D">
      <w:pPr>
        <w:pStyle w:val="Bibliography"/>
        <w:rPr>
          <w:lang w:val="en-GB"/>
        </w:rPr>
      </w:pPr>
      <w:r w:rsidRPr="0056095D">
        <w:rPr>
          <w:lang w:val="en-GB"/>
        </w:rPr>
        <w:t xml:space="preserve">215. </w:t>
      </w:r>
      <w:r w:rsidRPr="0056095D">
        <w:rPr>
          <w:lang w:val="en-GB"/>
        </w:rPr>
        <w:tab/>
        <w:t xml:space="preserve">Wang, X.-X.; Li, Y.-B.; Yao, H.-J.; Ju, R.-J.; Zhang, Y.; Li, R.-J.; Yu, Y.; Zhang, L.; Lu, W.-L. The Use of Mitochondrial Targeting Resveratrol Liposomes Modified with a Dequalinium Polyethylene Glycol-Distearoylphosphatidyl Ethanolamine Conjugate to Induce Apoptosis in Resistant Lung Cancer Cells. </w:t>
      </w:r>
      <w:r w:rsidRPr="0056095D">
        <w:rPr>
          <w:i/>
          <w:iCs/>
          <w:lang w:val="en-GB"/>
        </w:rPr>
        <w:t>Biomaterials</w:t>
      </w:r>
      <w:r w:rsidRPr="0056095D">
        <w:rPr>
          <w:lang w:val="en-GB"/>
        </w:rPr>
        <w:t xml:space="preserve"> </w:t>
      </w:r>
      <w:r w:rsidRPr="0056095D">
        <w:rPr>
          <w:b/>
          <w:bCs/>
          <w:lang w:val="en-GB"/>
        </w:rPr>
        <w:t>2011</w:t>
      </w:r>
      <w:r w:rsidRPr="0056095D">
        <w:rPr>
          <w:lang w:val="en-GB"/>
        </w:rPr>
        <w:t xml:space="preserve">, </w:t>
      </w:r>
      <w:r w:rsidRPr="0056095D">
        <w:rPr>
          <w:i/>
          <w:iCs/>
          <w:lang w:val="en-GB"/>
        </w:rPr>
        <w:t>32</w:t>
      </w:r>
      <w:r w:rsidRPr="0056095D">
        <w:rPr>
          <w:lang w:val="en-GB"/>
        </w:rPr>
        <w:t>, 5673–5687, doi:10.1016/j.biomaterials.2011.04.029.</w:t>
      </w:r>
    </w:p>
    <w:p w14:paraId="06F00F72" w14:textId="77777777" w:rsidR="0056095D" w:rsidRPr="0056095D" w:rsidRDefault="0056095D" w:rsidP="0056095D">
      <w:pPr>
        <w:pStyle w:val="Bibliography"/>
        <w:rPr>
          <w:lang w:val="en-GB"/>
        </w:rPr>
      </w:pPr>
      <w:r w:rsidRPr="0056095D">
        <w:rPr>
          <w:lang w:val="en-GB"/>
        </w:rPr>
        <w:t xml:space="preserve">216. </w:t>
      </w:r>
      <w:r w:rsidRPr="0056095D">
        <w:rPr>
          <w:lang w:val="en-GB"/>
        </w:rPr>
        <w:tab/>
        <w:t xml:space="preserve">Poonia, N.; Kaur Narang, J.; Lather, V.; Beg, S.; Sharma, T.; Singh, B.; Pandita, D. Resveratrol Loaded Functionalized Nanostructured Lipid Carriers for Breast Cancer Targeting: Systematic Development, Characterization and Pharmacokinetic Evaluation. </w:t>
      </w:r>
      <w:r w:rsidRPr="0056095D">
        <w:rPr>
          <w:i/>
          <w:iCs/>
          <w:lang w:val="en-GB"/>
        </w:rPr>
        <w:t>Colloids and Surfaces B: Biointerfaces</w:t>
      </w:r>
      <w:r w:rsidRPr="0056095D">
        <w:rPr>
          <w:lang w:val="en-GB"/>
        </w:rPr>
        <w:t xml:space="preserve"> </w:t>
      </w:r>
      <w:r w:rsidRPr="0056095D">
        <w:rPr>
          <w:b/>
          <w:bCs/>
          <w:lang w:val="en-GB"/>
        </w:rPr>
        <w:t>2019</w:t>
      </w:r>
      <w:r w:rsidRPr="0056095D">
        <w:rPr>
          <w:lang w:val="en-GB"/>
        </w:rPr>
        <w:t xml:space="preserve">, </w:t>
      </w:r>
      <w:r w:rsidRPr="0056095D">
        <w:rPr>
          <w:i/>
          <w:iCs/>
          <w:lang w:val="en-GB"/>
        </w:rPr>
        <w:t>181</w:t>
      </w:r>
      <w:r w:rsidRPr="0056095D">
        <w:rPr>
          <w:lang w:val="en-GB"/>
        </w:rPr>
        <w:t>, 756–766, doi:10.1016/j.colsurfb.2019.06.004.</w:t>
      </w:r>
    </w:p>
    <w:p w14:paraId="428D3FB6" w14:textId="77777777" w:rsidR="0056095D" w:rsidRPr="0056095D" w:rsidRDefault="0056095D" w:rsidP="0056095D">
      <w:pPr>
        <w:pStyle w:val="Bibliography"/>
        <w:rPr>
          <w:lang w:val="en-GB"/>
        </w:rPr>
      </w:pPr>
      <w:r w:rsidRPr="0056095D">
        <w:rPr>
          <w:lang w:val="en-GB"/>
        </w:rPr>
        <w:t xml:space="preserve">217. </w:t>
      </w:r>
      <w:r w:rsidRPr="0056095D">
        <w:rPr>
          <w:lang w:val="en-GB"/>
        </w:rPr>
        <w:tab/>
        <w:t xml:space="preserve">Guo, W.; Li, A.; Jia, Z.; Yuan, Y.; Dai, H.; Li, H. Transferrin Modified PEG-PLA-Resveratrol Conjugates: In Vitro and in Vivo Studies for Glioma. </w:t>
      </w:r>
      <w:r w:rsidRPr="0056095D">
        <w:rPr>
          <w:i/>
          <w:iCs/>
          <w:lang w:val="en-GB"/>
        </w:rPr>
        <w:t>European Journal of Pharmacology</w:t>
      </w:r>
      <w:r w:rsidRPr="0056095D">
        <w:rPr>
          <w:lang w:val="en-GB"/>
        </w:rPr>
        <w:t xml:space="preserve"> </w:t>
      </w:r>
      <w:r w:rsidRPr="0056095D">
        <w:rPr>
          <w:b/>
          <w:bCs/>
          <w:lang w:val="en-GB"/>
        </w:rPr>
        <w:t>2013</w:t>
      </w:r>
      <w:r w:rsidRPr="0056095D">
        <w:rPr>
          <w:lang w:val="en-GB"/>
        </w:rPr>
        <w:t xml:space="preserve">, </w:t>
      </w:r>
      <w:r w:rsidRPr="0056095D">
        <w:rPr>
          <w:i/>
          <w:iCs/>
          <w:lang w:val="en-GB"/>
        </w:rPr>
        <w:t>718</w:t>
      </w:r>
      <w:r w:rsidRPr="0056095D">
        <w:rPr>
          <w:lang w:val="en-GB"/>
        </w:rPr>
        <w:t>, 41–47, doi:10.1016/j.ejphar.2013.09.034.</w:t>
      </w:r>
    </w:p>
    <w:p w14:paraId="3FD204E8" w14:textId="77777777" w:rsidR="0056095D" w:rsidRPr="0056095D" w:rsidRDefault="0056095D" w:rsidP="0056095D">
      <w:pPr>
        <w:pStyle w:val="Bibliography"/>
        <w:rPr>
          <w:lang w:val="en-GB"/>
        </w:rPr>
      </w:pPr>
      <w:r w:rsidRPr="0056095D">
        <w:rPr>
          <w:lang w:val="en-GB"/>
        </w:rPr>
        <w:t xml:space="preserve">218. </w:t>
      </w:r>
      <w:r w:rsidRPr="0056095D">
        <w:rPr>
          <w:lang w:val="en-GB"/>
        </w:rPr>
        <w:tab/>
        <w:t xml:space="preserve">Gu, Y.; Cai, Y.; Kou, Y.; Cheng, E.; Bi, H.; Hu, M.; Wu, S.; Jiang, Y.; Zhang, J.; Wu, Q.; et al. Construction of Multifunctional Targeted Nano-Prodrugs Based on PAMAM Dendrimers for Tumor Therapy. </w:t>
      </w:r>
      <w:r w:rsidRPr="0056095D">
        <w:rPr>
          <w:i/>
          <w:iCs/>
          <w:lang w:val="en-GB"/>
        </w:rPr>
        <w:t>European Polymer Journal</w:t>
      </w:r>
      <w:r w:rsidRPr="0056095D">
        <w:rPr>
          <w:lang w:val="en-GB"/>
        </w:rPr>
        <w:t xml:space="preserve"> </w:t>
      </w:r>
      <w:r w:rsidRPr="0056095D">
        <w:rPr>
          <w:b/>
          <w:bCs/>
          <w:lang w:val="en-GB"/>
        </w:rPr>
        <w:t>2023</w:t>
      </w:r>
      <w:r w:rsidRPr="0056095D">
        <w:rPr>
          <w:lang w:val="en-GB"/>
        </w:rPr>
        <w:t xml:space="preserve">, </w:t>
      </w:r>
      <w:r w:rsidRPr="0056095D">
        <w:rPr>
          <w:i/>
          <w:iCs/>
          <w:lang w:val="en-GB"/>
        </w:rPr>
        <w:t>200</w:t>
      </w:r>
      <w:r w:rsidRPr="0056095D">
        <w:rPr>
          <w:lang w:val="en-GB"/>
        </w:rPr>
        <w:t>, 112486, doi:10.1016/j.eurpolymj.2023.112486.</w:t>
      </w:r>
    </w:p>
    <w:p w14:paraId="7712FF4F" w14:textId="77777777" w:rsidR="0056095D" w:rsidRPr="0056095D" w:rsidRDefault="0056095D" w:rsidP="0056095D">
      <w:pPr>
        <w:pStyle w:val="Bibliography"/>
        <w:rPr>
          <w:lang w:val="en-GB"/>
        </w:rPr>
      </w:pPr>
      <w:r w:rsidRPr="0056095D">
        <w:rPr>
          <w:lang w:val="en-GB"/>
        </w:rPr>
        <w:t xml:space="preserve">219. </w:t>
      </w:r>
      <w:r w:rsidRPr="0056095D">
        <w:rPr>
          <w:lang w:val="en-GB"/>
        </w:rPr>
        <w:tab/>
        <w:t xml:space="preserve">Lee, D.G.; Lee, M.; Go, E.B.; Chung, N. Resveratrol-Loaded Gold Nanoparticles Enhance Caspase-Mediated Apoptosis in PANC-1 Pancreatic Cells via Mitochondrial Intrinsic Apoptotic Pathway. </w:t>
      </w:r>
      <w:r w:rsidRPr="0056095D">
        <w:rPr>
          <w:i/>
          <w:iCs/>
          <w:lang w:val="en-GB"/>
        </w:rPr>
        <w:t>Cancer Nano</w:t>
      </w:r>
      <w:r w:rsidRPr="0056095D">
        <w:rPr>
          <w:lang w:val="en-GB"/>
        </w:rPr>
        <w:t xml:space="preserve"> </w:t>
      </w:r>
      <w:r w:rsidRPr="0056095D">
        <w:rPr>
          <w:b/>
          <w:bCs/>
          <w:lang w:val="en-GB"/>
        </w:rPr>
        <w:t>2022</w:t>
      </w:r>
      <w:r w:rsidRPr="0056095D">
        <w:rPr>
          <w:lang w:val="en-GB"/>
        </w:rPr>
        <w:t xml:space="preserve">, </w:t>
      </w:r>
      <w:r w:rsidRPr="0056095D">
        <w:rPr>
          <w:i/>
          <w:iCs/>
          <w:lang w:val="en-GB"/>
        </w:rPr>
        <w:t>13</w:t>
      </w:r>
      <w:r w:rsidRPr="0056095D">
        <w:rPr>
          <w:lang w:val="en-GB"/>
        </w:rPr>
        <w:t>, 34, doi:10.1186/s12645-022-00143-w.</w:t>
      </w:r>
    </w:p>
    <w:p w14:paraId="2ED98165" w14:textId="77777777" w:rsidR="0056095D" w:rsidRPr="0056095D" w:rsidRDefault="0056095D" w:rsidP="0056095D">
      <w:pPr>
        <w:pStyle w:val="Bibliography"/>
        <w:rPr>
          <w:lang w:val="en-GB"/>
        </w:rPr>
      </w:pPr>
      <w:r w:rsidRPr="0056095D">
        <w:rPr>
          <w:lang w:val="en-GB"/>
        </w:rPr>
        <w:t xml:space="preserve">220. </w:t>
      </w:r>
      <w:r w:rsidRPr="0056095D">
        <w:rPr>
          <w:lang w:val="en-GB"/>
        </w:rPr>
        <w:tab/>
        <w:t xml:space="preserve">Khatun, M.; Choudhury, S.; Liu, B.; Lemmens, P.; Pal, S.K.; Mazumder, S. Resveratrol–ZnO Nanohybrid Enhanced Anti-Cancerous Effect in Ovarian Cancer Cells through ROS. </w:t>
      </w:r>
      <w:r w:rsidRPr="0056095D">
        <w:rPr>
          <w:i/>
          <w:iCs/>
          <w:lang w:val="en-GB"/>
        </w:rPr>
        <w:t>RSC Adv.</w:t>
      </w:r>
      <w:r w:rsidRPr="0056095D">
        <w:rPr>
          <w:lang w:val="en-GB"/>
        </w:rPr>
        <w:t xml:space="preserve"> </w:t>
      </w:r>
      <w:r w:rsidRPr="0056095D">
        <w:rPr>
          <w:b/>
          <w:bCs/>
          <w:lang w:val="en-GB"/>
        </w:rPr>
        <w:t>2016</w:t>
      </w:r>
      <w:r w:rsidRPr="0056095D">
        <w:rPr>
          <w:lang w:val="en-GB"/>
        </w:rPr>
        <w:t xml:space="preserve">, </w:t>
      </w:r>
      <w:r w:rsidRPr="0056095D">
        <w:rPr>
          <w:i/>
          <w:iCs/>
          <w:lang w:val="en-GB"/>
        </w:rPr>
        <w:t>6</w:t>
      </w:r>
      <w:r w:rsidRPr="0056095D">
        <w:rPr>
          <w:lang w:val="en-GB"/>
        </w:rPr>
        <w:t>, 105607–105617, doi:10.1039/C6RA16664D.</w:t>
      </w:r>
    </w:p>
    <w:p w14:paraId="6945D7BB" w14:textId="77777777" w:rsidR="0056095D" w:rsidRPr="0056095D" w:rsidRDefault="0056095D" w:rsidP="0056095D">
      <w:pPr>
        <w:pStyle w:val="Bibliography"/>
        <w:rPr>
          <w:lang w:val="en-GB"/>
        </w:rPr>
      </w:pPr>
      <w:r w:rsidRPr="0056095D">
        <w:rPr>
          <w:lang w:val="en-GB"/>
        </w:rPr>
        <w:t xml:space="preserve">221. </w:t>
      </w:r>
      <w:r w:rsidRPr="0056095D">
        <w:rPr>
          <w:lang w:val="en-GB"/>
        </w:rPr>
        <w:tab/>
        <w:t xml:space="preserve">Lin, M.; Yao, W.; Xiao, Y.; Dong, Z.; Huang, W.; Zhang, F.; Zhou, X.; Liang, M. Resveratrol-Modified Mesoporous Silica Nanoparticle for Tumor-Targeted Therapy of </w:t>
      </w:r>
      <w:r w:rsidRPr="0056095D">
        <w:rPr>
          <w:lang w:val="en-GB"/>
        </w:rPr>
        <w:lastRenderedPageBreak/>
        <w:t xml:space="preserve">Gastric Cancer. </w:t>
      </w:r>
      <w:r w:rsidRPr="0056095D">
        <w:rPr>
          <w:i/>
          <w:iCs/>
          <w:lang w:val="en-GB"/>
        </w:rPr>
        <w:t>Bioengineered</w:t>
      </w:r>
      <w:r w:rsidRPr="0056095D">
        <w:rPr>
          <w:lang w:val="en-GB"/>
        </w:rPr>
        <w:t xml:space="preserve"> </w:t>
      </w:r>
      <w:r w:rsidRPr="0056095D">
        <w:rPr>
          <w:b/>
          <w:bCs/>
          <w:lang w:val="en-GB"/>
        </w:rPr>
        <w:t>2021</w:t>
      </w:r>
      <w:r w:rsidRPr="0056095D">
        <w:rPr>
          <w:lang w:val="en-GB"/>
        </w:rPr>
        <w:t xml:space="preserve">, </w:t>
      </w:r>
      <w:r w:rsidRPr="0056095D">
        <w:rPr>
          <w:i/>
          <w:iCs/>
          <w:lang w:val="en-GB"/>
        </w:rPr>
        <w:t>12</w:t>
      </w:r>
      <w:r w:rsidRPr="0056095D">
        <w:rPr>
          <w:lang w:val="en-GB"/>
        </w:rPr>
        <w:t>, 6343–6353, doi:10.1080/21655979.2021.1971507.</w:t>
      </w:r>
    </w:p>
    <w:p w14:paraId="37720B2F" w14:textId="77777777" w:rsidR="0056095D" w:rsidRPr="0056095D" w:rsidRDefault="0056095D" w:rsidP="0056095D">
      <w:pPr>
        <w:pStyle w:val="Bibliography"/>
        <w:rPr>
          <w:lang w:val="en-GB"/>
        </w:rPr>
      </w:pPr>
      <w:r w:rsidRPr="0056095D">
        <w:rPr>
          <w:lang w:val="en-GB"/>
        </w:rPr>
        <w:t xml:space="preserve">222. </w:t>
      </w:r>
      <w:r w:rsidRPr="0056095D">
        <w:rPr>
          <w:lang w:val="en-GB"/>
        </w:rPr>
        <w:tab/>
        <w:t xml:space="preserve">Schorpp, K.; Bessadok, A.; Biibosunov, A.; Rothenaigner, I.; Strasser, S.; Peng, T.; Hadian, K. CellDeathPred: A Deep Learning Framework for Ferroptosis and Apoptosis Prediction Based on Cell Painting. </w:t>
      </w:r>
      <w:r w:rsidRPr="0056095D">
        <w:rPr>
          <w:i/>
          <w:iCs/>
          <w:lang w:val="en-GB"/>
        </w:rPr>
        <w:t>Cell Death Discovery</w:t>
      </w:r>
      <w:r w:rsidRPr="0056095D">
        <w:rPr>
          <w:lang w:val="en-GB"/>
        </w:rPr>
        <w:t xml:space="preserve"> </w:t>
      </w:r>
      <w:r w:rsidRPr="0056095D">
        <w:rPr>
          <w:b/>
          <w:bCs/>
          <w:lang w:val="en-GB"/>
        </w:rPr>
        <w:t>2023</w:t>
      </w:r>
      <w:r w:rsidRPr="0056095D">
        <w:rPr>
          <w:lang w:val="en-GB"/>
        </w:rPr>
        <w:t xml:space="preserve">, </w:t>
      </w:r>
      <w:r w:rsidRPr="0056095D">
        <w:rPr>
          <w:i/>
          <w:iCs/>
          <w:lang w:val="en-GB"/>
        </w:rPr>
        <w:t>9</w:t>
      </w:r>
      <w:r w:rsidRPr="0056095D">
        <w:rPr>
          <w:lang w:val="en-GB"/>
        </w:rPr>
        <w:t>, 277, doi:10.1038/s41420-023-01559-y.</w:t>
      </w:r>
    </w:p>
    <w:p w14:paraId="2D23D348" w14:textId="77777777" w:rsidR="0056095D" w:rsidRPr="0056095D" w:rsidRDefault="0056095D" w:rsidP="0056095D">
      <w:pPr>
        <w:pStyle w:val="Bibliography"/>
        <w:rPr>
          <w:lang w:val="en-GB"/>
        </w:rPr>
      </w:pPr>
      <w:r w:rsidRPr="0056095D">
        <w:rPr>
          <w:lang w:val="en-GB"/>
        </w:rPr>
        <w:t xml:space="preserve">223. </w:t>
      </w:r>
      <w:r w:rsidRPr="0056095D">
        <w:rPr>
          <w:lang w:val="en-GB"/>
        </w:rPr>
        <w:tab/>
        <w:t xml:space="preserve">Van Valen, D.A.; Kudo, T.; Lane, K.M.; Macklin, D.N.; Quach, N.T.; DeFelice, M.M.; Maayan, I.; Tanouchi, Y.; Ashley, E.A.; Covert, M.W. Deep Learning Automates the Quantitative Analysis of Individual Cells in Live-Cell Imaging Experiments. </w:t>
      </w:r>
      <w:r w:rsidRPr="0056095D">
        <w:rPr>
          <w:i/>
          <w:iCs/>
          <w:lang w:val="en-GB"/>
        </w:rPr>
        <w:t>PLOS Computational Biology</w:t>
      </w:r>
      <w:r w:rsidRPr="0056095D">
        <w:rPr>
          <w:lang w:val="en-GB"/>
        </w:rPr>
        <w:t xml:space="preserve"> </w:t>
      </w:r>
      <w:r w:rsidRPr="0056095D">
        <w:rPr>
          <w:b/>
          <w:bCs/>
          <w:lang w:val="en-GB"/>
        </w:rPr>
        <w:t>2016</w:t>
      </w:r>
      <w:r w:rsidRPr="0056095D">
        <w:rPr>
          <w:lang w:val="en-GB"/>
        </w:rPr>
        <w:t xml:space="preserve">, </w:t>
      </w:r>
      <w:r w:rsidRPr="0056095D">
        <w:rPr>
          <w:i/>
          <w:iCs/>
          <w:lang w:val="en-GB"/>
        </w:rPr>
        <w:t>12</w:t>
      </w:r>
      <w:r w:rsidRPr="0056095D">
        <w:rPr>
          <w:lang w:val="en-GB"/>
        </w:rPr>
        <w:t>, e1005177, doi:10.1371/journal.pcbi.1005177.</w:t>
      </w:r>
    </w:p>
    <w:p w14:paraId="526D3664" w14:textId="77777777" w:rsidR="0056095D" w:rsidRPr="0056095D" w:rsidRDefault="0056095D" w:rsidP="0056095D">
      <w:pPr>
        <w:pStyle w:val="Bibliography"/>
        <w:rPr>
          <w:lang w:val="en-GB"/>
        </w:rPr>
      </w:pPr>
      <w:r w:rsidRPr="0056095D">
        <w:rPr>
          <w:lang w:val="en-GB"/>
        </w:rPr>
        <w:t xml:space="preserve">224. </w:t>
      </w:r>
      <w:r w:rsidRPr="0056095D">
        <w:rPr>
          <w:lang w:val="en-GB"/>
        </w:rPr>
        <w:tab/>
        <w:t xml:space="preserve">Lavitt, F.; Rijlaarsdam, D.J.; van der Linden, D.; Weglarz-Tomczak, E.; Tomczak, J.M. Deep Learning and Transfer Learning for Automatic Cell Counting in Microscope Images of Human Cancer Cell Lines. </w:t>
      </w:r>
      <w:r w:rsidRPr="0056095D">
        <w:rPr>
          <w:i/>
          <w:iCs/>
          <w:lang w:val="en-GB"/>
        </w:rPr>
        <w:t>Applied Sciences</w:t>
      </w:r>
      <w:r w:rsidRPr="0056095D">
        <w:rPr>
          <w:lang w:val="en-GB"/>
        </w:rPr>
        <w:t xml:space="preserve"> </w:t>
      </w:r>
      <w:r w:rsidRPr="0056095D">
        <w:rPr>
          <w:b/>
          <w:bCs/>
          <w:lang w:val="en-GB"/>
        </w:rPr>
        <w:t>2021</w:t>
      </w:r>
      <w:r w:rsidRPr="0056095D">
        <w:rPr>
          <w:lang w:val="en-GB"/>
        </w:rPr>
        <w:t xml:space="preserve">, </w:t>
      </w:r>
      <w:r w:rsidRPr="0056095D">
        <w:rPr>
          <w:i/>
          <w:iCs/>
          <w:lang w:val="en-GB"/>
        </w:rPr>
        <w:t>11</w:t>
      </w:r>
      <w:r w:rsidRPr="0056095D">
        <w:rPr>
          <w:lang w:val="en-GB"/>
        </w:rPr>
        <w:t>, doi:10.3390/app11114912.</w:t>
      </w:r>
    </w:p>
    <w:p w14:paraId="42CC6DE0" w14:textId="77777777" w:rsidR="0056095D" w:rsidRPr="0056095D" w:rsidRDefault="0056095D" w:rsidP="0056095D">
      <w:pPr>
        <w:pStyle w:val="Bibliography"/>
        <w:rPr>
          <w:lang w:val="en-GB"/>
        </w:rPr>
      </w:pPr>
      <w:r w:rsidRPr="0056095D">
        <w:rPr>
          <w:lang w:val="en-GB"/>
        </w:rPr>
        <w:t xml:space="preserve">225. </w:t>
      </w:r>
      <w:r w:rsidRPr="0056095D">
        <w:rPr>
          <w:lang w:val="en-GB"/>
        </w:rPr>
        <w:tab/>
        <w:t xml:space="preserve">Gardner, K.; Joshi, R.; Hasan Kashem, M.N.; Pham, T.Q.; Lu, Q.; Li, W. Label Free Identification of Different Cancer Cells Using Deep Learning-Based Image Analysis. </w:t>
      </w:r>
      <w:r w:rsidRPr="0056095D">
        <w:rPr>
          <w:i/>
          <w:iCs/>
          <w:lang w:val="en-GB"/>
        </w:rPr>
        <w:t>APL Machine Learning</w:t>
      </w:r>
      <w:r w:rsidRPr="0056095D">
        <w:rPr>
          <w:lang w:val="en-GB"/>
        </w:rPr>
        <w:t xml:space="preserve"> </w:t>
      </w:r>
      <w:r w:rsidRPr="0056095D">
        <w:rPr>
          <w:b/>
          <w:bCs/>
          <w:lang w:val="en-GB"/>
        </w:rPr>
        <w:t>2023</w:t>
      </w:r>
      <w:r w:rsidRPr="0056095D">
        <w:rPr>
          <w:lang w:val="en-GB"/>
        </w:rPr>
        <w:t xml:space="preserve">, </w:t>
      </w:r>
      <w:r w:rsidRPr="0056095D">
        <w:rPr>
          <w:i/>
          <w:iCs/>
          <w:lang w:val="en-GB"/>
        </w:rPr>
        <w:t>1</w:t>
      </w:r>
      <w:r w:rsidRPr="0056095D">
        <w:rPr>
          <w:lang w:val="en-GB"/>
        </w:rPr>
        <w:t>, 026110, doi:10.1063/5.0141730.</w:t>
      </w:r>
    </w:p>
    <w:p w14:paraId="379FF228" w14:textId="77777777" w:rsidR="0056095D" w:rsidRPr="0056095D" w:rsidRDefault="0056095D" w:rsidP="0056095D">
      <w:pPr>
        <w:pStyle w:val="Bibliography"/>
        <w:rPr>
          <w:lang w:val="en-GB"/>
        </w:rPr>
      </w:pPr>
      <w:r w:rsidRPr="0056095D">
        <w:rPr>
          <w:lang w:val="en-GB"/>
        </w:rPr>
        <w:t xml:space="preserve">226. </w:t>
      </w:r>
      <w:r w:rsidRPr="0056095D">
        <w:rPr>
          <w:lang w:val="en-GB"/>
        </w:rPr>
        <w:tab/>
        <w:t xml:space="preserve">Lavitt, F.; Rijlaarsdam, D.J.; van der Linden, D.; Weglarz-Tomczak, E.; Tomczak, J.M. Deep Learning and Transfer Learning for Automatic Cell Counting in Microscope Images of Human Cancer Cell Lines. </w:t>
      </w:r>
      <w:r w:rsidRPr="0056095D">
        <w:rPr>
          <w:i/>
          <w:iCs/>
          <w:lang w:val="en-GB"/>
        </w:rPr>
        <w:t>Applied Sciences</w:t>
      </w:r>
      <w:r w:rsidRPr="0056095D">
        <w:rPr>
          <w:lang w:val="en-GB"/>
        </w:rPr>
        <w:t xml:space="preserve"> </w:t>
      </w:r>
      <w:r w:rsidRPr="0056095D">
        <w:rPr>
          <w:b/>
          <w:bCs/>
          <w:lang w:val="en-GB"/>
        </w:rPr>
        <w:t>2021</w:t>
      </w:r>
      <w:r w:rsidRPr="0056095D">
        <w:rPr>
          <w:lang w:val="en-GB"/>
        </w:rPr>
        <w:t xml:space="preserve">, </w:t>
      </w:r>
      <w:r w:rsidRPr="0056095D">
        <w:rPr>
          <w:i/>
          <w:iCs/>
          <w:lang w:val="en-GB"/>
        </w:rPr>
        <w:t>11</w:t>
      </w:r>
      <w:r w:rsidRPr="0056095D">
        <w:rPr>
          <w:lang w:val="en-GB"/>
        </w:rPr>
        <w:t>, doi:10.3390/app11114912.</w:t>
      </w:r>
    </w:p>
    <w:p w14:paraId="29AE05DB" w14:textId="0BB54379" w:rsidR="00386CA0" w:rsidRPr="00D22AA7" w:rsidRDefault="00931653">
      <w:pPr>
        <w:spacing w:beforeAutospacing="1" w:afterAutospacing="1"/>
        <w:rPr>
          <w:rFonts w:ascii="Times" w:hAnsi="Times"/>
          <w:b/>
          <w:bCs/>
        </w:rPr>
      </w:pPr>
      <w:r w:rsidRPr="00D22AA7">
        <w:rPr>
          <w:rFonts w:ascii="Times" w:hAnsi="Times"/>
          <w:b/>
          <w:bCs/>
        </w:rPr>
        <w:fldChar w:fldCharType="end"/>
      </w:r>
    </w:p>
    <w:p w14:paraId="14236F70" w14:textId="77777777" w:rsidR="00386CA0" w:rsidRPr="00D22AA7" w:rsidRDefault="00386CA0">
      <w:pPr>
        <w:spacing w:beforeAutospacing="1" w:afterAutospacing="1"/>
        <w:rPr>
          <w:rFonts w:ascii="Times" w:hAnsi="Times"/>
          <w:b/>
          <w:bCs/>
        </w:rPr>
      </w:pPr>
    </w:p>
    <w:p w14:paraId="2E76DD1A" w14:textId="77777777" w:rsidR="00386CA0" w:rsidRPr="00D22AA7" w:rsidRDefault="00386CA0">
      <w:pPr>
        <w:spacing w:beforeAutospacing="1" w:afterAutospacing="1"/>
        <w:rPr>
          <w:rFonts w:ascii="Times" w:hAnsi="Times"/>
          <w:b/>
          <w:bCs/>
        </w:rPr>
      </w:pPr>
    </w:p>
    <w:p w14:paraId="210CF7E1" w14:textId="77777777" w:rsidR="00386CA0" w:rsidRPr="00D22AA7" w:rsidRDefault="00386CA0">
      <w:pPr>
        <w:spacing w:beforeAutospacing="1" w:afterAutospacing="1"/>
        <w:rPr>
          <w:rFonts w:ascii="Times" w:hAnsi="Times"/>
          <w:b/>
          <w:bCs/>
        </w:rPr>
      </w:pPr>
    </w:p>
    <w:p w14:paraId="098E2684" w14:textId="77777777" w:rsidR="00386CA0" w:rsidRPr="00D22AA7" w:rsidRDefault="00386CA0">
      <w:pPr>
        <w:spacing w:beforeAutospacing="1" w:afterAutospacing="1"/>
        <w:rPr>
          <w:rFonts w:ascii="Times" w:hAnsi="Times"/>
          <w:b/>
          <w:bCs/>
        </w:rPr>
      </w:pPr>
    </w:p>
    <w:p w14:paraId="2D685D23" w14:textId="77777777" w:rsidR="00386CA0" w:rsidRPr="00D22AA7" w:rsidRDefault="00386CA0">
      <w:pPr>
        <w:spacing w:beforeAutospacing="1" w:afterAutospacing="1"/>
        <w:rPr>
          <w:rFonts w:ascii="Times" w:hAnsi="Times"/>
          <w:b/>
          <w:bCs/>
        </w:rPr>
      </w:pPr>
    </w:p>
    <w:p w14:paraId="17C9D09F" w14:textId="77777777" w:rsidR="00386CA0" w:rsidRPr="00D22AA7" w:rsidRDefault="00386CA0">
      <w:pPr>
        <w:spacing w:beforeAutospacing="1" w:afterAutospacing="1"/>
        <w:rPr>
          <w:rFonts w:ascii="Times" w:hAnsi="Times"/>
          <w:b/>
          <w:bCs/>
        </w:rPr>
      </w:pPr>
    </w:p>
    <w:p w14:paraId="3455337D" w14:textId="77777777" w:rsidR="00386CA0" w:rsidRPr="00D22AA7" w:rsidRDefault="00386CA0">
      <w:pPr>
        <w:spacing w:beforeAutospacing="1" w:afterAutospacing="1"/>
        <w:rPr>
          <w:rFonts w:ascii="Times" w:hAnsi="Times"/>
          <w:b/>
          <w:bCs/>
        </w:rPr>
      </w:pPr>
    </w:p>
    <w:p w14:paraId="43A50014" w14:textId="77777777" w:rsidR="00386CA0" w:rsidRPr="00D22AA7" w:rsidRDefault="00386CA0">
      <w:pPr>
        <w:spacing w:beforeAutospacing="1" w:afterAutospacing="1"/>
        <w:rPr>
          <w:rFonts w:ascii="Times" w:hAnsi="Times"/>
          <w:b/>
          <w:bCs/>
        </w:rPr>
      </w:pPr>
    </w:p>
    <w:p w14:paraId="2C00C58D" w14:textId="77777777" w:rsidR="00386CA0" w:rsidRPr="00D22AA7" w:rsidRDefault="00386CA0">
      <w:pPr>
        <w:spacing w:beforeAutospacing="1" w:afterAutospacing="1"/>
        <w:rPr>
          <w:rFonts w:ascii="Times" w:hAnsi="Times"/>
          <w:b/>
          <w:bCs/>
        </w:rPr>
      </w:pPr>
    </w:p>
    <w:p w14:paraId="34A7743C" w14:textId="77777777" w:rsidR="00386CA0" w:rsidRPr="00D22AA7" w:rsidRDefault="00386CA0">
      <w:pPr>
        <w:spacing w:beforeAutospacing="1" w:afterAutospacing="1"/>
        <w:rPr>
          <w:rFonts w:ascii="Times" w:hAnsi="Times"/>
          <w:b/>
          <w:bCs/>
        </w:rPr>
      </w:pPr>
    </w:p>
    <w:p w14:paraId="1722FC9D" w14:textId="77777777" w:rsidR="00386CA0" w:rsidRPr="00D22AA7" w:rsidRDefault="00386CA0">
      <w:pPr>
        <w:spacing w:beforeAutospacing="1" w:afterAutospacing="1"/>
        <w:rPr>
          <w:rFonts w:ascii="Times" w:hAnsi="Times"/>
          <w:b/>
          <w:bCs/>
        </w:rPr>
      </w:pPr>
    </w:p>
    <w:p w14:paraId="3441CC35" w14:textId="77777777" w:rsidR="00386CA0" w:rsidRPr="00D22AA7" w:rsidRDefault="00386CA0">
      <w:pPr>
        <w:spacing w:beforeAutospacing="1" w:afterAutospacing="1"/>
        <w:rPr>
          <w:rFonts w:ascii="Times" w:hAnsi="Times"/>
          <w:b/>
          <w:bCs/>
        </w:rPr>
      </w:pPr>
    </w:p>
    <w:p w14:paraId="5B43D76E" w14:textId="77777777" w:rsidR="00386CA0" w:rsidRPr="00D22AA7" w:rsidRDefault="00386CA0">
      <w:pPr>
        <w:spacing w:beforeAutospacing="1" w:afterAutospacing="1"/>
        <w:rPr>
          <w:rFonts w:ascii="Times" w:hAnsi="Times"/>
          <w:b/>
          <w:bCs/>
        </w:rPr>
      </w:pPr>
    </w:p>
    <w:p w14:paraId="54AC906B" w14:textId="77777777" w:rsidR="00386CA0" w:rsidRPr="00D22AA7" w:rsidRDefault="00386CA0">
      <w:pPr>
        <w:spacing w:beforeAutospacing="1" w:afterAutospacing="1"/>
        <w:rPr>
          <w:rFonts w:ascii="Times" w:hAnsi="Times"/>
          <w:b/>
          <w:bCs/>
        </w:rPr>
      </w:pPr>
    </w:p>
    <w:p w14:paraId="7B2D4391" w14:textId="77777777" w:rsidR="00386CA0" w:rsidRPr="00D22AA7" w:rsidRDefault="00386CA0">
      <w:pPr>
        <w:spacing w:beforeAutospacing="1" w:afterAutospacing="1"/>
        <w:rPr>
          <w:rFonts w:ascii="Times" w:hAnsi="Times"/>
          <w:b/>
          <w:bCs/>
        </w:rPr>
      </w:pPr>
    </w:p>
    <w:p w14:paraId="128604B2" w14:textId="77777777" w:rsidR="00386CA0" w:rsidRPr="00D22AA7" w:rsidRDefault="00386CA0">
      <w:pPr>
        <w:spacing w:beforeAutospacing="1" w:afterAutospacing="1"/>
        <w:rPr>
          <w:rFonts w:ascii="Times" w:hAnsi="Times"/>
          <w:b/>
          <w:bCs/>
        </w:rPr>
      </w:pPr>
    </w:p>
    <w:p w14:paraId="3A6ECD3F" w14:textId="77777777" w:rsidR="00386CA0" w:rsidRPr="00D22AA7" w:rsidRDefault="00386CA0">
      <w:pPr>
        <w:spacing w:beforeAutospacing="1" w:afterAutospacing="1"/>
        <w:rPr>
          <w:rFonts w:ascii="Times" w:hAnsi="Times"/>
          <w:b/>
          <w:bCs/>
        </w:rPr>
      </w:pPr>
    </w:p>
    <w:p w14:paraId="47C4C6A6" w14:textId="77777777" w:rsidR="00386CA0" w:rsidRPr="00D22AA7" w:rsidRDefault="00386CA0">
      <w:pPr>
        <w:spacing w:beforeAutospacing="1" w:afterAutospacing="1"/>
        <w:rPr>
          <w:rFonts w:ascii="Times" w:hAnsi="Times"/>
          <w:b/>
          <w:bCs/>
        </w:rPr>
      </w:pPr>
    </w:p>
    <w:p w14:paraId="6305A332" w14:textId="77777777" w:rsidR="00386CA0" w:rsidRPr="00D22AA7" w:rsidRDefault="00386CA0">
      <w:pPr>
        <w:spacing w:beforeAutospacing="1" w:afterAutospacing="1"/>
        <w:rPr>
          <w:rFonts w:ascii="Times" w:hAnsi="Times"/>
          <w:b/>
          <w:bCs/>
        </w:rPr>
      </w:pPr>
    </w:p>
    <w:p w14:paraId="6A52ADA6" w14:textId="77777777" w:rsidR="00386CA0" w:rsidRPr="00D22AA7" w:rsidRDefault="00386CA0">
      <w:pPr>
        <w:spacing w:beforeAutospacing="1" w:afterAutospacing="1"/>
        <w:rPr>
          <w:rFonts w:ascii="Times" w:hAnsi="Times"/>
          <w:b/>
          <w:bCs/>
        </w:rPr>
      </w:pPr>
    </w:p>
    <w:p w14:paraId="00DC9625" w14:textId="77777777" w:rsidR="00386CA0" w:rsidRPr="00D22AA7" w:rsidRDefault="00386CA0">
      <w:pPr>
        <w:spacing w:beforeAutospacing="1" w:afterAutospacing="1"/>
        <w:rPr>
          <w:rFonts w:ascii="Times" w:hAnsi="Times"/>
          <w:b/>
          <w:bCs/>
        </w:rPr>
      </w:pPr>
    </w:p>
    <w:sectPr w:rsidR="00386CA0" w:rsidRPr="00D22AA7" w:rsidSect="001573CD">
      <w:headerReference w:type="even" r:id="rId93"/>
      <w:headerReference w:type="default" r:id="rId94"/>
      <w:footerReference w:type="even" r:id="rId95"/>
      <w:footerReference w:type="default" r:id="rId96"/>
      <w:headerReference w:type="first" r:id="rId97"/>
      <w:footerReference w:type="first" r:id="rId98"/>
      <w:pgSz w:w="12240" w:h="15840"/>
      <w:pgMar w:top="1440" w:right="1440" w:bottom="1440" w:left="1440" w:header="0" w:footer="0" w:gutter="0"/>
      <w:pgNumType w:start="1"/>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C72659" w14:textId="77777777" w:rsidR="0007607E" w:rsidRDefault="0007607E" w:rsidP="004D7799">
      <w:r>
        <w:separator/>
      </w:r>
    </w:p>
  </w:endnote>
  <w:endnote w:type="continuationSeparator" w:id="0">
    <w:p w14:paraId="250722C8" w14:textId="77777777" w:rsidR="0007607E" w:rsidRDefault="0007607E" w:rsidP="004D77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TimesNewRomanPS">
    <w:altName w:val="Times New Roman"/>
    <w:panose1 w:val="020B0604020202020204"/>
    <w:charset w:val="00"/>
    <w:family w:val="roman"/>
    <w:notTrueType/>
    <w:pitch w:val="default"/>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OpenSymbol">
    <w:altName w:val="Arial Unicode MS"/>
    <w:panose1 w:val="020B0604020202020204"/>
    <w:charset w:val="01"/>
    <w:family w:val="roman"/>
    <w:pitch w:val="variable"/>
  </w:font>
  <w:font w:name="Liberation Sans">
    <w:altName w:val="Arial"/>
    <w:panose1 w:val="020B0604020202020204"/>
    <w:charset w:val="01"/>
    <w:family w:val="roman"/>
    <w:pitch w:val="variable"/>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Open Sans">
    <w:panose1 w:val="020B0606030504020204"/>
    <w:charset w:val="00"/>
    <w:family w:val="swiss"/>
    <w:pitch w:val="variable"/>
    <w:sig w:usb0="E00002EF" w:usb1="4000205B" w:usb2="00000028" w:usb3="00000000" w:csb0="0000019F" w:csb1="00000000"/>
  </w:font>
  <w:font w:name="Inter;system-ui;apple-system;Bl">
    <w:altName w:val="Cambria"/>
    <w:panose1 w:val="020B0604020202020204"/>
    <w:charset w:val="00"/>
    <w:family w:val="roman"/>
    <w:pitch w:val="default"/>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rial;Arial;Helvetica;sans-seri">
    <w:altName w:val="Arial"/>
    <w:panose1 w:val="020B0604020202020204"/>
    <w:charset w:val="00"/>
    <w:family w:val="roman"/>
    <w:pitch w:val="default"/>
  </w:font>
  <w:font w:name="Merriweather">
    <w:panose1 w:val="00000500000000000000"/>
    <w:charset w:val="4D"/>
    <w:family w:val="auto"/>
    <w:pitch w:val="variable"/>
    <w:sig w:usb0="20000207" w:usb1="00000002"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324866844"/>
      <w:docPartObj>
        <w:docPartGallery w:val="Page Numbers (Bottom of Page)"/>
        <w:docPartUnique/>
      </w:docPartObj>
    </w:sdtPr>
    <w:sdtContent>
      <w:p w14:paraId="261D6D14" w14:textId="3EE7E92B" w:rsidR="001573CD" w:rsidRDefault="001573CD" w:rsidP="00F44B1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5500BF9" w14:textId="77777777" w:rsidR="00DA2160" w:rsidRDefault="00DA2160" w:rsidP="001573C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11550343"/>
      <w:docPartObj>
        <w:docPartGallery w:val="Page Numbers (Bottom of Page)"/>
        <w:docPartUnique/>
      </w:docPartObj>
    </w:sdtPr>
    <w:sdtContent>
      <w:p w14:paraId="3742C79A" w14:textId="50CBF145" w:rsidR="001573CD" w:rsidRDefault="001573CD" w:rsidP="00F44B1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71D9EF1" w14:textId="77777777" w:rsidR="00DA2160" w:rsidRDefault="00DA2160" w:rsidP="001573C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E497BC" w14:textId="77777777" w:rsidR="00DA2160" w:rsidRDefault="00DA21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C3FE86" w14:textId="77777777" w:rsidR="0007607E" w:rsidRDefault="0007607E" w:rsidP="004D7799">
      <w:r>
        <w:separator/>
      </w:r>
    </w:p>
  </w:footnote>
  <w:footnote w:type="continuationSeparator" w:id="0">
    <w:p w14:paraId="27A77C0C" w14:textId="77777777" w:rsidR="0007607E" w:rsidRDefault="0007607E" w:rsidP="004D77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AFD787" w14:textId="0986C581" w:rsidR="00DA2160" w:rsidRDefault="0007607E">
    <w:pPr>
      <w:pStyle w:val="Header"/>
    </w:pPr>
    <w:r>
      <w:rPr>
        <w:noProof/>
      </w:rPr>
      <w:pict w14:anchorId="22E889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11225558" o:spid="_x0000_s1027" type="#_x0000_t75" alt="Screenshot 2025-02-19 at 16" style="position:absolute;margin-left:0;margin-top:0;width:593pt;height:578pt;z-index:-251653120;mso-wrap-edited:f;mso-width-percent:0;mso-height-percent:0;mso-position-horizontal:center;mso-position-horizontal-relative:margin;mso-position-vertical:center;mso-position-vertical-relative:margin;mso-width-percent:0;mso-height-percent:0" o:allowincell="f">
          <v:imagedata r:id="rId1" o:title="Screenshot 2025-02-19 at 16"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5AE0C8" w14:textId="047CD9DD" w:rsidR="00DA2160" w:rsidRDefault="0007607E">
    <w:pPr>
      <w:pStyle w:val="Header"/>
    </w:pPr>
    <w:r>
      <w:rPr>
        <w:noProof/>
      </w:rPr>
      <w:pict w14:anchorId="563EE6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11225559" o:spid="_x0000_s1026" type="#_x0000_t75" alt="Screenshot 2025-02-19 at 16" style="position:absolute;margin-left:0;margin-top:0;width:593pt;height:578pt;z-index:-251650048;mso-wrap-edited:f;mso-width-percent:0;mso-height-percent:0;mso-position-horizontal:center;mso-position-horizontal-relative:margin;mso-position-vertical:center;mso-position-vertical-relative:margin;mso-width-percent:0;mso-height-percent:0" o:allowincell="f">
          <v:imagedata r:id="rId1" o:title="Screenshot 2025-02-19 at 16"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E222CA" w14:textId="451BC2C2" w:rsidR="00DA2160" w:rsidRDefault="0007607E">
    <w:pPr>
      <w:pStyle w:val="Header"/>
    </w:pPr>
    <w:r>
      <w:rPr>
        <w:noProof/>
      </w:rPr>
      <w:pict w14:anchorId="5185B7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11225557" o:spid="_x0000_s1025" type="#_x0000_t75" alt="Screenshot 2025-02-19 at 16" style="position:absolute;margin-left:0;margin-top:0;width:593pt;height:578pt;z-index:-251656192;mso-wrap-edited:f;mso-width-percent:0;mso-height-percent:0;mso-position-horizontal:center;mso-position-horizontal-relative:margin;mso-position-vertical:center;mso-position-vertical-relative:margin;mso-width-percent:0;mso-height-percent:0" o:allowincell="f">
          <v:imagedata r:id="rId1" o:title="Screenshot 2025-02-19 at 16"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8745C"/>
    <w:multiLevelType w:val="multilevel"/>
    <w:tmpl w:val="889C6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07D98"/>
    <w:multiLevelType w:val="multilevel"/>
    <w:tmpl w:val="EB7EEC3C"/>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 w15:restartNumberingAfterBreak="0">
    <w:nsid w:val="105A7C65"/>
    <w:multiLevelType w:val="hybridMultilevel"/>
    <w:tmpl w:val="337ED3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FB50B0"/>
    <w:multiLevelType w:val="multilevel"/>
    <w:tmpl w:val="8A1A8F7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16F57A6E"/>
    <w:multiLevelType w:val="multilevel"/>
    <w:tmpl w:val="38604E0C"/>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5" w15:restartNumberingAfterBreak="0">
    <w:nsid w:val="19145B77"/>
    <w:multiLevelType w:val="multilevel"/>
    <w:tmpl w:val="523E9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CE85FF"/>
    <w:multiLevelType w:val="hybridMultilevel"/>
    <w:tmpl w:val="F674511A"/>
    <w:lvl w:ilvl="0" w:tplc="AB9CF8C8">
      <w:start w:val="1"/>
      <w:numFmt w:val="decimal"/>
      <w:lvlText w:val="%1."/>
      <w:lvlJc w:val="left"/>
      <w:pPr>
        <w:ind w:left="720" w:hanging="360"/>
      </w:pPr>
    </w:lvl>
    <w:lvl w:ilvl="1" w:tplc="AD6E033A">
      <w:start w:val="1"/>
      <w:numFmt w:val="lowerLetter"/>
      <w:lvlText w:val="%2."/>
      <w:lvlJc w:val="left"/>
      <w:pPr>
        <w:ind w:left="1440" w:hanging="360"/>
      </w:pPr>
    </w:lvl>
    <w:lvl w:ilvl="2" w:tplc="081C7EB4">
      <w:start w:val="1"/>
      <w:numFmt w:val="lowerRoman"/>
      <w:lvlText w:val="%3."/>
      <w:lvlJc w:val="right"/>
      <w:pPr>
        <w:ind w:left="2160" w:hanging="180"/>
      </w:pPr>
    </w:lvl>
    <w:lvl w:ilvl="3" w:tplc="66D20A80">
      <w:start w:val="1"/>
      <w:numFmt w:val="decimal"/>
      <w:lvlText w:val="%4."/>
      <w:lvlJc w:val="left"/>
      <w:pPr>
        <w:ind w:left="2880" w:hanging="360"/>
      </w:pPr>
    </w:lvl>
    <w:lvl w:ilvl="4" w:tplc="53B84664">
      <w:start w:val="1"/>
      <w:numFmt w:val="lowerLetter"/>
      <w:lvlText w:val="%5."/>
      <w:lvlJc w:val="left"/>
      <w:pPr>
        <w:ind w:left="3600" w:hanging="360"/>
      </w:pPr>
    </w:lvl>
    <w:lvl w:ilvl="5" w:tplc="D974EF06">
      <w:start w:val="1"/>
      <w:numFmt w:val="lowerRoman"/>
      <w:lvlText w:val="%6."/>
      <w:lvlJc w:val="right"/>
      <w:pPr>
        <w:ind w:left="4320" w:hanging="180"/>
      </w:pPr>
    </w:lvl>
    <w:lvl w:ilvl="6" w:tplc="77B82EE2">
      <w:start w:val="1"/>
      <w:numFmt w:val="decimal"/>
      <w:lvlText w:val="%7."/>
      <w:lvlJc w:val="left"/>
      <w:pPr>
        <w:ind w:left="5040" w:hanging="360"/>
      </w:pPr>
    </w:lvl>
    <w:lvl w:ilvl="7" w:tplc="F96092CC">
      <w:start w:val="1"/>
      <w:numFmt w:val="lowerLetter"/>
      <w:lvlText w:val="%8."/>
      <w:lvlJc w:val="left"/>
      <w:pPr>
        <w:ind w:left="5760" w:hanging="360"/>
      </w:pPr>
    </w:lvl>
    <w:lvl w:ilvl="8" w:tplc="1A58F276">
      <w:start w:val="1"/>
      <w:numFmt w:val="lowerRoman"/>
      <w:lvlText w:val="%9."/>
      <w:lvlJc w:val="right"/>
      <w:pPr>
        <w:ind w:left="6480" w:hanging="180"/>
      </w:pPr>
    </w:lvl>
  </w:abstractNum>
  <w:abstractNum w:abstractNumId="7" w15:restartNumberingAfterBreak="0">
    <w:nsid w:val="27563CE8"/>
    <w:multiLevelType w:val="hybridMultilevel"/>
    <w:tmpl w:val="8A402D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ACD36CD"/>
    <w:multiLevelType w:val="multilevel"/>
    <w:tmpl w:val="10BA1242"/>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9" w15:restartNumberingAfterBreak="0">
    <w:nsid w:val="34AC69EF"/>
    <w:multiLevelType w:val="multilevel"/>
    <w:tmpl w:val="7BB8C5C6"/>
    <w:lvl w:ilvl="0">
      <w:start w:val="1"/>
      <w:numFmt w:val="decimal"/>
      <w:lvlText w:val="%1."/>
      <w:lvlJc w:val="left"/>
      <w:pPr>
        <w:tabs>
          <w:tab w:val="num" w:pos="0"/>
        </w:tabs>
        <w:ind w:left="720" w:hanging="360"/>
      </w:p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800" w:hanging="144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520" w:hanging="2160"/>
      </w:pPr>
    </w:lvl>
    <w:lvl w:ilvl="8">
      <w:start w:val="1"/>
      <w:numFmt w:val="decimal"/>
      <w:lvlText w:val="%1.%2.%3.%4.%5.%6.%7.%8.%9."/>
      <w:lvlJc w:val="left"/>
      <w:pPr>
        <w:tabs>
          <w:tab w:val="num" w:pos="0"/>
        </w:tabs>
        <w:ind w:left="2520" w:hanging="2160"/>
      </w:pPr>
    </w:lvl>
  </w:abstractNum>
  <w:abstractNum w:abstractNumId="10" w15:restartNumberingAfterBreak="0">
    <w:nsid w:val="40B1025B"/>
    <w:multiLevelType w:val="multilevel"/>
    <w:tmpl w:val="349A6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4082C00"/>
    <w:multiLevelType w:val="multilevel"/>
    <w:tmpl w:val="50F40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635675"/>
    <w:multiLevelType w:val="multilevel"/>
    <w:tmpl w:val="2D346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05047D7"/>
    <w:multiLevelType w:val="multilevel"/>
    <w:tmpl w:val="847A9EF4"/>
    <w:lvl w:ilvl="0">
      <w:start w:val="1"/>
      <w:numFmt w:val="decimal"/>
      <w:lvlText w:val="%1."/>
      <w:lvlJc w:val="left"/>
      <w:pPr>
        <w:tabs>
          <w:tab w:val="num" w:pos="0"/>
        </w:tabs>
        <w:ind w:left="720" w:hanging="360"/>
      </w:p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14" w15:restartNumberingAfterBreak="0">
    <w:nsid w:val="53121794"/>
    <w:multiLevelType w:val="multilevel"/>
    <w:tmpl w:val="8D7EC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500B96"/>
    <w:multiLevelType w:val="multilevel"/>
    <w:tmpl w:val="7C6CD12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6" w15:restartNumberingAfterBreak="0">
    <w:nsid w:val="602D73F8"/>
    <w:multiLevelType w:val="hybridMultilevel"/>
    <w:tmpl w:val="4120F7C0"/>
    <w:lvl w:ilvl="0" w:tplc="E68C47C2">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703A2D7B"/>
    <w:multiLevelType w:val="multilevel"/>
    <w:tmpl w:val="FBAE0F32"/>
    <w:lvl w:ilvl="0">
      <w:start w:val="1"/>
      <w:numFmt w:val="decimal"/>
      <w:lvlText w:val="%1"/>
      <w:lvlJc w:val="left"/>
      <w:pPr>
        <w:ind w:left="360" w:hanging="360"/>
      </w:pPr>
      <w:rPr>
        <w:rFonts w:ascii="TimesNewRomanPS" w:hAnsi="TimesNewRomanPS" w:hint="default"/>
        <w:b/>
      </w:rPr>
    </w:lvl>
    <w:lvl w:ilvl="1">
      <w:start w:val="7"/>
      <w:numFmt w:val="decimal"/>
      <w:lvlText w:val="%1.%2"/>
      <w:lvlJc w:val="left"/>
      <w:pPr>
        <w:ind w:left="786" w:hanging="360"/>
      </w:pPr>
      <w:rPr>
        <w:rFonts w:ascii="TimesNewRomanPS" w:hAnsi="TimesNewRomanPS" w:hint="default"/>
        <w:b/>
      </w:rPr>
    </w:lvl>
    <w:lvl w:ilvl="2">
      <w:start w:val="1"/>
      <w:numFmt w:val="decimal"/>
      <w:lvlText w:val="%1.%2.%3"/>
      <w:lvlJc w:val="left"/>
      <w:pPr>
        <w:ind w:left="1572" w:hanging="720"/>
      </w:pPr>
      <w:rPr>
        <w:rFonts w:ascii="TimesNewRomanPS" w:hAnsi="TimesNewRomanPS" w:hint="default"/>
        <w:b/>
      </w:rPr>
    </w:lvl>
    <w:lvl w:ilvl="3">
      <w:start w:val="1"/>
      <w:numFmt w:val="decimal"/>
      <w:lvlText w:val="%1.%2.%3.%4"/>
      <w:lvlJc w:val="left"/>
      <w:pPr>
        <w:ind w:left="1998" w:hanging="720"/>
      </w:pPr>
      <w:rPr>
        <w:rFonts w:ascii="TimesNewRomanPS" w:hAnsi="TimesNewRomanPS" w:hint="default"/>
        <w:b/>
      </w:rPr>
    </w:lvl>
    <w:lvl w:ilvl="4">
      <w:start w:val="1"/>
      <w:numFmt w:val="decimal"/>
      <w:lvlText w:val="%1.%2.%3.%4.%5"/>
      <w:lvlJc w:val="left"/>
      <w:pPr>
        <w:ind w:left="2784" w:hanging="1080"/>
      </w:pPr>
      <w:rPr>
        <w:rFonts w:ascii="TimesNewRomanPS" w:hAnsi="TimesNewRomanPS" w:hint="default"/>
        <w:b/>
      </w:rPr>
    </w:lvl>
    <w:lvl w:ilvl="5">
      <w:start w:val="1"/>
      <w:numFmt w:val="decimal"/>
      <w:lvlText w:val="%1.%2.%3.%4.%5.%6"/>
      <w:lvlJc w:val="left"/>
      <w:pPr>
        <w:ind w:left="3210" w:hanging="1080"/>
      </w:pPr>
      <w:rPr>
        <w:rFonts w:ascii="TimesNewRomanPS" w:hAnsi="TimesNewRomanPS" w:hint="default"/>
        <w:b/>
      </w:rPr>
    </w:lvl>
    <w:lvl w:ilvl="6">
      <w:start w:val="1"/>
      <w:numFmt w:val="decimal"/>
      <w:lvlText w:val="%1.%2.%3.%4.%5.%6.%7"/>
      <w:lvlJc w:val="left"/>
      <w:pPr>
        <w:ind w:left="3996" w:hanging="1440"/>
      </w:pPr>
      <w:rPr>
        <w:rFonts w:ascii="TimesNewRomanPS" w:hAnsi="TimesNewRomanPS" w:hint="default"/>
        <w:b/>
      </w:rPr>
    </w:lvl>
    <w:lvl w:ilvl="7">
      <w:start w:val="1"/>
      <w:numFmt w:val="decimal"/>
      <w:lvlText w:val="%1.%2.%3.%4.%5.%6.%7.%8"/>
      <w:lvlJc w:val="left"/>
      <w:pPr>
        <w:ind w:left="4422" w:hanging="1440"/>
      </w:pPr>
      <w:rPr>
        <w:rFonts w:ascii="TimesNewRomanPS" w:hAnsi="TimesNewRomanPS" w:hint="default"/>
        <w:b/>
      </w:rPr>
    </w:lvl>
    <w:lvl w:ilvl="8">
      <w:start w:val="1"/>
      <w:numFmt w:val="decimal"/>
      <w:lvlText w:val="%1.%2.%3.%4.%5.%6.%7.%8.%9"/>
      <w:lvlJc w:val="left"/>
      <w:pPr>
        <w:ind w:left="5208" w:hanging="1800"/>
      </w:pPr>
      <w:rPr>
        <w:rFonts w:ascii="TimesNewRomanPS" w:hAnsi="TimesNewRomanPS" w:hint="default"/>
        <w:b/>
      </w:rPr>
    </w:lvl>
  </w:abstractNum>
  <w:num w:numId="1" w16cid:durableId="713433658">
    <w:abstractNumId w:val="6"/>
  </w:num>
  <w:num w:numId="2" w16cid:durableId="1585411396">
    <w:abstractNumId w:val="13"/>
  </w:num>
  <w:num w:numId="3" w16cid:durableId="690684358">
    <w:abstractNumId w:val="9"/>
  </w:num>
  <w:num w:numId="4" w16cid:durableId="1402285946">
    <w:abstractNumId w:val="4"/>
  </w:num>
  <w:num w:numId="5" w16cid:durableId="725181260">
    <w:abstractNumId w:val="1"/>
  </w:num>
  <w:num w:numId="6" w16cid:durableId="429085845">
    <w:abstractNumId w:val="8"/>
  </w:num>
  <w:num w:numId="7" w16cid:durableId="1328092873">
    <w:abstractNumId w:val="15"/>
  </w:num>
  <w:num w:numId="8" w16cid:durableId="1016347905">
    <w:abstractNumId w:val="3"/>
  </w:num>
  <w:num w:numId="9" w16cid:durableId="1185436272">
    <w:abstractNumId w:val="11"/>
  </w:num>
  <w:num w:numId="10" w16cid:durableId="1850682148">
    <w:abstractNumId w:val="0"/>
  </w:num>
  <w:num w:numId="11" w16cid:durableId="160119761">
    <w:abstractNumId w:val="14"/>
  </w:num>
  <w:num w:numId="12" w16cid:durableId="761874197">
    <w:abstractNumId w:val="10"/>
  </w:num>
  <w:num w:numId="13" w16cid:durableId="1927424132">
    <w:abstractNumId w:val="12"/>
  </w:num>
  <w:num w:numId="14" w16cid:durableId="64836765">
    <w:abstractNumId w:val="5"/>
  </w:num>
  <w:num w:numId="15" w16cid:durableId="2143762546">
    <w:abstractNumId w:val="17"/>
  </w:num>
  <w:num w:numId="16" w16cid:durableId="677972341">
    <w:abstractNumId w:val="16"/>
  </w:num>
  <w:num w:numId="17" w16cid:durableId="989867482">
    <w:abstractNumId w:val="2"/>
  </w:num>
  <w:num w:numId="18" w16cid:durableId="10281381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1"/>
  <w:proofState w:spelling="clean" w:grammar="clean"/>
  <w:defaultTabStop w:val="720"/>
  <w:autoHyphenation/>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CA0"/>
    <w:rsid w:val="00010255"/>
    <w:rsid w:val="00025A88"/>
    <w:rsid w:val="00025FBD"/>
    <w:rsid w:val="00054BC9"/>
    <w:rsid w:val="00062A53"/>
    <w:rsid w:val="00065C40"/>
    <w:rsid w:val="00072EF0"/>
    <w:rsid w:val="0007607E"/>
    <w:rsid w:val="00077DAF"/>
    <w:rsid w:val="00082A92"/>
    <w:rsid w:val="00083055"/>
    <w:rsid w:val="00092ED8"/>
    <w:rsid w:val="00093D08"/>
    <w:rsid w:val="000976D4"/>
    <w:rsid w:val="00097FC2"/>
    <w:rsid w:val="000A3F4F"/>
    <w:rsid w:val="000B5810"/>
    <w:rsid w:val="000C0153"/>
    <w:rsid w:val="000C54ED"/>
    <w:rsid w:val="000D0F01"/>
    <w:rsid w:val="000D5B4D"/>
    <w:rsid w:val="000E6C08"/>
    <w:rsid w:val="000E6C86"/>
    <w:rsid w:val="000F6868"/>
    <w:rsid w:val="000F75FE"/>
    <w:rsid w:val="00101D72"/>
    <w:rsid w:val="00110FBA"/>
    <w:rsid w:val="0011707B"/>
    <w:rsid w:val="0012157B"/>
    <w:rsid w:val="001245F6"/>
    <w:rsid w:val="001303F4"/>
    <w:rsid w:val="00132CF4"/>
    <w:rsid w:val="00137313"/>
    <w:rsid w:val="00154D15"/>
    <w:rsid w:val="00156426"/>
    <w:rsid w:val="001573CD"/>
    <w:rsid w:val="00160AA6"/>
    <w:rsid w:val="00174177"/>
    <w:rsid w:val="00176A29"/>
    <w:rsid w:val="00183E0A"/>
    <w:rsid w:val="0018698F"/>
    <w:rsid w:val="00186A23"/>
    <w:rsid w:val="00194A28"/>
    <w:rsid w:val="001A3CF7"/>
    <w:rsid w:val="001A691A"/>
    <w:rsid w:val="001C20E8"/>
    <w:rsid w:val="001C268B"/>
    <w:rsid w:val="001C42F6"/>
    <w:rsid w:val="001C65C0"/>
    <w:rsid w:val="001C6F7C"/>
    <w:rsid w:val="001C7695"/>
    <w:rsid w:val="001E2B07"/>
    <w:rsid w:val="001E4BAE"/>
    <w:rsid w:val="001F0B08"/>
    <w:rsid w:val="001F124B"/>
    <w:rsid w:val="001F482B"/>
    <w:rsid w:val="001F7215"/>
    <w:rsid w:val="001F7A26"/>
    <w:rsid w:val="002022D3"/>
    <w:rsid w:val="002034FE"/>
    <w:rsid w:val="00207ED7"/>
    <w:rsid w:val="00215BC3"/>
    <w:rsid w:val="002261FD"/>
    <w:rsid w:val="0023133C"/>
    <w:rsid w:val="00242872"/>
    <w:rsid w:val="00254C27"/>
    <w:rsid w:val="0027446C"/>
    <w:rsid w:val="002776EE"/>
    <w:rsid w:val="00282C35"/>
    <w:rsid w:val="002851E6"/>
    <w:rsid w:val="002862A2"/>
    <w:rsid w:val="0028C2C8"/>
    <w:rsid w:val="00295FE2"/>
    <w:rsid w:val="002A5712"/>
    <w:rsid w:val="002B49E2"/>
    <w:rsid w:val="002C530E"/>
    <w:rsid w:val="002D3016"/>
    <w:rsid w:val="002E540A"/>
    <w:rsid w:val="002F78F2"/>
    <w:rsid w:val="003071B4"/>
    <w:rsid w:val="00311AAD"/>
    <w:rsid w:val="0031346A"/>
    <w:rsid w:val="00316766"/>
    <w:rsid w:val="003170A8"/>
    <w:rsid w:val="0032181D"/>
    <w:rsid w:val="003276B8"/>
    <w:rsid w:val="0033421A"/>
    <w:rsid w:val="00340860"/>
    <w:rsid w:val="003468B0"/>
    <w:rsid w:val="00355104"/>
    <w:rsid w:val="003610F5"/>
    <w:rsid w:val="003732FF"/>
    <w:rsid w:val="00386CA0"/>
    <w:rsid w:val="00395383"/>
    <w:rsid w:val="003964D3"/>
    <w:rsid w:val="003A1917"/>
    <w:rsid w:val="003A2691"/>
    <w:rsid w:val="003A67D2"/>
    <w:rsid w:val="003B0B6B"/>
    <w:rsid w:val="003B0FB4"/>
    <w:rsid w:val="003B13DA"/>
    <w:rsid w:val="003B55C6"/>
    <w:rsid w:val="003B7AA1"/>
    <w:rsid w:val="003C33A6"/>
    <w:rsid w:val="003D4574"/>
    <w:rsid w:val="003D480E"/>
    <w:rsid w:val="003D4DBA"/>
    <w:rsid w:val="003D5F45"/>
    <w:rsid w:val="003E140F"/>
    <w:rsid w:val="003E280E"/>
    <w:rsid w:val="0040375F"/>
    <w:rsid w:val="00407861"/>
    <w:rsid w:val="00410DDA"/>
    <w:rsid w:val="00412E6C"/>
    <w:rsid w:val="00426A43"/>
    <w:rsid w:val="00427C82"/>
    <w:rsid w:val="00435472"/>
    <w:rsid w:val="00436AA3"/>
    <w:rsid w:val="00441309"/>
    <w:rsid w:val="00445788"/>
    <w:rsid w:val="00450F0A"/>
    <w:rsid w:val="00455B4A"/>
    <w:rsid w:val="00457B17"/>
    <w:rsid w:val="00457C1C"/>
    <w:rsid w:val="00464466"/>
    <w:rsid w:val="00464FE5"/>
    <w:rsid w:val="0046596C"/>
    <w:rsid w:val="0047211A"/>
    <w:rsid w:val="00476F44"/>
    <w:rsid w:val="00477026"/>
    <w:rsid w:val="004877AC"/>
    <w:rsid w:val="0049287C"/>
    <w:rsid w:val="00494C5D"/>
    <w:rsid w:val="004C08C2"/>
    <w:rsid w:val="004C44BA"/>
    <w:rsid w:val="004C451B"/>
    <w:rsid w:val="004C5478"/>
    <w:rsid w:val="004C783C"/>
    <w:rsid w:val="004D0108"/>
    <w:rsid w:val="004D2C3B"/>
    <w:rsid w:val="004D2F31"/>
    <w:rsid w:val="004D3243"/>
    <w:rsid w:val="004D42FD"/>
    <w:rsid w:val="004D4A9B"/>
    <w:rsid w:val="004D7799"/>
    <w:rsid w:val="004E155F"/>
    <w:rsid w:val="004E392B"/>
    <w:rsid w:val="004E6A1F"/>
    <w:rsid w:val="004F0BE3"/>
    <w:rsid w:val="004F43A9"/>
    <w:rsid w:val="00502B2A"/>
    <w:rsid w:val="0050642B"/>
    <w:rsid w:val="005141A1"/>
    <w:rsid w:val="00527641"/>
    <w:rsid w:val="005324F2"/>
    <w:rsid w:val="00535F35"/>
    <w:rsid w:val="00537589"/>
    <w:rsid w:val="00540D58"/>
    <w:rsid w:val="00541014"/>
    <w:rsid w:val="005441FE"/>
    <w:rsid w:val="00547AC3"/>
    <w:rsid w:val="0055014A"/>
    <w:rsid w:val="00554D64"/>
    <w:rsid w:val="00557D2B"/>
    <w:rsid w:val="0056095D"/>
    <w:rsid w:val="00564953"/>
    <w:rsid w:val="005736EA"/>
    <w:rsid w:val="005755B0"/>
    <w:rsid w:val="005807BA"/>
    <w:rsid w:val="00582213"/>
    <w:rsid w:val="00583AE5"/>
    <w:rsid w:val="005860EA"/>
    <w:rsid w:val="00593D3E"/>
    <w:rsid w:val="00596117"/>
    <w:rsid w:val="005A0DE4"/>
    <w:rsid w:val="005B743A"/>
    <w:rsid w:val="005C1FA9"/>
    <w:rsid w:val="005C3610"/>
    <w:rsid w:val="005C4704"/>
    <w:rsid w:val="005C72B3"/>
    <w:rsid w:val="005D0EBC"/>
    <w:rsid w:val="005D6C43"/>
    <w:rsid w:val="005E0EF1"/>
    <w:rsid w:val="005E6BA1"/>
    <w:rsid w:val="005F2397"/>
    <w:rsid w:val="005F50F4"/>
    <w:rsid w:val="006171C6"/>
    <w:rsid w:val="00622723"/>
    <w:rsid w:val="0063038D"/>
    <w:rsid w:val="006305E8"/>
    <w:rsid w:val="00636E8A"/>
    <w:rsid w:val="00637175"/>
    <w:rsid w:val="00637C73"/>
    <w:rsid w:val="00641085"/>
    <w:rsid w:val="006459EA"/>
    <w:rsid w:val="0064610C"/>
    <w:rsid w:val="00646AE3"/>
    <w:rsid w:val="00660694"/>
    <w:rsid w:val="006620F3"/>
    <w:rsid w:val="00663594"/>
    <w:rsid w:val="0067242C"/>
    <w:rsid w:val="00672783"/>
    <w:rsid w:val="00674759"/>
    <w:rsid w:val="00675751"/>
    <w:rsid w:val="00676DE1"/>
    <w:rsid w:val="00682EF9"/>
    <w:rsid w:val="00684FC9"/>
    <w:rsid w:val="00697619"/>
    <w:rsid w:val="006A2A61"/>
    <w:rsid w:val="006B6261"/>
    <w:rsid w:val="006B77AB"/>
    <w:rsid w:val="006C56F6"/>
    <w:rsid w:val="006E2F9A"/>
    <w:rsid w:val="006E4F10"/>
    <w:rsid w:val="006F46FB"/>
    <w:rsid w:val="006F5419"/>
    <w:rsid w:val="006F7CF1"/>
    <w:rsid w:val="007008F2"/>
    <w:rsid w:val="00706CEE"/>
    <w:rsid w:val="00711DE8"/>
    <w:rsid w:val="007139F6"/>
    <w:rsid w:val="00714DE7"/>
    <w:rsid w:val="00725E40"/>
    <w:rsid w:val="00725EC0"/>
    <w:rsid w:val="00742C1F"/>
    <w:rsid w:val="007656F0"/>
    <w:rsid w:val="007689ED"/>
    <w:rsid w:val="00770CEC"/>
    <w:rsid w:val="00770F0C"/>
    <w:rsid w:val="00771175"/>
    <w:rsid w:val="007772F6"/>
    <w:rsid w:val="007801BA"/>
    <w:rsid w:val="00780971"/>
    <w:rsid w:val="00783D1F"/>
    <w:rsid w:val="00786ACD"/>
    <w:rsid w:val="007A25E7"/>
    <w:rsid w:val="007BACA5"/>
    <w:rsid w:val="007C33F9"/>
    <w:rsid w:val="007C6CA9"/>
    <w:rsid w:val="007D30E3"/>
    <w:rsid w:val="007D4C4E"/>
    <w:rsid w:val="007D7917"/>
    <w:rsid w:val="007F381F"/>
    <w:rsid w:val="007F4FA1"/>
    <w:rsid w:val="00803C9D"/>
    <w:rsid w:val="0081297D"/>
    <w:rsid w:val="00813B5B"/>
    <w:rsid w:val="00816038"/>
    <w:rsid w:val="0081BF07"/>
    <w:rsid w:val="00820CAD"/>
    <w:rsid w:val="00821F00"/>
    <w:rsid w:val="00822179"/>
    <w:rsid w:val="0082784F"/>
    <w:rsid w:val="008407A4"/>
    <w:rsid w:val="008531D4"/>
    <w:rsid w:val="00853636"/>
    <w:rsid w:val="00853841"/>
    <w:rsid w:val="00855A0E"/>
    <w:rsid w:val="0086481A"/>
    <w:rsid w:val="00864CD3"/>
    <w:rsid w:val="0086762F"/>
    <w:rsid w:val="008715AC"/>
    <w:rsid w:val="008727C4"/>
    <w:rsid w:val="00875478"/>
    <w:rsid w:val="00876A57"/>
    <w:rsid w:val="00880335"/>
    <w:rsid w:val="00892209"/>
    <w:rsid w:val="00894E95"/>
    <w:rsid w:val="008A0BEC"/>
    <w:rsid w:val="008A4D75"/>
    <w:rsid w:val="008B3DE6"/>
    <w:rsid w:val="008B3EC3"/>
    <w:rsid w:val="008B4DB2"/>
    <w:rsid w:val="008D51AE"/>
    <w:rsid w:val="008E4B42"/>
    <w:rsid w:val="008E699B"/>
    <w:rsid w:val="008F310F"/>
    <w:rsid w:val="00900066"/>
    <w:rsid w:val="009055A0"/>
    <w:rsid w:val="00906CC9"/>
    <w:rsid w:val="0091374A"/>
    <w:rsid w:val="00920C86"/>
    <w:rsid w:val="00921DF2"/>
    <w:rsid w:val="0093162D"/>
    <w:rsid w:val="00931653"/>
    <w:rsid w:val="00932DA7"/>
    <w:rsid w:val="00946D2E"/>
    <w:rsid w:val="00956847"/>
    <w:rsid w:val="00962076"/>
    <w:rsid w:val="00963435"/>
    <w:rsid w:val="0097593F"/>
    <w:rsid w:val="00980559"/>
    <w:rsid w:val="00985456"/>
    <w:rsid w:val="00987BDF"/>
    <w:rsid w:val="00997A61"/>
    <w:rsid w:val="009A08F8"/>
    <w:rsid w:val="009A0D42"/>
    <w:rsid w:val="009A6C00"/>
    <w:rsid w:val="009B4C55"/>
    <w:rsid w:val="009C4372"/>
    <w:rsid w:val="009C5BC8"/>
    <w:rsid w:val="009D6A15"/>
    <w:rsid w:val="009D7A7B"/>
    <w:rsid w:val="009E1465"/>
    <w:rsid w:val="009F0E50"/>
    <w:rsid w:val="00A01FE8"/>
    <w:rsid w:val="00A0238A"/>
    <w:rsid w:val="00A07744"/>
    <w:rsid w:val="00A07E73"/>
    <w:rsid w:val="00A30C03"/>
    <w:rsid w:val="00A34272"/>
    <w:rsid w:val="00A417B6"/>
    <w:rsid w:val="00A42BB4"/>
    <w:rsid w:val="00A538C8"/>
    <w:rsid w:val="00A64B03"/>
    <w:rsid w:val="00A677AB"/>
    <w:rsid w:val="00A7437D"/>
    <w:rsid w:val="00A756F9"/>
    <w:rsid w:val="00A76DE2"/>
    <w:rsid w:val="00A81B54"/>
    <w:rsid w:val="00A921D3"/>
    <w:rsid w:val="00A95A84"/>
    <w:rsid w:val="00AA0183"/>
    <w:rsid w:val="00AA0653"/>
    <w:rsid w:val="00AB007D"/>
    <w:rsid w:val="00AC2A85"/>
    <w:rsid w:val="00AD46E0"/>
    <w:rsid w:val="00AE524C"/>
    <w:rsid w:val="00AE7AB9"/>
    <w:rsid w:val="00B105B8"/>
    <w:rsid w:val="00B1296B"/>
    <w:rsid w:val="00B13028"/>
    <w:rsid w:val="00B16409"/>
    <w:rsid w:val="00B40D9C"/>
    <w:rsid w:val="00B574BF"/>
    <w:rsid w:val="00B612F3"/>
    <w:rsid w:val="00B63791"/>
    <w:rsid w:val="00B63A84"/>
    <w:rsid w:val="00B74E2D"/>
    <w:rsid w:val="00B85298"/>
    <w:rsid w:val="00BA5497"/>
    <w:rsid w:val="00BA62DD"/>
    <w:rsid w:val="00BB2CB8"/>
    <w:rsid w:val="00BB4E59"/>
    <w:rsid w:val="00BC2132"/>
    <w:rsid w:val="00BD16C0"/>
    <w:rsid w:val="00BD34CE"/>
    <w:rsid w:val="00BE35B1"/>
    <w:rsid w:val="00BE3BB8"/>
    <w:rsid w:val="00BE67AD"/>
    <w:rsid w:val="00BE72D1"/>
    <w:rsid w:val="00BE751E"/>
    <w:rsid w:val="00BF56F1"/>
    <w:rsid w:val="00C01062"/>
    <w:rsid w:val="00C021E2"/>
    <w:rsid w:val="00C02568"/>
    <w:rsid w:val="00C03001"/>
    <w:rsid w:val="00C048C4"/>
    <w:rsid w:val="00C1537C"/>
    <w:rsid w:val="00C1755F"/>
    <w:rsid w:val="00C20973"/>
    <w:rsid w:val="00C2405C"/>
    <w:rsid w:val="00C264A4"/>
    <w:rsid w:val="00C50D43"/>
    <w:rsid w:val="00C572B8"/>
    <w:rsid w:val="00C60B8D"/>
    <w:rsid w:val="00C763D9"/>
    <w:rsid w:val="00C83B7A"/>
    <w:rsid w:val="00C871E7"/>
    <w:rsid w:val="00C91F27"/>
    <w:rsid w:val="00CA37C2"/>
    <w:rsid w:val="00CA3D1A"/>
    <w:rsid w:val="00CA4987"/>
    <w:rsid w:val="00CA5234"/>
    <w:rsid w:val="00CB06E7"/>
    <w:rsid w:val="00CB3412"/>
    <w:rsid w:val="00CB55F3"/>
    <w:rsid w:val="00CD2D68"/>
    <w:rsid w:val="00CD5941"/>
    <w:rsid w:val="00CE1D00"/>
    <w:rsid w:val="00CE4A0B"/>
    <w:rsid w:val="00CF2514"/>
    <w:rsid w:val="00CF6A25"/>
    <w:rsid w:val="00CF6CAB"/>
    <w:rsid w:val="00D037D7"/>
    <w:rsid w:val="00D05A4B"/>
    <w:rsid w:val="00D17D7D"/>
    <w:rsid w:val="00D21431"/>
    <w:rsid w:val="00D22116"/>
    <w:rsid w:val="00D22AA7"/>
    <w:rsid w:val="00D33A13"/>
    <w:rsid w:val="00D33F6F"/>
    <w:rsid w:val="00D34773"/>
    <w:rsid w:val="00D401EA"/>
    <w:rsid w:val="00D42ECC"/>
    <w:rsid w:val="00D45672"/>
    <w:rsid w:val="00D51B51"/>
    <w:rsid w:val="00D70B93"/>
    <w:rsid w:val="00D73022"/>
    <w:rsid w:val="00D76C80"/>
    <w:rsid w:val="00D76CE3"/>
    <w:rsid w:val="00D817CF"/>
    <w:rsid w:val="00D90011"/>
    <w:rsid w:val="00D9075F"/>
    <w:rsid w:val="00D9531D"/>
    <w:rsid w:val="00DA2160"/>
    <w:rsid w:val="00DA34AB"/>
    <w:rsid w:val="00DA5948"/>
    <w:rsid w:val="00DB7A46"/>
    <w:rsid w:val="00DB7D88"/>
    <w:rsid w:val="00DC0A50"/>
    <w:rsid w:val="00DC5090"/>
    <w:rsid w:val="00DC6724"/>
    <w:rsid w:val="00DD1564"/>
    <w:rsid w:val="00DD4886"/>
    <w:rsid w:val="00DD4F34"/>
    <w:rsid w:val="00DD783C"/>
    <w:rsid w:val="00DE1766"/>
    <w:rsid w:val="00DE1FB9"/>
    <w:rsid w:val="00DE2F15"/>
    <w:rsid w:val="00DE52DB"/>
    <w:rsid w:val="00DE5BF8"/>
    <w:rsid w:val="00DE6038"/>
    <w:rsid w:val="00DE6A35"/>
    <w:rsid w:val="00E1259F"/>
    <w:rsid w:val="00E202AD"/>
    <w:rsid w:val="00E36C8A"/>
    <w:rsid w:val="00E55017"/>
    <w:rsid w:val="00E62298"/>
    <w:rsid w:val="00E7022A"/>
    <w:rsid w:val="00E716CF"/>
    <w:rsid w:val="00E723C3"/>
    <w:rsid w:val="00E82637"/>
    <w:rsid w:val="00E826B5"/>
    <w:rsid w:val="00E84A65"/>
    <w:rsid w:val="00E86AB5"/>
    <w:rsid w:val="00EA6263"/>
    <w:rsid w:val="00EC0632"/>
    <w:rsid w:val="00ED79FD"/>
    <w:rsid w:val="00EE0E35"/>
    <w:rsid w:val="00EE4A69"/>
    <w:rsid w:val="00EF0A65"/>
    <w:rsid w:val="00EF3134"/>
    <w:rsid w:val="00EF36DA"/>
    <w:rsid w:val="00EF3E65"/>
    <w:rsid w:val="00EF4AB1"/>
    <w:rsid w:val="00F010DB"/>
    <w:rsid w:val="00F02521"/>
    <w:rsid w:val="00F14084"/>
    <w:rsid w:val="00F2002C"/>
    <w:rsid w:val="00F20076"/>
    <w:rsid w:val="00F225BE"/>
    <w:rsid w:val="00F25D76"/>
    <w:rsid w:val="00F26FEF"/>
    <w:rsid w:val="00F362F8"/>
    <w:rsid w:val="00F417A4"/>
    <w:rsid w:val="00F426A6"/>
    <w:rsid w:val="00F47021"/>
    <w:rsid w:val="00F537D5"/>
    <w:rsid w:val="00F53B0C"/>
    <w:rsid w:val="00F56C0B"/>
    <w:rsid w:val="00F5756A"/>
    <w:rsid w:val="00F6178D"/>
    <w:rsid w:val="00F62C35"/>
    <w:rsid w:val="00F65F59"/>
    <w:rsid w:val="00F74993"/>
    <w:rsid w:val="00F80EE8"/>
    <w:rsid w:val="00F83362"/>
    <w:rsid w:val="00F934FA"/>
    <w:rsid w:val="00F95046"/>
    <w:rsid w:val="00F9594A"/>
    <w:rsid w:val="00F9650E"/>
    <w:rsid w:val="00FA58E3"/>
    <w:rsid w:val="00FB3B73"/>
    <w:rsid w:val="00FB570B"/>
    <w:rsid w:val="00FC2177"/>
    <w:rsid w:val="00FC5EF2"/>
    <w:rsid w:val="00FD0630"/>
    <w:rsid w:val="00FD1683"/>
    <w:rsid w:val="00FD2716"/>
    <w:rsid w:val="00FE01DC"/>
    <w:rsid w:val="00FE0BAA"/>
    <w:rsid w:val="00FF5491"/>
    <w:rsid w:val="013F08FA"/>
    <w:rsid w:val="0163625E"/>
    <w:rsid w:val="016AA758"/>
    <w:rsid w:val="017CB474"/>
    <w:rsid w:val="01B6FA07"/>
    <w:rsid w:val="01C089ED"/>
    <w:rsid w:val="01DF08A3"/>
    <w:rsid w:val="01E0DE09"/>
    <w:rsid w:val="01F4E363"/>
    <w:rsid w:val="02074FCD"/>
    <w:rsid w:val="021B53DF"/>
    <w:rsid w:val="029780ED"/>
    <w:rsid w:val="029E0A30"/>
    <w:rsid w:val="02D911CC"/>
    <w:rsid w:val="0303E8D9"/>
    <w:rsid w:val="031B4F40"/>
    <w:rsid w:val="0330225D"/>
    <w:rsid w:val="035487E4"/>
    <w:rsid w:val="03596831"/>
    <w:rsid w:val="036C6BC9"/>
    <w:rsid w:val="03A2FD3D"/>
    <w:rsid w:val="03B1D69B"/>
    <w:rsid w:val="03DCFCD4"/>
    <w:rsid w:val="04359BB8"/>
    <w:rsid w:val="0466979E"/>
    <w:rsid w:val="04878B3B"/>
    <w:rsid w:val="04908ADF"/>
    <w:rsid w:val="0492E443"/>
    <w:rsid w:val="04D2BF4C"/>
    <w:rsid w:val="04E29406"/>
    <w:rsid w:val="04EEB4F3"/>
    <w:rsid w:val="05067DB3"/>
    <w:rsid w:val="05535C0B"/>
    <w:rsid w:val="0557FF62"/>
    <w:rsid w:val="0591C53E"/>
    <w:rsid w:val="05972508"/>
    <w:rsid w:val="05C5E2DE"/>
    <w:rsid w:val="05D7F129"/>
    <w:rsid w:val="05DF9BA5"/>
    <w:rsid w:val="05EEF3B0"/>
    <w:rsid w:val="0642DC0E"/>
    <w:rsid w:val="0665ADA9"/>
    <w:rsid w:val="06898A7E"/>
    <w:rsid w:val="06C49A70"/>
    <w:rsid w:val="06C68A22"/>
    <w:rsid w:val="06C8BBBE"/>
    <w:rsid w:val="06FA5B29"/>
    <w:rsid w:val="06FF6F80"/>
    <w:rsid w:val="0707B30A"/>
    <w:rsid w:val="071CD005"/>
    <w:rsid w:val="0744F846"/>
    <w:rsid w:val="074FBF04"/>
    <w:rsid w:val="0757A276"/>
    <w:rsid w:val="076E1112"/>
    <w:rsid w:val="07D6482B"/>
    <w:rsid w:val="07EFF523"/>
    <w:rsid w:val="07F7D187"/>
    <w:rsid w:val="080AA4D8"/>
    <w:rsid w:val="0826334F"/>
    <w:rsid w:val="082F47CE"/>
    <w:rsid w:val="0890F102"/>
    <w:rsid w:val="089CD977"/>
    <w:rsid w:val="08A2B46B"/>
    <w:rsid w:val="08DD3882"/>
    <w:rsid w:val="08ED496D"/>
    <w:rsid w:val="0918DD23"/>
    <w:rsid w:val="0985F6B1"/>
    <w:rsid w:val="098CD760"/>
    <w:rsid w:val="099C8CCE"/>
    <w:rsid w:val="099DF7D8"/>
    <w:rsid w:val="09A86607"/>
    <w:rsid w:val="09DEB70E"/>
    <w:rsid w:val="09EEFB43"/>
    <w:rsid w:val="09FAA8DA"/>
    <w:rsid w:val="0A222796"/>
    <w:rsid w:val="0AEB2FCB"/>
    <w:rsid w:val="0AFF7C60"/>
    <w:rsid w:val="0B13CCFC"/>
    <w:rsid w:val="0B1A3E10"/>
    <w:rsid w:val="0B6C6B48"/>
    <w:rsid w:val="0B8F3A13"/>
    <w:rsid w:val="0C36E8A4"/>
    <w:rsid w:val="0C3EBF89"/>
    <w:rsid w:val="0C890939"/>
    <w:rsid w:val="0C8D53E0"/>
    <w:rsid w:val="0C993595"/>
    <w:rsid w:val="0C99DAD7"/>
    <w:rsid w:val="0C9C12A8"/>
    <w:rsid w:val="0CB2AEEE"/>
    <w:rsid w:val="0CB30F35"/>
    <w:rsid w:val="0CD072A9"/>
    <w:rsid w:val="0D06F892"/>
    <w:rsid w:val="0D2BE870"/>
    <w:rsid w:val="0D324D33"/>
    <w:rsid w:val="0D330560"/>
    <w:rsid w:val="0D3A9148"/>
    <w:rsid w:val="0D503F52"/>
    <w:rsid w:val="0D92FAEB"/>
    <w:rsid w:val="0D962088"/>
    <w:rsid w:val="0DAB3B13"/>
    <w:rsid w:val="0DC02AE4"/>
    <w:rsid w:val="0DDEF68F"/>
    <w:rsid w:val="0DE242D6"/>
    <w:rsid w:val="0E064321"/>
    <w:rsid w:val="0E2F32DB"/>
    <w:rsid w:val="0E4E024B"/>
    <w:rsid w:val="0E7C2DBA"/>
    <w:rsid w:val="0E7FA0AD"/>
    <w:rsid w:val="0EA07EFD"/>
    <w:rsid w:val="0EB95A5A"/>
    <w:rsid w:val="0F1B96BD"/>
    <w:rsid w:val="0F2A7F13"/>
    <w:rsid w:val="0F2E94BE"/>
    <w:rsid w:val="0F6B4E34"/>
    <w:rsid w:val="0F9C8625"/>
    <w:rsid w:val="0FE14FEE"/>
    <w:rsid w:val="0FEFA4CB"/>
    <w:rsid w:val="0FF9C4AC"/>
    <w:rsid w:val="10612EAF"/>
    <w:rsid w:val="10CD7E3F"/>
    <w:rsid w:val="10F2265A"/>
    <w:rsid w:val="11688AF7"/>
    <w:rsid w:val="11AAE731"/>
    <w:rsid w:val="11B56214"/>
    <w:rsid w:val="11C9D8E9"/>
    <w:rsid w:val="11D10773"/>
    <w:rsid w:val="11D39F32"/>
    <w:rsid w:val="1222B89D"/>
    <w:rsid w:val="122BBDB1"/>
    <w:rsid w:val="1247A56F"/>
    <w:rsid w:val="1263D1CC"/>
    <w:rsid w:val="12A540BE"/>
    <w:rsid w:val="12AC195A"/>
    <w:rsid w:val="12C7052D"/>
    <w:rsid w:val="12C736B0"/>
    <w:rsid w:val="12F3C6F7"/>
    <w:rsid w:val="12F8DF08"/>
    <w:rsid w:val="136A5BB7"/>
    <w:rsid w:val="139D00D6"/>
    <w:rsid w:val="13A13194"/>
    <w:rsid w:val="13CE0047"/>
    <w:rsid w:val="13D2FC02"/>
    <w:rsid w:val="13EDF6B5"/>
    <w:rsid w:val="14148AA5"/>
    <w:rsid w:val="144FE6D0"/>
    <w:rsid w:val="1453D518"/>
    <w:rsid w:val="14637953"/>
    <w:rsid w:val="14882F42"/>
    <w:rsid w:val="14E28756"/>
    <w:rsid w:val="14F571A0"/>
    <w:rsid w:val="150FCDDB"/>
    <w:rsid w:val="151F6298"/>
    <w:rsid w:val="15337FE7"/>
    <w:rsid w:val="158DD5BE"/>
    <w:rsid w:val="159DADF2"/>
    <w:rsid w:val="15CCDFE7"/>
    <w:rsid w:val="15DD99BB"/>
    <w:rsid w:val="15F019FF"/>
    <w:rsid w:val="16010CE6"/>
    <w:rsid w:val="1652CE10"/>
    <w:rsid w:val="16F94C32"/>
    <w:rsid w:val="170F613A"/>
    <w:rsid w:val="171DE0E1"/>
    <w:rsid w:val="17293E94"/>
    <w:rsid w:val="17325F78"/>
    <w:rsid w:val="1733E078"/>
    <w:rsid w:val="177EC412"/>
    <w:rsid w:val="1798938D"/>
    <w:rsid w:val="17B6093A"/>
    <w:rsid w:val="17EE2B5E"/>
    <w:rsid w:val="1810E7AD"/>
    <w:rsid w:val="183411AD"/>
    <w:rsid w:val="18444470"/>
    <w:rsid w:val="18472B2C"/>
    <w:rsid w:val="1881D708"/>
    <w:rsid w:val="18E38EE2"/>
    <w:rsid w:val="1933D448"/>
    <w:rsid w:val="19395D17"/>
    <w:rsid w:val="193A0E3C"/>
    <w:rsid w:val="198987B3"/>
    <w:rsid w:val="199B236C"/>
    <w:rsid w:val="1A1C17B2"/>
    <w:rsid w:val="1A35D27C"/>
    <w:rsid w:val="1A701168"/>
    <w:rsid w:val="1A780239"/>
    <w:rsid w:val="1AB26ED7"/>
    <w:rsid w:val="1ABCFAF9"/>
    <w:rsid w:val="1AEA2DDB"/>
    <w:rsid w:val="1B42F3C9"/>
    <w:rsid w:val="1B54EDA6"/>
    <w:rsid w:val="1B5E9270"/>
    <w:rsid w:val="1BA90FB4"/>
    <w:rsid w:val="1BD7583E"/>
    <w:rsid w:val="1BDE5DDA"/>
    <w:rsid w:val="1C2E61C0"/>
    <w:rsid w:val="1CDC9EAF"/>
    <w:rsid w:val="1CF44304"/>
    <w:rsid w:val="1D187F2E"/>
    <w:rsid w:val="1D325421"/>
    <w:rsid w:val="1D32CD2A"/>
    <w:rsid w:val="1D5B9BD9"/>
    <w:rsid w:val="1D7CA742"/>
    <w:rsid w:val="1D98CD04"/>
    <w:rsid w:val="1D9D7F4C"/>
    <w:rsid w:val="1DA87A4A"/>
    <w:rsid w:val="1DC53D4E"/>
    <w:rsid w:val="1DD070C5"/>
    <w:rsid w:val="1E538E14"/>
    <w:rsid w:val="1E7122ED"/>
    <w:rsid w:val="1E9AD7B6"/>
    <w:rsid w:val="1EC29C8C"/>
    <w:rsid w:val="1ED5E768"/>
    <w:rsid w:val="1ED74FBC"/>
    <w:rsid w:val="1EE37BF1"/>
    <w:rsid w:val="1EEAF15B"/>
    <w:rsid w:val="1EEE4C08"/>
    <w:rsid w:val="1F4E78B4"/>
    <w:rsid w:val="1F96138D"/>
    <w:rsid w:val="1FC3485F"/>
    <w:rsid w:val="1FCC23A9"/>
    <w:rsid w:val="1FD4B837"/>
    <w:rsid w:val="1FDB5622"/>
    <w:rsid w:val="1FDBB4C3"/>
    <w:rsid w:val="201FEF82"/>
    <w:rsid w:val="20817BB7"/>
    <w:rsid w:val="209B312C"/>
    <w:rsid w:val="209EFE7B"/>
    <w:rsid w:val="20AEC9C7"/>
    <w:rsid w:val="20E67A18"/>
    <w:rsid w:val="20EDA48D"/>
    <w:rsid w:val="20F4AC6D"/>
    <w:rsid w:val="210FDA03"/>
    <w:rsid w:val="211AD092"/>
    <w:rsid w:val="211F0AF3"/>
    <w:rsid w:val="21226A72"/>
    <w:rsid w:val="212C62AE"/>
    <w:rsid w:val="212D1D3C"/>
    <w:rsid w:val="21E08282"/>
    <w:rsid w:val="225EBAC6"/>
    <w:rsid w:val="226B2753"/>
    <w:rsid w:val="229FE67E"/>
    <w:rsid w:val="22F04B0D"/>
    <w:rsid w:val="2364A120"/>
    <w:rsid w:val="238E9285"/>
    <w:rsid w:val="23A6AB7D"/>
    <w:rsid w:val="23ECCC0B"/>
    <w:rsid w:val="241EB2B8"/>
    <w:rsid w:val="246D77CB"/>
    <w:rsid w:val="246E075F"/>
    <w:rsid w:val="24C7A0CA"/>
    <w:rsid w:val="24FDFD8E"/>
    <w:rsid w:val="25099AF1"/>
    <w:rsid w:val="25BEEEF9"/>
    <w:rsid w:val="25C8656B"/>
    <w:rsid w:val="26231D70"/>
    <w:rsid w:val="26287B45"/>
    <w:rsid w:val="265F817E"/>
    <w:rsid w:val="2660E54D"/>
    <w:rsid w:val="2698980F"/>
    <w:rsid w:val="269F6C9E"/>
    <w:rsid w:val="26C425FC"/>
    <w:rsid w:val="273C4206"/>
    <w:rsid w:val="275198DE"/>
    <w:rsid w:val="275204D5"/>
    <w:rsid w:val="27759E68"/>
    <w:rsid w:val="27762D53"/>
    <w:rsid w:val="27DBFB5B"/>
    <w:rsid w:val="27E548EE"/>
    <w:rsid w:val="27EC00DA"/>
    <w:rsid w:val="28117B1C"/>
    <w:rsid w:val="286887EA"/>
    <w:rsid w:val="2882AE6F"/>
    <w:rsid w:val="2883B34D"/>
    <w:rsid w:val="28853B31"/>
    <w:rsid w:val="2892FA20"/>
    <w:rsid w:val="28940C3D"/>
    <w:rsid w:val="28AD727B"/>
    <w:rsid w:val="28BA839C"/>
    <w:rsid w:val="28D689A4"/>
    <w:rsid w:val="2940446A"/>
    <w:rsid w:val="29425EDE"/>
    <w:rsid w:val="297CD55A"/>
    <w:rsid w:val="29999C8F"/>
    <w:rsid w:val="29C75A03"/>
    <w:rsid w:val="29D023EC"/>
    <w:rsid w:val="29EAFAB6"/>
    <w:rsid w:val="29ED08DE"/>
    <w:rsid w:val="2A1C53CD"/>
    <w:rsid w:val="2A70A82F"/>
    <w:rsid w:val="2A7DD37F"/>
    <w:rsid w:val="2AEF2EF9"/>
    <w:rsid w:val="2B095F19"/>
    <w:rsid w:val="2B53779C"/>
    <w:rsid w:val="2B547798"/>
    <w:rsid w:val="2B81A596"/>
    <w:rsid w:val="2BBABB05"/>
    <w:rsid w:val="2BCAF907"/>
    <w:rsid w:val="2BDE957B"/>
    <w:rsid w:val="2BDFDADD"/>
    <w:rsid w:val="2C1B5706"/>
    <w:rsid w:val="2C1C90A3"/>
    <w:rsid w:val="2C2568C3"/>
    <w:rsid w:val="2C2AEEEE"/>
    <w:rsid w:val="2C319537"/>
    <w:rsid w:val="2C4F73BE"/>
    <w:rsid w:val="2C529DB2"/>
    <w:rsid w:val="2C62BC3B"/>
    <w:rsid w:val="2C6AA39A"/>
    <w:rsid w:val="2CCC9632"/>
    <w:rsid w:val="2CCFA2B1"/>
    <w:rsid w:val="2CD20885"/>
    <w:rsid w:val="2D54159A"/>
    <w:rsid w:val="2D693DCA"/>
    <w:rsid w:val="2D82393C"/>
    <w:rsid w:val="2DA1DAAA"/>
    <w:rsid w:val="2E097BA9"/>
    <w:rsid w:val="2E9226AD"/>
    <w:rsid w:val="2E9681C2"/>
    <w:rsid w:val="2EAD1D51"/>
    <w:rsid w:val="2ED6AB4C"/>
    <w:rsid w:val="2ED70351"/>
    <w:rsid w:val="2EDDCB41"/>
    <w:rsid w:val="2EF27834"/>
    <w:rsid w:val="2EF6A8D3"/>
    <w:rsid w:val="2F7DE12C"/>
    <w:rsid w:val="2FB0D162"/>
    <w:rsid w:val="2FBC07E7"/>
    <w:rsid w:val="2FC3A681"/>
    <w:rsid w:val="2FD56045"/>
    <w:rsid w:val="30366AE6"/>
    <w:rsid w:val="308FA085"/>
    <w:rsid w:val="30BB6A98"/>
    <w:rsid w:val="30C3B90B"/>
    <w:rsid w:val="30CD05B1"/>
    <w:rsid w:val="3109B187"/>
    <w:rsid w:val="312C3ABB"/>
    <w:rsid w:val="3147B10C"/>
    <w:rsid w:val="3155E573"/>
    <w:rsid w:val="316C892C"/>
    <w:rsid w:val="317F567A"/>
    <w:rsid w:val="31A05245"/>
    <w:rsid w:val="31BBA3A9"/>
    <w:rsid w:val="31D3C8DB"/>
    <w:rsid w:val="3213FE7E"/>
    <w:rsid w:val="32400664"/>
    <w:rsid w:val="3244FB77"/>
    <w:rsid w:val="326FDE66"/>
    <w:rsid w:val="32AF7668"/>
    <w:rsid w:val="32F318DB"/>
    <w:rsid w:val="3300C1C8"/>
    <w:rsid w:val="33022A76"/>
    <w:rsid w:val="33789DF5"/>
    <w:rsid w:val="33818E39"/>
    <w:rsid w:val="34195F66"/>
    <w:rsid w:val="3422CA26"/>
    <w:rsid w:val="34593567"/>
    <w:rsid w:val="34BFF3EF"/>
    <w:rsid w:val="350AF302"/>
    <w:rsid w:val="3546D2A4"/>
    <w:rsid w:val="3555C71A"/>
    <w:rsid w:val="3583577B"/>
    <w:rsid w:val="35FDD99F"/>
    <w:rsid w:val="360F06B1"/>
    <w:rsid w:val="3619CC22"/>
    <w:rsid w:val="365DD5DC"/>
    <w:rsid w:val="365EA581"/>
    <w:rsid w:val="36B17512"/>
    <w:rsid w:val="36BBD54E"/>
    <w:rsid w:val="36D3E4BC"/>
    <w:rsid w:val="36DCD0F1"/>
    <w:rsid w:val="36ECD826"/>
    <w:rsid w:val="36FE8743"/>
    <w:rsid w:val="370518C9"/>
    <w:rsid w:val="376785A6"/>
    <w:rsid w:val="37CEB85E"/>
    <w:rsid w:val="3850684D"/>
    <w:rsid w:val="3851665D"/>
    <w:rsid w:val="385B8A8B"/>
    <w:rsid w:val="3870400F"/>
    <w:rsid w:val="38ADC576"/>
    <w:rsid w:val="38E41177"/>
    <w:rsid w:val="390AFF67"/>
    <w:rsid w:val="392B6230"/>
    <w:rsid w:val="395C3637"/>
    <w:rsid w:val="3966916D"/>
    <w:rsid w:val="397C6594"/>
    <w:rsid w:val="3999EC83"/>
    <w:rsid w:val="39A25BA9"/>
    <w:rsid w:val="39C96922"/>
    <w:rsid w:val="3A18E8F3"/>
    <w:rsid w:val="3A4E7D6B"/>
    <w:rsid w:val="3A69359F"/>
    <w:rsid w:val="3A699C1B"/>
    <w:rsid w:val="3A6FBBCC"/>
    <w:rsid w:val="3A795C34"/>
    <w:rsid w:val="3A9790F3"/>
    <w:rsid w:val="3AA1A6F3"/>
    <w:rsid w:val="3AB2D279"/>
    <w:rsid w:val="3AB812DD"/>
    <w:rsid w:val="3AF4F28C"/>
    <w:rsid w:val="3B0B7C74"/>
    <w:rsid w:val="3B4CA44B"/>
    <w:rsid w:val="3B60ADCE"/>
    <w:rsid w:val="3B7AE02F"/>
    <w:rsid w:val="3B9B85CB"/>
    <w:rsid w:val="3BB8CB60"/>
    <w:rsid w:val="3BDC8082"/>
    <w:rsid w:val="3BE975D6"/>
    <w:rsid w:val="3BF90982"/>
    <w:rsid w:val="3C0A0A90"/>
    <w:rsid w:val="3C5103DA"/>
    <w:rsid w:val="3CA1422A"/>
    <w:rsid w:val="3CB72DBE"/>
    <w:rsid w:val="3CD9243A"/>
    <w:rsid w:val="3CDA2742"/>
    <w:rsid w:val="3CFA40E4"/>
    <w:rsid w:val="3D0E342C"/>
    <w:rsid w:val="3D22DDFE"/>
    <w:rsid w:val="3D2350E7"/>
    <w:rsid w:val="3D53F2C7"/>
    <w:rsid w:val="3D588760"/>
    <w:rsid w:val="3D5C059F"/>
    <w:rsid w:val="3D94D0CD"/>
    <w:rsid w:val="3D9F5181"/>
    <w:rsid w:val="3DFCF343"/>
    <w:rsid w:val="3E3FEFEA"/>
    <w:rsid w:val="3E4B289F"/>
    <w:rsid w:val="3E630C07"/>
    <w:rsid w:val="3E7D2EF7"/>
    <w:rsid w:val="3EA078EA"/>
    <w:rsid w:val="3ECED19A"/>
    <w:rsid w:val="3F095D6A"/>
    <w:rsid w:val="3F20E7FE"/>
    <w:rsid w:val="3F226BC9"/>
    <w:rsid w:val="3F279E6E"/>
    <w:rsid w:val="3F3E47CA"/>
    <w:rsid w:val="3F43DB5A"/>
    <w:rsid w:val="3F617F6D"/>
    <w:rsid w:val="3FB03BDA"/>
    <w:rsid w:val="3FB102EC"/>
    <w:rsid w:val="3FB299AB"/>
    <w:rsid w:val="3FBDA15A"/>
    <w:rsid w:val="400F9499"/>
    <w:rsid w:val="40420A28"/>
    <w:rsid w:val="407B1B1F"/>
    <w:rsid w:val="407EB72E"/>
    <w:rsid w:val="409B8603"/>
    <w:rsid w:val="40A17B17"/>
    <w:rsid w:val="40AD593C"/>
    <w:rsid w:val="4100832F"/>
    <w:rsid w:val="410CA1FD"/>
    <w:rsid w:val="412BD665"/>
    <w:rsid w:val="412DD962"/>
    <w:rsid w:val="4146BF9C"/>
    <w:rsid w:val="41677DBD"/>
    <w:rsid w:val="41884311"/>
    <w:rsid w:val="4194634F"/>
    <w:rsid w:val="419621E9"/>
    <w:rsid w:val="41A3FB0F"/>
    <w:rsid w:val="41ABD598"/>
    <w:rsid w:val="41CCCB13"/>
    <w:rsid w:val="421B75AA"/>
    <w:rsid w:val="42203580"/>
    <w:rsid w:val="4290DC23"/>
    <w:rsid w:val="429CCEBF"/>
    <w:rsid w:val="42D91241"/>
    <w:rsid w:val="42DCC8B0"/>
    <w:rsid w:val="42E357D0"/>
    <w:rsid w:val="42ED27E4"/>
    <w:rsid w:val="43041E30"/>
    <w:rsid w:val="430CCA8F"/>
    <w:rsid w:val="4335BC48"/>
    <w:rsid w:val="436AE464"/>
    <w:rsid w:val="4385FA9A"/>
    <w:rsid w:val="43995363"/>
    <w:rsid w:val="43DB0AFC"/>
    <w:rsid w:val="43FB8CE7"/>
    <w:rsid w:val="4400C97C"/>
    <w:rsid w:val="440B0488"/>
    <w:rsid w:val="442CF414"/>
    <w:rsid w:val="444097C8"/>
    <w:rsid w:val="4445393F"/>
    <w:rsid w:val="445B3E44"/>
    <w:rsid w:val="4472753F"/>
    <w:rsid w:val="44785EEA"/>
    <w:rsid w:val="4488B9BD"/>
    <w:rsid w:val="449CDEB4"/>
    <w:rsid w:val="44E16D6D"/>
    <w:rsid w:val="45108541"/>
    <w:rsid w:val="4511D059"/>
    <w:rsid w:val="454C5333"/>
    <w:rsid w:val="4566887B"/>
    <w:rsid w:val="457244BD"/>
    <w:rsid w:val="457AAE27"/>
    <w:rsid w:val="45B58881"/>
    <w:rsid w:val="45B60E6F"/>
    <w:rsid w:val="464C81D9"/>
    <w:rsid w:val="465561E6"/>
    <w:rsid w:val="465DCB42"/>
    <w:rsid w:val="46C97998"/>
    <w:rsid w:val="46D833FB"/>
    <w:rsid w:val="46E5E254"/>
    <w:rsid w:val="46EE5BEE"/>
    <w:rsid w:val="47180ED3"/>
    <w:rsid w:val="4789625C"/>
    <w:rsid w:val="47A1936A"/>
    <w:rsid w:val="47D9D5B3"/>
    <w:rsid w:val="48032873"/>
    <w:rsid w:val="48074084"/>
    <w:rsid w:val="482EFC6C"/>
    <w:rsid w:val="484151FE"/>
    <w:rsid w:val="48485A01"/>
    <w:rsid w:val="4863F12A"/>
    <w:rsid w:val="487965BA"/>
    <w:rsid w:val="48E8DFD8"/>
    <w:rsid w:val="48FC87B0"/>
    <w:rsid w:val="494CF377"/>
    <w:rsid w:val="4958AFF4"/>
    <w:rsid w:val="49CA02B8"/>
    <w:rsid w:val="49D9E2F2"/>
    <w:rsid w:val="4A281999"/>
    <w:rsid w:val="4A3F0597"/>
    <w:rsid w:val="4A738773"/>
    <w:rsid w:val="4A8DFB39"/>
    <w:rsid w:val="4A9C2CA7"/>
    <w:rsid w:val="4ABBCAE2"/>
    <w:rsid w:val="4B273CCD"/>
    <w:rsid w:val="4B3A7A05"/>
    <w:rsid w:val="4B3F2A08"/>
    <w:rsid w:val="4B43D7CF"/>
    <w:rsid w:val="4BE19E95"/>
    <w:rsid w:val="4BEBC5E7"/>
    <w:rsid w:val="4BEEACCE"/>
    <w:rsid w:val="4BF52EB3"/>
    <w:rsid w:val="4BFDDADE"/>
    <w:rsid w:val="4C4A2010"/>
    <w:rsid w:val="4C559B31"/>
    <w:rsid w:val="4CF51FDC"/>
    <w:rsid w:val="4D1D0575"/>
    <w:rsid w:val="4D46A449"/>
    <w:rsid w:val="4D60DC2B"/>
    <w:rsid w:val="4D95F89F"/>
    <w:rsid w:val="4DA63F23"/>
    <w:rsid w:val="4E0E6F0E"/>
    <w:rsid w:val="4E9B5836"/>
    <w:rsid w:val="4EBEC8F7"/>
    <w:rsid w:val="4EC9FBDE"/>
    <w:rsid w:val="4ED9D817"/>
    <w:rsid w:val="4F05232E"/>
    <w:rsid w:val="4F28B363"/>
    <w:rsid w:val="4F85B9E8"/>
    <w:rsid w:val="4FA34A3D"/>
    <w:rsid w:val="4FC7C8EE"/>
    <w:rsid w:val="4FE25AE1"/>
    <w:rsid w:val="4FE3FD2E"/>
    <w:rsid w:val="5007E754"/>
    <w:rsid w:val="5025C614"/>
    <w:rsid w:val="504AF0E1"/>
    <w:rsid w:val="50638E49"/>
    <w:rsid w:val="50709C95"/>
    <w:rsid w:val="50902F5C"/>
    <w:rsid w:val="50AE77A8"/>
    <w:rsid w:val="50C7F4FC"/>
    <w:rsid w:val="50E90F51"/>
    <w:rsid w:val="50E9875F"/>
    <w:rsid w:val="50FA4850"/>
    <w:rsid w:val="51010B31"/>
    <w:rsid w:val="5104EB72"/>
    <w:rsid w:val="5133EDDF"/>
    <w:rsid w:val="5136B288"/>
    <w:rsid w:val="5142896A"/>
    <w:rsid w:val="5184E67F"/>
    <w:rsid w:val="51B12785"/>
    <w:rsid w:val="51D04CA5"/>
    <w:rsid w:val="521508EB"/>
    <w:rsid w:val="5218A96B"/>
    <w:rsid w:val="52A9B895"/>
    <w:rsid w:val="52BAF108"/>
    <w:rsid w:val="52CDFB36"/>
    <w:rsid w:val="52E89BEB"/>
    <w:rsid w:val="532CC6A2"/>
    <w:rsid w:val="536CE0F3"/>
    <w:rsid w:val="537439B8"/>
    <w:rsid w:val="537A0EF6"/>
    <w:rsid w:val="53C36CF0"/>
    <w:rsid w:val="53D78978"/>
    <w:rsid w:val="53FE3893"/>
    <w:rsid w:val="542F1A57"/>
    <w:rsid w:val="54389C83"/>
    <w:rsid w:val="543DC7D8"/>
    <w:rsid w:val="545338C6"/>
    <w:rsid w:val="5492E69A"/>
    <w:rsid w:val="54990ED2"/>
    <w:rsid w:val="54B22A80"/>
    <w:rsid w:val="5504A88D"/>
    <w:rsid w:val="553C94B5"/>
    <w:rsid w:val="55AB2D0F"/>
    <w:rsid w:val="55AE4BAD"/>
    <w:rsid w:val="55AFDF31"/>
    <w:rsid w:val="55B815EF"/>
    <w:rsid w:val="5623263E"/>
    <w:rsid w:val="566E3ADC"/>
    <w:rsid w:val="568CE3BD"/>
    <w:rsid w:val="56B8AABA"/>
    <w:rsid w:val="56F21C31"/>
    <w:rsid w:val="56FE9F43"/>
    <w:rsid w:val="57B041E5"/>
    <w:rsid w:val="57ED9B99"/>
    <w:rsid w:val="57F00FB2"/>
    <w:rsid w:val="582EC111"/>
    <w:rsid w:val="58375EE5"/>
    <w:rsid w:val="5888B98B"/>
    <w:rsid w:val="58DA7DBB"/>
    <w:rsid w:val="58FF5B63"/>
    <w:rsid w:val="59257AB2"/>
    <w:rsid w:val="596B7464"/>
    <w:rsid w:val="597CE212"/>
    <w:rsid w:val="59C391CD"/>
    <w:rsid w:val="59D28F6E"/>
    <w:rsid w:val="5A1423D1"/>
    <w:rsid w:val="5A40A8DC"/>
    <w:rsid w:val="5A7C42C2"/>
    <w:rsid w:val="5A961C2C"/>
    <w:rsid w:val="5B6AB721"/>
    <w:rsid w:val="5B990830"/>
    <w:rsid w:val="5BD9756C"/>
    <w:rsid w:val="5BDF6DC6"/>
    <w:rsid w:val="5BF498B8"/>
    <w:rsid w:val="5BF7916B"/>
    <w:rsid w:val="5C0C2768"/>
    <w:rsid w:val="5C36DEE2"/>
    <w:rsid w:val="5C3A65EA"/>
    <w:rsid w:val="5C4D8A0F"/>
    <w:rsid w:val="5C5A0C12"/>
    <w:rsid w:val="5C5F1CD2"/>
    <w:rsid w:val="5C61B354"/>
    <w:rsid w:val="5C702176"/>
    <w:rsid w:val="5CADE0D6"/>
    <w:rsid w:val="5CAFD8B3"/>
    <w:rsid w:val="5CE5CCB9"/>
    <w:rsid w:val="5D507AE8"/>
    <w:rsid w:val="5D75E546"/>
    <w:rsid w:val="5D7A6F3B"/>
    <w:rsid w:val="5DBE6040"/>
    <w:rsid w:val="5DF45D4C"/>
    <w:rsid w:val="5E0219E1"/>
    <w:rsid w:val="5E0914D2"/>
    <w:rsid w:val="5E4366F6"/>
    <w:rsid w:val="5E65E53E"/>
    <w:rsid w:val="5EA851EB"/>
    <w:rsid w:val="5EA9F353"/>
    <w:rsid w:val="5EFF082E"/>
    <w:rsid w:val="5EFF54AF"/>
    <w:rsid w:val="5F08AEDA"/>
    <w:rsid w:val="5F261094"/>
    <w:rsid w:val="5F5175D4"/>
    <w:rsid w:val="5FC39EE0"/>
    <w:rsid w:val="5FDF03DD"/>
    <w:rsid w:val="5FE7F7BF"/>
    <w:rsid w:val="5FE9F48E"/>
    <w:rsid w:val="6003C85B"/>
    <w:rsid w:val="600520C1"/>
    <w:rsid w:val="60158014"/>
    <w:rsid w:val="6015B881"/>
    <w:rsid w:val="603CFD39"/>
    <w:rsid w:val="605C38EC"/>
    <w:rsid w:val="609BE246"/>
    <w:rsid w:val="60AB2992"/>
    <w:rsid w:val="60AC8EF9"/>
    <w:rsid w:val="60BA89AE"/>
    <w:rsid w:val="60D01896"/>
    <w:rsid w:val="60E9F836"/>
    <w:rsid w:val="61445C8D"/>
    <w:rsid w:val="6173300C"/>
    <w:rsid w:val="6181952F"/>
    <w:rsid w:val="618DB103"/>
    <w:rsid w:val="624D8389"/>
    <w:rsid w:val="6250EC08"/>
    <w:rsid w:val="62546EAE"/>
    <w:rsid w:val="628D55E7"/>
    <w:rsid w:val="62A4DAB8"/>
    <w:rsid w:val="62BFEB09"/>
    <w:rsid w:val="62C68974"/>
    <w:rsid w:val="62E5E714"/>
    <w:rsid w:val="62FC119E"/>
    <w:rsid w:val="6328EF80"/>
    <w:rsid w:val="63419346"/>
    <w:rsid w:val="636846F6"/>
    <w:rsid w:val="6386FFD1"/>
    <w:rsid w:val="638F2BE1"/>
    <w:rsid w:val="63A9F416"/>
    <w:rsid w:val="63D0486B"/>
    <w:rsid w:val="646CEB09"/>
    <w:rsid w:val="64F8DDEC"/>
    <w:rsid w:val="6505BB81"/>
    <w:rsid w:val="652586D1"/>
    <w:rsid w:val="6535473E"/>
    <w:rsid w:val="6568D820"/>
    <w:rsid w:val="657B7EE9"/>
    <w:rsid w:val="65982E37"/>
    <w:rsid w:val="65987E14"/>
    <w:rsid w:val="659CE016"/>
    <w:rsid w:val="65DFDE06"/>
    <w:rsid w:val="65EFEA9E"/>
    <w:rsid w:val="6653D46D"/>
    <w:rsid w:val="66678616"/>
    <w:rsid w:val="666D5C10"/>
    <w:rsid w:val="666E77B4"/>
    <w:rsid w:val="66779EFB"/>
    <w:rsid w:val="669F2BA4"/>
    <w:rsid w:val="66CBDE25"/>
    <w:rsid w:val="66CBF166"/>
    <w:rsid w:val="66F5E467"/>
    <w:rsid w:val="671AFF7E"/>
    <w:rsid w:val="6720D82E"/>
    <w:rsid w:val="6738D7E3"/>
    <w:rsid w:val="67509DE3"/>
    <w:rsid w:val="6751ECA6"/>
    <w:rsid w:val="6759C159"/>
    <w:rsid w:val="67637D99"/>
    <w:rsid w:val="676F5910"/>
    <w:rsid w:val="678AB9AF"/>
    <w:rsid w:val="67A27041"/>
    <w:rsid w:val="67CAC289"/>
    <w:rsid w:val="68053969"/>
    <w:rsid w:val="6806DDE2"/>
    <w:rsid w:val="68101B82"/>
    <w:rsid w:val="68157803"/>
    <w:rsid w:val="684F4926"/>
    <w:rsid w:val="685BD5E4"/>
    <w:rsid w:val="687B6DE6"/>
    <w:rsid w:val="6881CB62"/>
    <w:rsid w:val="68AC8440"/>
    <w:rsid w:val="68AF48CA"/>
    <w:rsid w:val="68DA63C1"/>
    <w:rsid w:val="68EEA98D"/>
    <w:rsid w:val="68F647AE"/>
    <w:rsid w:val="68F9DD4C"/>
    <w:rsid w:val="69253C43"/>
    <w:rsid w:val="6945105C"/>
    <w:rsid w:val="696EE100"/>
    <w:rsid w:val="698C5C28"/>
    <w:rsid w:val="69DEB41D"/>
    <w:rsid w:val="69EE438C"/>
    <w:rsid w:val="6A0FDD02"/>
    <w:rsid w:val="6A41A651"/>
    <w:rsid w:val="6A5080E4"/>
    <w:rsid w:val="6A8C0F78"/>
    <w:rsid w:val="6AA7BC41"/>
    <w:rsid w:val="6AAFFEBF"/>
    <w:rsid w:val="6AB4CF3B"/>
    <w:rsid w:val="6B2529F8"/>
    <w:rsid w:val="6B514624"/>
    <w:rsid w:val="6B9B3AEA"/>
    <w:rsid w:val="6BB13E68"/>
    <w:rsid w:val="6C36B540"/>
    <w:rsid w:val="6C3F56EC"/>
    <w:rsid w:val="6D421CE3"/>
    <w:rsid w:val="6D4C9C14"/>
    <w:rsid w:val="6D563725"/>
    <w:rsid w:val="6D8D59ED"/>
    <w:rsid w:val="6DBEED12"/>
    <w:rsid w:val="6DDFB388"/>
    <w:rsid w:val="6E7B621E"/>
    <w:rsid w:val="6E81E7A0"/>
    <w:rsid w:val="6EB381EA"/>
    <w:rsid w:val="6EBE1F73"/>
    <w:rsid w:val="6F106472"/>
    <w:rsid w:val="6F33E180"/>
    <w:rsid w:val="6F5C352D"/>
    <w:rsid w:val="6F5E8281"/>
    <w:rsid w:val="6F73758F"/>
    <w:rsid w:val="6F81284B"/>
    <w:rsid w:val="6F82242D"/>
    <w:rsid w:val="6F82D38C"/>
    <w:rsid w:val="6FB9DB34"/>
    <w:rsid w:val="7002327E"/>
    <w:rsid w:val="703677E7"/>
    <w:rsid w:val="705C3149"/>
    <w:rsid w:val="707ABC76"/>
    <w:rsid w:val="7085A845"/>
    <w:rsid w:val="70918299"/>
    <w:rsid w:val="709ED666"/>
    <w:rsid w:val="70C6C2C6"/>
    <w:rsid w:val="710A6EB0"/>
    <w:rsid w:val="718E2F2D"/>
    <w:rsid w:val="718F2321"/>
    <w:rsid w:val="71E4CFD8"/>
    <w:rsid w:val="722DA7BB"/>
    <w:rsid w:val="724A7540"/>
    <w:rsid w:val="72AA5C1E"/>
    <w:rsid w:val="72B2C44D"/>
    <w:rsid w:val="72D0A6A2"/>
    <w:rsid w:val="730FBFEF"/>
    <w:rsid w:val="731FB6CC"/>
    <w:rsid w:val="735C78B3"/>
    <w:rsid w:val="7382FA06"/>
    <w:rsid w:val="73C8CFBC"/>
    <w:rsid w:val="73DAB1A2"/>
    <w:rsid w:val="73DEBB5D"/>
    <w:rsid w:val="73F3AADD"/>
    <w:rsid w:val="745F18C6"/>
    <w:rsid w:val="747B43BB"/>
    <w:rsid w:val="74BA6B7E"/>
    <w:rsid w:val="750A0E16"/>
    <w:rsid w:val="75326250"/>
    <w:rsid w:val="759D92B2"/>
    <w:rsid w:val="75D2BEB2"/>
    <w:rsid w:val="76182B7C"/>
    <w:rsid w:val="762C4F70"/>
    <w:rsid w:val="762FE53B"/>
    <w:rsid w:val="763EF781"/>
    <w:rsid w:val="766FF8B2"/>
    <w:rsid w:val="76CEBD6F"/>
    <w:rsid w:val="76F29689"/>
    <w:rsid w:val="76F81798"/>
    <w:rsid w:val="775F5DFC"/>
    <w:rsid w:val="776CA19D"/>
    <w:rsid w:val="777212ED"/>
    <w:rsid w:val="77838C49"/>
    <w:rsid w:val="778C078E"/>
    <w:rsid w:val="77BD9AA3"/>
    <w:rsid w:val="77DDA024"/>
    <w:rsid w:val="77EC27F3"/>
    <w:rsid w:val="7813A246"/>
    <w:rsid w:val="7814EB08"/>
    <w:rsid w:val="7823A281"/>
    <w:rsid w:val="7827BD6F"/>
    <w:rsid w:val="783797C4"/>
    <w:rsid w:val="78DB34B0"/>
    <w:rsid w:val="7970099E"/>
    <w:rsid w:val="79B594BB"/>
    <w:rsid w:val="7A4A7601"/>
    <w:rsid w:val="7A7C6707"/>
    <w:rsid w:val="7AA3F936"/>
    <w:rsid w:val="7AA67A05"/>
    <w:rsid w:val="7B0F3611"/>
    <w:rsid w:val="7B138A60"/>
    <w:rsid w:val="7B3509EE"/>
    <w:rsid w:val="7B4C90B0"/>
    <w:rsid w:val="7B818F81"/>
    <w:rsid w:val="7B86DEB7"/>
    <w:rsid w:val="7B88121B"/>
    <w:rsid w:val="7BA5F761"/>
    <w:rsid w:val="7BE450BC"/>
    <w:rsid w:val="7BF57034"/>
    <w:rsid w:val="7C0D802A"/>
    <w:rsid w:val="7C189B09"/>
    <w:rsid w:val="7C1C68F3"/>
    <w:rsid w:val="7C455C19"/>
    <w:rsid w:val="7C6D4D51"/>
    <w:rsid w:val="7C83F32C"/>
    <w:rsid w:val="7C91AF41"/>
    <w:rsid w:val="7CAB8B67"/>
    <w:rsid w:val="7CCF26D2"/>
    <w:rsid w:val="7D2EC6D6"/>
    <w:rsid w:val="7D4A811B"/>
    <w:rsid w:val="7D5B792E"/>
    <w:rsid w:val="7D87585F"/>
    <w:rsid w:val="7DB46045"/>
    <w:rsid w:val="7DBEDFA9"/>
    <w:rsid w:val="7DCA4D46"/>
    <w:rsid w:val="7DF54A39"/>
    <w:rsid w:val="7E9F2011"/>
    <w:rsid w:val="7ED6C043"/>
    <w:rsid w:val="7EEE0EE9"/>
    <w:rsid w:val="7F185CFA"/>
    <w:rsid w:val="7F22F968"/>
    <w:rsid w:val="7F259BBE"/>
    <w:rsid w:val="7F422E61"/>
    <w:rsid w:val="7F4A1ADC"/>
    <w:rsid w:val="7FAE91EA"/>
    <w:rsid w:val="7FCC4F02"/>
    <w:rsid w:val="7FD060E5"/>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7B1D08"/>
  <w15:docId w15:val="{03E55E92-0EB7-F044-9E49-688558F65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ja-JP"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0559"/>
    <w:pPr>
      <w:suppressAutoHyphens w:val="0"/>
    </w:pPr>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qFormat/>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qFormat/>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qFormat/>
    <w:rPr>
      <w:rFonts w:eastAsiaTheme="majorEastAsia" w:cstheme="majorBidi"/>
      <w:color w:val="272727" w:themeColor="text1" w:themeTint="D8"/>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qFormat/>
    <w:rPr>
      <w:i/>
      <w:iCs/>
      <w:color w:val="404040" w:themeColor="text1" w:themeTint="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6DABF9D1"/>
    <w:rPr>
      <w:color w:val="467886"/>
      <w:u w:val="single"/>
    </w:rPr>
  </w:style>
  <w:style w:type="character" w:styleId="UnresolvedMention">
    <w:name w:val="Unresolved Mention"/>
    <w:basedOn w:val="DefaultParagraphFont"/>
    <w:uiPriority w:val="99"/>
    <w:semiHidden/>
    <w:unhideWhenUsed/>
    <w:qFormat/>
    <w:rsid w:val="007122E2"/>
    <w:rPr>
      <w:color w:val="605E5C"/>
      <w:shd w:val="clear" w:color="auto" w:fill="E1DFDD"/>
    </w:rPr>
  </w:style>
  <w:style w:type="character" w:styleId="Emphasis">
    <w:name w:val="Emphasis"/>
    <w:uiPriority w:val="20"/>
    <w:qFormat/>
    <w:rPr>
      <w:i/>
      <w:iCs/>
    </w:rPr>
  </w:style>
  <w:style w:type="character" w:customStyle="1" w:styleId="Bullets">
    <w:name w:val="Bullets"/>
    <w:qFormat/>
    <w:rPr>
      <w:rFonts w:ascii="OpenSymbol" w:eastAsia="OpenSymbol" w:hAnsi="OpenSymbol" w:cs="OpenSymbol"/>
    </w:rPr>
  </w:style>
  <w:style w:type="character" w:customStyle="1" w:styleId="StrongEmphasis">
    <w:name w:val="Strong Emphasis"/>
    <w:qFormat/>
    <w:rPr>
      <w:b/>
      <w:bCs/>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rPr>
  </w:style>
  <w:style w:type="paragraph" w:customStyle="1" w:styleId="Index">
    <w:name w:val="Index"/>
    <w:basedOn w:val="Normal"/>
    <w:qFormat/>
    <w:pPr>
      <w:suppressLineNumbers/>
    </w:pPr>
    <w:rPr>
      <w:rFonts w:cs="Lohit Devanagari"/>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
      <w:sz w:val="56"/>
      <w:szCs w:val="56"/>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0F4761"/>
        <w:bottom w:val="single" w:sz="4" w:space="10" w:color="0F4761"/>
      </w:pBdr>
      <w:spacing w:before="360" w:after="360"/>
      <w:ind w:left="864" w:right="864"/>
      <w:jc w:val="center"/>
    </w:pPr>
    <w:rPr>
      <w:i/>
      <w:iCs/>
      <w:color w:val="0F4761" w:themeColor="accent1" w:themeShade="BF"/>
    </w:rPr>
  </w:style>
  <w:style w:type="paragraph" w:styleId="ListParagraph">
    <w:name w:val="List Paragraph"/>
    <w:basedOn w:val="Normal"/>
    <w:uiPriority w:val="34"/>
    <w:qFormat/>
    <w:rsid w:val="6DABF9D1"/>
    <w:pPr>
      <w:ind w:left="720"/>
      <w:contextualSpacing/>
    </w:pPr>
  </w:style>
  <w:style w:type="paragraph" w:customStyle="1" w:styleId="MDPI31text">
    <w:name w:val="MDPI_3.1_text"/>
    <w:qFormat/>
    <w:rsid w:val="00053BEF"/>
    <w:pPr>
      <w:snapToGrid w:val="0"/>
      <w:spacing w:line="228" w:lineRule="auto"/>
      <w:ind w:left="2608" w:firstLine="425"/>
      <w:jc w:val="both"/>
    </w:pPr>
    <w:rPr>
      <w:rFonts w:ascii="Palatino Linotype" w:eastAsia="Times New Roman" w:hAnsi="Palatino Linotype" w:cs="Times New Roman"/>
      <w:color w:val="000000"/>
      <w:sz w:val="20"/>
      <w:szCs w:val="22"/>
      <w:lang w:eastAsia="de-DE" w:bidi="en-US"/>
    </w:rPr>
  </w:style>
  <w:style w:type="paragraph" w:styleId="NormalWeb">
    <w:name w:val="Normal (Web)"/>
    <w:basedOn w:val="Normal"/>
    <w:uiPriority w:val="99"/>
    <w:unhideWhenUsed/>
    <w:rsid w:val="005F2397"/>
    <w:pPr>
      <w:spacing w:before="100" w:beforeAutospacing="1" w:after="100" w:afterAutospacing="1"/>
    </w:pPr>
  </w:style>
  <w:style w:type="character" w:customStyle="1" w:styleId="overflow-hidden">
    <w:name w:val="overflow-hidden"/>
    <w:basedOn w:val="DefaultParagraphFont"/>
    <w:rsid w:val="005F2397"/>
  </w:style>
  <w:style w:type="paragraph" w:styleId="Bibliography">
    <w:name w:val="Bibliography"/>
    <w:basedOn w:val="Normal"/>
    <w:next w:val="Normal"/>
    <w:uiPriority w:val="37"/>
    <w:unhideWhenUsed/>
    <w:rsid w:val="00931653"/>
    <w:pPr>
      <w:tabs>
        <w:tab w:val="left" w:pos="620"/>
      </w:tabs>
      <w:ind w:left="624" w:hanging="624"/>
    </w:pPr>
  </w:style>
  <w:style w:type="paragraph" w:styleId="Header">
    <w:name w:val="header"/>
    <w:basedOn w:val="Normal"/>
    <w:link w:val="HeaderChar"/>
    <w:uiPriority w:val="99"/>
    <w:unhideWhenUsed/>
    <w:rsid w:val="004D7799"/>
    <w:pPr>
      <w:tabs>
        <w:tab w:val="center" w:pos="4513"/>
        <w:tab w:val="right" w:pos="9026"/>
      </w:tabs>
    </w:pPr>
  </w:style>
  <w:style w:type="character" w:customStyle="1" w:styleId="HeaderChar">
    <w:name w:val="Header Char"/>
    <w:basedOn w:val="DefaultParagraphFont"/>
    <w:link w:val="Header"/>
    <w:uiPriority w:val="99"/>
    <w:rsid w:val="004D7799"/>
    <w:rPr>
      <w:rFonts w:ascii="Times New Roman" w:eastAsia="Times New Roman" w:hAnsi="Times New Roman" w:cs="Times New Roman"/>
      <w:lang w:eastAsia="en-GB"/>
    </w:rPr>
  </w:style>
  <w:style w:type="paragraph" w:styleId="Footer">
    <w:name w:val="footer"/>
    <w:basedOn w:val="Normal"/>
    <w:link w:val="FooterChar"/>
    <w:uiPriority w:val="99"/>
    <w:unhideWhenUsed/>
    <w:rsid w:val="004D7799"/>
    <w:pPr>
      <w:tabs>
        <w:tab w:val="center" w:pos="4513"/>
        <w:tab w:val="right" w:pos="9026"/>
      </w:tabs>
    </w:pPr>
  </w:style>
  <w:style w:type="character" w:customStyle="1" w:styleId="FooterChar">
    <w:name w:val="Footer Char"/>
    <w:basedOn w:val="DefaultParagraphFont"/>
    <w:link w:val="Footer"/>
    <w:uiPriority w:val="99"/>
    <w:rsid w:val="004D7799"/>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2022D3"/>
    <w:rPr>
      <w:sz w:val="16"/>
      <w:szCs w:val="16"/>
    </w:rPr>
  </w:style>
  <w:style w:type="paragraph" w:styleId="CommentText">
    <w:name w:val="annotation text"/>
    <w:basedOn w:val="Normal"/>
    <w:link w:val="CommentTextChar"/>
    <w:uiPriority w:val="99"/>
    <w:semiHidden/>
    <w:unhideWhenUsed/>
    <w:rsid w:val="002022D3"/>
    <w:rPr>
      <w:sz w:val="20"/>
      <w:szCs w:val="20"/>
    </w:rPr>
  </w:style>
  <w:style w:type="character" w:customStyle="1" w:styleId="CommentTextChar">
    <w:name w:val="Comment Text Char"/>
    <w:basedOn w:val="DefaultParagraphFont"/>
    <w:link w:val="CommentText"/>
    <w:uiPriority w:val="99"/>
    <w:semiHidden/>
    <w:rsid w:val="002022D3"/>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022D3"/>
    <w:rPr>
      <w:b/>
      <w:bCs/>
    </w:rPr>
  </w:style>
  <w:style w:type="character" w:customStyle="1" w:styleId="CommentSubjectChar">
    <w:name w:val="Comment Subject Char"/>
    <w:basedOn w:val="CommentTextChar"/>
    <w:link w:val="CommentSubject"/>
    <w:uiPriority w:val="99"/>
    <w:semiHidden/>
    <w:rsid w:val="002022D3"/>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2022D3"/>
    <w:rPr>
      <w:sz w:val="18"/>
      <w:szCs w:val="18"/>
    </w:rPr>
  </w:style>
  <w:style w:type="character" w:customStyle="1" w:styleId="BalloonTextChar">
    <w:name w:val="Balloon Text Char"/>
    <w:basedOn w:val="DefaultParagraphFont"/>
    <w:link w:val="BalloonText"/>
    <w:uiPriority w:val="99"/>
    <w:semiHidden/>
    <w:rsid w:val="002022D3"/>
    <w:rPr>
      <w:rFonts w:ascii="Times New Roman" w:eastAsia="Times New Roman" w:hAnsi="Times New Roman" w:cs="Times New Roman"/>
      <w:sz w:val="18"/>
      <w:szCs w:val="18"/>
      <w:lang w:eastAsia="en-GB"/>
    </w:rPr>
  </w:style>
  <w:style w:type="character" w:customStyle="1" w:styleId="rynqvb">
    <w:name w:val="rynqvb"/>
    <w:basedOn w:val="DefaultParagraphFont"/>
    <w:rsid w:val="00C1755F"/>
  </w:style>
  <w:style w:type="paragraph" w:styleId="Revision">
    <w:name w:val="Revision"/>
    <w:hidden/>
    <w:uiPriority w:val="99"/>
    <w:semiHidden/>
    <w:rsid w:val="00494C5D"/>
    <w:pPr>
      <w:suppressAutoHyphens w:val="0"/>
    </w:pPr>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1573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1856">
      <w:bodyDiv w:val="1"/>
      <w:marLeft w:val="0"/>
      <w:marRight w:val="0"/>
      <w:marTop w:val="0"/>
      <w:marBottom w:val="0"/>
      <w:divBdr>
        <w:top w:val="none" w:sz="0" w:space="0" w:color="auto"/>
        <w:left w:val="none" w:sz="0" w:space="0" w:color="auto"/>
        <w:bottom w:val="none" w:sz="0" w:space="0" w:color="auto"/>
        <w:right w:val="none" w:sz="0" w:space="0" w:color="auto"/>
      </w:divBdr>
    </w:div>
    <w:div w:id="11080842">
      <w:bodyDiv w:val="1"/>
      <w:marLeft w:val="0"/>
      <w:marRight w:val="0"/>
      <w:marTop w:val="0"/>
      <w:marBottom w:val="0"/>
      <w:divBdr>
        <w:top w:val="none" w:sz="0" w:space="0" w:color="auto"/>
        <w:left w:val="none" w:sz="0" w:space="0" w:color="auto"/>
        <w:bottom w:val="none" w:sz="0" w:space="0" w:color="auto"/>
        <w:right w:val="none" w:sz="0" w:space="0" w:color="auto"/>
      </w:divBdr>
    </w:div>
    <w:div w:id="11105705">
      <w:bodyDiv w:val="1"/>
      <w:marLeft w:val="0"/>
      <w:marRight w:val="0"/>
      <w:marTop w:val="0"/>
      <w:marBottom w:val="0"/>
      <w:divBdr>
        <w:top w:val="none" w:sz="0" w:space="0" w:color="auto"/>
        <w:left w:val="none" w:sz="0" w:space="0" w:color="auto"/>
        <w:bottom w:val="none" w:sz="0" w:space="0" w:color="auto"/>
        <w:right w:val="none" w:sz="0" w:space="0" w:color="auto"/>
      </w:divBdr>
    </w:div>
    <w:div w:id="22874520">
      <w:bodyDiv w:val="1"/>
      <w:marLeft w:val="0"/>
      <w:marRight w:val="0"/>
      <w:marTop w:val="0"/>
      <w:marBottom w:val="0"/>
      <w:divBdr>
        <w:top w:val="none" w:sz="0" w:space="0" w:color="auto"/>
        <w:left w:val="none" w:sz="0" w:space="0" w:color="auto"/>
        <w:bottom w:val="none" w:sz="0" w:space="0" w:color="auto"/>
        <w:right w:val="none" w:sz="0" w:space="0" w:color="auto"/>
      </w:divBdr>
    </w:div>
    <w:div w:id="25715126">
      <w:bodyDiv w:val="1"/>
      <w:marLeft w:val="0"/>
      <w:marRight w:val="0"/>
      <w:marTop w:val="0"/>
      <w:marBottom w:val="0"/>
      <w:divBdr>
        <w:top w:val="none" w:sz="0" w:space="0" w:color="auto"/>
        <w:left w:val="none" w:sz="0" w:space="0" w:color="auto"/>
        <w:bottom w:val="none" w:sz="0" w:space="0" w:color="auto"/>
        <w:right w:val="none" w:sz="0" w:space="0" w:color="auto"/>
      </w:divBdr>
    </w:div>
    <w:div w:id="35086623">
      <w:bodyDiv w:val="1"/>
      <w:marLeft w:val="0"/>
      <w:marRight w:val="0"/>
      <w:marTop w:val="0"/>
      <w:marBottom w:val="0"/>
      <w:divBdr>
        <w:top w:val="none" w:sz="0" w:space="0" w:color="auto"/>
        <w:left w:val="none" w:sz="0" w:space="0" w:color="auto"/>
        <w:bottom w:val="none" w:sz="0" w:space="0" w:color="auto"/>
        <w:right w:val="none" w:sz="0" w:space="0" w:color="auto"/>
      </w:divBdr>
    </w:div>
    <w:div w:id="76053751">
      <w:bodyDiv w:val="1"/>
      <w:marLeft w:val="0"/>
      <w:marRight w:val="0"/>
      <w:marTop w:val="0"/>
      <w:marBottom w:val="0"/>
      <w:divBdr>
        <w:top w:val="none" w:sz="0" w:space="0" w:color="auto"/>
        <w:left w:val="none" w:sz="0" w:space="0" w:color="auto"/>
        <w:bottom w:val="none" w:sz="0" w:space="0" w:color="auto"/>
        <w:right w:val="none" w:sz="0" w:space="0" w:color="auto"/>
      </w:divBdr>
    </w:div>
    <w:div w:id="78256694">
      <w:bodyDiv w:val="1"/>
      <w:marLeft w:val="0"/>
      <w:marRight w:val="0"/>
      <w:marTop w:val="0"/>
      <w:marBottom w:val="0"/>
      <w:divBdr>
        <w:top w:val="none" w:sz="0" w:space="0" w:color="auto"/>
        <w:left w:val="none" w:sz="0" w:space="0" w:color="auto"/>
        <w:bottom w:val="none" w:sz="0" w:space="0" w:color="auto"/>
        <w:right w:val="none" w:sz="0" w:space="0" w:color="auto"/>
      </w:divBdr>
      <w:divsChild>
        <w:div w:id="1581678231">
          <w:marLeft w:val="0"/>
          <w:marRight w:val="0"/>
          <w:marTop w:val="0"/>
          <w:marBottom w:val="0"/>
          <w:divBdr>
            <w:top w:val="none" w:sz="0" w:space="0" w:color="auto"/>
            <w:left w:val="none" w:sz="0" w:space="0" w:color="auto"/>
            <w:bottom w:val="none" w:sz="0" w:space="0" w:color="auto"/>
            <w:right w:val="none" w:sz="0" w:space="0" w:color="auto"/>
          </w:divBdr>
          <w:divsChild>
            <w:div w:id="977299185">
              <w:marLeft w:val="0"/>
              <w:marRight w:val="0"/>
              <w:marTop w:val="0"/>
              <w:marBottom w:val="0"/>
              <w:divBdr>
                <w:top w:val="none" w:sz="0" w:space="0" w:color="auto"/>
                <w:left w:val="none" w:sz="0" w:space="0" w:color="auto"/>
                <w:bottom w:val="none" w:sz="0" w:space="0" w:color="auto"/>
                <w:right w:val="none" w:sz="0" w:space="0" w:color="auto"/>
              </w:divBdr>
              <w:divsChild>
                <w:div w:id="1086655597">
                  <w:marLeft w:val="0"/>
                  <w:marRight w:val="0"/>
                  <w:marTop w:val="0"/>
                  <w:marBottom w:val="0"/>
                  <w:divBdr>
                    <w:top w:val="none" w:sz="0" w:space="0" w:color="auto"/>
                    <w:left w:val="none" w:sz="0" w:space="0" w:color="auto"/>
                    <w:bottom w:val="none" w:sz="0" w:space="0" w:color="auto"/>
                    <w:right w:val="none" w:sz="0" w:space="0" w:color="auto"/>
                  </w:divBdr>
                  <w:divsChild>
                    <w:div w:id="982003026">
                      <w:marLeft w:val="0"/>
                      <w:marRight w:val="0"/>
                      <w:marTop w:val="0"/>
                      <w:marBottom w:val="0"/>
                      <w:divBdr>
                        <w:top w:val="none" w:sz="0" w:space="0" w:color="auto"/>
                        <w:left w:val="none" w:sz="0" w:space="0" w:color="auto"/>
                        <w:bottom w:val="none" w:sz="0" w:space="0" w:color="auto"/>
                        <w:right w:val="none" w:sz="0" w:space="0" w:color="auto"/>
                      </w:divBdr>
                      <w:divsChild>
                        <w:div w:id="1529298916">
                          <w:marLeft w:val="0"/>
                          <w:marRight w:val="0"/>
                          <w:marTop w:val="0"/>
                          <w:marBottom w:val="0"/>
                          <w:divBdr>
                            <w:top w:val="none" w:sz="0" w:space="0" w:color="auto"/>
                            <w:left w:val="none" w:sz="0" w:space="0" w:color="auto"/>
                            <w:bottom w:val="none" w:sz="0" w:space="0" w:color="auto"/>
                            <w:right w:val="none" w:sz="0" w:space="0" w:color="auto"/>
                          </w:divBdr>
                          <w:divsChild>
                            <w:div w:id="1647658058">
                              <w:marLeft w:val="0"/>
                              <w:marRight w:val="0"/>
                              <w:marTop w:val="0"/>
                              <w:marBottom w:val="0"/>
                              <w:divBdr>
                                <w:top w:val="none" w:sz="0" w:space="0" w:color="auto"/>
                                <w:left w:val="none" w:sz="0" w:space="0" w:color="auto"/>
                                <w:bottom w:val="none" w:sz="0" w:space="0" w:color="auto"/>
                                <w:right w:val="none" w:sz="0" w:space="0" w:color="auto"/>
                              </w:divBdr>
                              <w:divsChild>
                                <w:div w:id="495347088">
                                  <w:marLeft w:val="0"/>
                                  <w:marRight w:val="0"/>
                                  <w:marTop w:val="0"/>
                                  <w:marBottom w:val="0"/>
                                  <w:divBdr>
                                    <w:top w:val="none" w:sz="0" w:space="0" w:color="auto"/>
                                    <w:left w:val="none" w:sz="0" w:space="0" w:color="auto"/>
                                    <w:bottom w:val="none" w:sz="0" w:space="0" w:color="auto"/>
                                    <w:right w:val="none" w:sz="0" w:space="0" w:color="auto"/>
                                  </w:divBdr>
                                  <w:divsChild>
                                    <w:div w:id="4411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090333">
      <w:bodyDiv w:val="1"/>
      <w:marLeft w:val="0"/>
      <w:marRight w:val="0"/>
      <w:marTop w:val="0"/>
      <w:marBottom w:val="0"/>
      <w:divBdr>
        <w:top w:val="none" w:sz="0" w:space="0" w:color="auto"/>
        <w:left w:val="none" w:sz="0" w:space="0" w:color="auto"/>
        <w:bottom w:val="none" w:sz="0" w:space="0" w:color="auto"/>
        <w:right w:val="none" w:sz="0" w:space="0" w:color="auto"/>
      </w:divBdr>
    </w:div>
    <w:div w:id="109712614">
      <w:bodyDiv w:val="1"/>
      <w:marLeft w:val="0"/>
      <w:marRight w:val="0"/>
      <w:marTop w:val="0"/>
      <w:marBottom w:val="0"/>
      <w:divBdr>
        <w:top w:val="none" w:sz="0" w:space="0" w:color="auto"/>
        <w:left w:val="none" w:sz="0" w:space="0" w:color="auto"/>
        <w:bottom w:val="none" w:sz="0" w:space="0" w:color="auto"/>
        <w:right w:val="none" w:sz="0" w:space="0" w:color="auto"/>
      </w:divBdr>
    </w:div>
    <w:div w:id="124200267">
      <w:bodyDiv w:val="1"/>
      <w:marLeft w:val="0"/>
      <w:marRight w:val="0"/>
      <w:marTop w:val="0"/>
      <w:marBottom w:val="0"/>
      <w:divBdr>
        <w:top w:val="none" w:sz="0" w:space="0" w:color="auto"/>
        <w:left w:val="none" w:sz="0" w:space="0" w:color="auto"/>
        <w:bottom w:val="none" w:sz="0" w:space="0" w:color="auto"/>
        <w:right w:val="none" w:sz="0" w:space="0" w:color="auto"/>
      </w:divBdr>
    </w:div>
    <w:div w:id="151021958">
      <w:bodyDiv w:val="1"/>
      <w:marLeft w:val="0"/>
      <w:marRight w:val="0"/>
      <w:marTop w:val="0"/>
      <w:marBottom w:val="0"/>
      <w:divBdr>
        <w:top w:val="none" w:sz="0" w:space="0" w:color="auto"/>
        <w:left w:val="none" w:sz="0" w:space="0" w:color="auto"/>
        <w:bottom w:val="none" w:sz="0" w:space="0" w:color="auto"/>
        <w:right w:val="none" w:sz="0" w:space="0" w:color="auto"/>
      </w:divBdr>
    </w:div>
    <w:div w:id="155418324">
      <w:bodyDiv w:val="1"/>
      <w:marLeft w:val="0"/>
      <w:marRight w:val="0"/>
      <w:marTop w:val="0"/>
      <w:marBottom w:val="0"/>
      <w:divBdr>
        <w:top w:val="none" w:sz="0" w:space="0" w:color="auto"/>
        <w:left w:val="none" w:sz="0" w:space="0" w:color="auto"/>
        <w:bottom w:val="none" w:sz="0" w:space="0" w:color="auto"/>
        <w:right w:val="none" w:sz="0" w:space="0" w:color="auto"/>
      </w:divBdr>
    </w:div>
    <w:div w:id="180121250">
      <w:bodyDiv w:val="1"/>
      <w:marLeft w:val="0"/>
      <w:marRight w:val="0"/>
      <w:marTop w:val="0"/>
      <w:marBottom w:val="0"/>
      <w:divBdr>
        <w:top w:val="none" w:sz="0" w:space="0" w:color="auto"/>
        <w:left w:val="none" w:sz="0" w:space="0" w:color="auto"/>
        <w:bottom w:val="none" w:sz="0" w:space="0" w:color="auto"/>
        <w:right w:val="none" w:sz="0" w:space="0" w:color="auto"/>
      </w:divBdr>
    </w:div>
    <w:div w:id="180244717">
      <w:bodyDiv w:val="1"/>
      <w:marLeft w:val="0"/>
      <w:marRight w:val="0"/>
      <w:marTop w:val="0"/>
      <w:marBottom w:val="0"/>
      <w:divBdr>
        <w:top w:val="none" w:sz="0" w:space="0" w:color="auto"/>
        <w:left w:val="none" w:sz="0" w:space="0" w:color="auto"/>
        <w:bottom w:val="none" w:sz="0" w:space="0" w:color="auto"/>
        <w:right w:val="none" w:sz="0" w:space="0" w:color="auto"/>
      </w:divBdr>
    </w:div>
    <w:div w:id="195044590">
      <w:bodyDiv w:val="1"/>
      <w:marLeft w:val="0"/>
      <w:marRight w:val="0"/>
      <w:marTop w:val="0"/>
      <w:marBottom w:val="0"/>
      <w:divBdr>
        <w:top w:val="none" w:sz="0" w:space="0" w:color="auto"/>
        <w:left w:val="none" w:sz="0" w:space="0" w:color="auto"/>
        <w:bottom w:val="none" w:sz="0" w:space="0" w:color="auto"/>
        <w:right w:val="none" w:sz="0" w:space="0" w:color="auto"/>
      </w:divBdr>
    </w:div>
    <w:div w:id="200868436">
      <w:bodyDiv w:val="1"/>
      <w:marLeft w:val="0"/>
      <w:marRight w:val="0"/>
      <w:marTop w:val="0"/>
      <w:marBottom w:val="0"/>
      <w:divBdr>
        <w:top w:val="none" w:sz="0" w:space="0" w:color="auto"/>
        <w:left w:val="none" w:sz="0" w:space="0" w:color="auto"/>
        <w:bottom w:val="none" w:sz="0" w:space="0" w:color="auto"/>
        <w:right w:val="none" w:sz="0" w:space="0" w:color="auto"/>
      </w:divBdr>
    </w:div>
    <w:div w:id="218713863">
      <w:bodyDiv w:val="1"/>
      <w:marLeft w:val="0"/>
      <w:marRight w:val="0"/>
      <w:marTop w:val="0"/>
      <w:marBottom w:val="0"/>
      <w:divBdr>
        <w:top w:val="none" w:sz="0" w:space="0" w:color="auto"/>
        <w:left w:val="none" w:sz="0" w:space="0" w:color="auto"/>
        <w:bottom w:val="none" w:sz="0" w:space="0" w:color="auto"/>
        <w:right w:val="none" w:sz="0" w:space="0" w:color="auto"/>
      </w:divBdr>
    </w:div>
    <w:div w:id="219441100">
      <w:bodyDiv w:val="1"/>
      <w:marLeft w:val="0"/>
      <w:marRight w:val="0"/>
      <w:marTop w:val="0"/>
      <w:marBottom w:val="0"/>
      <w:divBdr>
        <w:top w:val="none" w:sz="0" w:space="0" w:color="auto"/>
        <w:left w:val="none" w:sz="0" w:space="0" w:color="auto"/>
        <w:bottom w:val="none" w:sz="0" w:space="0" w:color="auto"/>
        <w:right w:val="none" w:sz="0" w:space="0" w:color="auto"/>
      </w:divBdr>
    </w:div>
    <w:div w:id="230428932">
      <w:bodyDiv w:val="1"/>
      <w:marLeft w:val="0"/>
      <w:marRight w:val="0"/>
      <w:marTop w:val="0"/>
      <w:marBottom w:val="0"/>
      <w:divBdr>
        <w:top w:val="none" w:sz="0" w:space="0" w:color="auto"/>
        <w:left w:val="none" w:sz="0" w:space="0" w:color="auto"/>
        <w:bottom w:val="none" w:sz="0" w:space="0" w:color="auto"/>
        <w:right w:val="none" w:sz="0" w:space="0" w:color="auto"/>
      </w:divBdr>
    </w:div>
    <w:div w:id="250429725">
      <w:bodyDiv w:val="1"/>
      <w:marLeft w:val="0"/>
      <w:marRight w:val="0"/>
      <w:marTop w:val="0"/>
      <w:marBottom w:val="0"/>
      <w:divBdr>
        <w:top w:val="none" w:sz="0" w:space="0" w:color="auto"/>
        <w:left w:val="none" w:sz="0" w:space="0" w:color="auto"/>
        <w:bottom w:val="none" w:sz="0" w:space="0" w:color="auto"/>
        <w:right w:val="none" w:sz="0" w:space="0" w:color="auto"/>
      </w:divBdr>
    </w:div>
    <w:div w:id="286008369">
      <w:bodyDiv w:val="1"/>
      <w:marLeft w:val="0"/>
      <w:marRight w:val="0"/>
      <w:marTop w:val="0"/>
      <w:marBottom w:val="0"/>
      <w:divBdr>
        <w:top w:val="none" w:sz="0" w:space="0" w:color="auto"/>
        <w:left w:val="none" w:sz="0" w:space="0" w:color="auto"/>
        <w:bottom w:val="none" w:sz="0" w:space="0" w:color="auto"/>
        <w:right w:val="none" w:sz="0" w:space="0" w:color="auto"/>
      </w:divBdr>
    </w:div>
    <w:div w:id="302929776">
      <w:bodyDiv w:val="1"/>
      <w:marLeft w:val="0"/>
      <w:marRight w:val="0"/>
      <w:marTop w:val="0"/>
      <w:marBottom w:val="0"/>
      <w:divBdr>
        <w:top w:val="none" w:sz="0" w:space="0" w:color="auto"/>
        <w:left w:val="none" w:sz="0" w:space="0" w:color="auto"/>
        <w:bottom w:val="none" w:sz="0" w:space="0" w:color="auto"/>
        <w:right w:val="none" w:sz="0" w:space="0" w:color="auto"/>
      </w:divBdr>
    </w:div>
    <w:div w:id="304433973">
      <w:bodyDiv w:val="1"/>
      <w:marLeft w:val="0"/>
      <w:marRight w:val="0"/>
      <w:marTop w:val="0"/>
      <w:marBottom w:val="0"/>
      <w:divBdr>
        <w:top w:val="none" w:sz="0" w:space="0" w:color="auto"/>
        <w:left w:val="none" w:sz="0" w:space="0" w:color="auto"/>
        <w:bottom w:val="none" w:sz="0" w:space="0" w:color="auto"/>
        <w:right w:val="none" w:sz="0" w:space="0" w:color="auto"/>
      </w:divBdr>
    </w:div>
    <w:div w:id="324092121">
      <w:bodyDiv w:val="1"/>
      <w:marLeft w:val="0"/>
      <w:marRight w:val="0"/>
      <w:marTop w:val="0"/>
      <w:marBottom w:val="0"/>
      <w:divBdr>
        <w:top w:val="none" w:sz="0" w:space="0" w:color="auto"/>
        <w:left w:val="none" w:sz="0" w:space="0" w:color="auto"/>
        <w:bottom w:val="none" w:sz="0" w:space="0" w:color="auto"/>
        <w:right w:val="none" w:sz="0" w:space="0" w:color="auto"/>
      </w:divBdr>
    </w:div>
    <w:div w:id="328407986">
      <w:bodyDiv w:val="1"/>
      <w:marLeft w:val="0"/>
      <w:marRight w:val="0"/>
      <w:marTop w:val="0"/>
      <w:marBottom w:val="0"/>
      <w:divBdr>
        <w:top w:val="none" w:sz="0" w:space="0" w:color="auto"/>
        <w:left w:val="none" w:sz="0" w:space="0" w:color="auto"/>
        <w:bottom w:val="none" w:sz="0" w:space="0" w:color="auto"/>
        <w:right w:val="none" w:sz="0" w:space="0" w:color="auto"/>
      </w:divBdr>
      <w:divsChild>
        <w:div w:id="1483040646">
          <w:marLeft w:val="0"/>
          <w:marRight w:val="0"/>
          <w:marTop w:val="0"/>
          <w:marBottom w:val="0"/>
          <w:divBdr>
            <w:top w:val="none" w:sz="0" w:space="0" w:color="auto"/>
            <w:left w:val="none" w:sz="0" w:space="0" w:color="auto"/>
            <w:bottom w:val="none" w:sz="0" w:space="0" w:color="auto"/>
            <w:right w:val="none" w:sz="0" w:space="0" w:color="auto"/>
          </w:divBdr>
          <w:divsChild>
            <w:div w:id="1865704707">
              <w:marLeft w:val="0"/>
              <w:marRight w:val="0"/>
              <w:marTop w:val="0"/>
              <w:marBottom w:val="0"/>
              <w:divBdr>
                <w:top w:val="none" w:sz="0" w:space="0" w:color="auto"/>
                <w:left w:val="none" w:sz="0" w:space="0" w:color="auto"/>
                <w:bottom w:val="none" w:sz="0" w:space="0" w:color="auto"/>
                <w:right w:val="none" w:sz="0" w:space="0" w:color="auto"/>
              </w:divBdr>
              <w:divsChild>
                <w:div w:id="59775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664249">
      <w:bodyDiv w:val="1"/>
      <w:marLeft w:val="0"/>
      <w:marRight w:val="0"/>
      <w:marTop w:val="0"/>
      <w:marBottom w:val="0"/>
      <w:divBdr>
        <w:top w:val="none" w:sz="0" w:space="0" w:color="auto"/>
        <w:left w:val="none" w:sz="0" w:space="0" w:color="auto"/>
        <w:bottom w:val="none" w:sz="0" w:space="0" w:color="auto"/>
        <w:right w:val="none" w:sz="0" w:space="0" w:color="auto"/>
      </w:divBdr>
      <w:divsChild>
        <w:div w:id="2102096231">
          <w:marLeft w:val="0"/>
          <w:marRight w:val="0"/>
          <w:marTop w:val="0"/>
          <w:marBottom w:val="0"/>
          <w:divBdr>
            <w:top w:val="none" w:sz="0" w:space="0" w:color="auto"/>
            <w:left w:val="none" w:sz="0" w:space="0" w:color="auto"/>
            <w:bottom w:val="none" w:sz="0" w:space="0" w:color="auto"/>
            <w:right w:val="none" w:sz="0" w:space="0" w:color="auto"/>
          </w:divBdr>
          <w:divsChild>
            <w:div w:id="1794666700">
              <w:marLeft w:val="0"/>
              <w:marRight w:val="0"/>
              <w:marTop w:val="0"/>
              <w:marBottom w:val="0"/>
              <w:divBdr>
                <w:top w:val="none" w:sz="0" w:space="0" w:color="auto"/>
                <w:left w:val="none" w:sz="0" w:space="0" w:color="auto"/>
                <w:bottom w:val="none" w:sz="0" w:space="0" w:color="auto"/>
                <w:right w:val="none" w:sz="0" w:space="0" w:color="auto"/>
              </w:divBdr>
              <w:divsChild>
                <w:div w:id="2120760614">
                  <w:marLeft w:val="0"/>
                  <w:marRight w:val="0"/>
                  <w:marTop w:val="0"/>
                  <w:marBottom w:val="0"/>
                  <w:divBdr>
                    <w:top w:val="none" w:sz="0" w:space="0" w:color="auto"/>
                    <w:left w:val="none" w:sz="0" w:space="0" w:color="auto"/>
                    <w:bottom w:val="none" w:sz="0" w:space="0" w:color="auto"/>
                    <w:right w:val="none" w:sz="0" w:space="0" w:color="auto"/>
                  </w:divBdr>
                  <w:divsChild>
                    <w:div w:id="403838727">
                      <w:marLeft w:val="0"/>
                      <w:marRight w:val="0"/>
                      <w:marTop w:val="0"/>
                      <w:marBottom w:val="0"/>
                      <w:divBdr>
                        <w:top w:val="none" w:sz="0" w:space="0" w:color="auto"/>
                        <w:left w:val="none" w:sz="0" w:space="0" w:color="auto"/>
                        <w:bottom w:val="none" w:sz="0" w:space="0" w:color="auto"/>
                        <w:right w:val="none" w:sz="0" w:space="0" w:color="auto"/>
                      </w:divBdr>
                      <w:divsChild>
                        <w:div w:id="960382358">
                          <w:marLeft w:val="0"/>
                          <w:marRight w:val="0"/>
                          <w:marTop w:val="0"/>
                          <w:marBottom w:val="0"/>
                          <w:divBdr>
                            <w:top w:val="none" w:sz="0" w:space="0" w:color="auto"/>
                            <w:left w:val="none" w:sz="0" w:space="0" w:color="auto"/>
                            <w:bottom w:val="none" w:sz="0" w:space="0" w:color="auto"/>
                            <w:right w:val="none" w:sz="0" w:space="0" w:color="auto"/>
                          </w:divBdr>
                          <w:divsChild>
                            <w:div w:id="1164591941">
                              <w:marLeft w:val="0"/>
                              <w:marRight w:val="0"/>
                              <w:marTop w:val="0"/>
                              <w:marBottom w:val="0"/>
                              <w:divBdr>
                                <w:top w:val="none" w:sz="0" w:space="0" w:color="auto"/>
                                <w:left w:val="none" w:sz="0" w:space="0" w:color="auto"/>
                                <w:bottom w:val="none" w:sz="0" w:space="0" w:color="auto"/>
                                <w:right w:val="none" w:sz="0" w:space="0" w:color="auto"/>
                              </w:divBdr>
                              <w:divsChild>
                                <w:div w:id="1989169029">
                                  <w:marLeft w:val="0"/>
                                  <w:marRight w:val="0"/>
                                  <w:marTop w:val="0"/>
                                  <w:marBottom w:val="0"/>
                                  <w:divBdr>
                                    <w:top w:val="none" w:sz="0" w:space="0" w:color="auto"/>
                                    <w:left w:val="none" w:sz="0" w:space="0" w:color="auto"/>
                                    <w:bottom w:val="none" w:sz="0" w:space="0" w:color="auto"/>
                                    <w:right w:val="none" w:sz="0" w:space="0" w:color="auto"/>
                                  </w:divBdr>
                                  <w:divsChild>
                                    <w:div w:id="157057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8853096">
      <w:bodyDiv w:val="1"/>
      <w:marLeft w:val="0"/>
      <w:marRight w:val="0"/>
      <w:marTop w:val="0"/>
      <w:marBottom w:val="0"/>
      <w:divBdr>
        <w:top w:val="none" w:sz="0" w:space="0" w:color="auto"/>
        <w:left w:val="none" w:sz="0" w:space="0" w:color="auto"/>
        <w:bottom w:val="none" w:sz="0" w:space="0" w:color="auto"/>
        <w:right w:val="none" w:sz="0" w:space="0" w:color="auto"/>
      </w:divBdr>
    </w:div>
    <w:div w:id="345912852">
      <w:bodyDiv w:val="1"/>
      <w:marLeft w:val="0"/>
      <w:marRight w:val="0"/>
      <w:marTop w:val="0"/>
      <w:marBottom w:val="0"/>
      <w:divBdr>
        <w:top w:val="none" w:sz="0" w:space="0" w:color="auto"/>
        <w:left w:val="none" w:sz="0" w:space="0" w:color="auto"/>
        <w:bottom w:val="none" w:sz="0" w:space="0" w:color="auto"/>
        <w:right w:val="none" w:sz="0" w:space="0" w:color="auto"/>
      </w:divBdr>
    </w:div>
    <w:div w:id="363290549">
      <w:bodyDiv w:val="1"/>
      <w:marLeft w:val="0"/>
      <w:marRight w:val="0"/>
      <w:marTop w:val="0"/>
      <w:marBottom w:val="0"/>
      <w:divBdr>
        <w:top w:val="none" w:sz="0" w:space="0" w:color="auto"/>
        <w:left w:val="none" w:sz="0" w:space="0" w:color="auto"/>
        <w:bottom w:val="none" w:sz="0" w:space="0" w:color="auto"/>
        <w:right w:val="none" w:sz="0" w:space="0" w:color="auto"/>
      </w:divBdr>
    </w:div>
    <w:div w:id="374233532">
      <w:bodyDiv w:val="1"/>
      <w:marLeft w:val="0"/>
      <w:marRight w:val="0"/>
      <w:marTop w:val="0"/>
      <w:marBottom w:val="0"/>
      <w:divBdr>
        <w:top w:val="none" w:sz="0" w:space="0" w:color="auto"/>
        <w:left w:val="none" w:sz="0" w:space="0" w:color="auto"/>
        <w:bottom w:val="none" w:sz="0" w:space="0" w:color="auto"/>
        <w:right w:val="none" w:sz="0" w:space="0" w:color="auto"/>
      </w:divBdr>
    </w:div>
    <w:div w:id="375396263">
      <w:bodyDiv w:val="1"/>
      <w:marLeft w:val="0"/>
      <w:marRight w:val="0"/>
      <w:marTop w:val="0"/>
      <w:marBottom w:val="0"/>
      <w:divBdr>
        <w:top w:val="none" w:sz="0" w:space="0" w:color="auto"/>
        <w:left w:val="none" w:sz="0" w:space="0" w:color="auto"/>
        <w:bottom w:val="none" w:sz="0" w:space="0" w:color="auto"/>
        <w:right w:val="none" w:sz="0" w:space="0" w:color="auto"/>
      </w:divBdr>
    </w:div>
    <w:div w:id="377358619">
      <w:bodyDiv w:val="1"/>
      <w:marLeft w:val="0"/>
      <w:marRight w:val="0"/>
      <w:marTop w:val="0"/>
      <w:marBottom w:val="0"/>
      <w:divBdr>
        <w:top w:val="none" w:sz="0" w:space="0" w:color="auto"/>
        <w:left w:val="none" w:sz="0" w:space="0" w:color="auto"/>
        <w:bottom w:val="none" w:sz="0" w:space="0" w:color="auto"/>
        <w:right w:val="none" w:sz="0" w:space="0" w:color="auto"/>
      </w:divBdr>
    </w:div>
    <w:div w:id="389159122">
      <w:bodyDiv w:val="1"/>
      <w:marLeft w:val="0"/>
      <w:marRight w:val="0"/>
      <w:marTop w:val="0"/>
      <w:marBottom w:val="0"/>
      <w:divBdr>
        <w:top w:val="none" w:sz="0" w:space="0" w:color="auto"/>
        <w:left w:val="none" w:sz="0" w:space="0" w:color="auto"/>
        <w:bottom w:val="none" w:sz="0" w:space="0" w:color="auto"/>
        <w:right w:val="none" w:sz="0" w:space="0" w:color="auto"/>
      </w:divBdr>
    </w:div>
    <w:div w:id="422382866">
      <w:bodyDiv w:val="1"/>
      <w:marLeft w:val="0"/>
      <w:marRight w:val="0"/>
      <w:marTop w:val="0"/>
      <w:marBottom w:val="0"/>
      <w:divBdr>
        <w:top w:val="none" w:sz="0" w:space="0" w:color="auto"/>
        <w:left w:val="none" w:sz="0" w:space="0" w:color="auto"/>
        <w:bottom w:val="none" w:sz="0" w:space="0" w:color="auto"/>
        <w:right w:val="none" w:sz="0" w:space="0" w:color="auto"/>
      </w:divBdr>
    </w:div>
    <w:div w:id="428544170">
      <w:bodyDiv w:val="1"/>
      <w:marLeft w:val="0"/>
      <w:marRight w:val="0"/>
      <w:marTop w:val="0"/>
      <w:marBottom w:val="0"/>
      <w:divBdr>
        <w:top w:val="none" w:sz="0" w:space="0" w:color="auto"/>
        <w:left w:val="none" w:sz="0" w:space="0" w:color="auto"/>
        <w:bottom w:val="none" w:sz="0" w:space="0" w:color="auto"/>
        <w:right w:val="none" w:sz="0" w:space="0" w:color="auto"/>
      </w:divBdr>
    </w:div>
    <w:div w:id="438571299">
      <w:bodyDiv w:val="1"/>
      <w:marLeft w:val="0"/>
      <w:marRight w:val="0"/>
      <w:marTop w:val="0"/>
      <w:marBottom w:val="0"/>
      <w:divBdr>
        <w:top w:val="none" w:sz="0" w:space="0" w:color="auto"/>
        <w:left w:val="none" w:sz="0" w:space="0" w:color="auto"/>
        <w:bottom w:val="none" w:sz="0" w:space="0" w:color="auto"/>
        <w:right w:val="none" w:sz="0" w:space="0" w:color="auto"/>
      </w:divBdr>
      <w:divsChild>
        <w:div w:id="912357135">
          <w:marLeft w:val="0"/>
          <w:marRight w:val="0"/>
          <w:marTop w:val="0"/>
          <w:marBottom w:val="0"/>
          <w:divBdr>
            <w:top w:val="none" w:sz="0" w:space="0" w:color="auto"/>
            <w:left w:val="none" w:sz="0" w:space="0" w:color="auto"/>
            <w:bottom w:val="none" w:sz="0" w:space="0" w:color="auto"/>
            <w:right w:val="none" w:sz="0" w:space="0" w:color="auto"/>
          </w:divBdr>
          <w:divsChild>
            <w:div w:id="1815222909">
              <w:marLeft w:val="0"/>
              <w:marRight w:val="0"/>
              <w:marTop w:val="0"/>
              <w:marBottom w:val="0"/>
              <w:divBdr>
                <w:top w:val="none" w:sz="0" w:space="0" w:color="auto"/>
                <w:left w:val="none" w:sz="0" w:space="0" w:color="auto"/>
                <w:bottom w:val="none" w:sz="0" w:space="0" w:color="auto"/>
                <w:right w:val="none" w:sz="0" w:space="0" w:color="auto"/>
              </w:divBdr>
              <w:divsChild>
                <w:div w:id="331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107600">
      <w:bodyDiv w:val="1"/>
      <w:marLeft w:val="0"/>
      <w:marRight w:val="0"/>
      <w:marTop w:val="0"/>
      <w:marBottom w:val="0"/>
      <w:divBdr>
        <w:top w:val="none" w:sz="0" w:space="0" w:color="auto"/>
        <w:left w:val="none" w:sz="0" w:space="0" w:color="auto"/>
        <w:bottom w:val="none" w:sz="0" w:space="0" w:color="auto"/>
        <w:right w:val="none" w:sz="0" w:space="0" w:color="auto"/>
      </w:divBdr>
    </w:div>
    <w:div w:id="448360393">
      <w:bodyDiv w:val="1"/>
      <w:marLeft w:val="0"/>
      <w:marRight w:val="0"/>
      <w:marTop w:val="0"/>
      <w:marBottom w:val="0"/>
      <w:divBdr>
        <w:top w:val="none" w:sz="0" w:space="0" w:color="auto"/>
        <w:left w:val="none" w:sz="0" w:space="0" w:color="auto"/>
        <w:bottom w:val="none" w:sz="0" w:space="0" w:color="auto"/>
        <w:right w:val="none" w:sz="0" w:space="0" w:color="auto"/>
      </w:divBdr>
    </w:div>
    <w:div w:id="474303192">
      <w:bodyDiv w:val="1"/>
      <w:marLeft w:val="0"/>
      <w:marRight w:val="0"/>
      <w:marTop w:val="0"/>
      <w:marBottom w:val="0"/>
      <w:divBdr>
        <w:top w:val="none" w:sz="0" w:space="0" w:color="auto"/>
        <w:left w:val="none" w:sz="0" w:space="0" w:color="auto"/>
        <w:bottom w:val="none" w:sz="0" w:space="0" w:color="auto"/>
        <w:right w:val="none" w:sz="0" w:space="0" w:color="auto"/>
      </w:divBdr>
    </w:div>
    <w:div w:id="478232271">
      <w:bodyDiv w:val="1"/>
      <w:marLeft w:val="0"/>
      <w:marRight w:val="0"/>
      <w:marTop w:val="0"/>
      <w:marBottom w:val="0"/>
      <w:divBdr>
        <w:top w:val="none" w:sz="0" w:space="0" w:color="auto"/>
        <w:left w:val="none" w:sz="0" w:space="0" w:color="auto"/>
        <w:bottom w:val="none" w:sz="0" w:space="0" w:color="auto"/>
        <w:right w:val="none" w:sz="0" w:space="0" w:color="auto"/>
      </w:divBdr>
    </w:div>
    <w:div w:id="523130607">
      <w:bodyDiv w:val="1"/>
      <w:marLeft w:val="0"/>
      <w:marRight w:val="0"/>
      <w:marTop w:val="0"/>
      <w:marBottom w:val="0"/>
      <w:divBdr>
        <w:top w:val="none" w:sz="0" w:space="0" w:color="auto"/>
        <w:left w:val="none" w:sz="0" w:space="0" w:color="auto"/>
        <w:bottom w:val="none" w:sz="0" w:space="0" w:color="auto"/>
        <w:right w:val="none" w:sz="0" w:space="0" w:color="auto"/>
      </w:divBdr>
    </w:div>
    <w:div w:id="529075650">
      <w:bodyDiv w:val="1"/>
      <w:marLeft w:val="0"/>
      <w:marRight w:val="0"/>
      <w:marTop w:val="0"/>
      <w:marBottom w:val="0"/>
      <w:divBdr>
        <w:top w:val="none" w:sz="0" w:space="0" w:color="auto"/>
        <w:left w:val="none" w:sz="0" w:space="0" w:color="auto"/>
        <w:bottom w:val="none" w:sz="0" w:space="0" w:color="auto"/>
        <w:right w:val="none" w:sz="0" w:space="0" w:color="auto"/>
      </w:divBdr>
    </w:div>
    <w:div w:id="562179683">
      <w:bodyDiv w:val="1"/>
      <w:marLeft w:val="0"/>
      <w:marRight w:val="0"/>
      <w:marTop w:val="0"/>
      <w:marBottom w:val="0"/>
      <w:divBdr>
        <w:top w:val="none" w:sz="0" w:space="0" w:color="auto"/>
        <w:left w:val="none" w:sz="0" w:space="0" w:color="auto"/>
        <w:bottom w:val="none" w:sz="0" w:space="0" w:color="auto"/>
        <w:right w:val="none" w:sz="0" w:space="0" w:color="auto"/>
      </w:divBdr>
    </w:div>
    <w:div w:id="568350357">
      <w:bodyDiv w:val="1"/>
      <w:marLeft w:val="0"/>
      <w:marRight w:val="0"/>
      <w:marTop w:val="0"/>
      <w:marBottom w:val="0"/>
      <w:divBdr>
        <w:top w:val="none" w:sz="0" w:space="0" w:color="auto"/>
        <w:left w:val="none" w:sz="0" w:space="0" w:color="auto"/>
        <w:bottom w:val="none" w:sz="0" w:space="0" w:color="auto"/>
        <w:right w:val="none" w:sz="0" w:space="0" w:color="auto"/>
      </w:divBdr>
    </w:div>
    <w:div w:id="579607479">
      <w:bodyDiv w:val="1"/>
      <w:marLeft w:val="0"/>
      <w:marRight w:val="0"/>
      <w:marTop w:val="0"/>
      <w:marBottom w:val="0"/>
      <w:divBdr>
        <w:top w:val="none" w:sz="0" w:space="0" w:color="auto"/>
        <w:left w:val="none" w:sz="0" w:space="0" w:color="auto"/>
        <w:bottom w:val="none" w:sz="0" w:space="0" w:color="auto"/>
        <w:right w:val="none" w:sz="0" w:space="0" w:color="auto"/>
      </w:divBdr>
    </w:div>
    <w:div w:id="598102562">
      <w:bodyDiv w:val="1"/>
      <w:marLeft w:val="0"/>
      <w:marRight w:val="0"/>
      <w:marTop w:val="0"/>
      <w:marBottom w:val="0"/>
      <w:divBdr>
        <w:top w:val="none" w:sz="0" w:space="0" w:color="auto"/>
        <w:left w:val="none" w:sz="0" w:space="0" w:color="auto"/>
        <w:bottom w:val="none" w:sz="0" w:space="0" w:color="auto"/>
        <w:right w:val="none" w:sz="0" w:space="0" w:color="auto"/>
      </w:divBdr>
    </w:div>
    <w:div w:id="618335803">
      <w:bodyDiv w:val="1"/>
      <w:marLeft w:val="0"/>
      <w:marRight w:val="0"/>
      <w:marTop w:val="0"/>
      <w:marBottom w:val="0"/>
      <w:divBdr>
        <w:top w:val="none" w:sz="0" w:space="0" w:color="auto"/>
        <w:left w:val="none" w:sz="0" w:space="0" w:color="auto"/>
        <w:bottom w:val="none" w:sz="0" w:space="0" w:color="auto"/>
        <w:right w:val="none" w:sz="0" w:space="0" w:color="auto"/>
      </w:divBdr>
      <w:divsChild>
        <w:div w:id="1827430000">
          <w:marLeft w:val="0"/>
          <w:marRight w:val="0"/>
          <w:marTop w:val="0"/>
          <w:marBottom w:val="0"/>
          <w:divBdr>
            <w:top w:val="none" w:sz="0" w:space="0" w:color="auto"/>
            <w:left w:val="none" w:sz="0" w:space="0" w:color="auto"/>
            <w:bottom w:val="none" w:sz="0" w:space="0" w:color="auto"/>
            <w:right w:val="none" w:sz="0" w:space="0" w:color="auto"/>
          </w:divBdr>
          <w:divsChild>
            <w:div w:id="1156143470">
              <w:marLeft w:val="0"/>
              <w:marRight w:val="0"/>
              <w:marTop w:val="0"/>
              <w:marBottom w:val="0"/>
              <w:divBdr>
                <w:top w:val="none" w:sz="0" w:space="0" w:color="auto"/>
                <w:left w:val="none" w:sz="0" w:space="0" w:color="auto"/>
                <w:bottom w:val="none" w:sz="0" w:space="0" w:color="auto"/>
                <w:right w:val="none" w:sz="0" w:space="0" w:color="auto"/>
              </w:divBdr>
              <w:divsChild>
                <w:div w:id="207758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241244">
      <w:bodyDiv w:val="1"/>
      <w:marLeft w:val="0"/>
      <w:marRight w:val="0"/>
      <w:marTop w:val="0"/>
      <w:marBottom w:val="0"/>
      <w:divBdr>
        <w:top w:val="none" w:sz="0" w:space="0" w:color="auto"/>
        <w:left w:val="none" w:sz="0" w:space="0" w:color="auto"/>
        <w:bottom w:val="none" w:sz="0" w:space="0" w:color="auto"/>
        <w:right w:val="none" w:sz="0" w:space="0" w:color="auto"/>
      </w:divBdr>
    </w:div>
    <w:div w:id="653145956">
      <w:bodyDiv w:val="1"/>
      <w:marLeft w:val="0"/>
      <w:marRight w:val="0"/>
      <w:marTop w:val="0"/>
      <w:marBottom w:val="0"/>
      <w:divBdr>
        <w:top w:val="none" w:sz="0" w:space="0" w:color="auto"/>
        <w:left w:val="none" w:sz="0" w:space="0" w:color="auto"/>
        <w:bottom w:val="none" w:sz="0" w:space="0" w:color="auto"/>
        <w:right w:val="none" w:sz="0" w:space="0" w:color="auto"/>
      </w:divBdr>
    </w:div>
    <w:div w:id="670645460">
      <w:bodyDiv w:val="1"/>
      <w:marLeft w:val="0"/>
      <w:marRight w:val="0"/>
      <w:marTop w:val="0"/>
      <w:marBottom w:val="0"/>
      <w:divBdr>
        <w:top w:val="none" w:sz="0" w:space="0" w:color="auto"/>
        <w:left w:val="none" w:sz="0" w:space="0" w:color="auto"/>
        <w:bottom w:val="none" w:sz="0" w:space="0" w:color="auto"/>
        <w:right w:val="none" w:sz="0" w:space="0" w:color="auto"/>
      </w:divBdr>
    </w:div>
    <w:div w:id="672682281">
      <w:bodyDiv w:val="1"/>
      <w:marLeft w:val="0"/>
      <w:marRight w:val="0"/>
      <w:marTop w:val="0"/>
      <w:marBottom w:val="0"/>
      <w:divBdr>
        <w:top w:val="none" w:sz="0" w:space="0" w:color="auto"/>
        <w:left w:val="none" w:sz="0" w:space="0" w:color="auto"/>
        <w:bottom w:val="none" w:sz="0" w:space="0" w:color="auto"/>
        <w:right w:val="none" w:sz="0" w:space="0" w:color="auto"/>
      </w:divBdr>
    </w:div>
    <w:div w:id="689575371">
      <w:bodyDiv w:val="1"/>
      <w:marLeft w:val="0"/>
      <w:marRight w:val="0"/>
      <w:marTop w:val="0"/>
      <w:marBottom w:val="0"/>
      <w:divBdr>
        <w:top w:val="none" w:sz="0" w:space="0" w:color="auto"/>
        <w:left w:val="none" w:sz="0" w:space="0" w:color="auto"/>
        <w:bottom w:val="none" w:sz="0" w:space="0" w:color="auto"/>
        <w:right w:val="none" w:sz="0" w:space="0" w:color="auto"/>
      </w:divBdr>
      <w:divsChild>
        <w:div w:id="706567456">
          <w:marLeft w:val="0"/>
          <w:marRight w:val="0"/>
          <w:marTop w:val="0"/>
          <w:marBottom w:val="0"/>
          <w:divBdr>
            <w:top w:val="none" w:sz="0" w:space="0" w:color="auto"/>
            <w:left w:val="none" w:sz="0" w:space="0" w:color="auto"/>
            <w:bottom w:val="none" w:sz="0" w:space="0" w:color="auto"/>
            <w:right w:val="none" w:sz="0" w:space="0" w:color="auto"/>
          </w:divBdr>
          <w:divsChild>
            <w:div w:id="218981057">
              <w:marLeft w:val="0"/>
              <w:marRight w:val="0"/>
              <w:marTop w:val="0"/>
              <w:marBottom w:val="0"/>
              <w:divBdr>
                <w:top w:val="none" w:sz="0" w:space="0" w:color="auto"/>
                <w:left w:val="none" w:sz="0" w:space="0" w:color="auto"/>
                <w:bottom w:val="none" w:sz="0" w:space="0" w:color="auto"/>
                <w:right w:val="none" w:sz="0" w:space="0" w:color="auto"/>
              </w:divBdr>
              <w:divsChild>
                <w:div w:id="1232036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046194">
      <w:bodyDiv w:val="1"/>
      <w:marLeft w:val="0"/>
      <w:marRight w:val="0"/>
      <w:marTop w:val="0"/>
      <w:marBottom w:val="0"/>
      <w:divBdr>
        <w:top w:val="none" w:sz="0" w:space="0" w:color="auto"/>
        <w:left w:val="none" w:sz="0" w:space="0" w:color="auto"/>
        <w:bottom w:val="none" w:sz="0" w:space="0" w:color="auto"/>
        <w:right w:val="none" w:sz="0" w:space="0" w:color="auto"/>
      </w:divBdr>
      <w:divsChild>
        <w:div w:id="1333988194">
          <w:marLeft w:val="0"/>
          <w:marRight w:val="0"/>
          <w:marTop w:val="0"/>
          <w:marBottom w:val="0"/>
          <w:divBdr>
            <w:top w:val="none" w:sz="0" w:space="0" w:color="auto"/>
            <w:left w:val="none" w:sz="0" w:space="0" w:color="auto"/>
            <w:bottom w:val="none" w:sz="0" w:space="0" w:color="auto"/>
            <w:right w:val="none" w:sz="0" w:space="0" w:color="auto"/>
          </w:divBdr>
          <w:divsChild>
            <w:div w:id="2003894311">
              <w:marLeft w:val="0"/>
              <w:marRight w:val="0"/>
              <w:marTop w:val="0"/>
              <w:marBottom w:val="0"/>
              <w:divBdr>
                <w:top w:val="none" w:sz="0" w:space="0" w:color="auto"/>
                <w:left w:val="none" w:sz="0" w:space="0" w:color="auto"/>
                <w:bottom w:val="none" w:sz="0" w:space="0" w:color="auto"/>
                <w:right w:val="none" w:sz="0" w:space="0" w:color="auto"/>
              </w:divBdr>
              <w:divsChild>
                <w:div w:id="102159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785556">
      <w:bodyDiv w:val="1"/>
      <w:marLeft w:val="0"/>
      <w:marRight w:val="0"/>
      <w:marTop w:val="0"/>
      <w:marBottom w:val="0"/>
      <w:divBdr>
        <w:top w:val="none" w:sz="0" w:space="0" w:color="auto"/>
        <w:left w:val="none" w:sz="0" w:space="0" w:color="auto"/>
        <w:bottom w:val="none" w:sz="0" w:space="0" w:color="auto"/>
        <w:right w:val="none" w:sz="0" w:space="0" w:color="auto"/>
      </w:divBdr>
    </w:div>
    <w:div w:id="742485420">
      <w:bodyDiv w:val="1"/>
      <w:marLeft w:val="0"/>
      <w:marRight w:val="0"/>
      <w:marTop w:val="0"/>
      <w:marBottom w:val="0"/>
      <w:divBdr>
        <w:top w:val="none" w:sz="0" w:space="0" w:color="auto"/>
        <w:left w:val="none" w:sz="0" w:space="0" w:color="auto"/>
        <w:bottom w:val="none" w:sz="0" w:space="0" w:color="auto"/>
        <w:right w:val="none" w:sz="0" w:space="0" w:color="auto"/>
      </w:divBdr>
    </w:div>
    <w:div w:id="745421934">
      <w:bodyDiv w:val="1"/>
      <w:marLeft w:val="0"/>
      <w:marRight w:val="0"/>
      <w:marTop w:val="0"/>
      <w:marBottom w:val="0"/>
      <w:divBdr>
        <w:top w:val="none" w:sz="0" w:space="0" w:color="auto"/>
        <w:left w:val="none" w:sz="0" w:space="0" w:color="auto"/>
        <w:bottom w:val="none" w:sz="0" w:space="0" w:color="auto"/>
        <w:right w:val="none" w:sz="0" w:space="0" w:color="auto"/>
      </w:divBdr>
      <w:divsChild>
        <w:div w:id="245578710">
          <w:marLeft w:val="0"/>
          <w:marRight w:val="0"/>
          <w:marTop w:val="0"/>
          <w:marBottom w:val="0"/>
          <w:divBdr>
            <w:top w:val="none" w:sz="0" w:space="0" w:color="auto"/>
            <w:left w:val="none" w:sz="0" w:space="0" w:color="auto"/>
            <w:bottom w:val="none" w:sz="0" w:space="0" w:color="auto"/>
            <w:right w:val="none" w:sz="0" w:space="0" w:color="auto"/>
          </w:divBdr>
          <w:divsChild>
            <w:div w:id="123500876">
              <w:marLeft w:val="0"/>
              <w:marRight w:val="0"/>
              <w:marTop w:val="0"/>
              <w:marBottom w:val="0"/>
              <w:divBdr>
                <w:top w:val="none" w:sz="0" w:space="0" w:color="auto"/>
                <w:left w:val="none" w:sz="0" w:space="0" w:color="auto"/>
                <w:bottom w:val="none" w:sz="0" w:space="0" w:color="auto"/>
                <w:right w:val="none" w:sz="0" w:space="0" w:color="auto"/>
              </w:divBdr>
              <w:divsChild>
                <w:div w:id="77833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246420">
      <w:bodyDiv w:val="1"/>
      <w:marLeft w:val="0"/>
      <w:marRight w:val="0"/>
      <w:marTop w:val="0"/>
      <w:marBottom w:val="0"/>
      <w:divBdr>
        <w:top w:val="none" w:sz="0" w:space="0" w:color="auto"/>
        <w:left w:val="none" w:sz="0" w:space="0" w:color="auto"/>
        <w:bottom w:val="none" w:sz="0" w:space="0" w:color="auto"/>
        <w:right w:val="none" w:sz="0" w:space="0" w:color="auto"/>
      </w:divBdr>
    </w:div>
    <w:div w:id="761805720">
      <w:bodyDiv w:val="1"/>
      <w:marLeft w:val="0"/>
      <w:marRight w:val="0"/>
      <w:marTop w:val="0"/>
      <w:marBottom w:val="0"/>
      <w:divBdr>
        <w:top w:val="none" w:sz="0" w:space="0" w:color="auto"/>
        <w:left w:val="none" w:sz="0" w:space="0" w:color="auto"/>
        <w:bottom w:val="none" w:sz="0" w:space="0" w:color="auto"/>
        <w:right w:val="none" w:sz="0" w:space="0" w:color="auto"/>
      </w:divBdr>
    </w:div>
    <w:div w:id="804929410">
      <w:bodyDiv w:val="1"/>
      <w:marLeft w:val="0"/>
      <w:marRight w:val="0"/>
      <w:marTop w:val="0"/>
      <w:marBottom w:val="0"/>
      <w:divBdr>
        <w:top w:val="none" w:sz="0" w:space="0" w:color="auto"/>
        <w:left w:val="none" w:sz="0" w:space="0" w:color="auto"/>
        <w:bottom w:val="none" w:sz="0" w:space="0" w:color="auto"/>
        <w:right w:val="none" w:sz="0" w:space="0" w:color="auto"/>
      </w:divBdr>
    </w:div>
    <w:div w:id="826282983">
      <w:bodyDiv w:val="1"/>
      <w:marLeft w:val="0"/>
      <w:marRight w:val="0"/>
      <w:marTop w:val="0"/>
      <w:marBottom w:val="0"/>
      <w:divBdr>
        <w:top w:val="none" w:sz="0" w:space="0" w:color="auto"/>
        <w:left w:val="none" w:sz="0" w:space="0" w:color="auto"/>
        <w:bottom w:val="none" w:sz="0" w:space="0" w:color="auto"/>
        <w:right w:val="none" w:sz="0" w:space="0" w:color="auto"/>
      </w:divBdr>
    </w:div>
    <w:div w:id="831408168">
      <w:bodyDiv w:val="1"/>
      <w:marLeft w:val="0"/>
      <w:marRight w:val="0"/>
      <w:marTop w:val="0"/>
      <w:marBottom w:val="0"/>
      <w:divBdr>
        <w:top w:val="none" w:sz="0" w:space="0" w:color="auto"/>
        <w:left w:val="none" w:sz="0" w:space="0" w:color="auto"/>
        <w:bottom w:val="none" w:sz="0" w:space="0" w:color="auto"/>
        <w:right w:val="none" w:sz="0" w:space="0" w:color="auto"/>
      </w:divBdr>
      <w:divsChild>
        <w:div w:id="1489009260">
          <w:marLeft w:val="0"/>
          <w:marRight w:val="0"/>
          <w:marTop w:val="0"/>
          <w:marBottom w:val="0"/>
          <w:divBdr>
            <w:top w:val="none" w:sz="0" w:space="0" w:color="auto"/>
            <w:left w:val="none" w:sz="0" w:space="0" w:color="auto"/>
            <w:bottom w:val="none" w:sz="0" w:space="0" w:color="auto"/>
            <w:right w:val="none" w:sz="0" w:space="0" w:color="auto"/>
          </w:divBdr>
          <w:divsChild>
            <w:div w:id="962005485">
              <w:marLeft w:val="0"/>
              <w:marRight w:val="0"/>
              <w:marTop w:val="0"/>
              <w:marBottom w:val="0"/>
              <w:divBdr>
                <w:top w:val="none" w:sz="0" w:space="0" w:color="auto"/>
                <w:left w:val="none" w:sz="0" w:space="0" w:color="auto"/>
                <w:bottom w:val="none" w:sz="0" w:space="0" w:color="auto"/>
                <w:right w:val="none" w:sz="0" w:space="0" w:color="auto"/>
              </w:divBdr>
              <w:divsChild>
                <w:div w:id="192722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327325">
      <w:bodyDiv w:val="1"/>
      <w:marLeft w:val="0"/>
      <w:marRight w:val="0"/>
      <w:marTop w:val="0"/>
      <w:marBottom w:val="0"/>
      <w:divBdr>
        <w:top w:val="none" w:sz="0" w:space="0" w:color="auto"/>
        <w:left w:val="none" w:sz="0" w:space="0" w:color="auto"/>
        <w:bottom w:val="none" w:sz="0" w:space="0" w:color="auto"/>
        <w:right w:val="none" w:sz="0" w:space="0" w:color="auto"/>
      </w:divBdr>
      <w:divsChild>
        <w:div w:id="1325353864">
          <w:marLeft w:val="0"/>
          <w:marRight w:val="0"/>
          <w:marTop w:val="0"/>
          <w:marBottom w:val="0"/>
          <w:divBdr>
            <w:top w:val="none" w:sz="0" w:space="0" w:color="auto"/>
            <w:left w:val="none" w:sz="0" w:space="0" w:color="auto"/>
            <w:bottom w:val="none" w:sz="0" w:space="0" w:color="auto"/>
            <w:right w:val="none" w:sz="0" w:space="0" w:color="auto"/>
          </w:divBdr>
        </w:div>
      </w:divsChild>
    </w:div>
    <w:div w:id="869799747">
      <w:bodyDiv w:val="1"/>
      <w:marLeft w:val="0"/>
      <w:marRight w:val="0"/>
      <w:marTop w:val="0"/>
      <w:marBottom w:val="0"/>
      <w:divBdr>
        <w:top w:val="none" w:sz="0" w:space="0" w:color="auto"/>
        <w:left w:val="none" w:sz="0" w:space="0" w:color="auto"/>
        <w:bottom w:val="none" w:sz="0" w:space="0" w:color="auto"/>
        <w:right w:val="none" w:sz="0" w:space="0" w:color="auto"/>
      </w:divBdr>
    </w:div>
    <w:div w:id="874806937">
      <w:bodyDiv w:val="1"/>
      <w:marLeft w:val="0"/>
      <w:marRight w:val="0"/>
      <w:marTop w:val="0"/>
      <w:marBottom w:val="0"/>
      <w:divBdr>
        <w:top w:val="none" w:sz="0" w:space="0" w:color="auto"/>
        <w:left w:val="none" w:sz="0" w:space="0" w:color="auto"/>
        <w:bottom w:val="none" w:sz="0" w:space="0" w:color="auto"/>
        <w:right w:val="none" w:sz="0" w:space="0" w:color="auto"/>
      </w:divBdr>
    </w:div>
    <w:div w:id="877665942">
      <w:bodyDiv w:val="1"/>
      <w:marLeft w:val="0"/>
      <w:marRight w:val="0"/>
      <w:marTop w:val="0"/>
      <w:marBottom w:val="0"/>
      <w:divBdr>
        <w:top w:val="none" w:sz="0" w:space="0" w:color="auto"/>
        <w:left w:val="none" w:sz="0" w:space="0" w:color="auto"/>
        <w:bottom w:val="none" w:sz="0" w:space="0" w:color="auto"/>
        <w:right w:val="none" w:sz="0" w:space="0" w:color="auto"/>
      </w:divBdr>
      <w:divsChild>
        <w:div w:id="506361756">
          <w:marLeft w:val="0"/>
          <w:marRight w:val="0"/>
          <w:marTop w:val="0"/>
          <w:marBottom w:val="0"/>
          <w:divBdr>
            <w:top w:val="none" w:sz="0" w:space="0" w:color="auto"/>
            <w:left w:val="none" w:sz="0" w:space="0" w:color="auto"/>
            <w:bottom w:val="none" w:sz="0" w:space="0" w:color="auto"/>
            <w:right w:val="none" w:sz="0" w:space="0" w:color="auto"/>
          </w:divBdr>
        </w:div>
      </w:divsChild>
    </w:div>
    <w:div w:id="881329411">
      <w:bodyDiv w:val="1"/>
      <w:marLeft w:val="0"/>
      <w:marRight w:val="0"/>
      <w:marTop w:val="0"/>
      <w:marBottom w:val="0"/>
      <w:divBdr>
        <w:top w:val="none" w:sz="0" w:space="0" w:color="auto"/>
        <w:left w:val="none" w:sz="0" w:space="0" w:color="auto"/>
        <w:bottom w:val="none" w:sz="0" w:space="0" w:color="auto"/>
        <w:right w:val="none" w:sz="0" w:space="0" w:color="auto"/>
      </w:divBdr>
    </w:div>
    <w:div w:id="883711445">
      <w:bodyDiv w:val="1"/>
      <w:marLeft w:val="0"/>
      <w:marRight w:val="0"/>
      <w:marTop w:val="0"/>
      <w:marBottom w:val="0"/>
      <w:divBdr>
        <w:top w:val="none" w:sz="0" w:space="0" w:color="auto"/>
        <w:left w:val="none" w:sz="0" w:space="0" w:color="auto"/>
        <w:bottom w:val="none" w:sz="0" w:space="0" w:color="auto"/>
        <w:right w:val="none" w:sz="0" w:space="0" w:color="auto"/>
      </w:divBdr>
    </w:div>
    <w:div w:id="888299373">
      <w:bodyDiv w:val="1"/>
      <w:marLeft w:val="0"/>
      <w:marRight w:val="0"/>
      <w:marTop w:val="0"/>
      <w:marBottom w:val="0"/>
      <w:divBdr>
        <w:top w:val="none" w:sz="0" w:space="0" w:color="auto"/>
        <w:left w:val="none" w:sz="0" w:space="0" w:color="auto"/>
        <w:bottom w:val="none" w:sz="0" w:space="0" w:color="auto"/>
        <w:right w:val="none" w:sz="0" w:space="0" w:color="auto"/>
      </w:divBdr>
    </w:div>
    <w:div w:id="895315108">
      <w:bodyDiv w:val="1"/>
      <w:marLeft w:val="0"/>
      <w:marRight w:val="0"/>
      <w:marTop w:val="0"/>
      <w:marBottom w:val="0"/>
      <w:divBdr>
        <w:top w:val="none" w:sz="0" w:space="0" w:color="auto"/>
        <w:left w:val="none" w:sz="0" w:space="0" w:color="auto"/>
        <w:bottom w:val="none" w:sz="0" w:space="0" w:color="auto"/>
        <w:right w:val="none" w:sz="0" w:space="0" w:color="auto"/>
      </w:divBdr>
    </w:div>
    <w:div w:id="907424610">
      <w:bodyDiv w:val="1"/>
      <w:marLeft w:val="0"/>
      <w:marRight w:val="0"/>
      <w:marTop w:val="0"/>
      <w:marBottom w:val="0"/>
      <w:divBdr>
        <w:top w:val="none" w:sz="0" w:space="0" w:color="auto"/>
        <w:left w:val="none" w:sz="0" w:space="0" w:color="auto"/>
        <w:bottom w:val="none" w:sz="0" w:space="0" w:color="auto"/>
        <w:right w:val="none" w:sz="0" w:space="0" w:color="auto"/>
      </w:divBdr>
      <w:divsChild>
        <w:div w:id="1384063640">
          <w:marLeft w:val="0"/>
          <w:marRight w:val="0"/>
          <w:marTop w:val="0"/>
          <w:marBottom w:val="0"/>
          <w:divBdr>
            <w:top w:val="none" w:sz="0" w:space="0" w:color="auto"/>
            <w:left w:val="none" w:sz="0" w:space="0" w:color="auto"/>
            <w:bottom w:val="none" w:sz="0" w:space="0" w:color="auto"/>
            <w:right w:val="none" w:sz="0" w:space="0" w:color="auto"/>
          </w:divBdr>
          <w:divsChild>
            <w:div w:id="1872258207">
              <w:marLeft w:val="0"/>
              <w:marRight w:val="0"/>
              <w:marTop w:val="0"/>
              <w:marBottom w:val="0"/>
              <w:divBdr>
                <w:top w:val="none" w:sz="0" w:space="0" w:color="auto"/>
                <w:left w:val="none" w:sz="0" w:space="0" w:color="auto"/>
                <w:bottom w:val="none" w:sz="0" w:space="0" w:color="auto"/>
                <w:right w:val="none" w:sz="0" w:space="0" w:color="auto"/>
              </w:divBdr>
              <w:divsChild>
                <w:div w:id="194703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385143">
      <w:bodyDiv w:val="1"/>
      <w:marLeft w:val="0"/>
      <w:marRight w:val="0"/>
      <w:marTop w:val="0"/>
      <w:marBottom w:val="0"/>
      <w:divBdr>
        <w:top w:val="none" w:sz="0" w:space="0" w:color="auto"/>
        <w:left w:val="none" w:sz="0" w:space="0" w:color="auto"/>
        <w:bottom w:val="none" w:sz="0" w:space="0" w:color="auto"/>
        <w:right w:val="none" w:sz="0" w:space="0" w:color="auto"/>
      </w:divBdr>
    </w:div>
    <w:div w:id="910845189">
      <w:bodyDiv w:val="1"/>
      <w:marLeft w:val="0"/>
      <w:marRight w:val="0"/>
      <w:marTop w:val="0"/>
      <w:marBottom w:val="0"/>
      <w:divBdr>
        <w:top w:val="none" w:sz="0" w:space="0" w:color="auto"/>
        <w:left w:val="none" w:sz="0" w:space="0" w:color="auto"/>
        <w:bottom w:val="none" w:sz="0" w:space="0" w:color="auto"/>
        <w:right w:val="none" w:sz="0" w:space="0" w:color="auto"/>
      </w:divBdr>
    </w:div>
    <w:div w:id="917248888">
      <w:bodyDiv w:val="1"/>
      <w:marLeft w:val="0"/>
      <w:marRight w:val="0"/>
      <w:marTop w:val="0"/>
      <w:marBottom w:val="0"/>
      <w:divBdr>
        <w:top w:val="none" w:sz="0" w:space="0" w:color="auto"/>
        <w:left w:val="none" w:sz="0" w:space="0" w:color="auto"/>
        <w:bottom w:val="none" w:sz="0" w:space="0" w:color="auto"/>
        <w:right w:val="none" w:sz="0" w:space="0" w:color="auto"/>
      </w:divBdr>
      <w:divsChild>
        <w:div w:id="108622193">
          <w:marLeft w:val="0"/>
          <w:marRight w:val="0"/>
          <w:marTop w:val="0"/>
          <w:marBottom w:val="0"/>
          <w:divBdr>
            <w:top w:val="none" w:sz="0" w:space="0" w:color="auto"/>
            <w:left w:val="none" w:sz="0" w:space="0" w:color="auto"/>
            <w:bottom w:val="none" w:sz="0" w:space="0" w:color="auto"/>
            <w:right w:val="none" w:sz="0" w:space="0" w:color="auto"/>
          </w:divBdr>
          <w:divsChild>
            <w:div w:id="875235479">
              <w:marLeft w:val="0"/>
              <w:marRight w:val="0"/>
              <w:marTop w:val="0"/>
              <w:marBottom w:val="0"/>
              <w:divBdr>
                <w:top w:val="none" w:sz="0" w:space="0" w:color="auto"/>
                <w:left w:val="none" w:sz="0" w:space="0" w:color="auto"/>
                <w:bottom w:val="none" w:sz="0" w:space="0" w:color="auto"/>
                <w:right w:val="none" w:sz="0" w:space="0" w:color="auto"/>
              </w:divBdr>
              <w:divsChild>
                <w:div w:id="49291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980340">
      <w:bodyDiv w:val="1"/>
      <w:marLeft w:val="0"/>
      <w:marRight w:val="0"/>
      <w:marTop w:val="0"/>
      <w:marBottom w:val="0"/>
      <w:divBdr>
        <w:top w:val="none" w:sz="0" w:space="0" w:color="auto"/>
        <w:left w:val="none" w:sz="0" w:space="0" w:color="auto"/>
        <w:bottom w:val="none" w:sz="0" w:space="0" w:color="auto"/>
        <w:right w:val="none" w:sz="0" w:space="0" w:color="auto"/>
      </w:divBdr>
    </w:div>
    <w:div w:id="948394166">
      <w:bodyDiv w:val="1"/>
      <w:marLeft w:val="0"/>
      <w:marRight w:val="0"/>
      <w:marTop w:val="0"/>
      <w:marBottom w:val="0"/>
      <w:divBdr>
        <w:top w:val="none" w:sz="0" w:space="0" w:color="auto"/>
        <w:left w:val="none" w:sz="0" w:space="0" w:color="auto"/>
        <w:bottom w:val="none" w:sz="0" w:space="0" w:color="auto"/>
        <w:right w:val="none" w:sz="0" w:space="0" w:color="auto"/>
      </w:divBdr>
    </w:div>
    <w:div w:id="956915102">
      <w:bodyDiv w:val="1"/>
      <w:marLeft w:val="0"/>
      <w:marRight w:val="0"/>
      <w:marTop w:val="0"/>
      <w:marBottom w:val="0"/>
      <w:divBdr>
        <w:top w:val="none" w:sz="0" w:space="0" w:color="auto"/>
        <w:left w:val="none" w:sz="0" w:space="0" w:color="auto"/>
        <w:bottom w:val="none" w:sz="0" w:space="0" w:color="auto"/>
        <w:right w:val="none" w:sz="0" w:space="0" w:color="auto"/>
      </w:divBdr>
    </w:div>
    <w:div w:id="967932684">
      <w:bodyDiv w:val="1"/>
      <w:marLeft w:val="0"/>
      <w:marRight w:val="0"/>
      <w:marTop w:val="0"/>
      <w:marBottom w:val="0"/>
      <w:divBdr>
        <w:top w:val="none" w:sz="0" w:space="0" w:color="auto"/>
        <w:left w:val="none" w:sz="0" w:space="0" w:color="auto"/>
        <w:bottom w:val="none" w:sz="0" w:space="0" w:color="auto"/>
        <w:right w:val="none" w:sz="0" w:space="0" w:color="auto"/>
      </w:divBdr>
    </w:div>
    <w:div w:id="968362118">
      <w:bodyDiv w:val="1"/>
      <w:marLeft w:val="0"/>
      <w:marRight w:val="0"/>
      <w:marTop w:val="0"/>
      <w:marBottom w:val="0"/>
      <w:divBdr>
        <w:top w:val="none" w:sz="0" w:space="0" w:color="auto"/>
        <w:left w:val="none" w:sz="0" w:space="0" w:color="auto"/>
        <w:bottom w:val="none" w:sz="0" w:space="0" w:color="auto"/>
        <w:right w:val="none" w:sz="0" w:space="0" w:color="auto"/>
      </w:divBdr>
    </w:div>
    <w:div w:id="974724201">
      <w:bodyDiv w:val="1"/>
      <w:marLeft w:val="0"/>
      <w:marRight w:val="0"/>
      <w:marTop w:val="0"/>
      <w:marBottom w:val="0"/>
      <w:divBdr>
        <w:top w:val="none" w:sz="0" w:space="0" w:color="auto"/>
        <w:left w:val="none" w:sz="0" w:space="0" w:color="auto"/>
        <w:bottom w:val="none" w:sz="0" w:space="0" w:color="auto"/>
        <w:right w:val="none" w:sz="0" w:space="0" w:color="auto"/>
      </w:divBdr>
    </w:div>
    <w:div w:id="985083196">
      <w:bodyDiv w:val="1"/>
      <w:marLeft w:val="0"/>
      <w:marRight w:val="0"/>
      <w:marTop w:val="0"/>
      <w:marBottom w:val="0"/>
      <w:divBdr>
        <w:top w:val="none" w:sz="0" w:space="0" w:color="auto"/>
        <w:left w:val="none" w:sz="0" w:space="0" w:color="auto"/>
        <w:bottom w:val="none" w:sz="0" w:space="0" w:color="auto"/>
        <w:right w:val="none" w:sz="0" w:space="0" w:color="auto"/>
      </w:divBdr>
    </w:div>
    <w:div w:id="991640008">
      <w:bodyDiv w:val="1"/>
      <w:marLeft w:val="0"/>
      <w:marRight w:val="0"/>
      <w:marTop w:val="0"/>
      <w:marBottom w:val="0"/>
      <w:divBdr>
        <w:top w:val="none" w:sz="0" w:space="0" w:color="auto"/>
        <w:left w:val="none" w:sz="0" w:space="0" w:color="auto"/>
        <w:bottom w:val="none" w:sz="0" w:space="0" w:color="auto"/>
        <w:right w:val="none" w:sz="0" w:space="0" w:color="auto"/>
      </w:divBdr>
    </w:div>
    <w:div w:id="1025442305">
      <w:bodyDiv w:val="1"/>
      <w:marLeft w:val="0"/>
      <w:marRight w:val="0"/>
      <w:marTop w:val="0"/>
      <w:marBottom w:val="0"/>
      <w:divBdr>
        <w:top w:val="none" w:sz="0" w:space="0" w:color="auto"/>
        <w:left w:val="none" w:sz="0" w:space="0" w:color="auto"/>
        <w:bottom w:val="none" w:sz="0" w:space="0" w:color="auto"/>
        <w:right w:val="none" w:sz="0" w:space="0" w:color="auto"/>
      </w:divBdr>
    </w:div>
    <w:div w:id="1027557743">
      <w:bodyDiv w:val="1"/>
      <w:marLeft w:val="0"/>
      <w:marRight w:val="0"/>
      <w:marTop w:val="0"/>
      <w:marBottom w:val="0"/>
      <w:divBdr>
        <w:top w:val="none" w:sz="0" w:space="0" w:color="auto"/>
        <w:left w:val="none" w:sz="0" w:space="0" w:color="auto"/>
        <w:bottom w:val="none" w:sz="0" w:space="0" w:color="auto"/>
        <w:right w:val="none" w:sz="0" w:space="0" w:color="auto"/>
      </w:divBdr>
    </w:div>
    <w:div w:id="1034884575">
      <w:bodyDiv w:val="1"/>
      <w:marLeft w:val="0"/>
      <w:marRight w:val="0"/>
      <w:marTop w:val="0"/>
      <w:marBottom w:val="0"/>
      <w:divBdr>
        <w:top w:val="none" w:sz="0" w:space="0" w:color="auto"/>
        <w:left w:val="none" w:sz="0" w:space="0" w:color="auto"/>
        <w:bottom w:val="none" w:sz="0" w:space="0" w:color="auto"/>
        <w:right w:val="none" w:sz="0" w:space="0" w:color="auto"/>
      </w:divBdr>
    </w:div>
    <w:div w:id="1040057331">
      <w:bodyDiv w:val="1"/>
      <w:marLeft w:val="0"/>
      <w:marRight w:val="0"/>
      <w:marTop w:val="0"/>
      <w:marBottom w:val="0"/>
      <w:divBdr>
        <w:top w:val="none" w:sz="0" w:space="0" w:color="auto"/>
        <w:left w:val="none" w:sz="0" w:space="0" w:color="auto"/>
        <w:bottom w:val="none" w:sz="0" w:space="0" w:color="auto"/>
        <w:right w:val="none" w:sz="0" w:space="0" w:color="auto"/>
      </w:divBdr>
    </w:div>
    <w:div w:id="1050805223">
      <w:bodyDiv w:val="1"/>
      <w:marLeft w:val="0"/>
      <w:marRight w:val="0"/>
      <w:marTop w:val="0"/>
      <w:marBottom w:val="0"/>
      <w:divBdr>
        <w:top w:val="none" w:sz="0" w:space="0" w:color="auto"/>
        <w:left w:val="none" w:sz="0" w:space="0" w:color="auto"/>
        <w:bottom w:val="none" w:sz="0" w:space="0" w:color="auto"/>
        <w:right w:val="none" w:sz="0" w:space="0" w:color="auto"/>
      </w:divBdr>
    </w:div>
    <w:div w:id="1055011116">
      <w:bodyDiv w:val="1"/>
      <w:marLeft w:val="0"/>
      <w:marRight w:val="0"/>
      <w:marTop w:val="0"/>
      <w:marBottom w:val="0"/>
      <w:divBdr>
        <w:top w:val="none" w:sz="0" w:space="0" w:color="auto"/>
        <w:left w:val="none" w:sz="0" w:space="0" w:color="auto"/>
        <w:bottom w:val="none" w:sz="0" w:space="0" w:color="auto"/>
        <w:right w:val="none" w:sz="0" w:space="0" w:color="auto"/>
      </w:divBdr>
    </w:div>
    <w:div w:id="1056275447">
      <w:bodyDiv w:val="1"/>
      <w:marLeft w:val="0"/>
      <w:marRight w:val="0"/>
      <w:marTop w:val="0"/>
      <w:marBottom w:val="0"/>
      <w:divBdr>
        <w:top w:val="none" w:sz="0" w:space="0" w:color="auto"/>
        <w:left w:val="none" w:sz="0" w:space="0" w:color="auto"/>
        <w:bottom w:val="none" w:sz="0" w:space="0" w:color="auto"/>
        <w:right w:val="none" w:sz="0" w:space="0" w:color="auto"/>
      </w:divBdr>
    </w:div>
    <w:div w:id="1079641684">
      <w:bodyDiv w:val="1"/>
      <w:marLeft w:val="0"/>
      <w:marRight w:val="0"/>
      <w:marTop w:val="0"/>
      <w:marBottom w:val="0"/>
      <w:divBdr>
        <w:top w:val="none" w:sz="0" w:space="0" w:color="auto"/>
        <w:left w:val="none" w:sz="0" w:space="0" w:color="auto"/>
        <w:bottom w:val="none" w:sz="0" w:space="0" w:color="auto"/>
        <w:right w:val="none" w:sz="0" w:space="0" w:color="auto"/>
      </w:divBdr>
    </w:div>
    <w:div w:id="1100763087">
      <w:bodyDiv w:val="1"/>
      <w:marLeft w:val="0"/>
      <w:marRight w:val="0"/>
      <w:marTop w:val="0"/>
      <w:marBottom w:val="0"/>
      <w:divBdr>
        <w:top w:val="none" w:sz="0" w:space="0" w:color="auto"/>
        <w:left w:val="none" w:sz="0" w:space="0" w:color="auto"/>
        <w:bottom w:val="none" w:sz="0" w:space="0" w:color="auto"/>
        <w:right w:val="none" w:sz="0" w:space="0" w:color="auto"/>
      </w:divBdr>
      <w:divsChild>
        <w:div w:id="711266804">
          <w:marLeft w:val="0"/>
          <w:marRight w:val="0"/>
          <w:marTop w:val="0"/>
          <w:marBottom w:val="0"/>
          <w:divBdr>
            <w:top w:val="none" w:sz="0" w:space="0" w:color="auto"/>
            <w:left w:val="none" w:sz="0" w:space="0" w:color="auto"/>
            <w:bottom w:val="none" w:sz="0" w:space="0" w:color="auto"/>
            <w:right w:val="none" w:sz="0" w:space="0" w:color="auto"/>
          </w:divBdr>
          <w:divsChild>
            <w:div w:id="1449929962">
              <w:marLeft w:val="0"/>
              <w:marRight w:val="0"/>
              <w:marTop w:val="0"/>
              <w:marBottom w:val="0"/>
              <w:divBdr>
                <w:top w:val="none" w:sz="0" w:space="0" w:color="auto"/>
                <w:left w:val="none" w:sz="0" w:space="0" w:color="auto"/>
                <w:bottom w:val="none" w:sz="0" w:space="0" w:color="auto"/>
                <w:right w:val="none" w:sz="0" w:space="0" w:color="auto"/>
              </w:divBdr>
              <w:divsChild>
                <w:div w:id="72738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309011">
      <w:bodyDiv w:val="1"/>
      <w:marLeft w:val="0"/>
      <w:marRight w:val="0"/>
      <w:marTop w:val="0"/>
      <w:marBottom w:val="0"/>
      <w:divBdr>
        <w:top w:val="none" w:sz="0" w:space="0" w:color="auto"/>
        <w:left w:val="none" w:sz="0" w:space="0" w:color="auto"/>
        <w:bottom w:val="none" w:sz="0" w:space="0" w:color="auto"/>
        <w:right w:val="none" w:sz="0" w:space="0" w:color="auto"/>
      </w:divBdr>
    </w:div>
    <w:div w:id="1111510023">
      <w:bodyDiv w:val="1"/>
      <w:marLeft w:val="0"/>
      <w:marRight w:val="0"/>
      <w:marTop w:val="0"/>
      <w:marBottom w:val="0"/>
      <w:divBdr>
        <w:top w:val="none" w:sz="0" w:space="0" w:color="auto"/>
        <w:left w:val="none" w:sz="0" w:space="0" w:color="auto"/>
        <w:bottom w:val="none" w:sz="0" w:space="0" w:color="auto"/>
        <w:right w:val="none" w:sz="0" w:space="0" w:color="auto"/>
      </w:divBdr>
    </w:div>
    <w:div w:id="1113785539">
      <w:bodyDiv w:val="1"/>
      <w:marLeft w:val="0"/>
      <w:marRight w:val="0"/>
      <w:marTop w:val="0"/>
      <w:marBottom w:val="0"/>
      <w:divBdr>
        <w:top w:val="none" w:sz="0" w:space="0" w:color="auto"/>
        <w:left w:val="none" w:sz="0" w:space="0" w:color="auto"/>
        <w:bottom w:val="none" w:sz="0" w:space="0" w:color="auto"/>
        <w:right w:val="none" w:sz="0" w:space="0" w:color="auto"/>
      </w:divBdr>
    </w:div>
    <w:div w:id="1140002172">
      <w:bodyDiv w:val="1"/>
      <w:marLeft w:val="0"/>
      <w:marRight w:val="0"/>
      <w:marTop w:val="0"/>
      <w:marBottom w:val="0"/>
      <w:divBdr>
        <w:top w:val="none" w:sz="0" w:space="0" w:color="auto"/>
        <w:left w:val="none" w:sz="0" w:space="0" w:color="auto"/>
        <w:bottom w:val="none" w:sz="0" w:space="0" w:color="auto"/>
        <w:right w:val="none" w:sz="0" w:space="0" w:color="auto"/>
      </w:divBdr>
    </w:div>
    <w:div w:id="1177116137">
      <w:bodyDiv w:val="1"/>
      <w:marLeft w:val="0"/>
      <w:marRight w:val="0"/>
      <w:marTop w:val="0"/>
      <w:marBottom w:val="0"/>
      <w:divBdr>
        <w:top w:val="none" w:sz="0" w:space="0" w:color="auto"/>
        <w:left w:val="none" w:sz="0" w:space="0" w:color="auto"/>
        <w:bottom w:val="none" w:sz="0" w:space="0" w:color="auto"/>
        <w:right w:val="none" w:sz="0" w:space="0" w:color="auto"/>
      </w:divBdr>
    </w:div>
    <w:div w:id="1180698306">
      <w:bodyDiv w:val="1"/>
      <w:marLeft w:val="0"/>
      <w:marRight w:val="0"/>
      <w:marTop w:val="0"/>
      <w:marBottom w:val="0"/>
      <w:divBdr>
        <w:top w:val="none" w:sz="0" w:space="0" w:color="auto"/>
        <w:left w:val="none" w:sz="0" w:space="0" w:color="auto"/>
        <w:bottom w:val="none" w:sz="0" w:space="0" w:color="auto"/>
        <w:right w:val="none" w:sz="0" w:space="0" w:color="auto"/>
      </w:divBdr>
      <w:divsChild>
        <w:div w:id="1682119938">
          <w:marLeft w:val="0"/>
          <w:marRight w:val="0"/>
          <w:marTop w:val="0"/>
          <w:marBottom w:val="0"/>
          <w:divBdr>
            <w:top w:val="none" w:sz="0" w:space="0" w:color="auto"/>
            <w:left w:val="none" w:sz="0" w:space="0" w:color="auto"/>
            <w:bottom w:val="none" w:sz="0" w:space="0" w:color="auto"/>
            <w:right w:val="none" w:sz="0" w:space="0" w:color="auto"/>
          </w:divBdr>
          <w:divsChild>
            <w:div w:id="2028830515">
              <w:marLeft w:val="0"/>
              <w:marRight w:val="0"/>
              <w:marTop w:val="0"/>
              <w:marBottom w:val="0"/>
              <w:divBdr>
                <w:top w:val="none" w:sz="0" w:space="0" w:color="auto"/>
                <w:left w:val="none" w:sz="0" w:space="0" w:color="auto"/>
                <w:bottom w:val="none" w:sz="0" w:space="0" w:color="auto"/>
                <w:right w:val="none" w:sz="0" w:space="0" w:color="auto"/>
              </w:divBdr>
              <w:divsChild>
                <w:div w:id="2021396467">
                  <w:marLeft w:val="0"/>
                  <w:marRight w:val="0"/>
                  <w:marTop w:val="0"/>
                  <w:marBottom w:val="0"/>
                  <w:divBdr>
                    <w:top w:val="none" w:sz="0" w:space="0" w:color="auto"/>
                    <w:left w:val="none" w:sz="0" w:space="0" w:color="auto"/>
                    <w:bottom w:val="none" w:sz="0" w:space="0" w:color="auto"/>
                    <w:right w:val="none" w:sz="0" w:space="0" w:color="auto"/>
                  </w:divBdr>
                  <w:divsChild>
                    <w:div w:id="101011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795571">
          <w:marLeft w:val="0"/>
          <w:marRight w:val="0"/>
          <w:marTop w:val="0"/>
          <w:marBottom w:val="0"/>
          <w:divBdr>
            <w:top w:val="none" w:sz="0" w:space="0" w:color="auto"/>
            <w:left w:val="none" w:sz="0" w:space="0" w:color="auto"/>
            <w:bottom w:val="none" w:sz="0" w:space="0" w:color="auto"/>
            <w:right w:val="none" w:sz="0" w:space="0" w:color="auto"/>
          </w:divBdr>
          <w:divsChild>
            <w:div w:id="1705902917">
              <w:marLeft w:val="0"/>
              <w:marRight w:val="0"/>
              <w:marTop w:val="0"/>
              <w:marBottom w:val="0"/>
              <w:divBdr>
                <w:top w:val="none" w:sz="0" w:space="0" w:color="auto"/>
                <w:left w:val="none" w:sz="0" w:space="0" w:color="auto"/>
                <w:bottom w:val="none" w:sz="0" w:space="0" w:color="auto"/>
                <w:right w:val="none" w:sz="0" w:space="0" w:color="auto"/>
              </w:divBdr>
              <w:divsChild>
                <w:div w:id="1009336540">
                  <w:marLeft w:val="0"/>
                  <w:marRight w:val="0"/>
                  <w:marTop w:val="0"/>
                  <w:marBottom w:val="0"/>
                  <w:divBdr>
                    <w:top w:val="none" w:sz="0" w:space="0" w:color="auto"/>
                    <w:left w:val="none" w:sz="0" w:space="0" w:color="auto"/>
                    <w:bottom w:val="none" w:sz="0" w:space="0" w:color="auto"/>
                    <w:right w:val="none" w:sz="0" w:space="0" w:color="auto"/>
                  </w:divBdr>
                  <w:divsChild>
                    <w:div w:id="163895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381609">
      <w:bodyDiv w:val="1"/>
      <w:marLeft w:val="0"/>
      <w:marRight w:val="0"/>
      <w:marTop w:val="0"/>
      <w:marBottom w:val="0"/>
      <w:divBdr>
        <w:top w:val="none" w:sz="0" w:space="0" w:color="auto"/>
        <w:left w:val="none" w:sz="0" w:space="0" w:color="auto"/>
        <w:bottom w:val="none" w:sz="0" w:space="0" w:color="auto"/>
        <w:right w:val="none" w:sz="0" w:space="0" w:color="auto"/>
      </w:divBdr>
    </w:div>
    <w:div w:id="1195733323">
      <w:bodyDiv w:val="1"/>
      <w:marLeft w:val="0"/>
      <w:marRight w:val="0"/>
      <w:marTop w:val="0"/>
      <w:marBottom w:val="0"/>
      <w:divBdr>
        <w:top w:val="none" w:sz="0" w:space="0" w:color="auto"/>
        <w:left w:val="none" w:sz="0" w:space="0" w:color="auto"/>
        <w:bottom w:val="none" w:sz="0" w:space="0" w:color="auto"/>
        <w:right w:val="none" w:sz="0" w:space="0" w:color="auto"/>
      </w:divBdr>
    </w:div>
    <w:div w:id="1206332148">
      <w:bodyDiv w:val="1"/>
      <w:marLeft w:val="0"/>
      <w:marRight w:val="0"/>
      <w:marTop w:val="0"/>
      <w:marBottom w:val="0"/>
      <w:divBdr>
        <w:top w:val="none" w:sz="0" w:space="0" w:color="auto"/>
        <w:left w:val="none" w:sz="0" w:space="0" w:color="auto"/>
        <w:bottom w:val="none" w:sz="0" w:space="0" w:color="auto"/>
        <w:right w:val="none" w:sz="0" w:space="0" w:color="auto"/>
      </w:divBdr>
    </w:div>
    <w:div w:id="1207642320">
      <w:bodyDiv w:val="1"/>
      <w:marLeft w:val="0"/>
      <w:marRight w:val="0"/>
      <w:marTop w:val="0"/>
      <w:marBottom w:val="0"/>
      <w:divBdr>
        <w:top w:val="none" w:sz="0" w:space="0" w:color="auto"/>
        <w:left w:val="none" w:sz="0" w:space="0" w:color="auto"/>
        <w:bottom w:val="none" w:sz="0" w:space="0" w:color="auto"/>
        <w:right w:val="none" w:sz="0" w:space="0" w:color="auto"/>
      </w:divBdr>
    </w:div>
    <w:div w:id="1207642402">
      <w:bodyDiv w:val="1"/>
      <w:marLeft w:val="0"/>
      <w:marRight w:val="0"/>
      <w:marTop w:val="0"/>
      <w:marBottom w:val="0"/>
      <w:divBdr>
        <w:top w:val="none" w:sz="0" w:space="0" w:color="auto"/>
        <w:left w:val="none" w:sz="0" w:space="0" w:color="auto"/>
        <w:bottom w:val="none" w:sz="0" w:space="0" w:color="auto"/>
        <w:right w:val="none" w:sz="0" w:space="0" w:color="auto"/>
      </w:divBdr>
    </w:div>
    <w:div w:id="1217350083">
      <w:bodyDiv w:val="1"/>
      <w:marLeft w:val="0"/>
      <w:marRight w:val="0"/>
      <w:marTop w:val="0"/>
      <w:marBottom w:val="0"/>
      <w:divBdr>
        <w:top w:val="none" w:sz="0" w:space="0" w:color="auto"/>
        <w:left w:val="none" w:sz="0" w:space="0" w:color="auto"/>
        <w:bottom w:val="none" w:sz="0" w:space="0" w:color="auto"/>
        <w:right w:val="none" w:sz="0" w:space="0" w:color="auto"/>
      </w:divBdr>
    </w:div>
    <w:div w:id="1239553591">
      <w:bodyDiv w:val="1"/>
      <w:marLeft w:val="0"/>
      <w:marRight w:val="0"/>
      <w:marTop w:val="0"/>
      <w:marBottom w:val="0"/>
      <w:divBdr>
        <w:top w:val="none" w:sz="0" w:space="0" w:color="auto"/>
        <w:left w:val="none" w:sz="0" w:space="0" w:color="auto"/>
        <w:bottom w:val="none" w:sz="0" w:space="0" w:color="auto"/>
        <w:right w:val="none" w:sz="0" w:space="0" w:color="auto"/>
      </w:divBdr>
    </w:div>
    <w:div w:id="1242255815">
      <w:bodyDiv w:val="1"/>
      <w:marLeft w:val="0"/>
      <w:marRight w:val="0"/>
      <w:marTop w:val="0"/>
      <w:marBottom w:val="0"/>
      <w:divBdr>
        <w:top w:val="none" w:sz="0" w:space="0" w:color="auto"/>
        <w:left w:val="none" w:sz="0" w:space="0" w:color="auto"/>
        <w:bottom w:val="none" w:sz="0" w:space="0" w:color="auto"/>
        <w:right w:val="none" w:sz="0" w:space="0" w:color="auto"/>
      </w:divBdr>
    </w:div>
    <w:div w:id="1276523848">
      <w:bodyDiv w:val="1"/>
      <w:marLeft w:val="0"/>
      <w:marRight w:val="0"/>
      <w:marTop w:val="0"/>
      <w:marBottom w:val="0"/>
      <w:divBdr>
        <w:top w:val="none" w:sz="0" w:space="0" w:color="auto"/>
        <w:left w:val="none" w:sz="0" w:space="0" w:color="auto"/>
        <w:bottom w:val="none" w:sz="0" w:space="0" w:color="auto"/>
        <w:right w:val="none" w:sz="0" w:space="0" w:color="auto"/>
      </w:divBdr>
    </w:div>
    <w:div w:id="1277368846">
      <w:bodyDiv w:val="1"/>
      <w:marLeft w:val="0"/>
      <w:marRight w:val="0"/>
      <w:marTop w:val="0"/>
      <w:marBottom w:val="0"/>
      <w:divBdr>
        <w:top w:val="none" w:sz="0" w:space="0" w:color="auto"/>
        <w:left w:val="none" w:sz="0" w:space="0" w:color="auto"/>
        <w:bottom w:val="none" w:sz="0" w:space="0" w:color="auto"/>
        <w:right w:val="none" w:sz="0" w:space="0" w:color="auto"/>
      </w:divBdr>
    </w:div>
    <w:div w:id="1280331933">
      <w:bodyDiv w:val="1"/>
      <w:marLeft w:val="0"/>
      <w:marRight w:val="0"/>
      <w:marTop w:val="0"/>
      <w:marBottom w:val="0"/>
      <w:divBdr>
        <w:top w:val="none" w:sz="0" w:space="0" w:color="auto"/>
        <w:left w:val="none" w:sz="0" w:space="0" w:color="auto"/>
        <w:bottom w:val="none" w:sz="0" w:space="0" w:color="auto"/>
        <w:right w:val="none" w:sz="0" w:space="0" w:color="auto"/>
      </w:divBdr>
    </w:div>
    <w:div w:id="1284117458">
      <w:bodyDiv w:val="1"/>
      <w:marLeft w:val="0"/>
      <w:marRight w:val="0"/>
      <w:marTop w:val="0"/>
      <w:marBottom w:val="0"/>
      <w:divBdr>
        <w:top w:val="none" w:sz="0" w:space="0" w:color="auto"/>
        <w:left w:val="none" w:sz="0" w:space="0" w:color="auto"/>
        <w:bottom w:val="none" w:sz="0" w:space="0" w:color="auto"/>
        <w:right w:val="none" w:sz="0" w:space="0" w:color="auto"/>
      </w:divBdr>
    </w:div>
    <w:div w:id="1286622172">
      <w:bodyDiv w:val="1"/>
      <w:marLeft w:val="0"/>
      <w:marRight w:val="0"/>
      <w:marTop w:val="0"/>
      <w:marBottom w:val="0"/>
      <w:divBdr>
        <w:top w:val="none" w:sz="0" w:space="0" w:color="auto"/>
        <w:left w:val="none" w:sz="0" w:space="0" w:color="auto"/>
        <w:bottom w:val="none" w:sz="0" w:space="0" w:color="auto"/>
        <w:right w:val="none" w:sz="0" w:space="0" w:color="auto"/>
      </w:divBdr>
    </w:div>
    <w:div w:id="1293170589">
      <w:bodyDiv w:val="1"/>
      <w:marLeft w:val="0"/>
      <w:marRight w:val="0"/>
      <w:marTop w:val="0"/>
      <w:marBottom w:val="0"/>
      <w:divBdr>
        <w:top w:val="none" w:sz="0" w:space="0" w:color="auto"/>
        <w:left w:val="none" w:sz="0" w:space="0" w:color="auto"/>
        <w:bottom w:val="none" w:sz="0" w:space="0" w:color="auto"/>
        <w:right w:val="none" w:sz="0" w:space="0" w:color="auto"/>
      </w:divBdr>
    </w:div>
    <w:div w:id="1319115044">
      <w:bodyDiv w:val="1"/>
      <w:marLeft w:val="0"/>
      <w:marRight w:val="0"/>
      <w:marTop w:val="0"/>
      <w:marBottom w:val="0"/>
      <w:divBdr>
        <w:top w:val="none" w:sz="0" w:space="0" w:color="auto"/>
        <w:left w:val="none" w:sz="0" w:space="0" w:color="auto"/>
        <w:bottom w:val="none" w:sz="0" w:space="0" w:color="auto"/>
        <w:right w:val="none" w:sz="0" w:space="0" w:color="auto"/>
      </w:divBdr>
    </w:div>
    <w:div w:id="1345667531">
      <w:bodyDiv w:val="1"/>
      <w:marLeft w:val="0"/>
      <w:marRight w:val="0"/>
      <w:marTop w:val="0"/>
      <w:marBottom w:val="0"/>
      <w:divBdr>
        <w:top w:val="none" w:sz="0" w:space="0" w:color="auto"/>
        <w:left w:val="none" w:sz="0" w:space="0" w:color="auto"/>
        <w:bottom w:val="none" w:sz="0" w:space="0" w:color="auto"/>
        <w:right w:val="none" w:sz="0" w:space="0" w:color="auto"/>
      </w:divBdr>
    </w:div>
    <w:div w:id="1346444281">
      <w:bodyDiv w:val="1"/>
      <w:marLeft w:val="0"/>
      <w:marRight w:val="0"/>
      <w:marTop w:val="0"/>
      <w:marBottom w:val="0"/>
      <w:divBdr>
        <w:top w:val="none" w:sz="0" w:space="0" w:color="auto"/>
        <w:left w:val="none" w:sz="0" w:space="0" w:color="auto"/>
        <w:bottom w:val="none" w:sz="0" w:space="0" w:color="auto"/>
        <w:right w:val="none" w:sz="0" w:space="0" w:color="auto"/>
      </w:divBdr>
    </w:div>
    <w:div w:id="1367605282">
      <w:bodyDiv w:val="1"/>
      <w:marLeft w:val="0"/>
      <w:marRight w:val="0"/>
      <w:marTop w:val="0"/>
      <w:marBottom w:val="0"/>
      <w:divBdr>
        <w:top w:val="none" w:sz="0" w:space="0" w:color="auto"/>
        <w:left w:val="none" w:sz="0" w:space="0" w:color="auto"/>
        <w:bottom w:val="none" w:sz="0" w:space="0" w:color="auto"/>
        <w:right w:val="none" w:sz="0" w:space="0" w:color="auto"/>
      </w:divBdr>
    </w:div>
    <w:div w:id="1406493642">
      <w:bodyDiv w:val="1"/>
      <w:marLeft w:val="0"/>
      <w:marRight w:val="0"/>
      <w:marTop w:val="0"/>
      <w:marBottom w:val="0"/>
      <w:divBdr>
        <w:top w:val="none" w:sz="0" w:space="0" w:color="auto"/>
        <w:left w:val="none" w:sz="0" w:space="0" w:color="auto"/>
        <w:bottom w:val="none" w:sz="0" w:space="0" w:color="auto"/>
        <w:right w:val="none" w:sz="0" w:space="0" w:color="auto"/>
      </w:divBdr>
    </w:div>
    <w:div w:id="1420711992">
      <w:bodyDiv w:val="1"/>
      <w:marLeft w:val="0"/>
      <w:marRight w:val="0"/>
      <w:marTop w:val="0"/>
      <w:marBottom w:val="0"/>
      <w:divBdr>
        <w:top w:val="none" w:sz="0" w:space="0" w:color="auto"/>
        <w:left w:val="none" w:sz="0" w:space="0" w:color="auto"/>
        <w:bottom w:val="none" w:sz="0" w:space="0" w:color="auto"/>
        <w:right w:val="none" w:sz="0" w:space="0" w:color="auto"/>
      </w:divBdr>
    </w:div>
    <w:div w:id="1424108720">
      <w:bodyDiv w:val="1"/>
      <w:marLeft w:val="0"/>
      <w:marRight w:val="0"/>
      <w:marTop w:val="0"/>
      <w:marBottom w:val="0"/>
      <w:divBdr>
        <w:top w:val="none" w:sz="0" w:space="0" w:color="auto"/>
        <w:left w:val="none" w:sz="0" w:space="0" w:color="auto"/>
        <w:bottom w:val="none" w:sz="0" w:space="0" w:color="auto"/>
        <w:right w:val="none" w:sz="0" w:space="0" w:color="auto"/>
      </w:divBdr>
    </w:div>
    <w:div w:id="1440956016">
      <w:bodyDiv w:val="1"/>
      <w:marLeft w:val="0"/>
      <w:marRight w:val="0"/>
      <w:marTop w:val="0"/>
      <w:marBottom w:val="0"/>
      <w:divBdr>
        <w:top w:val="none" w:sz="0" w:space="0" w:color="auto"/>
        <w:left w:val="none" w:sz="0" w:space="0" w:color="auto"/>
        <w:bottom w:val="none" w:sz="0" w:space="0" w:color="auto"/>
        <w:right w:val="none" w:sz="0" w:space="0" w:color="auto"/>
      </w:divBdr>
    </w:div>
    <w:div w:id="1458258758">
      <w:bodyDiv w:val="1"/>
      <w:marLeft w:val="0"/>
      <w:marRight w:val="0"/>
      <w:marTop w:val="0"/>
      <w:marBottom w:val="0"/>
      <w:divBdr>
        <w:top w:val="none" w:sz="0" w:space="0" w:color="auto"/>
        <w:left w:val="none" w:sz="0" w:space="0" w:color="auto"/>
        <w:bottom w:val="none" w:sz="0" w:space="0" w:color="auto"/>
        <w:right w:val="none" w:sz="0" w:space="0" w:color="auto"/>
      </w:divBdr>
    </w:div>
    <w:div w:id="1470437684">
      <w:bodyDiv w:val="1"/>
      <w:marLeft w:val="0"/>
      <w:marRight w:val="0"/>
      <w:marTop w:val="0"/>
      <w:marBottom w:val="0"/>
      <w:divBdr>
        <w:top w:val="none" w:sz="0" w:space="0" w:color="auto"/>
        <w:left w:val="none" w:sz="0" w:space="0" w:color="auto"/>
        <w:bottom w:val="none" w:sz="0" w:space="0" w:color="auto"/>
        <w:right w:val="none" w:sz="0" w:space="0" w:color="auto"/>
      </w:divBdr>
    </w:div>
    <w:div w:id="1488470285">
      <w:bodyDiv w:val="1"/>
      <w:marLeft w:val="0"/>
      <w:marRight w:val="0"/>
      <w:marTop w:val="0"/>
      <w:marBottom w:val="0"/>
      <w:divBdr>
        <w:top w:val="none" w:sz="0" w:space="0" w:color="auto"/>
        <w:left w:val="none" w:sz="0" w:space="0" w:color="auto"/>
        <w:bottom w:val="none" w:sz="0" w:space="0" w:color="auto"/>
        <w:right w:val="none" w:sz="0" w:space="0" w:color="auto"/>
      </w:divBdr>
    </w:div>
    <w:div w:id="1500000509">
      <w:bodyDiv w:val="1"/>
      <w:marLeft w:val="0"/>
      <w:marRight w:val="0"/>
      <w:marTop w:val="0"/>
      <w:marBottom w:val="0"/>
      <w:divBdr>
        <w:top w:val="none" w:sz="0" w:space="0" w:color="auto"/>
        <w:left w:val="none" w:sz="0" w:space="0" w:color="auto"/>
        <w:bottom w:val="none" w:sz="0" w:space="0" w:color="auto"/>
        <w:right w:val="none" w:sz="0" w:space="0" w:color="auto"/>
      </w:divBdr>
    </w:div>
    <w:div w:id="1506091104">
      <w:bodyDiv w:val="1"/>
      <w:marLeft w:val="0"/>
      <w:marRight w:val="0"/>
      <w:marTop w:val="0"/>
      <w:marBottom w:val="0"/>
      <w:divBdr>
        <w:top w:val="none" w:sz="0" w:space="0" w:color="auto"/>
        <w:left w:val="none" w:sz="0" w:space="0" w:color="auto"/>
        <w:bottom w:val="none" w:sz="0" w:space="0" w:color="auto"/>
        <w:right w:val="none" w:sz="0" w:space="0" w:color="auto"/>
      </w:divBdr>
    </w:div>
    <w:div w:id="1515150369">
      <w:bodyDiv w:val="1"/>
      <w:marLeft w:val="0"/>
      <w:marRight w:val="0"/>
      <w:marTop w:val="0"/>
      <w:marBottom w:val="0"/>
      <w:divBdr>
        <w:top w:val="none" w:sz="0" w:space="0" w:color="auto"/>
        <w:left w:val="none" w:sz="0" w:space="0" w:color="auto"/>
        <w:bottom w:val="none" w:sz="0" w:space="0" w:color="auto"/>
        <w:right w:val="none" w:sz="0" w:space="0" w:color="auto"/>
      </w:divBdr>
    </w:div>
    <w:div w:id="1527135560">
      <w:bodyDiv w:val="1"/>
      <w:marLeft w:val="0"/>
      <w:marRight w:val="0"/>
      <w:marTop w:val="0"/>
      <w:marBottom w:val="0"/>
      <w:divBdr>
        <w:top w:val="none" w:sz="0" w:space="0" w:color="auto"/>
        <w:left w:val="none" w:sz="0" w:space="0" w:color="auto"/>
        <w:bottom w:val="none" w:sz="0" w:space="0" w:color="auto"/>
        <w:right w:val="none" w:sz="0" w:space="0" w:color="auto"/>
      </w:divBdr>
    </w:div>
    <w:div w:id="1538621338">
      <w:bodyDiv w:val="1"/>
      <w:marLeft w:val="0"/>
      <w:marRight w:val="0"/>
      <w:marTop w:val="0"/>
      <w:marBottom w:val="0"/>
      <w:divBdr>
        <w:top w:val="none" w:sz="0" w:space="0" w:color="auto"/>
        <w:left w:val="none" w:sz="0" w:space="0" w:color="auto"/>
        <w:bottom w:val="none" w:sz="0" w:space="0" w:color="auto"/>
        <w:right w:val="none" w:sz="0" w:space="0" w:color="auto"/>
      </w:divBdr>
    </w:div>
    <w:div w:id="1543133246">
      <w:bodyDiv w:val="1"/>
      <w:marLeft w:val="0"/>
      <w:marRight w:val="0"/>
      <w:marTop w:val="0"/>
      <w:marBottom w:val="0"/>
      <w:divBdr>
        <w:top w:val="none" w:sz="0" w:space="0" w:color="auto"/>
        <w:left w:val="none" w:sz="0" w:space="0" w:color="auto"/>
        <w:bottom w:val="none" w:sz="0" w:space="0" w:color="auto"/>
        <w:right w:val="none" w:sz="0" w:space="0" w:color="auto"/>
      </w:divBdr>
    </w:div>
    <w:div w:id="1561089292">
      <w:bodyDiv w:val="1"/>
      <w:marLeft w:val="0"/>
      <w:marRight w:val="0"/>
      <w:marTop w:val="0"/>
      <w:marBottom w:val="0"/>
      <w:divBdr>
        <w:top w:val="none" w:sz="0" w:space="0" w:color="auto"/>
        <w:left w:val="none" w:sz="0" w:space="0" w:color="auto"/>
        <w:bottom w:val="none" w:sz="0" w:space="0" w:color="auto"/>
        <w:right w:val="none" w:sz="0" w:space="0" w:color="auto"/>
      </w:divBdr>
    </w:div>
    <w:div w:id="1584221231">
      <w:bodyDiv w:val="1"/>
      <w:marLeft w:val="0"/>
      <w:marRight w:val="0"/>
      <w:marTop w:val="0"/>
      <w:marBottom w:val="0"/>
      <w:divBdr>
        <w:top w:val="none" w:sz="0" w:space="0" w:color="auto"/>
        <w:left w:val="none" w:sz="0" w:space="0" w:color="auto"/>
        <w:bottom w:val="none" w:sz="0" w:space="0" w:color="auto"/>
        <w:right w:val="none" w:sz="0" w:space="0" w:color="auto"/>
      </w:divBdr>
    </w:div>
    <w:div w:id="1595744848">
      <w:bodyDiv w:val="1"/>
      <w:marLeft w:val="0"/>
      <w:marRight w:val="0"/>
      <w:marTop w:val="0"/>
      <w:marBottom w:val="0"/>
      <w:divBdr>
        <w:top w:val="none" w:sz="0" w:space="0" w:color="auto"/>
        <w:left w:val="none" w:sz="0" w:space="0" w:color="auto"/>
        <w:bottom w:val="none" w:sz="0" w:space="0" w:color="auto"/>
        <w:right w:val="none" w:sz="0" w:space="0" w:color="auto"/>
      </w:divBdr>
      <w:divsChild>
        <w:div w:id="819227655">
          <w:marLeft w:val="0"/>
          <w:marRight w:val="0"/>
          <w:marTop w:val="0"/>
          <w:marBottom w:val="0"/>
          <w:divBdr>
            <w:top w:val="none" w:sz="0" w:space="0" w:color="auto"/>
            <w:left w:val="none" w:sz="0" w:space="0" w:color="auto"/>
            <w:bottom w:val="none" w:sz="0" w:space="0" w:color="auto"/>
            <w:right w:val="none" w:sz="0" w:space="0" w:color="auto"/>
          </w:divBdr>
          <w:divsChild>
            <w:div w:id="976495069">
              <w:marLeft w:val="0"/>
              <w:marRight w:val="0"/>
              <w:marTop w:val="0"/>
              <w:marBottom w:val="0"/>
              <w:divBdr>
                <w:top w:val="none" w:sz="0" w:space="0" w:color="auto"/>
                <w:left w:val="none" w:sz="0" w:space="0" w:color="auto"/>
                <w:bottom w:val="none" w:sz="0" w:space="0" w:color="auto"/>
                <w:right w:val="none" w:sz="0" w:space="0" w:color="auto"/>
              </w:divBdr>
              <w:divsChild>
                <w:div w:id="50548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400934">
      <w:bodyDiv w:val="1"/>
      <w:marLeft w:val="0"/>
      <w:marRight w:val="0"/>
      <w:marTop w:val="0"/>
      <w:marBottom w:val="0"/>
      <w:divBdr>
        <w:top w:val="none" w:sz="0" w:space="0" w:color="auto"/>
        <w:left w:val="none" w:sz="0" w:space="0" w:color="auto"/>
        <w:bottom w:val="none" w:sz="0" w:space="0" w:color="auto"/>
        <w:right w:val="none" w:sz="0" w:space="0" w:color="auto"/>
      </w:divBdr>
    </w:div>
    <w:div w:id="1602446931">
      <w:bodyDiv w:val="1"/>
      <w:marLeft w:val="0"/>
      <w:marRight w:val="0"/>
      <w:marTop w:val="0"/>
      <w:marBottom w:val="0"/>
      <w:divBdr>
        <w:top w:val="none" w:sz="0" w:space="0" w:color="auto"/>
        <w:left w:val="none" w:sz="0" w:space="0" w:color="auto"/>
        <w:bottom w:val="none" w:sz="0" w:space="0" w:color="auto"/>
        <w:right w:val="none" w:sz="0" w:space="0" w:color="auto"/>
      </w:divBdr>
      <w:divsChild>
        <w:div w:id="386613709">
          <w:marLeft w:val="0"/>
          <w:marRight w:val="0"/>
          <w:marTop w:val="0"/>
          <w:marBottom w:val="0"/>
          <w:divBdr>
            <w:top w:val="none" w:sz="0" w:space="0" w:color="auto"/>
            <w:left w:val="none" w:sz="0" w:space="0" w:color="auto"/>
            <w:bottom w:val="none" w:sz="0" w:space="0" w:color="auto"/>
            <w:right w:val="none" w:sz="0" w:space="0" w:color="auto"/>
          </w:divBdr>
          <w:divsChild>
            <w:div w:id="14113322">
              <w:marLeft w:val="0"/>
              <w:marRight w:val="0"/>
              <w:marTop w:val="0"/>
              <w:marBottom w:val="0"/>
              <w:divBdr>
                <w:top w:val="none" w:sz="0" w:space="0" w:color="auto"/>
                <w:left w:val="none" w:sz="0" w:space="0" w:color="auto"/>
                <w:bottom w:val="none" w:sz="0" w:space="0" w:color="auto"/>
                <w:right w:val="none" w:sz="0" w:space="0" w:color="auto"/>
              </w:divBdr>
              <w:divsChild>
                <w:div w:id="25586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736738">
      <w:bodyDiv w:val="1"/>
      <w:marLeft w:val="0"/>
      <w:marRight w:val="0"/>
      <w:marTop w:val="0"/>
      <w:marBottom w:val="0"/>
      <w:divBdr>
        <w:top w:val="none" w:sz="0" w:space="0" w:color="auto"/>
        <w:left w:val="none" w:sz="0" w:space="0" w:color="auto"/>
        <w:bottom w:val="none" w:sz="0" w:space="0" w:color="auto"/>
        <w:right w:val="none" w:sz="0" w:space="0" w:color="auto"/>
      </w:divBdr>
    </w:div>
    <w:div w:id="1611625395">
      <w:bodyDiv w:val="1"/>
      <w:marLeft w:val="0"/>
      <w:marRight w:val="0"/>
      <w:marTop w:val="0"/>
      <w:marBottom w:val="0"/>
      <w:divBdr>
        <w:top w:val="none" w:sz="0" w:space="0" w:color="auto"/>
        <w:left w:val="none" w:sz="0" w:space="0" w:color="auto"/>
        <w:bottom w:val="none" w:sz="0" w:space="0" w:color="auto"/>
        <w:right w:val="none" w:sz="0" w:space="0" w:color="auto"/>
      </w:divBdr>
    </w:div>
    <w:div w:id="1614051018">
      <w:bodyDiv w:val="1"/>
      <w:marLeft w:val="0"/>
      <w:marRight w:val="0"/>
      <w:marTop w:val="0"/>
      <w:marBottom w:val="0"/>
      <w:divBdr>
        <w:top w:val="none" w:sz="0" w:space="0" w:color="auto"/>
        <w:left w:val="none" w:sz="0" w:space="0" w:color="auto"/>
        <w:bottom w:val="none" w:sz="0" w:space="0" w:color="auto"/>
        <w:right w:val="none" w:sz="0" w:space="0" w:color="auto"/>
      </w:divBdr>
    </w:div>
    <w:div w:id="1615288680">
      <w:bodyDiv w:val="1"/>
      <w:marLeft w:val="0"/>
      <w:marRight w:val="0"/>
      <w:marTop w:val="0"/>
      <w:marBottom w:val="0"/>
      <w:divBdr>
        <w:top w:val="none" w:sz="0" w:space="0" w:color="auto"/>
        <w:left w:val="none" w:sz="0" w:space="0" w:color="auto"/>
        <w:bottom w:val="none" w:sz="0" w:space="0" w:color="auto"/>
        <w:right w:val="none" w:sz="0" w:space="0" w:color="auto"/>
      </w:divBdr>
    </w:div>
    <w:div w:id="1618368937">
      <w:bodyDiv w:val="1"/>
      <w:marLeft w:val="0"/>
      <w:marRight w:val="0"/>
      <w:marTop w:val="0"/>
      <w:marBottom w:val="0"/>
      <w:divBdr>
        <w:top w:val="none" w:sz="0" w:space="0" w:color="auto"/>
        <w:left w:val="none" w:sz="0" w:space="0" w:color="auto"/>
        <w:bottom w:val="none" w:sz="0" w:space="0" w:color="auto"/>
        <w:right w:val="none" w:sz="0" w:space="0" w:color="auto"/>
      </w:divBdr>
    </w:div>
    <w:div w:id="1621642043">
      <w:bodyDiv w:val="1"/>
      <w:marLeft w:val="0"/>
      <w:marRight w:val="0"/>
      <w:marTop w:val="0"/>
      <w:marBottom w:val="0"/>
      <w:divBdr>
        <w:top w:val="none" w:sz="0" w:space="0" w:color="auto"/>
        <w:left w:val="none" w:sz="0" w:space="0" w:color="auto"/>
        <w:bottom w:val="none" w:sz="0" w:space="0" w:color="auto"/>
        <w:right w:val="none" w:sz="0" w:space="0" w:color="auto"/>
      </w:divBdr>
    </w:div>
    <w:div w:id="1643270863">
      <w:bodyDiv w:val="1"/>
      <w:marLeft w:val="0"/>
      <w:marRight w:val="0"/>
      <w:marTop w:val="0"/>
      <w:marBottom w:val="0"/>
      <w:divBdr>
        <w:top w:val="none" w:sz="0" w:space="0" w:color="auto"/>
        <w:left w:val="none" w:sz="0" w:space="0" w:color="auto"/>
        <w:bottom w:val="none" w:sz="0" w:space="0" w:color="auto"/>
        <w:right w:val="none" w:sz="0" w:space="0" w:color="auto"/>
      </w:divBdr>
    </w:div>
    <w:div w:id="1652709067">
      <w:bodyDiv w:val="1"/>
      <w:marLeft w:val="0"/>
      <w:marRight w:val="0"/>
      <w:marTop w:val="0"/>
      <w:marBottom w:val="0"/>
      <w:divBdr>
        <w:top w:val="none" w:sz="0" w:space="0" w:color="auto"/>
        <w:left w:val="none" w:sz="0" w:space="0" w:color="auto"/>
        <w:bottom w:val="none" w:sz="0" w:space="0" w:color="auto"/>
        <w:right w:val="none" w:sz="0" w:space="0" w:color="auto"/>
      </w:divBdr>
    </w:div>
    <w:div w:id="1658847626">
      <w:bodyDiv w:val="1"/>
      <w:marLeft w:val="0"/>
      <w:marRight w:val="0"/>
      <w:marTop w:val="0"/>
      <w:marBottom w:val="0"/>
      <w:divBdr>
        <w:top w:val="none" w:sz="0" w:space="0" w:color="auto"/>
        <w:left w:val="none" w:sz="0" w:space="0" w:color="auto"/>
        <w:bottom w:val="none" w:sz="0" w:space="0" w:color="auto"/>
        <w:right w:val="none" w:sz="0" w:space="0" w:color="auto"/>
      </w:divBdr>
    </w:div>
    <w:div w:id="1664235042">
      <w:bodyDiv w:val="1"/>
      <w:marLeft w:val="0"/>
      <w:marRight w:val="0"/>
      <w:marTop w:val="0"/>
      <w:marBottom w:val="0"/>
      <w:divBdr>
        <w:top w:val="none" w:sz="0" w:space="0" w:color="auto"/>
        <w:left w:val="none" w:sz="0" w:space="0" w:color="auto"/>
        <w:bottom w:val="none" w:sz="0" w:space="0" w:color="auto"/>
        <w:right w:val="none" w:sz="0" w:space="0" w:color="auto"/>
      </w:divBdr>
    </w:div>
    <w:div w:id="1666281530">
      <w:bodyDiv w:val="1"/>
      <w:marLeft w:val="0"/>
      <w:marRight w:val="0"/>
      <w:marTop w:val="0"/>
      <w:marBottom w:val="0"/>
      <w:divBdr>
        <w:top w:val="none" w:sz="0" w:space="0" w:color="auto"/>
        <w:left w:val="none" w:sz="0" w:space="0" w:color="auto"/>
        <w:bottom w:val="none" w:sz="0" w:space="0" w:color="auto"/>
        <w:right w:val="none" w:sz="0" w:space="0" w:color="auto"/>
      </w:divBdr>
    </w:div>
    <w:div w:id="1668635934">
      <w:bodyDiv w:val="1"/>
      <w:marLeft w:val="0"/>
      <w:marRight w:val="0"/>
      <w:marTop w:val="0"/>
      <w:marBottom w:val="0"/>
      <w:divBdr>
        <w:top w:val="none" w:sz="0" w:space="0" w:color="auto"/>
        <w:left w:val="none" w:sz="0" w:space="0" w:color="auto"/>
        <w:bottom w:val="none" w:sz="0" w:space="0" w:color="auto"/>
        <w:right w:val="none" w:sz="0" w:space="0" w:color="auto"/>
      </w:divBdr>
    </w:div>
    <w:div w:id="1688173650">
      <w:bodyDiv w:val="1"/>
      <w:marLeft w:val="0"/>
      <w:marRight w:val="0"/>
      <w:marTop w:val="0"/>
      <w:marBottom w:val="0"/>
      <w:divBdr>
        <w:top w:val="none" w:sz="0" w:space="0" w:color="auto"/>
        <w:left w:val="none" w:sz="0" w:space="0" w:color="auto"/>
        <w:bottom w:val="none" w:sz="0" w:space="0" w:color="auto"/>
        <w:right w:val="none" w:sz="0" w:space="0" w:color="auto"/>
      </w:divBdr>
    </w:div>
    <w:div w:id="1700004559">
      <w:bodyDiv w:val="1"/>
      <w:marLeft w:val="0"/>
      <w:marRight w:val="0"/>
      <w:marTop w:val="0"/>
      <w:marBottom w:val="0"/>
      <w:divBdr>
        <w:top w:val="none" w:sz="0" w:space="0" w:color="auto"/>
        <w:left w:val="none" w:sz="0" w:space="0" w:color="auto"/>
        <w:bottom w:val="none" w:sz="0" w:space="0" w:color="auto"/>
        <w:right w:val="none" w:sz="0" w:space="0" w:color="auto"/>
      </w:divBdr>
    </w:div>
    <w:div w:id="1702323380">
      <w:bodyDiv w:val="1"/>
      <w:marLeft w:val="0"/>
      <w:marRight w:val="0"/>
      <w:marTop w:val="0"/>
      <w:marBottom w:val="0"/>
      <w:divBdr>
        <w:top w:val="none" w:sz="0" w:space="0" w:color="auto"/>
        <w:left w:val="none" w:sz="0" w:space="0" w:color="auto"/>
        <w:bottom w:val="none" w:sz="0" w:space="0" w:color="auto"/>
        <w:right w:val="none" w:sz="0" w:space="0" w:color="auto"/>
      </w:divBdr>
    </w:div>
    <w:div w:id="1708749259">
      <w:bodyDiv w:val="1"/>
      <w:marLeft w:val="0"/>
      <w:marRight w:val="0"/>
      <w:marTop w:val="0"/>
      <w:marBottom w:val="0"/>
      <w:divBdr>
        <w:top w:val="none" w:sz="0" w:space="0" w:color="auto"/>
        <w:left w:val="none" w:sz="0" w:space="0" w:color="auto"/>
        <w:bottom w:val="none" w:sz="0" w:space="0" w:color="auto"/>
        <w:right w:val="none" w:sz="0" w:space="0" w:color="auto"/>
      </w:divBdr>
    </w:div>
    <w:div w:id="1714964653">
      <w:bodyDiv w:val="1"/>
      <w:marLeft w:val="0"/>
      <w:marRight w:val="0"/>
      <w:marTop w:val="0"/>
      <w:marBottom w:val="0"/>
      <w:divBdr>
        <w:top w:val="none" w:sz="0" w:space="0" w:color="auto"/>
        <w:left w:val="none" w:sz="0" w:space="0" w:color="auto"/>
        <w:bottom w:val="none" w:sz="0" w:space="0" w:color="auto"/>
        <w:right w:val="none" w:sz="0" w:space="0" w:color="auto"/>
      </w:divBdr>
    </w:div>
    <w:div w:id="1721973796">
      <w:bodyDiv w:val="1"/>
      <w:marLeft w:val="0"/>
      <w:marRight w:val="0"/>
      <w:marTop w:val="0"/>
      <w:marBottom w:val="0"/>
      <w:divBdr>
        <w:top w:val="none" w:sz="0" w:space="0" w:color="auto"/>
        <w:left w:val="none" w:sz="0" w:space="0" w:color="auto"/>
        <w:bottom w:val="none" w:sz="0" w:space="0" w:color="auto"/>
        <w:right w:val="none" w:sz="0" w:space="0" w:color="auto"/>
      </w:divBdr>
      <w:divsChild>
        <w:div w:id="1349327319">
          <w:marLeft w:val="0"/>
          <w:marRight w:val="0"/>
          <w:marTop w:val="0"/>
          <w:marBottom w:val="0"/>
          <w:divBdr>
            <w:top w:val="none" w:sz="0" w:space="0" w:color="auto"/>
            <w:left w:val="none" w:sz="0" w:space="0" w:color="auto"/>
            <w:bottom w:val="none" w:sz="0" w:space="0" w:color="auto"/>
            <w:right w:val="none" w:sz="0" w:space="0" w:color="auto"/>
          </w:divBdr>
        </w:div>
      </w:divsChild>
    </w:div>
    <w:div w:id="1725332254">
      <w:bodyDiv w:val="1"/>
      <w:marLeft w:val="0"/>
      <w:marRight w:val="0"/>
      <w:marTop w:val="0"/>
      <w:marBottom w:val="0"/>
      <w:divBdr>
        <w:top w:val="none" w:sz="0" w:space="0" w:color="auto"/>
        <w:left w:val="none" w:sz="0" w:space="0" w:color="auto"/>
        <w:bottom w:val="none" w:sz="0" w:space="0" w:color="auto"/>
        <w:right w:val="none" w:sz="0" w:space="0" w:color="auto"/>
      </w:divBdr>
      <w:divsChild>
        <w:div w:id="1192917500">
          <w:marLeft w:val="0"/>
          <w:marRight w:val="0"/>
          <w:marTop w:val="0"/>
          <w:marBottom w:val="0"/>
          <w:divBdr>
            <w:top w:val="none" w:sz="0" w:space="0" w:color="auto"/>
            <w:left w:val="none" w:sz="0" w:space="0" w:color="auto"/>
            <w:bottom w:val="none" w:sz="0" w:space="0" w:color="auto"/>
            <w:right w:val="none" w:sz="0" w:space="0" w:color="auto"/>
          </w:divBdr>
          <w:divsChild>
            <w:div w:id="1646543802">
              <w:marLeft w:val="0"/>
              <w:marRight w:val="0"/>
              <w:marTop w:val="0"/>
              <w:marBottom w:val="0"/>
              <w:divBdr>
                <w:top w:val="none" w:sz="0" w:space="0" w:color="auto"/>
                <w:left w:val="none" w:sz="0" w:space="0" w:color="auto"/>
                <w:bottom w:val="none" w:sz="0" w:space="0" w:color="auto"/>
                <w:right w:val="none" w:sz="0" w:space="0" w:color="auto"/>
              </w:divBdr>
              <w:divsChild>
                <w:div w:id="20278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576249">
      <w:bodyDiv w:val="1"/>
      <w:marLeft w:val="0"/>
      <w:marRight w:val="0"/>
      <w:marTop w:val="0"/>
      <w:marBottom w:val="0"/>
      <w:divBdr>
        <w:top w:val="none" w:sz="0" w:space="0" w:color="auto"/>
        <w:left w:val="none" w:sz="0" w:space="0" w:color="auto"/>
        <w:bottom w:val="none" w:sz="0" w:space="0" w:color="auto"/>
        <w:right w:val="none" w:sz="0" w:space="0" w:color="auto"/>
      </w:divBdr>
    </w:div>
    <w:div w:id="1736196094">
      <w:bodyDiv w:val="1"/>
      <w:marLeft w:val="0"/>
      <w:marRight w:val="0"/>
      <w:marTop w:val="0"/>
      <w:marBottom w:val="0"/>
      <w:divBdr>
        <w:top w:val="none" w:sz="0" w:space="0" w:color="auto"/>
        <w:left w:val="none" w:sz="0" w:space="0" w:color="auto"/>
        <w:bottom w:val="none" w:sz="0" w:space="0" w:color="auto"/>
        <w:right w:val="none" w:sz="0" w:space="0" w:color="auto"/>
      </w:divBdr>
    </w:div>
    <w:div w:id="1738089215">
      <w:bodyDiv w:val="1"/>
      <w:marLeft w:val="0"/>
      <w:marRight w:val="0"/>
      <w:marTop w:val="0"/>
      <w:marBottom w:val="0"/>
      <w:divBdr>
        <w:top w:val="none" w:sz="0" w:space="0" w:color="auto"/>
        <w:left w:val="none" w:sz="0" w:space="0" w:color="auto"/>
        <w:bottom w:val="none" w:sz="0" w:space="0" w:color="auto"/>
        <w:right w:val="none" w:sz="0" w:space="0" w:color="auto"/>
      </w:divBdr>
    </w:div>
    <w:div w:id="1739353771">
      <w:bodyDiv w:val="1"/>
      <w:marLeft w:val="0"/>
      <w:marRight w:val="0"/>
      <w:marTop w:val="0"/>
      <w:marBottom w:val="0"/>
      <w:divBdr>
        <w:top w:val="none" w:sz="0" w:space="0" w:color="auto"/>
        <w:left w:val="none" w:sz="0" w:space="0" w:color="auto"/>
        <w:bottom w:val="none" w:sz="0" w:space="0" w:color="auto"/>
        <w:right w:val="none" w:sz="0" w:space="0" w:color="auto"/>
      </w:divBdr>
    </w:div>
    <w:div w:id="1743260748">
      <w:bodyDiv w:val="1"/>
      <w:marLeft w:val="0"/>
      <w:marRight w:val="0"/>
      <w:marTop w:val="0"/>
      <w:marBottom w:val="0"/>
      <w:divBdr>
        <w:top w:val="none" w:sz="0" w:space="0" w:color="auto"/>
        <w:left w:val="none" w:sz="0" w:space="0" w:color="auto"/>
        <w:bottom w:val="none" w:sz="0" w:space="0" w:color="auto"/>
        <w:right w:val="none" w:sz="0" w:space="0" w:color="auto"/>
      </w:divBdr>
    </w:div>
    <w:div w:id="1759062691">
      <w:bodyDiv w:val="1"/>
      <w:marLeft w:val="0"/>
      <w:marRight w:val="0"/>
      <w:marTop w:val="0"/>
      <w:marBottom w:val="0"/>
      <w:divBdr>
        <w:top w:val="none" w:sz="0" w:space="0" w:color="auto"/>
        <w:left w:val="none" w:sz="0" w:space="0" w:color="auto"/>
        <w:bottom w:val="none" w:sz="0" w:space="0" w:color="auto"/>
        <w:right w:val="none" w:sz="0" w:space="0" w:color="auto"/>
      </w:divBdr>
    </w:div>
    <w:div w:id="1768185405">
      <w:bodyDiv w:val="1"/>
      <w:marLeft w:val="0"/>
      <w:marRight w:val="0"/>
      <w:marTop w:val="0"/>
      <w:marBottom w:val="0"/>
      <w:divBdr>
        <w:top w:val="none" w:sz="0" w:space="0" w:color="auto"/>
        <w:left w:val="none" w:sz="0" w:space="0" w:color="auto"/>
        <w:bottom w:val="none" w:sz="0" w:space="0" w:color="auto"/>
        <w:right w:val="none" w:sz="0" w:space="0" w:color="auto"/>
      </w:divBdr>
    </w:div>
    <w:div w:id="1785152626">
      <w:bodyDiv w:val="1"/>
      <w:marLeft w:val="0"/>
      <w:marRight w:val="0"/>
      <w:marTop w:val="0"/>
      <w:marBottom w:val="0"/>
      <w:divBdr>
        <w:top w:val="none" w:sz="0" w:space="0" w:color="auto"/>
        <w:left w:val="none" w:sz="0" w:space="0" w:color="auto"/>
        <w:bottom w:val="none" w:sz="0" w:space="0" w:color="auto"/>
        <w:right w:val="none" w:sz="0" w:space="0" w:color="auto"/>
      </w:divBdr>
    </w:div>
    <w:div w:id="1802844941">
      <w:bodyDiv w:val="1"/>
      <w:marLeft w:val="0"/>
      <w:marRight w:val="0"/>
      <w:marTop w:val="0"/>
      <w:marBottom w:val="0"/>
      <w:divBdr>
        <w:top w:val="none" w:sz="0" w:space="0" w:color="auto"/>
        <w:left w:val="none" w:sz="0" w:space="0" w:color="auto"/>
        <w:bottom w:val="none" w:sz="0" w:space="0" w:color="auto"/>
        <w:right w:val="none" w:sz="0" w:space="0" w:color="auto"/>
      </w:divBdr>
    </w:div>
    <w:div w:id="1812357322">
      <w:bodyDiv w:val="1"/>
      <w:marLeft w:val="0"/>
      <w:marRight w:val="0"/>
      <w:marTop w:val="0"/>
      <w:marBottom w:val="0"/>
      <w:divBdr>
        <w:top w:val="none" w:sz="0" w:space="0" w:color="auto"/>
        <w:left w:val="none" w:sz="0" w:space="0" w:color="auto"/>
        <w:bottom w:val="none" w:sz="0" w:space="0" w:color="auto"/>
        <w:right w:val="none" w:sz="0" w:space="0" w:color="auto"/>
      </w:divBdr>
    </w:div>
    <w:div w:id="1821341007">
      <w:bodyDiv w:val="1"/>
      <w:marLeft w:val="0"/>
      <w:marRight w:val="0"/>
      <w:marTop w:val="0"/>
      <w:marBottom w:val="0"/>
      <w:divBdr>
        <w:top w:val="none" w:sz="0" w:space="0" w:color="auto"/>
        <w:left w:val="none" w:sz="0" w:space="0" w:color="auto"/>
        <w:bottom w:val="none" w:sz="0" w:space="0" w:color="auto"/>
        <w:right w:val="none" w:sz="0" w:space="0" w:color="auto"/>
      </w:divBdr>
    </w:div>
    <w:div w:id="1831866831">
      <w:bodyDiv w:val="1"/>
      <w:marLeft w:val="0"/>
      <w:marRight w:val="0"/>
      <w:marTop w:val="0"/>
      <w:marBottom w:val="0"/>
      <w:divBdr>
        <w:top w:val="none" w:sz="0" w:space="0" w:color="auto"/>
        <w:left w:val="none" w:sz="0" w:space="0" w:color="auto"/>
        <w:bottom w:val="none" w:sz="0" w:space="0" w:color="auto"/>
        <w:right w:val="none" w:sz="0" w:space="0" w:color="auto"/>
      </w:divBdr>
    </w:div>
    <w:div w:id="1834442629">
      <w:bodyDiv w:val="1"/>
      <w:marLeft w:val="0"/>
      <w:marRight w:val="0"/>
      <w:marTop w:val="0"/>
      <w:marBottom w:val="0"/>
      <w:divBdr>
        <w:top w:val="none" w:sz="0" w:space="0" w:color="auto"/>
        <w:left w:val="none" w:sz="0" w:space="0" w:color="auto"/>
        <w:bottom w:val="none" w:sz="0" w:space="0" w:color="auto"/>
        <w:right w:val="none" w:sz="0" w:space="0" w:color="auto"/>
      </w:divBdr>
    </w:div>
    <w:div w:id="1857689982">
      <w:bodyDiv w:val="1"/>
      <w:marLeft w:val="0"/>
      <w:marRight w:val="0"/>
      <w:marTop w:val="0"/>
      <w:marBottom w:val="0"/>
      <w:divBdr>
        <w:top w:val="none" w:sz="0" w:space="0" w:color="auto"/>
        <w:left w:val="none" w:sz="0" w:space="0" w:color="auto"/>
        <w:bottom w:val="none" w:sz="0" w:space="0" w:color="auto"/>
        <w:right w:val="none" w:sz="0" w:space="0" w:color="auto"/>
      </w:divBdr>
    </w:div>
    <w:div w:id="1858688630">
      <w:bodyDiv w:val="1"/>
      <w:marLeft w:val="0"/>
      <w:marRight w:val="0"/>
      <w:marTop w:val="0"/>
      <w:marBottom w:val="0"/>
      <w:divBdr>
        <w:top w:val="none" w:sz="0" w:space="0" w:color="auto"/>
        <w:left w:val="none" w:sz="0" w:space="0" w:color="auto"/>
        <w:bottom w:val="none" w:sz="0" w:space="0" w:color="auto"/>
        <w:right w:val="none" w:sz="0" w:space="0" w:color="auto"/>
      </w:divBdr>
    </w:div>
    <w:div w:id="1885480810">
      <w:bodyDiv w:val="1"/>
      <w:marLeft w:val="0"/>
      <w:marRight w:val="0"/>
      <w:marTop w:val="0"/>
      <w:marBottom w:val="0"/>
      <w:divBdr>
        <w:top w:val="none" w:sz="0" w:space="0" w:color="auto"/>
        <w:left w:val="none" w:sz="0" w:space="0" w:color="auto"/>
        <w:bottom w:val="none" w:sz="0" w:space="0" w:color="auto"/>
        <w:right w:val="none" w:sz="0" w:space="0" w:color="auto"/>
      </w:divBdr>
    </w:div>
    <w:div w:id="1894265773">
      <w:bodyDiv w:val="1"/>
      <w:marLeft w:val="0"/>
      <w:marRight w:val="0"/>
      <w:marTop w:val="0"/>
      <w:marBottom w:val="0"/>
      <w:divBdr>
        <w:top w:val="none" w:sz="0" w:space="0" w:color="auto"/>
        <w:left w:val="none" w:sz="0" w:space="0" w:color="auto"/>
        <w:bottom w:val="none" w:sz="0" w:space="0" w:color="auto"/>
        <w:right w:val="none" w:sz="0" w:space="0" w:color="auto"/>
      </w:divBdr>
      <w:divsChild>
        <w:div w:id="747268803">
          <w:marLeft w:val="0"/>
          <w:marRight w:val="0"/>
          <w:marTop w:val="0"/>
          <w:marBottom w:val="0"/>
          <w:divBdr>
            <w:top w:val="none" w:sz="0" w:space="0" w:color="auto"/>
            <w:left w:val="none" w:sz="0" w:space="0" w:color="auto"/>
            <w:bottom w:val="none" w:sz="0" w:space="0" w:color="auto"/>
            <w:right w:val="none" w:sz="0" w:space="0" w:color="auto"/>
          </w:divBdr>
          <w:divsChild>
            <w:div w:id="158280548">
              <w:marLeft w:val="0"/>
              <w:marRight w:val="0"/>
              <w:marTop w:val="0"/>
              <w:marBottom w:val="0"/>
              <w:divBdr>
                <w:top w:val="none" w:sz="0" w:space="0" w:color="auto"/>
                <w:left w:val="none" w:sz="0" w:space="0" w:color="auto"/>
                <w:bottom w:val="none" w:sz="0" w:space="0" w:color="auto"/>
                <w:right w:val="none" w:sz="0" w:space="0" w:color="auto"/>
              </w:divBdr>
              <w:divsChild>
                <w:div w:id="187526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223972">
      <w:bodyDiv w:val="1"/>
      <w:marLeft w:val="0"/>
      <w:marRight w:val="0"/>
      <w:marTop w:val="0"/>
      <w:marBottom w:val="0"/>
      <w:divBdr>
        <w:top w:val="none" w:sz="0" w:space="0" w:color="auto"/>
        <w:left w:val="none" w:sz="0" w:space="0" w:color="auto"/>
        <w:bottom w:val="none" w:sz="0" w:space="0" w:color="auto"/>
        <w:right w:val="none" w:sz="0" w:space="0" w:color="auto"/>
      </w:divBdr>
    </w:div>
    <w:div w:id="1933123781">
      <w:bodyDiv w:val="1"/>
      <w:marLeft w:val="0"/>
      <w:marRight w:val="0"/>
      <w:marTop w:val="0"/>
      <w:marBottom w:val="0"/>
      <w:divBdr>
        <w:top w:val="none" w:sz="0" w:space="0" w:color="auto"/>
        <w:left w:val="none" w:sz="0" w:space="0" w:color="auto"/>
        <w:bottom w:val="none" w:sz="0" w:space="0" w:color="auto"/>
        <w:right w:val="none" w:sz="0" w:space="0" w:color="auto"/>
      </w:divBdr>
    </w:div>
    <w:div w:id="1937865865">
      <w:bodyDiv w:val="1"/>
      <w:marLeft w:val="0"/>
      <w:marRight w:val="0"/>
      <w:marTop w:val="0"/>
      <w:marBottom w:val="0"/>
      <w:divBdr>
        <w:top w:val="none" w:sz="0" w:space="0" w:color="auto"/>
        <w:left w:val="none" w:sz="0" w:space="0" w:color="auto"/>
        <w:bottom w:val="none" w:sz="0" w:space="0" w:color="auto"/>
        <w:right w:val="none" w:sz="0" w:space="0" w:color="auto"/>
      </w:divBdr>
    </w:div>
    <w:div w:id="1947421230">
      <w:bodyDiv w:val="1"/>
      <w:marLeft w:val="0"/>
      <w:marRight w:val="0"/>
      <w:marTop w:val="0"/>
      <w:marBottom w:val="0"/>
      <w:divBdr>
        <w:top w:val="none" w:sz="0" w:space="0" w:color="auto"/>
        <w:left w:val="none" w:sz="0" w:space="0" w:color="auto"/>
        <w:bottom w:val="none" w:sz="0" w:space="0" w:color="auto"/>
        <w:right w:val="none" w:sz="0" w:space="0" w:color="auto"/>
      </w:divBdr>
    </w:div>
    <w:div w:id="1949002957">
      <w:bodyDiv w:val="1"/>
      <w:marLeft w:val="0"/>
      <w:marRight w:val="0"/>
      <w:marTop w:val="0"/>
      <w:marBottom w:val="0"/>
      <w:divBdr>
        <w:top w:val="none" w:sz="0" w:space="0" w:color="auto"/>
        <w:left w:val="none" w:sz="0" w:space="0" w:color="auto"/>
        <w:bottom w:val="none" w:sz="0" w:space="0" w:color="auto"/>
        <w:right w:val="none" w:sz="0" w:space="0" w:color="auto"/>
      </w:divBdr>
    </w:div>
    <w:div w:id="1954046413">
      <w:bodyDiv w:val="1"/>
      <w:marLeft w:val="0"/>
      <w:marRight w:val="0"/>
      <w:marTop w:val="0"/>
      <w:marBottom w:val="0"/>
      <w:divBdr>
        <w:top w:val="none" w:sz="0" w:space="0" w:color="auto"/>
        <w:left w:val="none" w:sz="0" w:space="0" w:color="auto"/>
        <w:bottom w:val="none" w:sz="0" w:space="0" w:color="auto"/>
        <w:right w:val="none" w:sz="0" w:space="0" w:color="auto"/>
      </w:divBdr>
    </w:div>
    <w:div w:id="1959335641">
      <w:bodyDiv w:val="1"/>
      <w:marLeft w:val="0"/>
      <w:marRight w:val="0"/>
      <w:marTop w:val="0"/>
      <w:marBottom w:val="0"/>
      <w:divBdr>
        <w:top w:val="none" w:sz="0" w:space="0" w:color="auto"/>
        <w:left w:val="none" w:sz="0" w:space="0" w:color="auto"/>
        <w:bottom w:val="none" w:sz="0" w:space="0" w:color="auto"/>
        <w:right w:val="none" w:sz="0" w:space="0" w:color="auto"/>
      </w:divBdr>
      <w:divsChild>
        <w:div w:id="58407206">
          <w:marLeft w:val="0"/>
          <w:marRight w:val="0"/>
          <w:marTop w:val="0"/>
          <w:marBottom w:val="0"/>
          <w:divBdr>
            <w:top w:val="none" w:sz="0" w:space="0" w:color="auto"/>
            <w:left w:val="none" w:sz="0" w:space="0" w:color="auto"/>
            <w:bottom w:val="none" w:sz="0" w:space="0" w:color="auto"/>
            <w:right w:val="none" w:sz="0" w:space="0" w:color="auto"/>
          </w:divBdr>
          <w:divsChild>
            <w:div w:id="700477114">
              <w:marLeft w:val="0"/>
              <w:marRight w:val="0"/>
              <w:marTop w:val="0"/>
              <w:marBottom w:val="0"/>
              <w:divBdr>
                <w:top w:val="none" w:sz="0" w:space="0" w:color="auto"/>
                <w:left w:val="none" w:sz="0" w:space="0" w:color="auto"/>
                <w:bottom w:val="none" w:sz="0" w:space="0" w:color="auto"/>
                <w:right w:val="none" w:sz="0" w:space="0" w:color="auto"/>
              </w:divBdr>
              <w:divsChild>
                <w:div w:id="196754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411521">
      <w:bodyDiv w:val="1"/>
      <w:marLeft w:val="0"/>
      <w:marRight w:val="0"/>
      <w:marTop w:val="0"/>
      <w:marBottom w:val="0"/>
      <w:divBdr>
        <w:top w:val="none" w:sz="0" w:space="0" w:color="auto"/>
        <w:left w:val="none" w:sz="0" w:space="0" w:color="auto"/>
        <w:bottom w:val="none" w:sz="0" w:space="0" w:color="auto"/>
        <w:right w:val="none" w:sz="0" w:space="0" w:color="auto"/>
      </w:divBdr>
    </w:div>
    <w:div w:id="1965309613">
      <w:bodyDiv w:val="1"/>
      <w:marLeft w:val="0"/>
      <w:marRight w:val="0"/>
      <w:marTop w:val="0"/>
      <w:marBottom w:val="0"/>
      <w:divBdr>
        <w:top w:val="none" w:sz="0" w:space="0" w:color="auto"/>
        <w:left w:val="none" w:sz="0" w:space="0" w:color="auto"/>
        <w:bottom w:val="none" w:sz="0" w:space="0" w:color="auto"/>
        <w:right w:val="none" w:sz="0" w:space="0" w:color="auto"/>
      </w:divBdr>
      <w:divsChild>
        <w:div w:id="1341814211">
          <w:marLeft w:val="0"/>
          <w:marRight w:val="0"/>
          <w:marTop w:val="0"/>
          <w:marBottom w:val="0"/>
          <w:divBdr>
            <w:top w:val="none" w:sz="0" w:space="0" w:color="auto"/>
            <w:left w:val="none" w:sz="0" w:space="0" w:color="auto"/>
            <w:bottom w:val="none" w:sz="0" w:space="0" w:color="auto"/>
            <w:right w:val="none" w:sz="0" w:space="0" w:color="auto"/>
          </w:divBdr>
          <w:divsChild>
            <w:div w:id="791557766">
              <w:marLeft w:val="0"/>
              <w:marRight w:val="0"/>
              <w:marTop w:val="0"/>
              <w:marBottom w:val="0"/>
              <w:divBdr>
                <w:top w:val="none" w:sz="0" w:space="0" w:color="auto"/>
                <w:left w:val="none" w:sz="0" w:space="0" w:color="auto"/>
                <w:bottom w:val="none" w:sz="0" w:space="0" w:color="auto"/>
                <w:right w:val="none" w:sz="0" w:space="0" w:color="auto"/>
              </w:divBdr>
              <w:divsChild>
                <w:div w:id="24086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237267">
      <w:bodyDiv w:val="1"/>
      <w:marLeft w:val="0"/>
      <w:marRight w:val="0"/>
      <w:marTop w:val="0"/>
      <w:marBottom w:val="0"/>
      <w:divBdr>
        <w:top w:val="none" w:sz="0" w:space="0" w:color="auto"/>
        <w:left w:val="none" w:sz="0" w:space="0" w:color="auto"/>
        <w:bottom w:val="none" w:sz="0" w:space="0" w:color="auto"/>
        <w:right w:val="none" w:sz="0" w:space="0" w:color="auto"/>
      </w:divBdr>
    </w:div>
    <w:div w:id="1990287914">
      <w:bodyDiv w:val="1"/>
      <w:marLeft w:val="0"/>
      <w:marRight w:val="0"/>
      <w:marTop w:val="0"/>
      <w:marBottom w:val="0"/>
      <w:divBdr>
        <w:top w:val="none" w:sz="0" w:space="0" w:color="auto"/>
        <w:left w:val="none" w:sz="0" w:space="0" w:color="auto"/>
        <w:bottom w:val="none" w:sz="0" w:space="0" w:color="auto"/>
        <w:right w:val="none" w:sz="0" w:space="0" w:color="auto"/>
      </w:divBdr>
    </w:div>
    <w:div w:id="1992513702">
      <w:bodyDiv w:val="1"/>
      <w:marLeft w:val="0"/>
      <w:marRight w:val="0"/>
      <w:marTop w:val="0"/>
      <w:marBottom w:val="0"/>
      <w:divBdr>
        <w:top w:val="none" w:sz="0" w:space="0" w:color="auto"/>
        <w:left w:val="none" w:sz="0" w:space="0" w:color="auto"/>
        <w:bottom w:val="none" w:sz="0" w:space="0" w:color="auto"/>
        <w:right w:val="none" w:sz="0" w:space="0" w:color="auto"/>
      </w:divBdr>
    </w:div>
    <w:div w:id="2006476229">
      <w:bodyDiv w:val="1"/>
      <w:marLeft w:val="0"/>
      <w:marRight w:val="0"/>
      <w:marTop w:val="0"/>
      <w:marBottom w:val="0"/>
      <w:divBdr>
        <w:top w:val="none" w:sz="0" w:space="0" w:color="auto"/>
        <w:left w:val="none" w:sz="0" w:space="0" w:color="auto"/>
        <w:bottom w:val="none" w:sz="0" w:space="0" w:color="auto"/>
        <w:right w:val="none" w:sz="0" w:space="0" w:color="auto"/>
      </w:divBdr>
      <w:divsChild>
        <w:div w:id="1486892432">
          <w:marLeft w:val="0"/>
          <w:marRight w:val="0"/>
          <w:marTop w:val="0"/>
          <w:marBottom w:val="0"/>
          <w:divBdr>
            <w:top w:val="none" w:sz="0" w:space="0" w:color="auto"/>
            <w:left w:val="none" w:sz="0" w:space="0" w:color="auto"/>
            <w:bottom w:val="none" w:sz="0" w:space="0" w:color="auto"/>
            <w:right w:val="none" w:sz="0" w:space="0" w:color="auto"/>
          </w:divBdr>
        </w:div>
      </w:divsChild>
    </w:div>
    <w:div w:id="2008291315">
      <w:bodyDiv w:val="1"/>
      <w:marLeft w:val="0"/>
      <w:marRight w:val="0"/>
      <w:marTop w:val="0"/>
      <w:marBottom w:val="0"/>
      <w:divBdr>
        <w:top w:val="none" w:sz="0" w:space="0" w:color="auto"/>
        <w:left w:val="none" w:sz="0" w:space="0" w:color="auto"/>
        <w:bottom w:val="none" w:sz="0" w:space="0" w:color="auto"/>
        <w:right w:val="none" w:sz="0" w:space="0" w:color="auto"/>
      </w:divBdr>
    </w:div>
    <w:div w:id="2016498448">
      <w:bodyDiv w:val="1"/>
      <w:marLeft w:val="0"/>
      <w:marRight w:val="0"/>
      <w:marTop w:val="0"/>
      <w:marBottom w:val="0"/>
      <w:divBdr>
        <w:top w:val="none" w:sz="0" w:space="0" w:color="auto"/>
        <w:left w:val="none" w:sz="0" w:space="0" w:color="auto"/>
        <w:bottom w:val="none" w:sz="0" w:space="0" w:color="auto"/>
        <w:right w:val="none" w:sz="0" w:space="0" w:color="auto"/>
      </w:divBdr>
    </w:div>
    <w:div w:id="2022122075">
      <w:bodyDiv w:val="1"/>
      <w:marLeft w:val="0"/>
      <w:marRight w:val="0"/>
      <w:marTop w:val="0"/>
      <w:marBottom w:val="0"/>
      <w:divBdr>
        <w:top w:val="none" w:sz="0" w:space="0" w:color="auto"/>
        <w:left w:val="none" w:sz="0" w:space="0" w:color="auto"/>
        <w:bottom w:val="none" w:sz="0" w:space="0" w:color="auto"/>
        <w:right w:val="none" w:sz="0" w:space="0" w:color="auto"/>
      </w:divBdr>
    </w:div>
    <w:div w:id="2030719665">
      <w:bodyDiv w:val="1"/>
      <w:marLeft w:val="0"/>
      <w:marRight w:val="0"/>
      <w:marTop w:val="0"/>
      <w:marBottom w:val="0"/>
      <w:divBdr>
        <w:top w:val="none" w:sz="0" w:space="0" w:color="auto"/>
        <w:left w:val="none" w:sz="0" w:space="0" w:color="auto"/>
        <w:bottom w:val="none" w:sz="0" w:space="0" w:color="auto"/>
        <w:right w:val="none" w:sz="0" w:space="0" w:color="auto"/>
      </w:divBdr>
      <w:divsChild>
        <w:div w:id="825588931">
          <w:marLeft w:val="0"/>
          <w:marRight w:val="0"/>
          <w:marTop w:val="0"/>
          <w:marBottom w:val="0"/>
          <w:divBdr>
            <w:top w:val="none" w:sz="0" w:space="0" w:color="auto"/>
            <w:left w:val="none" w:sz="0" w:space="0" w:color="auto"/>
            <w:bottom w:val="none" w:sz="0" w:space="0" w:color="auto"/>
            <w:right w:val="none" w:sz="0" w:space="0" w:color="auto"/>
          </w:divBdr>
          <w:divsChild>
            <w:div w:id="1945379407">
              <w:marLeft w:val="0"/>
              <w:marRight w:val="0"/>
              <w:marTop w:val="0"/>
              <w:marBottom w:val="0"/>
              <w:divBdr>
                <w:top w:val="none" w:sz="0" w:space="0" w:color="auto"/>
                <w:left w:val="none" w:sz="0" w:space="0" w:color="auto"/>
                <w:bottom w:val="none" w:sz="0" w:space="0" w:color="auto"/>
                <w:right w:val="none" w:sz="0" w:space="0" w:color="auto"/>
              </w:divBdr>
              <w:divsChild>
                <w:div w:id="6707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240546">
      <w:bodyDiv w:val="1"/>
      <w:marLeft w:val="0"/>
      <w:marRight w:val="0"/>
      <w:marTop w:val="0"/>
      <w:marBottom w:val="0"/>
      <w:divBdr>
        <w:top w:val="none" w:sz="0" w:space="0" w:color="auto"/>
        <w:left w:val="none" w:sz="0" w:space="0" w:color="auto"/>
        <w:bottom w:val="none" w:sz="0" w:space="0" w:color="auto"/>
        <w:right w:val="none" w:sz="0" w:space="0" w:color="auto"/>
      </w:divBdr>
    </w:div>
    <w:div w:id="2056393429">
      <w:bodyDiv w:val="1"/>
      <w:marLeft w:val="0"/>
      <w:marRight w:val="0"/>
      <w:marTop w:val="0"/>
      <w:marBottom w:val="0"/>
      <w:divBdr>
        <w:top w:val="none" w:sz="0" w:space="0" w:color="auto"/>
        <w:left w:val="none" w:sz="0" w:space="0" w:color="auto"/>
        <w:bottom w:val="none" w:sz="0" w:space="0" w:color="auto"/>
        <w:right w:val="none" w:sz="0" w:space="0" w:color="auto"/>
      </w:divBdr>
    </w:div>
    <w:div w:id="2058241684">
      <w:bodyDiv w:val="1"/>
      <w:marLeft w:val="0"/>
      <w:marRight w:val="0"/>
      <w:marTop w:val="0"/>
      <w:marBottom w:val="0"/>
      <w:divBdr>
        <w:top w:val="none" w:sz="0" w:space="0" w:color="auto"/>
        <w:left w:val="none" w:sz="0" w:space="0" w:color="auto"/>
        <w:bottom w:val="none" w:sz="0" w:space="0" w:color="auto"/>
        <w:right w:val="none" w:sz="0" w:space="0" w:color="auto"/>
      </w:divBdr>
    </w:div>
    <w:div w:id="2091348757">
      <w:bodyDiv w:val="1"/>
      <w:marLeft w:val="0"/>
      <w:marRight w:val="0"/>
      <w:marTop w:val="0"/>
      <w:marBottom w:val="0"/>
      <w:divBdr>
        <w:top w:val="none" w:sz="0" w:space="0" w:color="auto"/>
        <w:left w:val="none" w:sz="0" w:space="0" w:color="auto"/>
        <w:bottom w:val="none" w:sz="0" w:space="0" w:color="auto"/>
        <w:right w:val="none" w:sz="0" w:space="0" w:color="auto"/>
      </w:divBdr>
    </w:div>
    <w:div w:id="2104453018">
      <w:bodyDiv w:val="1"/>
      <w:marLeft w:val="0"/>
      <w:marRight w:val="0"/>
      <w:marTop w:val="0"/>
      <w:marBottom w:val="0"/>
      <w:divBdr>
        <w:top w:val="none" w:sz="0" w:space="0" w:color="auto"/>
        <w:left w:val="none" w:sz="0" w:space="0" w:color="auto"/>
        <w:bottom w:val="none" w:sz="0" w:space="0" w:color="auto"/>
        <w:right w:val="none" w:sz="0" w:space="0" w:color="auto"/>
      </w:divBdr>
    </w:div>
    <w:div w:id="2115468267">
      <w:bodyDiv w:val="1"/>
      <w:marLeft w:val="0"/>
      <w:marRight w:val="0"/>
      <w:marTop w:val="0"/>
      <w:marBottom w:val="0"/>
      <w:divBdr>
        <w:top w:val="none" w:sz="0" w:space="0" w:color="auto"/>
        <w:left w:val="none" w:sz="0" w:space="0" w:color="auto"/>
        <w:bottom w:val="none" w:sz="0" w:space="0" w:color="auto"/>
        <w:right w:val="none" w:sz="0" w:space="0" w:color="auto"/>
      </w:divBdr>
    </w:div>
    <w:div w:id="2124104675">
      <w:bodyDiv w:val="1"/>
      <w:marLeft w:val="0"/>
      <w:marRight w:val="0"/>
      <w:marTop w:val="0"/>
      <w:marBottom w:val="0"/>
      <w:divBdr>
        <w:top w:val="none" w:sz="0" w:space="0" w:color="auto"/>
        <w:left w:val="none" w:sz="0" w:space="0" w:color="auto"/>
        <w:bottom w:val="none" w:sz="0" w:space="0" w:color="auto"/>
        <w:right w:val="none" w:sz="0" w:space="0" w:color="auto"/>
      </w:divBdr>
      <w:divsChild>
        <w:div w:id="1827743289">
          <w:marLeft w:val="0"/>
          <w:marRight w:val="0"/>
          <w:marTop w:val="0"/>
          <w:marBottom w:val="0"/>
          <w:divBdr>
            <w:top w:val="none" w:sz="0" w:space="0" w:color="auto"/>
            <w:left w:val="none" w:sz="0" w:space="0" w:color="auto"/>
            <w:bottom w:val="none" w:sz="0" w:space="0" w:color="auto"/>
            <w:right w:val="none" w:sz="0" w:space="0" w:color="auto"/>
          </w:divBdr>
          <w:divsChild>
            <w:div w:id="1174103283">
              <w:marLeft w:val="0"/>
              <w:marRight w:val="0"/>
              <w:marTop w:val="0"/>
              <w:marBottom w:val="0"/>
              <w:divBdr>
                <w:top w:val="none" w:sz="0" w:space="0" w:color="auto"/>
                <w:left w:val="none" w:sz="0" w:space="0" w:color="auto"/>
                <w:bottom w:val="none" w:sz="0" w:space="0" w:color="auto"/>
                <w:right w:val="none" w:sz="0" w:space="0" w:color="auto"/>
              </w:divBdr>
              <w:divsChild>
                <w:div w:id="147452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459215">
      <w:bodyDiv w:val="1"/>
      <w:marLeft w:val="0"/>
      <w:marRight w:val="0"/>
      <w:marTop w:val="0"/>
      <w:marBottom w:val="0"/>
      <w:divBdr>
        <w:top w:val="none" w:sz="0" w:space="0" w:color="auto"/>
        <w:left w:val="none" w:sz="0" w:space="0" w:color="auto"/>
        <w:bottom w:val="none" w:sz="0" w:space="0" w:color="auto"/>
        <w:right w:val="none" w:sz="0" w:space="0" w:color="auto"/>
      </w:divBdr>
    </w:div>
    <w:div w:id="21399489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42" Type="http://schemas.openxmlformats.org/officeDocument/2006/relationships/image" Target="media/image25.png"/><Relationship Id="rId47" Type="http://schemas.openxmlformats.org/officeDocument/2006/relationships/image" Target="media/image30.jpeg"/><Relationship Id="rId63" Type="http://schemas.openxmlformats.org/officeDocument/2006/relationships/image" Target="media/image46.png"/><Relationship Id="rId68" Type="http://schemas.openxmlformats.org/officeDocument/2006/relationships/image" Target="media/image51.png"/><Relationship Id="rId84" Type="http://schemas.openxmlformats.org/officeDocument/2006/relationships/image" Target="media/image67.jpeg"/><Relationship Id="rId89" Type="http://schemas.openxmlformats.org/officeDocument/2006/relationships/image" Target="media/image72.png"/><Relationship Id="rId16" Type="http://schemas.openxmlformats.org/officeDocument/2006/relationships/hyperlink" Target="https://doi.org/10.3390/life13071441" TargetMode="External"/><Relationship Id="rId11" Type="http://schemas.openxmlformats.org/officeDocument/2006/relationships/hyperlink" Target="https://doi.org/10.3390/life14060751" TargetMode="External"/><Relationship Id="rId32" Type="http://schemas.openxmlformats.org/officeDocument/2006/relationships/image" Target="media/image16.png"/><Relationship Id="rId37" Type="http://schemas.openxmlformats.org/officeDocument/2006/relationships/image" Target="media/image20.png"/><Relationship Id="rId53" Type="http://schemas.openxmlformats.org/officeDocument/2006/relationships/image" Target="media/image36.jpeg"/><Relationship Id="rId58" Type="http://schemas.openxmlformats.org/officeDocument/2006/relationships/image" Target="media/image41.jpeg"/><Relationship Id="rId74" Type="http://schemas.openxmlformats.org/officeDocument/2006/relationships/image" Target="media/image57.png"/><Relationship Id="rId79" Type="http://schemas.openxmlformats.org/officeDocument/2006/relationships/image" Target="media/image62.jpeg"/><Relationship Id="rId5" Type="http://schemas.openxmlformats.org/officeDocument/2006/relationships/webSettings" Target="webSettings.xml"/><Relationship Id="rId90" Type="http://schemas.openxmlformats.org/officeDocument/2006/relationships/image" Target="media/image73.png"/><Relationship Id="rId95" Type="http://schemas.openxmlformats.org/officeDocument/2006/relationships/footer" Target="footer1.xml"/><Relationship Id="rId22" Type="http://schemas.openxmlformats.org/officeDocument/2006/relationships/image" Target="media/image6.png"/><Relationship Id="rId27" Type="http://schemas.openxmlformats.org/officeDocument/2006/relationships/image" Target="media/image11.png"/><Relationship Id="rId43" Type="http://schemas.openxmlformats.org/officeDocument/2006/relationships/image" Target="media/image26.png"/><Relationship Id="rId48" Type="http://schemas.openxmlformats.org/officeDocument/2006/relationships/image" Target="media/image31.jpeg"/><Relationship Id="rId64" Type="http://schemas.openxmlformats.org/officeDocument/2006/relationships/image" Target="media/image47.png"/><Relationship Id="rId69" Type="http://schemas.openxmlformats.org/officeDocument/2006/relationships/image" Target="media/image52.png"/><Relationship Id="rId80" Type="http://schemas.openxmlformats.org/officeDocument/2006/relationships/image" Target="media/image63.png"/><Relationship Id="rId85" Type="http://schemas.openxmlformats.org/officeDocument/2006/relationships/image" Target="media/image68.jpeg"/><Relationship Id="rId3" Type="http://schemas.openxmlformats.org/officeDocument/2006/relationships/styles" Target="styles.xml"/><Relationship Id="rId12" Type="http://schemas.openxmlformats.org/officeDocument/2006/relationships/hyperlink" Target="https://doi.org/10.3390/jimaging11020059" TargetMode="External"/><Relationship Id="rId17" Type="http://schemas.openxmlformats.org/officeDocument/2006/relationships/hyperlink" Target="https://doi.org/10.3390/cancers16193323" TargetMode="Externa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image" Target="media/image29.jpeg"/><Relationship Id="rId59" Type="http://schemas.openxmlformats.org/officeDocument/2006/relationships/image" Target="media/image42.jpeg"/><Relationship Id="rId67" Type="http://schemas.openxmlformats.org/officeDocument/2006/relationships/image" Target="media/image50.png"/><Relationship Id="rId20" Type="http://schemas.openxmlformats.org/officeDocument/2006/relationships/image" Target="media/image4.png"/><Relationship Id="rId41" Type="http://schemas.openxmlformats.org/officeDocument/2006/relationships/image" Target="media/image24.png"/><Relationship Id="rId54" Type="http://schemas.openxmlformats.org/officeDocument/2006/relationships/image" Target="media/image37.jpeg"/><Relationship Id="rId62" Type="http://schemas.openxmlformats.org/officeDocument/2006/relationships/image" Target="media/image45.png"/><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png"/><Relationship Id="rId88" Type="http://schemas.openxmlformats.org/officeDocument/2006/relationships/image" Target="media/image71.png"/><Relationship Id="rId91" Type="http://schemas.openxmlformats.org/officeDocument/2006/relationships/image" Target="media/image74.png"/><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3390/diagnostics13071210"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image" Target="media/image32.jpeg"/><Relationship Id="rId57" Type="http://schemas.openxmlformats.org/officeDocument/2006/relationships/image" Target="media/image40.jpeg"/><Relationship Id="rId10" Type="http://schemas.openxmlformats.org/officeDocument/2006/relationships/hyperlink" Target="https://doi.org/10.3390/ph17010126" TargetMode="External"/><Relationship Id="rId31" Type="http://schemas.openxmlformats.org/officeDocument/2006/relationships/image" Target="media/image15.png"/><Relationship Id="rId44" Type="http://schemas.openxmlformats.org/officeDocument/2006/relationships/image" Target="media/image27.png"/><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image" Target="media/image48.png"/><Relationship Id="rId73" Type="http://schemas.openxmlformats.org/officeDocument/2006/relationships/image" Target="media/image56.png"/><Relationship Id="rId78" Type="http://schemas.openxmlformats.org/officeDocument/2006/relationships/image" Target="media/image61.jpe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header" Target="header2.xm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3390/life13020361" TargetMode="External"/><Relationship Id="rId13" Type="http://schemas.openxmlformats.org/officeDocument/2006/relationships/hyperlink" Target="https://doi.org/10.1007/978-3-031-51026-7_8" TargetMode="External"/><Relationship Id="rId18" Type="http://schemas.openxmlformats.org/officeDocument/2006/relationships/image" Target="media/image2.png"/><Relationship Id="rId39" Type="http://schemas.openxmlformats.org/officeDocument/2006/relationships/image" Target="media/image22.png"/><Relationship Id="rId34" Type="http://schemas.openxmlformats.org/officeDocument/2006/relationships/hyperlink" Target="https://slicer.org/" TargetMode="External"/><Relationship Id="rId50" Type="http://schemas.openxmlformats.org/officeDocument/2006/relationships/image" Target="media/image33.png"/><Relationship Id="rId55" Type="http://schemas.openxmlformats.org/officeDocument/2006/relationships/image" Target="media/image38.jpeg"/><Relationship Id="rId76" Type="http://schemas.openxmlformats.org/officeDocument/2006/relationships/image" Target="media/image59.png"/><Relationship Id="rId97"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image" Target="media/image75.png"/><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3.pn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61" Type="http://schemas.openxmlformats.org/officeDocument/2006/relationships/image" Target="media/image44.jpg"/><Relationship Id="rId82" Type="http://schemas.openxmlformats.org/officeDocument/2006/relationships/image" Target="media/image65.png"/><Relationship Id="rId19" Type="http://schemas.openxmlformats.org/officeDocument/2006/relationships/image" Target="media/image3.png"/><Relationship Id="rId14" Type="http://schemas.openxmlformats.org/officeDocument/2006/relationships/hyperlink" Target="https://doi.org/10.1007/978-3-031-51026-7_9" TargetMode="External"/><Relationship Id="rId30" Type="http://schemas.openxmlformats.org/officeDocument/2006/relationships/image" Target="media/image14.png"/><Relationship Id="rId35" Type="http://schemas.openxmlformats.org/officeDocument/2006/relationships/image" Target="media/image18.jpeg"/><Relationship Id="rId56" Type="http://schemas.openxmlformats.org/officeDocument/2006/relationships/image" Target="media/image39.jpeg"/><Relationship Id="rId77" Type="http://schemas.openxmlformats.org/officeDocument/2006/relationships/image" Target="media/image60.pn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header" Target="header1.xml"/><Relationship Id="rId98"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76.png"/></Relationships>
</file>

<file path=word/_rels/header2.xml.rels><?xml version="1.0" encoding="UTF-8" standalone="yes"?>
<Relationships xmlns="http://schemas.openxmlformats.org/package/2006/relationships"><Relationship Id="rId1" Type="http://schemas.openxmlformats.org/officeDocument/2006/relationships/image" Target="media/image76.png"/></Relationships>
</file>

<file path=word/_rels/header3.xml.rels><?xml version="1.0" encoding="UTF-8" standalone="yes"?>
<Relationships xmlns="http://schemas.openxmlformats.org/package/2006/relationships"><Relationship Id="rId1" Type="http://schemas.openxmlformats.org/officeDocument/2006/relationships/image" Target="media/image7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6D3D7E1-F7AB-1F46-823C-E68683850BA0}">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8625DC61-14C6-BA46-A879-A94B921C34B2}">
  <we:reference id="2bbca0be-d728-44e2-921d-90013f03e8fd" version="1.8.0.0" store="EXCatalog" storeType="EXCatalog"/>
  <we:alternateReferences>
    <we:reference id="WA200005826" version="1.8.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188DB-CE39-4E43-BBC4-8F0997421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115</Pages>
  <Words>128048</Words>
  <Characters>729880</Characters>
  <Application>Microsoft Office Word</Application>
  <DocSecurity>0</DocSecurity>
  <Lines>6082</Lines>
  <Paragraphs>1712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856216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Ali</dc:creator>
  <dc:description/>
  <cp:lastModifiedBy>MUHAMMAD ALI</cp:lastModifiedBy>
  <cp:revision>2</cp:revision>
  <dcterms:created xsi:type="dcterms:W3CDTF">2025-06-10T08:47:00Z</dcterms:created>
  <dcterms:modified xsi:type="dcterms:W3CDTF">2025-06-10T08:47:00Z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id="aEOoyZpz"/&gt;&lt;style id="http://www.zotero.org/styles/international-journal-of-molecular-sciences" hasBibliography="1" bibliographyStyleHasBeenSet="1"/&gt;&lt;prefs&gt;&lt;pref name="fieldType" value="Field"/&gt;&lt;</vt:lpwstr>
  </property>
  <property fmtid="{D5CDD505-2E9C-101B-9397-08002B2CF9AE}" pid="3" name="ZOTERO_PREF_2">
    <vt:lpwstr>/prefs&gt;&lt;/data&gt;</vt:lpwstr>
  </property>
</Properties>
</file>