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At Disease Presentation, Severity of the B</w:t>
      </w:r>
      <w:bookmarkStart w:id="0" w:name="_GoBack"/>
      <w:bookmarkEnd w:id="0"/>
      <w:r w:rsidRPr="009A76B1">
        <w:rPr>
          <w:rFonts w:ascii="Times New Roman" w:eastAsia="Times New Roman" w:hAnsi="Times New Roman" w:cs="Times New Roman"/>
          <w:bCs/>
          <w:lang w:val="en-US" w:eastAsia="it-IT"/>
        </w:rPr>
        <w:t>leeding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 Predicts the Following Bleeds in Patients with FVII Deficiency</w:t>
      </w:r>
    </w:p>
    <w:p w:rsidR="009A76B1" w:rsidRPr="009A76B1" w:rsidRDefault="009A76B1" w:rsidP="009A76B1">
      <w:pPr>
        <w:spacing w:after="0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Matteo ND Di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Minno</w:t>
      </w:r>
      <w:bookmarkStart w:id="1" w:name="RFN1"/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*,1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 xml:space="preserve">, Angelika 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Batorova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MD, PhD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2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Mariasanta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 Napolitano, MD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*,3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,Alberto Dolce, PhD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*,4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Giovanni Di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Minno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MD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*,5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 xml:space="preserve">, Francesco 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Bernardi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 PhD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*,6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Jean-Francois Schved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7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 xml:space="preserve">,Jørgen 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Ingerslev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MD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8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 xml:space="preserve">, Muriel 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Giansily-Blaizot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MD, PhD</w:t>
      </w:r>
      <w:bookmarkEnd w:id="1"/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*,9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Guenter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 xml:space="preserve"> K.H. 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Auerswald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 Sr., MD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10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andGuglielmo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Mariani</w:t>
      </w:r>
      <w:proofErr w:type="spellEnd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, MD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vertAlign w:val="superscript"/>
          <w:lang w:val="en-US" w:eastAsia="it-IT"/>
        </w:rPr>
        <w:t>11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1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Diparti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di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edicina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Clinica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e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Speri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entale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, Centro di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Coordina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regionale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per le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ocoagulopatie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,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Università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di Napoli "Federico II" Naples, Italy, Napoli, Italy,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2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National 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ophilia Center, Bratislava, Slovak Republic,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3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atology, Lo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bardi Co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prehensive Cancer Center, Washington DC, DC, USA,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4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National Institute of Statistics, Paler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o, Italy,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5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Federico II University, Napoli, Italy,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6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Università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degli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Studi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di Ferrara, Ferrara, Italy,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7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Laboratoire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d'he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atologie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, Hospital Saint Eloi,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ontpellier, France,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8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 Center for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Hae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ophilia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and Thro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bosis, Aarhus University Hospital, Aarhus, Den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ark,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9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Laboratory of 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atology, CHU de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ontpellier,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ontpellier, France,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10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ophilia Treat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 Centre, Prof. Hess Children's Hospital, Bre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en, Ger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any, </w:t>
      </w:r>
      <w:r w:rsidRPr="009A76B1">
        <w:rPr>
          <w:rFonts w:ascii="Times New Roman" w:eastAsia="Times New Roman" w:hAnsi="Times New Roman" w:cs="Times New Roman"/>
          <w:lang w:val="en-US" w:eastAsia="it-IT"/>
        </w:rPr>
        <w:br/>
      </w:r>
      <w:r w:rsidRPr="009A76B1">
        <w:rPr>
          <w:rFonts w:ascii="Times New Roman" w:eastAsia="Times New Roman" w:hAnsi="Times New Roman" w:cs="Times New Roman"/>
          <w:vertAlign w:val="superscript"/>
          <w:lang w:val="en-US" w:eastAsia="it-IT"/>
        </w:rPr>
        <w:t>11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Internal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edicine &amp; Public Health, University of L'Aquila, L'Aquila, Italy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Abstract 30</w:t>
      </w:r>
      <w:bookmarkStart w:id="2" w:name="RFN2"/>
      <w:bookmarkEnd w:id="2"/>
      <w:r w:rsidRPr="009A76B1">
        <w:rPr>
          <w:rFonts w:ascii="Times New Roman" w:eastAsia="Times New Roman" w:hAnsi="Times New Roman" w:cs="Times New Roman"/>
          <w:noProof/>
          <w:vertAlign w:val="superscript"/>
          <w:lang w:eastAsia="it-IT"/>
        </w:rPr>
        <w:drawing>
          <wp:inline distT="0" distB="0" distL="0" distR="0" wp14:anchorId="45DDB406" wp14:editId="65502BBC">
            <wp:extent cx="247650" cy="295275"/>
            <wp:effectExtent l="0" t="0" r="0" b="9525"/>
            <wp:docPr id="1" name="Immagine 1" descr="Formula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rmula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Background: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Inherited Factor VII (FVII) deficiency is the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ost co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 of the "rare" autoso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 recessive bleeding disorders. Affected individuals display a wide range of clinical phenotypes and treat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 de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and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ay vary fro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prophylaxis to the need of rare or no replace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 at all. As a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atter of fact, it would be 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portant to individualize the opti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 and safest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anage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 with reference to the risk of bleeding.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Objective: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In a large nu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ber of subjects with FVII deficiency, we evaluated whether the type of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at disease presentation could help to predict further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s during the "Observation Period" (OP).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ethods: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Appropriate infor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ation in subjects with FVII deficiency, collected in the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ulticentre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STER and IF7SG Registries, were 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ployed. OP= ti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 elapsed between the date of disease-presentation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and that of enrol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 into the registry. Data for this analysis were co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plete for 687 individuals.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Results: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At diagnosis, 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ong the 687 subjects (356 [51.8%] fe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ales, 331 [48.2%]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ales,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ean age 29.6±19.63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yrs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), 272 (39.6%) were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atic; of the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individuals, 338 (49.2%) displayed a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ild "Platelet- Like" (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PL</w:t>
      </w:r>
      <w:r w:rsidRPr="009A76B1">
        <w:rPr>
          <w:rFonts w:ascii="Times New Roman" w:eastAsia="Times New Roman" w:hAnsi="Times New Roman" w:cs="Times New Roman"/>
          <w:lang w:val="en-US" w:eastAsia="it-IT"/>
        </w:rPr>
        <w:t>) bleeding defect (i.e.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-cutaneous bleedings) and 77 (11.2%) had a severe, "He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ophilia-Like" (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HL</w:t>
      </w:r>
      <w:r w:rsidRPr="009A76B1">
        <w:rPr>
          <w:rFonts w:ascii="Times New Roman" w:eastAsia="Times New Roman" w:hAnsi="Times New Roman" w:cs="Times New Roman"/>
          <w:lang w:val="en-US" w:eastAsia="it-IT"/>
        </w:rPr>
        <w:t>), phenotype.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ean age at diagnosis for the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individuals was 23.8±18.8;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ean ages at disease presentation were 10.54 ±11.8 for the PL, and 5.5 ±12.3 for the HL individuals ( p for trend= 0.000). FVII activity (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) was: fe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ales 17.53±19.68%,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ales 18.58±17.50% (p=0.460), overall: 18.04 ±18,66%.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lang w:val="en-US" w:eastAsia="it-IT"/>
        </w:rPr>
        <w:t>Of the 338 individuals with a 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PL-disorder</w:t>
      </w:r>
      <w:r w:rsidRPr="009A76B1">
        <w:rPr>
          <w:rFonts w:ascii="Times New Roman" w:eastAsia="Times New Roman" w:hAnsi="Times New Roman" w:cs="Times New Roman"/>
          <w:lang w:val="en-US" w:eastAsia="it-IT"/>
        </w:rPr>
        <w:t>, 268 (79.3%) had new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-cutaneous bleedings; 51 (15.1%) developed severe bleedings, and 12 (4%) did not develop any subsequent bleed. 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ong the patients (n=77) with a 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HL-disorder</w:t>
      </w:r>
      <w:r w:rsidRPr="009A76B1">
        <w:rPr>
          <w:rFonts w:ascii="Times New Roman" w:eastAsia="Times New Roman" w:hAnsi="Times New Roman" w:cs="Times New Roman"/>
          <w:lang w:val="en-US" w:eastAsia="it-IT"/>
        </w:rPr>
        <w:t>, 38 (49.4%) experienced new severe bleeds, 34 (44.2%) developed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ucosal bleedings, and only 5 (6.5%) had no further bleeds. 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ong those 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asy</w:t>
      </w:r>
      <w:r w:rsidRPr="009A76B1">
        <w:rPr>
          <w:rFonts w:ascii="Times New Roman" w:eastAsia="Times New Roman" w:hAnsi="Times New Roman" w:cs="Times New Roman"/>
          <w:bCs/>
          <w:i/>
          <w:i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i/>
          <w:i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i/>
          <w:iCs/>
          <w:lang w:val="en-US" w:eastAsia="it-IT"/>
        </w:rPr>
        <w:t>atic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at diagnosis (n=272), 237 (87.1%) re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ained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atic, while 35 (12.9%) developed only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-cutaneous bleedings. Thus, 87.1% of the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individual at diagnosis re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ained so, 79.3% of those with a platelet-like disorder at diagnosis displayed the sa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 type of bleeding and, finally, 50% of those with severe bleedings at diagnosis had, again, severe bleeds.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helped to refine clinical infor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ation.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individuals at diagnosis that subsequently developed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-cutaneous bleedings, had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si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ilar to that of individuals with the sa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ild bleeds at </w:t>
      </w:r>
      <w:r w:rsidRPr="009A76B1">
        <w:rPr>
          <w:rFonts w:ascii="Times New Roman" w:eastAsia="Times New Roman" w:hAnsi="Times New Roman" w:cs="Times New Roman"/>
          <w:lang w:val="en-US" w:eastAsia="it-IT"/>
        </w:rPr>
        <w:lastRenderedPageBreak/>
        <w:t>onset (</w:t>
      </w:r>
      <w:r w:rsidRPr="009A76B1">
        <w:rPr>
          <w:rFonts w:ascii="Times New Roman" w:eastAsia="Times New Roman" w:hAnsi="Times New Roman" w:cs="Times New Roman"/>
          <w:noProof/>
          <w:lang w:eastAsia="it-IT"/>
        </w:rPr>
        <w:drawing>
          <wp:inline distT="0" distB="0" distL="0" distR="0" wp14:anchorId="4FAAB82B" wp14:editId="63682089">
            <wp:extent cx="76200" cy="57150"/>
            <wp:effectExtent l="0" t="0" r="0" b="0"/>
            <wp:docPr id="2" name="Immagine 2" descr="~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~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5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15–20%).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of individuals with PL-disorder at diagnosis who subsequently experienced a life- and li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b-threatening bleeding episode, were as low (&lt;5%) as those of individuals that had a severe phenotype at disease presentation. Regardless whether docu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ented at diagnosis or during the OP, severe bleeding was invariably associated with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&lt;5%. At diagnosis, the latter levels were found in 88.3% of individuals with severe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s, in 57.8% of those with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-cutaneous bleedings and in 14.7% of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individuals.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Conclusions: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In Factor VII deficiency, three clinical phenotypes can be identified: 1. the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ost prevalent cohort experience </w:t>
      </w:r>
      <w:proofErr w:type="spellStart"/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uco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-cutaneous bleeding (PL-disorder); 2. Ten–15% of patients exhibit potentially life- or li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b-threatening 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orrhages, such as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artroses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>, central nervous syste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(CNS) or gastrointestinal (GI), a phenotype that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ay be as severe or 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ore severe than that in he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ophilia, and 3. about 1/3 of cases are asy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atic and tend to re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ain so. Bleeding sy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pto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 at disease presentation predicts the subsequently developed bleeding phenotype. </w:t>
      </w:r>
      <w:proofErr w:type="spellStart"/>
      <w:r w:rsidRPr="009A76B1">
        <w:rPr>
          <w:rFonts w:ascii="Times New Roman" w:eastAsia="Times New Roman" w:hAnsi="Times New Roman" w:cs="Times New Roman"/>
          <w:lang w:val="en-US" w:eastAsia="it-IT"/>
        </w:rPr>
        <w:t>FVIIc</w:t>
      </w:r>
      <w:proofErr w:type="spellEnd"/>
      <w:r w:rsidRPr="009A76B1">
        <w:rPr>
          <w:rFonts w:ascii="Times New Roman" w:eastAsia="Times New Roman" w:hAnsi="Times New Roman" w:cs="Times New Roman"/>
          <w:lang w:val="en-US" w:eastAsia="it-IT"/>
        </w:rPr>
        <w:t xml:space="preserve"> levels refine such clinical prediction and help to identify individuals that call for early prophylaxis or on de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and treat</w:t>
      </w:r>
      <w:r w:rsidRPr="009A76B1">
        <w:rPr>
          <w:rFonts w:ascii="Times New Roman" w:eastAsia="Times New Roman" w:hAnsi="Times New Roman" w:cs="Times New Roman"/>
          <w:bCs/>
          <w:shd w:val="clear" w:color="auto" w:fill="FFFFFF"/>
          <w:lang w:val="en-US" w:eastAsia="it-IT"/>
        </w:rPr>
        <w:t>m</w:t>
      </w:r>
      <w:r w:rsidRPr="009A76B1">
        <w:rPr>
          <w:rFonts w:ascii="Times New Roman" w:eastAsia="Times New Roman" w:hAnsi="Times New Roman" w:cs="Times New Roman"/>
          <w:lang w:val="en-US" w:eastAsia="it-IT"/>
        </w:rPr>
        <w:t>ent.</w:t>
      </w:r>
    </w:p>
    <w:p w:rsidR="009A76B1" w:rsidRPr="009A76B1" w:rsidRDefault="009A76B1" w:rsidP="009A76B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val="en-US" w:eastAsia="it-IT"/>
        </w:rPr>
      </w:pPr>
      <w:r w:rsidRPr="009A76B1">
        <w:rPr>
          <w:rFonts w:ascii="Times New Roman" w:eastAsia="Times New Roman" w:hAnsi="Times New Roman" w:cs="Times New Roman"/>
          <w:bCs/>
          <w:lang w:val="en-US" w:eastAsia="it-IT"/>
        </w:rPr>
        <w:t>Disclosures:</w:t>
      </w:r>
      <w:r w:rsidRPr="009A76B1">
        <w:rPr>
          <w:rFonts w:ascii="Times New Roman" w:eastAsia="Times New Roman" w:hAnsi="Times New Roman" w:cs="Times New Roman"/>
          <w:lang w:val="en-US" w:eastAsia="it-IT"/>
        </w:rPr>
        <w:t> No relevant conflicts of interest to declare.</w:t>
      </w:r>
    </w:p>
    <w:p w:rsidR="00730B7B" w:rsidRPr="009A76B1" w:rsidRDefault="00730B7B">
      <w:pPr>
        <w:rPr>
          <w:lang w:val="en-US"/>
        </w:rPr>
      </w:pPr>
    </w:p>
    <w:sectPr w:rsidR="00730B7B" w:rsidRPr="009A76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6B1"/>
    <w:rsid w:val="00730B7B"/>
    <w:rsid w:val="009A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7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7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7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7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240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758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Utente_2013</dc:creator>
  <cp:lastModifiedBy>Utente_2013</cp:lastModifiedBy>
  <cp:revision>1</cp:revision>
  <dcterms:created xsi:type="dcterms:W3CDTF">2015-05-19T12:31:00Z</dcterms:created>
  <dcterms:modified xsi:type="dcterms:W3CDTF">2015-05-19T12:32:00Z</dcterms:modified>
</cp:coreProperties>
</file>