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0CEB8" w14:textId="3F8BF1AB" w:rsidR="008A0F67" w:rsidRPr="004D7B93" w:rsidRDefault="008A0F67" w:rsidP="008A0F67">
      <w:pPr>
        <w:spacing w:after="120"/>
        <w:jc w:val="center"/>
        <w:rPr>
          <w:b/>
          <w:bCs/>
          <w:color w:val="000000"/>
          <w:sz w:val="32"/>
          <w:szCs w:val="32"/>
          <w:lang w:val="en-GB" w:eastAsia="it-IT"/>
        </w:rPr>
      </w:pPr>
      <w:r w:rsidRPr="004D7B93">
        <w:rPr>
          <w:b/>
          <w:bCs/>
          <w:color w:val="000000"/>
          <w:sz w:val="32"/>
          <w:szCs w:val="32"/>
          <w:lang w:val="en-GB" w:eastAsia="it-IT"/>
        </w:rPr>
        <w:t>Reduc</w:t>
      </w:r>
      <w:r>
        <w:rPr>
          <w:b/>
          <w:bCs/>
          <w:color w:val="000000"/>
          <w:sz w:val="32"/>
          <w:szCs w:val="32"/>
          <w:lang w:val="en-GB" w:eastAsia="it-IT"/>
        </w:rPr>
        <w:t>ing</w:t>
      </w:r>
      <w:r w:rsidRPr="004D7B93">
        <w:rPr>
          <w:b/>
          <w:bCs/>
          <w:color w:val="000000"/>
          <w:sz w:val="32"/>
          <w:szCs w:val="32"/>
          <w:lang w:val="en-GB" w:eastAsia="it-IT"/>
        </w:rPr>
        <w:t xml:space="preserve"> </w:t>
      </w:r>
      <w:r>
        <w:rPr>
          <w:b/>
          <w:bCs/>
          <w:color w:val="000000"/>
          <w:sz w:val="32"/>
          <w:szCs w:val="32"/>
          <w:lang w:val="en-GB" w:eastAsia="it-IT"/>
        </w:rPr>
        <w:t xml:space="preserve">parasitic </w:t>
      </w:r>
      <w:r w:rsidRPr="004D7B93">
        <w:rPr>
          <w:b/>
          <w:bCs/>
          <w:color w:val="000000"/>
          <w:sz w:val="32"/>
          <w:szCs w:val="32"/>
          <w:lang w:val="en-GB" w:eastAsia="it-IT"/>
        </w:rPr>
        <w:t xml:space="preserve">currents </w:t>
      </w:r>
      <w:r>
        <w:rPr>
          <w:b/>
          <w:bCs/>
          <w:color w:val="000000"/>
          <w:sz w:val="32"/>
          <w:szCs w:val="32"/>
          <w:lang w:val="en-GB" w:eastAsia="it-IT"/>
        </w:rPr>
        <w:t>in acid-</w:t>
      </w:r>
      <w:r w:rsidRPr="004D7B93">
        <w:rPr>
          <w:b/>
          <w:bCs/>
          <w:color w:val="000000"/>
          <w:sz w:val="32"/>
          <w:szCs w:val="32"/>
          <w:lang w:val="en-GB" w:eastAsia="it-IT"/>
        </w:rPr>
        <w:t>base flow batter</w:t>
      </w:r>
      <w:r>
        <w:rPr>
          <w:b/>
          <w:bCs/>
          <w:color w:val="000000"/>
          <w:sz w:val="32"/>
          <w:szCs w:val="32"/>
          <w:lang w:val="en-GB" w:eastAsia="it-IT"/>
        </w:rPr>
        <w:t>ies</w:t>
      </w:r>
      <w:r w:rsidRPr="004D7B93">
        <w:rPr>
          <w:b/>
          <w:bCs/>
          <w:color w:val="000000"/>
          <w:sz w:val="32"/>
          <w:szCs w:val="32"/>
          <w:lang w:val="en-GB" w:eastAsia="it-IT"/>
        </w:rPr>
        <w:t xml:space="preserve">: </w:t>
      </w:r>
      <w:r w:rsidR="00245468">
        <w:rPr>
          <w:b/>
          <w:bCs/>
          <w:color w:val="000000"/>
          <w:sz w:val="32"/>
          <w:szCs w:val="32"/>
          <w:lang w:val="en-GB" w:eastAsia="it-IT"/>
        </w:rPr>
        <w:t>experiments and modelling</w:t>
      </w:r>
    </w:p>
    <w:p w14:paraId="60A730A0" w14:textId="77777777" w:rsidR="008A0F67" w:rsidRPr="004A123E" w:rsidRDefault="008A0F67" w:rsidP="008A0F67">
      <w:pPr>
        <w:spacing w:after="120"/>
        <w:rPr>
          <w:szCs w:val="24"/>
          <w:lang w:val="it-IT" w:eastAsia="it-IT"/>
        </w:rPr>
      </w:pPr>
      <w:bookmarkStart w:id="0" w:name="_Hlk126233968"/>
      <w:r w:rsidRPr="004A123E">
        <w:rPr>
          <w:color w:val="000000"/>
          <w:szCs w:val="24"/>
          <w:lang w:val="it-IT" w:eastAsia="it-IT"/>
        </w:rPr>
        <w:t>Alessandra Pellegrino, Andrea Culcasi, Alessandro Cosenza, Andrea Cipollina, Alessandro Tamburini*, Giorgio Micale</w:t>
      </w:r>
    </w:p>
    <w:bookmarkEnd w:id="0"/>
    <w:p w14:paraId="0901446B" w14:textId="77777777" w:rsidR="008A0F67" w:rsidRPr="004A123E" w:rsidRDefault="008A0F67" w:rsidP="008A0F67">
      <w:pPr>
        <w:spacing w:after="120"/>
        <w:rPr>
          <w:szCs w:val="24"/>
          <w:lang w:val="it-IT" w:eastAsia="it-IT"/>
        </w:rPr>
      </w:pPr>
      <w:r w:rsidRPr="004A123E">
        <w:rPr>
          <w:i/>
          <w:iCs/>
          <w:color w:val="000000"/>
          <w:sz w:val="22"/>
          <w:lang w:val="it-IT" w:eastAsia="it-IT"/>
        </w:rPr>
        <w:t>Dipartimento di Ingegneria, Università degli Studi di Palermo, viale delle scienze ed. 6, 90128 Palermo, Italy;</w:t>
      </w:r>
    </w:p>
    <w:p w14:paraId="10AA6BA1" w14:textId="77777777" w:rsidR="008A0F67" w:rsidRPr="006D3C31" w:rsidRDefault="008A0F67" w:rsidP="008A0F67">
      <w:pPr>
        <w:spacing w:after="120"/>
        <w:rPr>
          <w:szCs w:val="24"/>
          <w:lang w:val="en-GB" w:eastAsia="it-IT"/>
        </w:rPr>
      </w:pPr>
      <w:r w:rsidRPr="004D7B93">
        <w:rPr>
          <w:i/>
          <w:iCs/>
          <w:color w:val="000000"/>
          <w:sz w:val="22"/>
          <w:lang w:val="en-GB" w:eastAsia="it-IT"/>
        </w:rPr>
        <w:t>*</w:t>
      </w:r>
      <w:r w:rsidRPr="004D7B93">
        <w:rPr>
          <w:color w:val="000000"/>
          <w:sz w:val="22"/>
          <w:lang w:val="en-GB" w:eastAsia="it-IT"/>
        </w:rPr>
        <w:t xml:space="preserve">Corresponding authors. </w:t>
      </w:r>
      <w:r w:rsidRPr="006D3C31">
        <w:rPr>
          <w:color w:val="000000"/>
          <w:sz w:val="22"/>
          <w:lang w:val="en-GB" w:eastAsia="it-IT"/>
        </w:rPr>
        <w:t xml:space="preserve">E-mail: </w:t>
      </w:r>
      <w:hyperlink r:id="rId6" w:history="1">
        <w:r w:rsidRPr="006D3C31">
          <w:rPr>
            <w:rStyle w:val="Collegamentoipertestuale"/>
            <w:i/>
            <w:iCs/>
            <w:sz w:val="22"/>
            <w:lang w:val="en-GB" w:eastAsia="it-IT"/>
          </w:rPr>
          <w:t>alessandro.tamburini@unipa.it</w:t>
        </w:r>
      </w:hyperlink>
    </w:p>
    <w:p w14:paraId="000D34A7" w14:textId="28FFEE1C" w:rsidR="000220FA" w:rsidRDefault="000220FA" w:rsidP="009E0239">
      <w:pPr>
        <w:jc w:val="both"/>
        <w:rPr>
          <w:rFonts w:eastAsia="MS Mincho" w:cs="Times New Roman"/>
          <w:b/>
          <w:szCs w:val="24"/>
        </w:rPr>
      </w:pPr>
      <w:r w:rsidRPr="00AA07AA">
        <w:rPr>
          <w:rFonts w:eastAsia="MS Mincho" w:cs="Times New Roman"/>
          <w:b/>
          <w:szCs w:val="24"/>
        </w:rPr>
        <w:t>SUPPLEMENTARY INFORMATION</w:t>
      </w:r>
    </w:p>
    <w:p w14:paraId="3DF5103A" w14:textId="14E7C9A5" w:rsidR="00FB642D" w:rsidRPr="00AA07AA" w:rsidRDefault="000932E8" w:rsidP="000932E8">
      <w:r w:rsidRPr="000932E8">
        <w:t>Supplementary data, which provide a detailed integration of the data and methodology discussed in the main manuscript, are presented in this document.</w:t>
      </w:r>
    </w:p>
    <w:p w14:paraId="07CF12D4" w14:textId="7388D5FC" w:rsidR="00BB2EDA" w:rsidRDefault="000932E8" w:rsidP="00BB2EDA">
      <w:pPr>
        <w:pStyle w:val="Titolo1Supplementary"/>
      </w:pPr>
      <w:r>
        <w:t>Methodology</w:t>
      </w:r>
    </w:p>
    <w:p w14:paraId="33974239" w14:textId="5717B075" w:rsidR="0019223A" w:rsidRPr="0019223A" w:rsidRDefault="0019223A" w:rsidP="0019223A">
      <w:pPr>
        <w:pStyle w:val="Titolo1Supplementary"/>
        <w:numPr>
          <w:ilvl w:val="0"/>
          <w:numId w:val="0"/>
        </w:numPr>
      </w:pPr>
      <w:r w:rsidRPr="0019223A">
        <w:rPr>
          <w:rFonts w:eastAsiaTheme="majorEastAsia"/>
        </w:rPr>
        <w:t>S.1.</w:t>
      </w:r>
      <w:r>
        <w:rPr>
          <w:rFonts w:eastAsiaTheme="majorEastAsia"/>
        </w:rPr>
        <w:t>1</w:t>
      </w:r>
      <w:r w:rsidRPr="0019223A">
        <w:rPr>
          <w:rFonts w:eastAsiaTheme="majorEastAsia"/>
        </w:rPr>
        <w:t xml:space="preserve"> </w:t>
      </w:r>
      <w:r>
        <w:rPr>
          <w:rFonts w:eastAsiaTheme="majorEastAsia"/>
        </w:rPr>
        <w:t>Mathematical modelling</w:t>
      </w:r>
    </w:p>
    <w:p w14:paraId="1B459BB6" w14:textId="56AC6E86" w:rsidR="00D35DB3" w:rsidRDefault="00D35DB3" w:rsidP="0019223A">
      <w:r w:rsidRPr="00D35DB3">
        <w:t>Simulations with the mathematical model were carried out using the following input parameters (Table S1).</w:t>
      </w:r>
      <w:r>
        <w:t xml:space="preserve"> </w:t>
      </w:r>
    </w:p>
    <w:p w14:paraId="7A13AFA1" w14:textId="4220AA1B" w:rsidR="00EA1F75" w:rsidRPr="002846FA" w:rsidRDefault="00EA1F75" w:rsidP="00EA1F75">
      <w:pPr>
        <w:pStyle w:val="Didascalia"/>
        <w:keepNext/>
        <w:spacing w:after="0"/>
        <w:jc w:val="both"/>
      </w:pPr>
      <w:bookmarkStart w:id="1" w:name="_Ref101287789"/>
      <w:r w:rsidRPr="002846FA">
        <w:t xml:space="preserve">Table </w:t>
      </w:r>
      <w:bookmarkEnd w:id="1"/>
      <w:r>
        <w:t>S1</w:t>
      </w:r>
      <w:r w:rsidRPr="002846FA">
        <w:t xml:space="preserve">. </w:t>
      </w:r>
      <w:r>
        <w:t>Input</w:t>
      </w:r>
      <w:r w:rsidRPr="002846FA">
        <w:t xml:space="preserve"> values </w:t>
      </w:r>
      <w:r>
        <w:t>used for the simulations</w:t>
      </w:r>
      <w:r w:rsidRPr="002846FA">
        <w:rPr>
          <w:spacing w:val="-3"/>
          <w:lang w:val="en-GB"/>
        </w:rPr>
        <w:t>.</w:t>
      </w:r>
    </w:p>
    <w:tbl>
      <w:tblPr>
        <w:tblW w:w="10281" w:type="dxa"/>
        <w:jc w:val="center"/>
        <w:tblLook w:val="04A0" w:firstRow="1" w:lastRow="0" w:firstColumn="1" w:lastColumn="0" w:noHBand="0" w:noVBand="1"/>
      </w:tblPr>
      <w:tblGrid>
        <w:gridCol w:w="3060"/>
        <w:gridCol w:w="1760"/>
        <w:gridCol w:w="990"/>
        <w:gridCol w:w="220"/>
        <w:gridCol w:w="860"/>
        <w:gridCol w:w="310"/>
        <w:gridCol w:w="680"/>
        <w:gridCol w:w="220"/>
        <w:gridCol w:w="467"/>
        <w:gridCol w:w="303"/>
        <w:gridCol w:w="686"/>
        <w:gridCol w:w="725"/>
      </w:tblGrid>
      <w:tr w:rsidR="00EA1F75" w:rsidRPr="002846FA" w14:paraId="11286B83" w14:textId="77777777" w:rsidTr="00EA1F75">
        <w:trPr>
          <w:gridAfter w:val="2"/>
          <w:wAfter w:w="1411" w:type="dxa"/>
          <w:trHeight w:val="335"/>
          <w:jc w:val="center"/>
        </w:trPr>
        <w:tc>
          <w:tcPr>
            <w:tcW w:w="3060" w:type="dxa"/>
            <w:tcBorders>
              <w:top w:val="single" w:sz="4" w:space="0" w:color="auto"/>
            </w:tcBorders>
          </w:tcPr>
          <w:p w14:paraId="6045B018" w14:textId="77777777" w:rsidR="00EA1F75" w:rsidRPr="002846FA" w:rsidRDefault="00EA1F75" w:rsidP="008945DF">
            <w:pPr>
              <w:spacing w:line="360" w:lineRule="auto"/>
              <w:rPr>
                <w:noProof/>
                <w:lang w:val="en-GB"/>
              </w:rPr>
            </w:pPr>
          </w:p>
        </w:tc>
        <w:tc>
          <w:tcPr>
            <w:tcW w:w="1760" w:type="dxa"/>
            <w:tcBorders>
              <w:top w:val="single" w:sz="4" w:space="0" w:color="auto"/>
            </w:tcBorders>
          </w:tcPr>
          <w:p w14:paraId="6C816541" w14:textId="77777777" w:rsidR="00EA1F75" w:rsidRPr="002846FA" w:rsidRDefault="00EA1F75" w:rsidP="008945DF">
            <w:pPr>
              <w:spacing w:line="360" w:lineRule="auto"/>
              <w:rPr>
                <w:noProof/>
                <w:lang w:val="en-GB"/>
              </w:rPr>
            </w:pPr>
          </w:p>
        </w:tc>
        <w:tc>
          <w:tcPr>
            <w:tcW w:w="990" w:type="dxa"/>
            <w:tcBorders>
              <w:top w:val="single" w:sz="4" w:space="0" w:color="auto"/>
            </w:tcBorders>
          </w:tcPr>
          <w:p w14:paraId="3B1654F7" w14:textId="77777777" w:rsidR="00EA1F75" w:rsidRPr="002846FA" w:rsidRDefault="00EA1F75" w:rsidP="008945DF">
            <w:pPr>
              <w:spacing w:line="360" w:lineRule="auto"/>
              <w:jc w:val="center"/>
              <w:rPr>
                <w:noProof/>
                <w:lang w:val="en-GB"/>
              </w:rPr>
            </w:pPr>
            <w:r w:rsidRPr="002846FA">
              <w:rPr>
                <w:noProof/>
                <w:lang w:val="en-GB"/>
              </w:rPr>
              <w:t>AEM</w:t>
            </w:r>
          </w:p>
        </w:tc>
        <w:tc>
          <w:tcPr>
            <w:tcW w:w="1080" w:type="dxa"/>
            <w:gridSpan w:val="2"/>
            <w:tcBorders>
              <w:top w:val="single" w:sz="4" w:space="0" w:color="auto"/>
            </w:tcBorders>
          </w:tcPr>
          <w:p w14:paraId="62C6665D" w14:textId="77777777" w:rsidR="00EA1F75" w:rsidRPr="002846FA" w:rsidRDefault="00EA1F75" w:rsidP="008945DF">
            <w:pPr>
              <w:spacing w:line="360" w:lineRule="auto"/>
              <w:jc w:val="center"/>
              <w:rPr>
                <w:noProof/>
                <w:lang w:val="en-GB"/>
              </w:rPr>
            </w:pPr>
            <w:r w:rsidRPr="002846FA">
              <w:rPr>
                <w:noProof/>
                <w:lang w:val="en-GB"/>
              </w:rPr>
              <w:t>CEM</w:t>
            </w:r>
          </w:p>
        </w:tc>
        <w:tc>
          <w:tcPr>
            <w:tcW w:w="1980" w:type="dxa"/>
            <w:gridSpan w:val="5"/>
            <w:tcBorders>
              <w:top w:val="single" w:sz="4" w:space="0" w:color="auto"/>
            </w:tcBorders>
          </w:tcPr>
          <w:p w14:paraId="7051E76E" w14:textId="77777777" w:rsidR="00EA1F75" w:rsidRPr="002846FA" w:rsidRDefault="00EA1F75" w:rsidP="008945DF">
            <w:pPr>
              <w:spacing w:line="360" w:lineRule="auto"/>
              <w:jc w:val="center"/>
              <w:rPr>
                <w:noProof/>
                <w:lang w:val="en-GB"/>
              </w:rPr>
            </w:pPr>
            <w:r w:rsidRPr="002846FA">
              <w:rPr>
                <w:noProof/>
                <w:lang w:val="en-GB"/>
              </w:rPr>
              <w:t>BPM</w:t>
            </w:r>
          </w:p>
        </w:tc>
      </w:tr>
      <w:tr w:rsidR="00EA1F75" w:rsidRPr="002846FA" w14:paraId="05B8878D" w14:textId="77777777" w:rsidTr="00EA1F75">
        <w:trPr>
          <w:gridAfter w:val="2"/>
          <w:wAfter w:w="1411" w:type="dxa"/>
          <w:trHeight w:val="347"/>
          <w:jc w:val="center"/>
        </w:trPr>
        <w:tc>
          <w:tcPr>
            <w:tcW w:w="3060" w:type="dxa"/>
            <w:tcBorders>
              <w:bottom w:val="single" w:sz="4" w:space="0" w:color="auto"/>
            </w:tcBorders>
          </w:tcPr>
          <w:p w14:paraId="56B14081" w14:textId="77777777" w:rsidR="00EA1F75" w:rsidRPr="002846FA" w:rsidRDefault="00EA1F75" w:rsidP="008945DF">
            <w:pPr>
              <w:spacing w:line="360" w:lineRule="auto"/>
              <w:jc w:val="center"/>
              <w:rPr>
                <w:noProof/>
                <w:lang w:val="en-GB"/>
              </w:rPr>
            </w:pPr>
          </w:p>
        </w:tc>
        <w:tc>
          <w:tcPr>
            <w:tcW w:w="1760" w:type="dxa"/>
            <w:tcBorders>
              <w:bottom w:val="single" w:sz="4" w:space="0" w:color="auto"/>
            </w:tcBorders>
          </w:tcPr>
          <w:p w14:paraId="69046C61" w14:textId="77777777" w:rsidR="00EA1F75" w:rsidRPr="002846FA" w:rsidRDefault="00EA1F75" w:rsidP="008945DF">
            <w:pPr>
              <w:spacing w:line="360" w:lineRule="auto"/>
              <w:jc w:val="center"/>
              <w:rPr>
                <w:noProof/>
                <w:lang w:val="en-GB"/>
              </w:rPr>
            </w:pPr>
          </w:p>
        </w:tc>
        <w:tc>
          <w:tcPr>
            <w:tcW w:w="990" w:type="dxa"/>
            <w:tcBorders>
              <w:bottom w:val="single" w:sz="4" w:space="0" w:color="auto"/>
            </w:tcBorders>
          </w:tcPr>
          <w:p w14:paraId="69BEA512" w14:textId="77777777" w:rsidR="00EA1F75" w:rsidRPr="002846FA" w:rsidRDefault="00EA1F75" w:rsidP="008945DF">
            <w:pPr>
              <w:spacing w:line="360" w:lineRule="auto"/>
              <w:jc w:val="center"/>
              <w:rPr>
                <w:noProof/>
                <w:lang w:val="en-GB"/>
              </w:rPr>
            </w:pPr>
          </w:p>
        </w:tc>
        <w:tc>
          <w:tcPr>
            <w:tcW w:w="1080" w:type="dxa"/>
            <w:gridSpan w:val="2"/>
            <w:tcBorders>
              <w:bottom w:val="single" w:sz="4" w:space="0" w:color="auto"/>
            </w:tcBorders>
          </w:tcPr>
          <w:p w14:paraId="51CF8997" w14:textId="77777777" w:rsidR="00EA1F75" w:rsidRPr="002846FA" w:rsidRDefault="00EA1F75" w:rsidP="008945DF">
            <w:pPr>
              <w:spacing w:line="360" w:lineRule="auto"/>
              <w:jc w:val="center"/>
              <w:rPr>
                <w:noProof/>
                <w:lang w:val="en-GB"/>
              </w:rPr>
            </w:pPr>
          </w:p>
        </w:tc>
        <w:tc>
          <w:tcPr>
            <w:tcW w:w="990" w:type="dxa"/>
            <w:gridSpan w:val="2"/>
            <w:tcBorders>
              <w:bottom w:val="single" w:sz="4" w:space="0" w:color="auto"/>
            </w:tcBorders>
          </w:tcPr>
          <w:p w14:paraId="21DE4ED5" w14:textId="77777777" w:rsidR="00EA1F75" w:rsidRPr="002846FA" w:rsidRDefault="00EA1F75" w:rsidP="008945DF">
            <w:pPr>
              <w:spacing w:line="360" w:lineRule="auto"/>
              <w:jc w:val="center"/>
              <w:rPr>
                <w:noProof/>
                <w:lang w:val="en-GB"/>
              </w:rPr>
            </w:pPr>
            <w:r w:rsidRPr="002846FA">
              <w:rPr>
                <w:noProof/>
                <w:lang w:val="en-GB"/>
              </w:rPr>
              <w:t>AEL</w:t>
            </w:r>
          </w:p>
        </w:tc>
        <w:tc>
          <w:tcPr>
            <w:tcW w:w="990" w:type="dxa"/>
            <w:gridSpan w:val="3"/>
            <w:tcBorders>
              <w:bottom w:val="single" w:sz="4" w:space="0" w:color="auto"/>
            </w:tcBorders>
          </w:tcPr>
          <w:p w14:paraId="68830736" w14:textId="77777777" w:rsidR="00EA1F75" w:rsidRPr="002846FA" w:rsidRDefault="00EA1F75" w:rsidP="008945DF">
            <w:pPr>
              <w:spacing w:line="360" w:lineRule="auto"/>
              <w:jc w:val="center"/>
              <w:rPr>
                <w:noProof/>
                <w:lang w:val="en-GB"/>
              </w:rPr>
            </w:pPr>
            <w:r w:rsidRPr="002846FA">
              <w:rPr>
                <w:noProof/>
                <w:lang w:val="en-GB"/>
              </w:rPr>
              <w:t>CEL</w:t>
            </w:r>
          </w:p>
        </w:tc>
      </w:tr>
      <w:tr w:rsidR="00EA1F75" w:rsidRPr="002846FA" w14:paraId="1D0A76A0" w14:textId="77777777" w:rsidTr="00EA1F75">
        <w:trPr>
          <w:gridAfter w:val="2"/>
          <w:wAfter w:w="1411" w:type="dxa"/>
          <w:trHeight w:val="347"/>
          <w:jc w:val="center"/>
        </w:trPr>
        <w:tc>
          <w:tcPr>
            <w:tcW w:w="3060" w:type="dxa"/>
            <w:tcBorders>
              <w:top w:val="single" w:sz="4" w:space="0" w:color="auto"/>
            </w:tcBorders>
          </w:tcPr>
          <w:p w14:paraId="1334D30A" w14:textId="77777777" w:rsidR="00EA1F75" w:rsidRPr="002846FA" w:rsidRDefault="00EA1F75" w:rsidP="008945DF">
            <w:pPr>
              <w:spacing w:line="360" w:lineRule="auto"/>
              <w:jc w:val="center"/>
              <w:rPr>
                <w:noProof/>
                <w:lang w:val="en-GB"/>
              </w:rPr>
            </w:pPr>
            <w:r w:rsidRPr="002846FA">
              <w:rPr>
                <w:noProof/>
                <w:lang w:val="en-GB"/>
              </w:rPr>
              <w:t>Thickness (</w:t>
            </w:r>
            <m:oMath>
              <m:sSub>
                <m:sSubPr>
                  <m:ctrlPr>
                    <w:rPr>
                      <w:rFonts w:ascii="Cambria Math" w:hAnsi="Cambria Math"/>
                      <w:i/>
                      <w:noProof/>
                      <w:lang w:val="en-GB"/>
                    </w:rPr>
                  </m:ctrlPr>
                </m:sSubPr>
                <m:e>
                  <m:r>
                    <w:rPr>
                      <w:rFonts w:ascii="Cambria Math" w:hAnsi="Cambria Math"/>
                      <w:noProof/>
                      <w:lang w:val="en-GB"/>
                    </w:rPr>
                    <m:t>d</m:t>
                  </m:r>
                </m:e>
                <m:sub>
                  <m:r>
                    <w:rPr>
                      <w:rFonts w:ascii="Cambria Math" w:hAnsi="Cambria Math"/>
                      <w:noProof/>
                      <w:lang w:val="en-GB"/>
                    </w:rPr>
                    <m:t>m</m:t>
                  </m:r>
                </m:sub>
              </m:sSub>
            </m:oMath>
            <w:r w:rsidRPr="002846FA">
              <w:rPr>
                <w:noProof/>
                <w:lang w:val="en-GB"/>
              </w:rPr>
              <w:t>)</w:t>
            </w:r>
          </w:p>
        </w:tc>
        <w:tc>
          <w:tcPr>
            <w:tcW w:w="1760" w:type="dxa"/>
            <w:tcBorders>
              <w:top w:val="single" w:sz="4" w:space="0" w:color="auto"/>
            </w:tcBorders>
          </w:tcPr>
          <w:p w14:paraId="6C90DD8E" w14:textId="77777777" w:rsidR="00EA1F75" w:rsidRPr="002846FA" w:rsidRDefault="00EA1F75" w:rsidP="008945DF">
            <w:pPr>
              <w:spacing w:line="360" w:lineRule="auto"/>
              <w:jc w:val="center"/>
              <w:rPr>
                <w:noProof/>
                <w:lang w:val="en-GB"/>
              </w:rPr>
            </w:pPr>
            <w:r w:rsidRPr="002846FA">
              <w:rPr>
                <w:lang w:val="en-GB"/>
              </w:rPr>
              <w:t>µm</w:t>
            </w:r>
          </w:p>
        </w:tc>
        <w:tc>
          <w:tcPr>
            <w:tcW w:w="990" w:type="dxa"/>
            <w:tcBorders>
              <w:top w:val="single" w:sz="4" w:space="0" w:color="auto"/>
            </w:tcBorders>
            <w:vAlign w:val="center"/>
          </w:tcPr>
          <w:p w14:paraId="0C906FE6" w14:textId="2DE514FC" w:rsidR="00EA1F75" w:rsidRPr="002846FA" w:rsidRDefault="00EA1F75" w:rsidP="008945DF">
            <w:pPr>
              <w:spacing w:line="360" w:lineRule="auto"/>
              <w:jc w:val="center"/>
              <w:rPr>
                <w:noProof/>
                <w:lang w:val="en-GB"/>
              </w:rPr>
            </w:pPr>
            <w:r>
              <w:rPr>
                <w:noProof/>
                <w:lang w:val="en-GB"/>
              </w:rPr>
              <w:t>130</w:t>
            </w:r>
          </w:p>
        </w:tc>
        <w:tc>
          <w:tcPr>
            <w:tcW w:w="1080" w:type="dxa"/>
            <w:gridSpan w:val="2"/>
            <w:tcBorders>
              <w:top w:val="single" w:sz="4" w:space="0" w:color="auto"/>
            </w:tcBorders>
            <w:vAlign w:val="center"/>
          </w:tcPr>
          <w:p w14:paraId="1C217FD5" w14:textId="6404A031" w:rsidR="00EA1F75" w:rsidRPr="002846FA" w:rsidRDefault="00EA1F75" w:rsidP="008945DF">
            <w:pPr>
              <w:spacing w:line="360" w:lineRule="auto"/>
              <w:jc w:val="center"/>
              <w:rPr>
                <w:noProof/>
                <w:lang w:val="en-GB"/>
              </w:rPr>
            </w:pPr>
            <w:r>
              <w:rPr>
                <w:noProof/>
                <w:lang w:val="en-GB"/>
              </w:rPr>
              <w:t>13</w:t>
            </w:r>
            <w:r w:rsidRPr="002846FA">
              <w:rPr>
                <w:noProof/>
                <w:lang w:val="en-GB"/>
              </w:rPr>
              <w:t>5</w:t>
            </w:r>
          </w:p>
        </w:tc>
        <w:tc>
          <w:tcPr>
            <w:tcW w:w="990" w:type="dxa"/>
            <w:gridSpan w:val="2"/>
            <w:tcBorders>
              <w:top w:val="single" w:sz="4" w:space="0" w:color="auto"/>
            </w:tcBorders>
            <w:vAlign w:val="center"/>
          </w:tcPr>
          <w:p w14:paraId="4C31C779" w14:textId="4530FBC5" w:rsidR="00EA1F75" w:rsidRPr="002846FA" w:rsidRDefault="00EA1F75" w:rsidP="008945DF">
            <w:pPr>
              <w:spacing w:line="360" w:lineRule="auto"/>
              <w:jc w:val="center"/>
              <w:rPr>
                <w:noProof/>
                <w:lang w:val="en-GB"/>
              </w:rPr>
            </w:pPr>
            <w:r w:rsidRPr="002846FA">
              <w:rPr>
                <w:noProof/>
                <w:lang w:val="en-GB"/>
              </w:rPr>
              <w:t>6</w:t>
            </w:r>
            <w:r>
              <w:rPr>
                <w:noProof/>
                <w:lang w:val="en-GB"/>
              </w:rPr>
              <w:t>75</w:t>
            </w:r>
          </w:p>
        </w:tc>
        <w:tc>
          <w:tcPr>
            <w:tcW w:w="990" w:type="dxa"/>
            <w:gridSpan w:val="3"/>
            <w:tcBorders>
              <w:top w:val="single" w:sz="4" w:space="0" w:color="auto"/>
            </w:tcBorders>
            <w:vAlign w:val="center"/>
          </w:tcPr>
          <w:p w14:paraId="2CBE5688" w14:textId="41C1851C" w:rsidR="00EA1F75" w:rsidRPr="002846FA" w:rsidRDefault="00EA1F75" w:rsidP="008945DF">
            <w:pPr>
              <w:spacing w:line="360" w:lineRule="auto"/>
              <w:jc w:val="center"/>
              <w:rPr>
                <w:noProof/>
                <w:lang w:val="en-GB"/>
              </w:rPr>
            </w:pPr>
            <w:r w:rsidRPr="002846FA">
              <w:rPr>
                <w:noProof/>
                <w:lang w:val="en-GB"/>
              </w:rPr>
              <w:t>6</w:t>
            </w:r>
            <w:r>
              <w:rPr>
                <w:noProof/>
                <w:lang w:val="en-GB"/>
              </w:rPr>
              <w:t>75</w:t>
            </w:r>
          </w:p>
        </w:tc>
      </w:tr>
      <w:tr w:rsidR="002246FE" w:rsidRPr="002846FA" w14:paraId="29F15802" w14:textId="77777777" w:rsidTr="0015163C">
        <w:trPr>
          <w:gridAfter w:val="2"/>
          <w:wAfter w:w="1411" w:type="dxa"/>
          <w:trHeight w:val="694"/>
          <w:jc w:val="center"/>
        </w:trPr>
        <w:tc>
          <w:tcPr>
            <w:tcW w:w="3060" w:type="dxa"/>
            <w:vAlign w:val="center"/>
          </w:tcPr>
          <w:p w14:paraId="4D460EAB" w14:textId="2ACADA33" w:rsidR="002246FE" w:rsidRPr="002846FA" w:rsidRDefault="002246FE" w:rsidP="00EA1F75">
            <w:pPr>
              <w:spacing w:line="360" w:lineRule="auto"/>
              <w:jc w:val="center"/>
              <w:rPr>
                <w:noProof/>
                <w:lang w:val="en-GB"/>
              </w:rPr>
            </w:pPr>
            <w:r w:rsidRPr="002846FA">
              <w:rPr>
                <w:noProof/>
                <w:lang w:val="en-GB"/>
              </w:rPr>
              <w:t>Areal resistance (</w:t>
            </w:r>
            <m:oMath>
              <m:sSubSup>
                <m:sSubSupPr>
                  <m:ctrlPr>
                    <w:rPr>
                      <w:rFonts w:ascii="Cambria Math" w:hAnsi="Cambria Math"/>
                      <w:i/>
                      <w:noProof/>
                      <w:lang w:val="en-GB"/>
                    </w:rPr>
                  </m:ctrlPr>
                </m:sSubSupPr>
                <m:e>
                  <m:r>
                    <w:rPr>
                      <w:rFonts w:ascii="Cambria Math" w:hAnsi="Cambria Math"/>
                      <w:noProof/>
                      <w:lang w:val="en-GB"/>
                    </w:rPr>
                    <m:t>R</m:t>
                  </m:r>
                </m:e>
                <m:sub>
                  <m:r>
                    <w:rPr>
                      <w:rFonts w:ascii="Cambria Math" w:hAnsi="Cambria Math"/>
                      <w:noProof/>
                      <w:lang w:val="en-GB"/>
                    </w:rPr>
                    <m:t>m</m:t>
                  </m:r>
                </m:sub>
                <m:sup>
                  <m:r>
                    <w:rPr>
                      <w:rFonts w:ascii="Cambria Math" w:hAnsi="Cambria Math"/>
                      <w:noProof/>
                      <w:lang w:val="en-GB"/>
                    </w:rPr>
                    <m:t>*</m:t>
                  </m:r>
                </m:sup>
              </m:sSubSup>
            </m:oMath>
            <w:r w:rsidRPr="002846FA">
              <w:rPr>
                <w:noProof/>
                <w:lang w:val="en-GB"/>
              </w:rPr>
              <w:t>)</w:t>
            </w:r>
          </w:p>
        </w:tc>
        <w:tc>
          <w:tcPr>
            <w:tcW w:w="1760" w:type="dxa"/>
            <w:vAlign w:val="center"/>
          </w:tcPr>
          <w:p w14:paraId="13AD92F6" w14:textId="31FD7A3D" w:rsidR="002246FE" w:rsidRPr="002846FA" w:rsidRDefault="002246FE" w:rsidP="00EA1F75">
            <w:pPr>
              <w:spacing w:line="360" w:lineRule="auto"/>
              <w:jc w:val="center"/>
              <w:rPr>
                <w:lang w:val="en-GB"/>
              </w:rPr>
            </w:pPr>
            <w:r w:rsidRPr="002846FA">
              <w:rPr>
                <w:lang w:val="en-GB"/>
              </w:rPr>
              <w:t>Ω cm</w:t>
            </w:r>
            <w:r w:rsidRPr="002846FA">
              <w:rPr>
                <w:vertAlign w:val="superscript"/>
                <w:lang w:val="en-GB"/>
              </w:rPr>
              <w:t>2</w:t>
            </w:r>
          </w:p>
        </w:tc>
        <w:tc>
          <w:tcPr>
            <w:tcW w:w="990" w:type="dxa"/>
            <w:vAlign w:val="center"/>
          </w:tcPr>
          <w:p w14:paraId="04EB9CDF" w14:textId="0F491A38" w:rsidR="002246FE" w:rsidRPr="002846FA" w:rsidRDefault="002246FE" w:rsidP="00EA1F75">
            <w:pPr>
              <w:spacing w:line="360" w:lineRule="auto"/>
              <w:jc w:val="center"/>
              <w:rPr>
                <w:noProof/>
                <w:lang w:val="en-GB"/>
              </w:rPr>
            </w:pPr>
            <w:r>
              <w:rPr>
                <w:noProof/>
                <w:lang w:val="en-GB"/>
              </w:rPr>
              <w:t>7</w:t>
            </w:r>
          </w:p>
        </w:tc>
        <w:tc>
          <w:tcPr>
            <w:tcW w:w="1080" w:type="dxa"/>
            <w:gridSpan w:val="2"/>
            <w:vAlign w:val="center"/>
          </w:tcPr>
          <w:p w14:paraId="5DEDBEA6" w14:textId="13F0ACF2" w:rsidR="002246FE" w:rsidRPr="002846FA" w:rsidRDefault="002246FE" w:rsidP="00EA1F75">
            <w:pPr>
              <w:spacing w:line="360" w:lineRule="auto"/>
              <w:jc w:val="center"/>
              <w:rPr>
                <w:noProof/>
                <w:lang w:val="en-GB"/>
              </w:rPr>
            </w:pPr>
            <w:r>
              <w:rPr>
                <w:noProof/>
                <w:lang w:val="en-GB"/>
              </w:rPr>
              <w:t>6</w:t>
            </w:r>
          </w:p>
        </w:tc>
        <w:tc>
          <w:tcPr>
            <w:tcW w:w="1980" w:type="dxa"/>
            <w:gridSpan w:val="5"/>
            <w:vAlign w:val="center"/>
          </w:tcPr>
          <w:p w14:paraId="18D4774C" w14:textId="50E468A9" w:rsidR="002246FE" w:rsidRPr="002846FA" w:rsidRDefault="002246FE" w:rsidP="00EA1F75">
            <w:pPr>
              <w:spacing w:line="360" w:lineRule="auto"/>
              <w:jc w:val="center"/>
              <w:rPr>
                <w:noProof/>
                <w:lang w:val="en-GB"/>
              </w:rPr>
            </w:pPr>
            <w:r>
              <w:rPr>
                <w:noProof/>
                <w:lang w:val="en-GB"/>
              </w:rPr>
              <w:t>13</w:t>
            </w:r>
          </w:p>
        </w:tc>
      </w:tr>
      <w:tr w:rsidR="00EA1F75" w:rsidRPr="002846FA" w14:paraId="7A23BF0C" w14:textId="77777777" w:rsidTr="00EA1F75">
        <w:trPr>
          <w:gridAfter w:val="2"/>
          <w:wAfter w:w="1411" w:type="dxa"/>
          <w:trHeight w:val="694"/>
          <w:jc w:val="center"/>
        </w:trPr>
        <w:tc>
          <w:tcPr>
            <w:tcW w:w="3060" w:type="dxa"/>
          </w:tcPr>
          <w:p w14:paraId="01C5795D" w14:textId="77777777" w:rsidR="00EA1F75" w:rsidRPr="002846FA" w:rsidRDefault="00EA1F75" w:rsidP="008945DF">
            <w:pPr>
              <w:spacing w:line="360" w:lineRule="auto"/>
              <w:jc w:val="center"/>
              <w:rPr>
                <w:noProof/>
                <w:lang w:val="en-GB"/>
              </w:rPr>
            </w:pPr>
            <w:r w:rsidRPr="002846FA">
              <w:rPr>
                <w:noProof/>
                <w:lang w:val="en-GB"/>
              </w:rPr>
              <w:t xml:space="preserve">Water </w:t>
            </w:r>
          </w:p>
          <w:p w14:paraId="0FCDA8C0" w14:textId="77777777" w:rsidR="00EA1F75" w:rsidRPr="002846FA" w:rsidRDefault="00EA1F75" w:rsidP="008945DF">
            <w:pPr>
              <w:spacing w:line="360" w:lineRule="auto"/>
              <w:jc w:val="center"/>
              <w:rPr>
                <w:noProof/>
                <w:lang w:val="en-GB"/>
              </w:rPr>
            </w:pPr>
            <w:r w:rsidRPr="002846FA">
              <w:rPr>
                <w:noProof/>
                <w:lang w:val="en-GB"/>
              </w:rPr>
              <w:t>permeability (</w:t>
            </w:r>
            <m:oMath>
              <m:sSub>
                <m:sSubPr>
                  <m:ctrlPr>
                    <w:rPr>
                      <w:rFonts w:ascii="Cambria Math" w:hAnsi="Cambria Math"/>
                      <w:i/>
                      <w:noProof/>
                      <w:lang w:val="en-GB"/>
                    </w:rPr>
                  </m:ctrlPr>
                </m:sSubPr>
                <m:e>
                  <m:r>
                    <w:rPr>
                      <w:rFonts w:ascii="Cambria Math" w:hAnsi="Cambria Math"/>
                      <w:noProof/>
                      <w:lang w:val="en-GB"/>
                    </w:rPr>
                    <m:t>L</m:t>
                  </m:r>
                </m:e>
                <m:sub>
                  <m:r>
                    <w:rPr>
                      <w:rFonts w:ascii="Cambria Math" w:hAnsi="Cambria Math"/>
                      <w:noProof/>
                      <w:lang w:val="en-GB"/>
                    </w:rPr>
                    <m:t>p</m:t>
                  </m:r>
                </m:sub>
              </m:sSub>
            </m:oMath>
            <w:r w:rsidRPr="002846FA">
              <w:rPr>
                <w:noProof/>
                <w:lang w:val="en-GB"/>
              </w:rPr>
              <w:t>)</w:t>
            </w:r>
          </w:p>
        </w:tc>
        <w:tc>
          <w:tcPr>
            <w:tcW w:w="1760" w:type="dxa"/>
          </w:tcPr>
          <w:p w14:paraId="5FCF7790" w14:textId="77777777" w:rsidR="00EA1F75" w:rsidRPr="002846FA" w:rsidRDefault="00EA1F75" w:rsidP="008945DF">
            <w:pPr>
              <w:spacing w:line="360" w:lineRule="auto"/>
              <w:jc w:val="center"/>
              <w:rPr>
                <w:lang w:val="en-GB"/>
              </w:rPr>
            </w:pPr>
            <w:r w:rsidRPr="002846FA">
              <w:rPr>
                <w:lang w:val="en-GB"/>
              </w:rPr>
              <w:t>ml bar</w:t>
            </w:r>
            <w:r w:rsidRPr="002846FA">
              <w:rPr>
                <w:color w:val="000000" w:themeColor="text1"/>
                <w:vertAlign w:val="superscript"/>
              </w:rPr>
              <w:t>–</w:t>
            </w:r>
            <w:r w:rsidRPr="002846FA">
              <w:rPr>
                <w:vertAlign w:val="superscript"/>
                <w:lang w:val="en-GB"/>
              </w:rPr>
              <w:t xml:space="preserve">1 </w:t>
            </w:r>
            <w:r w:rsidRPr="002846FA">
              <w:rPr>
                <w:lang w:val="en-GB"/>
              </w:rPr>
              <w:t>h</w:t>
            </w:r>
            <w:r w:rsidRPr="002846FA">
              <w:rPr>
                <w:color w:val="000000" w:themeColor="text1"/>
                <w:vertAlign w:val="superscript"/>
              </w:rPr>
              <w:t>–</w:t>
            </w:r>
            <w:r w:rsidRPr="002846FA">
              <w:rPr>
                <w:vertAlign w:val="superscript"/>
                <w:lang w:val="en-GB"/>
              </w:rPr>
              <w:t>1</w:t>
            </w:r>
            <w:r w:rsidRPr="002846FA">
              <w:rPr>
                <w:lang w:val="en-GB"/>
              </w:rPr>
              <w:t xml:space="preserve"> m</w:t>
            </w:r>
            <w:r w:rsidRPr="002846FA">
              <w:rPr>
                <w:color w:val="000000" w:themeColor="text1"/>
                <w:vertAlign w:val="superscript"/>
              </w:rPr>
              <w:t>–</w:t>
            </w:r>
            <w:r w:rsidRPr="002846FA">
              <w:rPr>
                <w:vertAlign w:val="superscript"/>
                <w:lang w:val="en-GB"/>
              </w:rPr>
              <w:t>2</w:t>
            </w:r>
          </w:p>
        </w:tc>
        <w:tc>
          <w:tcPr>
            <w:tcW w:w="990" w:type="dxa"/>
            <w:vAlign w:val="center"/>
          </w:tcPr>
          <w:p w14:paraId="352AA76E" w14:textId="77777777" w:rsidR="00EA1F75" w:rsidRPr="002846FA" w:rsidRDefault="00EA1F75" w:rsidP="008945DF">
            <w:pPr>
              <w:spacing w:line="360" w:lineRule="auto"/>
              <w:jc w:val="center"/>
              <w:rPr>
                <w:noProof/>
                <w:lang w:val="en-GB"/>
              </w:rPr>
            </w:pPr>
            <w:r w:rsidRPr="002846FA">
              <w:rPr>
                <w:noProof/>
                <w:lang w:val="en-GB"/>
              </w:rPr>
              <w:t>8</w:t>
            </w:r>
          </w:p>
        </w:tc>
        <w:tc>
          <w:tcPr>
            <w:tcW w:w="1080" w:type="dxa"/>
            <w:gridSpan w:val="2"/>
            <w:vAlign w:val="center"/>
          </w:tcPr>
          <w:p w14:paraId="4065F1D1" w14:textId="77777777" w:rsidR="00EA1F75" w:rsidRPr="002846FA" w:rsidRDefault="00EA1F75" w:rsidP="008945DF">
            <w:pPr>
              <w:spacing w:line="360" w:lineRule="auto"/>
              <w:jc w:val="center"/>
              <w:rPr>
                <w:noProof/>
                <w:lang w:val="en-GB"/>
              </w:rPr>
            </w:pPr>
            <w:r w:rsidRPr="002846FA">
              <w:rPr>
                <w:noProof/>
                <w:lang w:val="en-GB"/>
              </w:rPr>
              <w:t>8</w:t>
            </w:r>
          </w:p>
        </w:tc>
        <w:tc>
          <w:tcPr>
            <w:tcW w:w="990" w:type="dxa"/>
            <w:gridSpan w:val="2"/>
            <w:vAlign w:val="center"/>
          </w:tcPr>
          <w:p w14:paraId="21FAA403" w14:textId="77777777" w:rsidR="00EA1F75" w:rsidRPr="002846FA" w:rsidRDefault="00EA1F75" w:rsidP="008945DF">
            <w:pPr>
              <w:spacing w:line="360" w:lineRule="auto"/>
              <w:jc w:val="center"/>
              <w:rPr>
                <w:noProof/>
                <w:lang w:val="en-GB"/>
              </w:rPr>
            </w:pPr>
            <w:r w:rsidRPr="002846FA">
              <w:rPr>
                <w:noProof/>
                <w:lang w:val="en-GB"/>
              </w:rPr>
              <w:t>-</w:t>
            </w:r>
          </w:p>
        </w:tc>
        <w:tc>
          <w:tcPr>
            <w:tcW w:w="990" w:type="dxa"/>
            <w:gridSpan w:val="3"/>
            <w:vAlign w:val="center"/>
          </w:tcPr>
          <w:p w14:paraId="2772CCB3" w14:textId="77777777" w:rsidR="00EA1F75" w:rsidRPr="002846FA" w:rsidRDefault="00EA1F75" w:rsidP="008945DF">
            <w:pPr>
              <w:spacing w:line="360" w:lineRule="auto"/>
              <w:jc w:val="center"/>
              <w:rPr>
                <w:noProof/>
                <w:lang w:val="en-GB"/>
              </w:rPr>
            </w:pPr>
            <w:r w:rsidRPr="002846FA">
              <w:rPr>
                <w:noProof/>
                <w:lang w:val="en-GB"/>
              </w:rPr>
              <w:t>-</w:t>
            </w:r>
          </w:p>
        </w:tc>
      </w:tr>
      <w:tr w:rsidR="00EA1F75" w:rsidRPr="002846FA" w14:paraId="3B1BF9E5" w14:textId="77777777" w:rsidTr="00EA1F75">
        <w:trPr>
          <w:gridAfter w:val="2"/>
          <w:wAfter w:w="1411" w:type="dxa"/>
          <w:trHeight w:val="347"/>
          <w:jc w:val="center"/>
        </w:trPr>
        <w:tc>
          <w:tcPr>
            <w:tcW w:w="3060" w:type="dxa"/>
          </w:tcPr>
          <w:p w14:paraId="48652F43" w14:textId="77777777" w:rsidR="00EA1F75" w:rsidRPr="004A123E" w:rsidRDefault="00EA1F75" w:rsidP="008945DF">
            <w:pPr>
              <w:spacing w:line="360" w:lineRule="auto"/>
              <w:jc w:val="center"/>
              <w:rPr>
                <w:noProof/>
                <w:lang w:val="it-IT"/>
              </w:rPr>
            </w:pPr>
            <w:r w:rsidRPr="004A123E">
              <w:rPr>
                <w:noProof/>
                <w:lang w:val="it-IT"/>
              </w:rPr>
              <w:t>H</w:t>
            </w:r>
            <w:r w:rsidRPr="004A123E">
              <w:rPr>
                <w:noProof/>
                <w:vertAlign w:val="superscript"/>
                <w:lang w:val="it-IT"/>
              </w:rPr>
              <w:t>+</w:t>
            </w:r>
            <w:r w:rsidRPr="004A123E">
              <w:rPr>
                <w:noProof/>
                <w:lang w:val="it-IT"/>
              </w:rPr>
              <w:t xml:space="preserve"> diffusivity (</w:t>
            </w:r>
            <m:oMath>
              <m:sSub>
                <m:sSubPr>
                  <m:ctrlPr>
                    <w:rPr>
                      <w:rFonts w:ascii="Cambria Math" w:hAnsi="Cambria Math"/>
                      <w:i/>
                      <w:noProof/>
                      <w:lang w:val="en-GB"/>
                    </w:rPr>
                  </m:ctrlPr>
                </m:sSubPr>
                <m:e>
                  <m:r>
                    <w:rPr>
                      <w:rFonts w:ascii="Cambria Math" w:hAnsi="Cambria Math"/>
                      <w:noProof/>
                      <w:lang w:val="en-GB"/>
                    </w:rPr>
                    <m:t>D</m:t>
                  </m:r>
                </m:e>
                <m:sub>
                  <m:r>
                    <w:rPr>
                      <w:rFonts w:ascii="Cambria Math" w:hAnsi="Cambria Math"/>
                      <w:noProof/>
                      <w:lang w:val="en-GB"/>
                    </w:rPr>
                    <m:t>H</m:t>
                  </m:r>
                  <m:r>
                    <w:rPr>
                      <w:rFonts w:ascii="Cambria Math" w:hAnsi="Cambria Math"/>
                      <w:noProof/>
                      <w:lang w:val="it-IT"/>
                    </w:rPr>
                    <m:t>,</m:t>
                  </m:r>
                  <m:r>
                    <w:rPr>
                      <w:rFonts w:ascii="Cambria Math" w:hAnsi="Cambria Math"/>
                      <w:noProof/>
                      <w:lang w:val="en-GB"/>
                    </w:rPr>
                    <m:t>m</m:t>
                  </m:r>
                </m:sub>
              </m:sSub>
            </m:oMath>
            <w:r w:rsidRPr="004A123E">
              <w:rPr>
                <w:noProof/>
                <w:lang w:val="it-IT"/>
              </w:rPr>
              <w:t>)</w:t>
            </w:r>
          </w:p>
        </w:tc>
        <w:tc>
          <w:tcPr>
            <w:tcW w:w="1760" w:type="dxa"/>
          </w:tcPr>
          <w:p w14:paraId="6CD2F993" w14:textId="77777777" w:rsidR="00EA1F75" w:rsidRPr="002846FA" w:rsidRDefault="00EA1F75" w:rsidP="008945DF">
            <w:pPr>
              <w:spacing w:line="360" w:lineRule="auto"/>
              <w:jc w:val="center"/>
              <w:rPr>
                <w:noProof/>
                <w:lang w:val="en-GB"/>
              </w:rPr>
            </w:pPr>
            <w:r w:rsidRPr="002846FA">
              <w:rPr>
                <w:noProof/>
                <w:lang w:val="en-GB"/>
              </w:rPr>
              <w:t>m</w:t>
            </w:r>
            <w:r w:rsidRPr="002846FA">
              <w:rPr>
                <w:noProof/>
                <w:vertAlign w:val="superscript"/>
                <w:lang w:val="en-GB"/>
              </w:rPr>
              <w:t>2</w:t>
            </w:r>
            <w:r w:rsidRPr="002846FA">
              <w:rPr>
                <w:noProof/>
                <w:lang w:val="en-GB"/>
              </w:rPr>
              <w:t xml:space="preserve"> s</w:t>
            </w:r>
            <w:r w:rsidRPr="002846FA">
              <w:rPr>
                <w:color w:val="000000" w:themeColor="text1"/>
                <w:vertAlign w:val="superscript"/>
              </w:rPr>
              <w:t>–</w:t>
            </w:r>
            <w:r w:rsidRPr="002846FA">
              <w:rPr>
                <w:noProof/>
                <w:vertAlign w:val="superscript"/>
                <w:lang w:val="en-GB"/>
              </w:rPr>
              <w:t>1</w:t>
            </w:r>
          </w:p>
        </w:tc>
        <w:tc>
          <w:tcPr>
            <w:tcW w:w="990" w:type="dxa"/>
            <w:vAlign w:val="center"/>
          </w:tcPr>
          <w:p w14:paraId="74BD6D3E" w14:textId="77777777" w:rsidR="00EA1F75" w:rsidRPr="002846FA" w:rsidRDefault="00EA1F75" w:rsidP="008945DF">
            <w:pPr>
              <w:spacing w:line="360" w:lineRule="auto"/>
              <w:jc w:val="center"/>
              <w:rPr>
                <w:noProof/>
                <w:lang w:val="en-GB"/>
              </w:rPr>
            </w:pPr>
            <w:r w:rsidRPr="002846FA">
              <w:rPr>
                <w:spacing w:val="-3"/>
                <w:lang w:val="en-GB"/>
              </w:rPr>
              <w:t>2.0E-11</w:t>
            </w:r>
          </w:p>
        </w:tc>
        <w:tc>
          <w:tcPr>
            <w:tcW w:w="1080" w:type="dxa"/>
            <w:gridSpan w:val="2"/>
            <w:vAlign w:val="center"/>
          </w:tcPr>
          <w:p w14:paraId="2214D2A5" w14:textId="77777777" w:rsidR="00EA1F75" w:rsidRPr="002846FA" w:rsidRDefault="00EA1F75" w:rsidP="008945DF">
            <w:pPr>
              <w:spacing w:line="360" w:lineRule="auto"/>
              <w:jc w:val="center"/>
              <w:rPr>
                <w:noProof/>
                <w:lang w:val="en-GB"/>
              </w:rPr>
            </w:pPr>
            <w:r w:rsidRPr="002846FA">
              <w:rPr>
                <w:spacing w:val="-3"/>
                <w:lang w:val="en-GB"/>
              </w:rPr>
              <w:t>0.7E-11</w:t>
            </w:r>
          </w:p>
        </w:tc>
        <w:tc>
          <w:tcPr>
            <w:tcW w:w="990" w:type="dxa"/>
            <w:gridSpan w:val="2"/>
            <w:vAlign w:val="center"/>
          </w:tcPr>
          <w:p w14:paraId="13E1C5CE" w14:textId="77777777" w:rsidR="00EA1F75" w:rsidRPr="002846FA" w:rsidRDefault="00EA1F75" w:rsidP="008945DF">
            <w:pPr>
              <w:spacing w:line="360" w:lineRule="auto"/>
              <w:jc w:val="center"/>
              <w:rPr>
                <w:noProof/>
                <w:lang w:val="en-GB"/>
              </w:rPr>
            </w:pPr>
            <w:r w:rsidRPr="002846FA">
              <w:rPr>
                <w:spacing w:val="-3"/>
                <w:lang w:val="en-GB"/>
              </w:rPr>
              <w:t>2.0E-11</w:t>
            </w:r>
          </w:p>
        </w:tc>
        <w:tc>
          <w:tcPr>
            <w:tcW w:w="990" w:type="dxa"/>
            <w:gridSpan w:val="3"/>
            <w:vAlign w:val="center"/>
          </w:tcPr>
          <w:p w14:paraId="576E3CB6" w14:textId="77777777" w:rsidR="00EA1F75" w:rsidRPr="002846FA" w:rsidRDefault="00EA1F75" w:rsidP="008945DF">
            <w:pPr>
              <w:spacing w:line="360" w:lineRule="auto"/>
              <w:jc w:val="center"/>
              <w:rPr>
                <w:noProof/>
                <w:lang w:val="en-GB"/>
              </w:rPr>
            </w:pPr>
            <w:r w:rsidRPr="002846FA">
              <w:rPr>
                <w:spacing w:val="-3"/>
                <w:lang w:val="en-GB"/>
              </w:rPr>
              <w:t>0.7E-11</w:t>
            </w:r>
          </w:p>
        </w:tc>
      </w:tr>
      <w:tr w:rsidR="00EA1F75" w:rsidRPr="002846FA" w14:paraId="11EEC734" w14:textId="77777777" w:rsidTr="00EA1F75">
        <w:trPr>
          <w:gridAfter w:val="2"/>
          <w:wAfter w:w="1411" w:type="dxa"/>
          <w:trHeight w:val="347"/>
          <w:jc w:val="center"/>
        </w:trPr>
        <w:tc>
          <w:tcPr>
            <w:tcW w:w="3060" w:type="dxa"/>
          </w:tcPr>
          <w:p w14:paraId="3B4E8F9F" w14:textId="77777777" w:rsidR="00EA1F75" w:rsidRPr="004A123E" w:rsidRDefault="00EA1F75" w:rsidP="008945DF">
            <w:pPr>
              <w:spacing w:line="360" w:lineRule="auto"/>
              <w:jc w:val="center"/>
              <w:rPr>
                <w:noProof/>
                <w:lang w:val="it-IT"/>
              </w:rPr>
            </w:pPr>
            <w:r w:rsidRPr="004A123E">
              <w:rPr>
                <w:noProof/>
                <w:lang w:val="it-IT"/>
              </w:rPr>
              <w:t>Na</w:t>
            </w:r>
            <w:r w:rsidRPr="004A123E">
              <w:rPr>
                <w:noProof/>
                <w:vertAlign w:val="superscript"/>
                <w:lang w:val="it-IT"/>
              </w:rPr>
              <w:t>+</w:t>
            </w:r>
            <w:r w:rsidRPr="004A123E">
              <w:rPr>
                <w:noProof/>
                <w:lang w:val="it-IT"/>
              </w:rPr>
              <w:t xml:space="preserve"> diffusivity(</w:t>
            </w:r>
            <m:oMath>
              <m:sSub>
                <m:sSubPr>
                  <m:ctrlPr>
                    <w:rPr>
                      <w:rFonts w:ascii="Cambria Math" w:hAnsi="Cambria Math"/>
                      <w:i/>
                      <w:noProof/>
                      <w:lang w:val="en-GB"/>
                    </w:rPr>
                  </m:ctrlPr>
                </m:sSubPr>
                <m:e>
                  <m:r>
                    <w:rPr>
                      <w:rFonts w:ascii="Cambria Math" w:hAnsi="Cambria Math"/>
                      <w:noProof/>
                      <w:lang w:val="en-GB"/>
                    </w:rPr>
                    <m:t>D</m:t>
                  </m:r>
                </m:e>
                <m:sub>
                  <m:r>
                    <w:rPr>
                      <w:rFonts w:ascii="Cambria Math" w:hAnsi="Cambria Math"/>
                      <w:noProof/>
                      <w:lang w:val="en-GB"/>
                    </w:rPr>
                    <m:t>Na</m:t>
                  </m:r>
                  <m:r>
                    <w:rPr>
                      <w:rFonts w:ascii="Cambria Math" w:hAnsi="Cambria Math"/>
                      <w:noProof/>
                      <w:lang w:val="it-IT"/>
                    </w:rPr>
                    <m:t>,</m:t>
                  </m:r>
                  <m:r>
                    <w:rPr>
                      <w:rFonts w:ascii="Cambria Math" w:hAnsi="Cambria Math"/>
                      <w:noProof/>
                      <w:lang w:val="en-GB"/>
                    </w:rPr>
                    <m:t>m</m:t>
                  </m:r>
                </m:sub>
              </m:sSub>
            </m:oMath>
            <w:r w:rsidRPr="004A123E">
              <w:rPr>
                <w:noProof/>
                <w:lang w:val="it-IT"/>
              </w:rPr>
              <w:t>)</w:t>
            </w:r>
          </w:p>
        </w:tc>
        <w:tc>
          <w:tcPr>
            <w:tcW w:w="1760" w:type="dxa"/>
          </w:tcPr>
          <w:p w14:paraId="4FE8A0E6" w14:textId="77777777" w:rsidR="00EA1F75" w:rsidRPr="002846FA" w:rsidRDefault="00EA1F75" w:rsidP="008945DF">
            <w:pPr>
              <w:spacing w:line="360" w:lineRule="auto"/>
              <w:jc w:val="center"/>
              <w:rPr>
                <w:noProof/>
                <w:lang w:val="en-GB"/>
              </w:rPr>
            </w:pPr>
            <w:r w:rsidRPr="002846FA">
              <w:rPr>
                <w:noProof/>
                <w:lang w:val="en-GB"/>
              </w:rPr>
              <w:t>m</w:t>
            </w:r>
            <w:r w:rsidRPr="002846FA">
              <w:rPr>
                <w:noProof/>
                <w:vertAlign w:val="superscript"/>
                <w:lang w:val="en-GB"/>
              </w:rPr>
              <w:t>2</w:t>
            </w:r>
            <w:r w:rsidRPr="002846FA">
              <w:rPr>
                <w:noProof/>
                <w:lang w:val="en-GB"/>
              </w:rPr>
              <w:t xml:space="preserve"> s</w:t>
            </w:r>
            <w:r w:rsidRPr="002846FA">
              <w:rPr>
                <w:color w:val="000000" w:themeColor="text1"/>
                <w:vertAlign w:val="superscript"/>
              </w:rPr>
              <w:t>–</w:t>
            </w:r>
            <w:r w:rsidRPr="002846FA">
              <w:rPr>
                <w:noProof/>
                <w:vertAlign w:val="superscript"/>
                <w:lang w:val="en-GB"/>
              </w:rPr>
              <w:t>1</w:t>
            </w:r>
          </w:p>
        </w:tc>
        <w:tc>
          <w:tcPr>
            <w:tcW w:w="990" w:type="dxa"/>
            <w:vAlign w:val="center"/>
          </w:tcPr>
          <w:p w14:paraId="2A71851A" w14:textId="77777777" w:rsidR="00EA1F75" w:rsidRPr="002846FA" w:rsidRDefault="00EA1F75" w:rsidP="008945DF">
            <w:pPr>
              <w:spacing w:line="360" w:lineRule="auto"/>
              <w:jc w:val="center"/>
              <w:rPr>
                <w:noProof/>
                <w:lang w:val="en-GB"/>
              </w:rPr>
            </w:pPr>
            <w:r w:rsidRPr="002846FA">
              <w:rPr>
                <w:spacing w:val="-3"/>
                <w:lang w:val="en-GB"/>
              </w:rPr>
              <w:t>1.6E-11</w:t>
            </w:r>
          </w:p>
        </w:tc>
        <w:tc>
          <w:tcPr>
            <w:tcW w:w="1080" w:type="dxa"/>
            <w:gridSpan w:val="2"/>
            <w:vAlign w:val="center"/>
          </w:tcPr>
          <w:p w14:paraId="600BFF59" w14:textId="77777777" w:rsidR="00EA1F75" w:rsidRPr="002846FA" w:rsidRDefault="00EA1F75" w:rsidP="008945DF">
            <w:pPr>
              <w:spacing w:line="360" w:lineRule="auto"/>
              <w:jc w:val="center"/>
              <w:rPr>
                <w:noProof/>
                <w:lang w:val="en-GB"/>
              </w:rPr>
            </w:pPr>
            <w:r w:rsidRPr="002846FA">
              <w:rPr>
                <w:spacing w:val="-3"/>
                <w:lang w:val="en-GB"/>
              </w:rPr>
              <w:t>0.5E-11</w:t>
            </w:r>
          </w:p>
        </w:tc>
        <w:tc>
          <w:tcPr>
            <w:tcW w:w="990" w:type="dxa"/>
            <w:gridSpan w:val="2"/>
            <w:vAlign w:val="center"/>
          </w:tcPr>
          <w:p w14:paraId="474FEF6B" w14:textId="77777777" w:rsidR="00EA1F75" w:rsidRPr="002846FA" w:rsidRDefault="00EA1F75" w:rsidP="008945DF">
            <w:pPr>
              <w:spacing w:line="360" w:lineRule="auto"/>
              <w:jc w:val="center"/>
              <w:rPr>
                <w:noProof/>
                <w:lang w:val="en-GB"/>
              </w:rPr>
            </w:pPr>
            <w:r w:rsidRPr="002846FA">
              <w:rPr>
                <w:spacing w:val="-3"/>
                <w:lang w:val="en-GB"/>
              </w:rPr>
              <w:t>1.6E-11</w:t>
            </w:r>
          </w:p>
        </w:tc>
        <w:tc>
          <w:tcPr>
            <w:tcW w:w="990" w:type="dxa"/>
            <w:gridSpan w:val="3"/>
            <w:vAlign w:val="center"/>
          </w:tcPr>
          <w:p w14:paraId="60A0BFE6" w14:textId="77777777" w:rsidR="00EA1F75" w:rsidRPr="002846FA" w:rsidRDefault="00EA1F75" w:rsidP="008945DF">
            <w:pPr>
              <w:spacing w:line="360" w:lineRule="auto"/>
              <w:jc w:val="center"/>
              <w:rPr>
                <w:noProof/>
                <w:lang w:val="en-GB"/>
              </w:rPr>
            </w:pPr>
            <w:r w:rsidRPr="002846FA">
              <w:rPr>
                <w:spacing w:val="-3"/>
                <w:lang w:val="en-GB"/>
              </w:rPr>
              <w:t>0.5E-11</w:t>
            </w:r>
          </w:p>
        </w:tc>
      </w:tr>
      <w:tr w:rsidR="00EA1F75" w:rsidRPr="002846FA" w14:paraId="740EB064" w14:textId="77777777" w:rsidTr="00EA1F75">
        <w:trPr>
          <w:gridAfter w:val="2"/>
          <w:wAfter w:w="1411" w:type="dxa"/>
          <w:trHeight w:val="347"/>
          <w:jc w:val="center"/>
        </w:trPr>
        <w:tc>
          <w:tcPr>
            <w:tcW w:w="3060" w:type="dxa"/>
          </w:tcPr>
          <w:p w14:paraId="105CD7E8" w14:textId="77777777" w:rsidR="00EA1F75" w:rsidRPr="004A123E" w:rsidRDefault="00EA1F75" w:rsidP="008945DF">
            <w:pPr>
              <w:spacing w:line="360" w:lineRule="auto"/>
              <w:jc w:val="center"/>
              <w:rPr>
                <w:noProof/>
                <w:lang w:val="it-IT"/>
              </w:rPr>
            </w:pPr>
            <w:r w:rsidRPr="004A123E">
              <w:rPr>
                <w:noProof/>
                <w:lang w:val="it-IT"/>
              </w:rPr>
              <w:t>Cl</w:t>
            </w:r>
            <w:r w:rsidRPr="004A123E">
              <w:rPr>
                <w:noProof/>
                <w:vertAlign w:val="superscript"/>
                <w:lang w:val="it-IT"/>
              </w:rPr>
              <w:t>-</w:t>
            </w:r>
            <w:r w:rsidRPr="004A123E">
              <w:rPr>
                <w:noProof/>
                <w:lang w:val="it-IT"/>
              </w:rPr>
              <w:t xml:space="preserve"> diffusivity (</w:t>
            </w:r>
            <m:oMath>
              <m:sSub>
                <m:sSubPr>
                  <m:ctrlPr>
                    <w:rPr>
                      <w:rFonts w:ascii="Cambria Math" w:hAnsi="Cambria Math"/>
                      <w:i/>
                      <w:noProof/>
                      <w:lang w:val="en-GB"/>
                    </w:rPr>
                  </m:ctrlPr>
                </m:sSubPr>
                <m:e>
                  <m:r>
                    <w:rPr>
                      <w:rFonts w:ascii="Cambria Math" w:hAnsi="Cambria Math"/>
                      <w:noProof/>
                      <w:lang w:val="en-GB"/>
                    </w:rPr>
                    <m:t>D</m:t>
                  </m:r>
                </m:e>
                <m:sub>
                  <m:r>
                    <w:rPr>
                      <w:rFonts w:ascii="Cambria Math" w:hAnsi="Cambria Math"/>
                      <w:noProof/>
                      <w:lang w:val="en-GB"/>
                    </w:rPr>
                    <m:t>Cl</m:t>
                  </m:r>
                  <m:r>
                    <w:rPr>
                      <w:rFonts w:ascii="Cambria Math" w:hAnsi="Cambria Math"/>
                      <w:noProof/>
                      <w:lang w:val="it-IT"/>
                    </w:rPr>
                    <m:t>,</m:t>
                  </m:r>
                  <m:r>
                    <w:rPr>
                      <w:rFonts w:ascii="Cambria Math" w:hAnsi="Cambria Math"/>
                      <w:noProof/>
                      <w:lang w:val="en-GB"/>
                    </w:rPr>
                    <m:t>m</m:t>
                  </m:r>
                </m:sub>
              </m:sSub>
            </m:oMath>
            <w:r w:rsidRPr="004A123E">
              <w:rPr>
                <w:noProof/>
                <w:lang w:val="it-IT"/>
              </w:rPr>
              <w:t>)</w:t>
            </w:r>
          </w:p>
        </w:tc>
        <w:tc>
          <w:tcPr>
            <w:tcW w:w="1760" w:type="dxa"/>
          </w:tcPr>
          <w:p w14:paraId="54D393BB" w14:textId="77777777" w:rsidR="00EA1F75" w:rsidRPr="002846FA" w:rsidRDefault="00EA1F75" w:rsidP="008945DF">
            <w:pPr>
              <w:spacing w:line="360" w:lineRule="auto"/>
              <w:jc w:val="center"/>
              <w:rPr>
                <w:noProof/>
                <w:lang w:val="en-GB"/>
              </w:rPr>
            </w:pPr>
            <w:r w:rsidRPr="002846FA">
              <w:rPr>
                <w:noProof/>
                <w:lang w:val="en-GB"/>
              </w:rPr>
              <w:t>m</w:t>
            </w:r>
            <w:r w:rsidRPr="002846FA">
              <w:rPr>
                <w:noProof/>
                <w:vertAlign w:val="superscript"/>
                <w:lang w:val="en-GB"/>
              </w:rPr>
              <w:t>2</w:t>
            </w:r>
            <w:r w:rsidRPr="002846FA">
              <w:rPr>
                <w:noProof/>
                <w:lang w:val="en-GB"/>
              </w:rPr>
              <w:t xml:space="preserve"> s</w:t>
            </w:r>
            <w:r w:rsidRPr="002846FA">
              <w:rPr>
                <w:color w:val="000000" w:themeColor="text1"/>
                <w:vertAlign w:val="superscript"/>
              </w:rPr>
              <w:t>–</w:t>
            </w:r>
            <w:r w:rsidRPr="002846FA">
              <w:rPr>
                <w:noProof/>
                <w:vertAlign w:val="superscript"/>
                <w:lang w:val="en-GB"/>
              </w:rPr>
              <w:t>1</w:t>
            </w:r>
          </w:p>
        </w:tc>
        <w:tc>
          <w:tcPr>
            <w:tcW w:w="990" w:type="dxa"/>
            <w:vAlign w:val="center"/>
          </w:tcPr>
          <w:p w14:paraId="53D74C77" w14:textId="77777777" w:rsidR="00EA1F75" w:rsidRPr="002846FA" w:rsidRDefault="00EA1F75" w:rsidP="008945DF">
            <w:pPr>
              <w:spacing w:line="360" w:lineRule="auto"/>
              <w:jc w:val="center"/>
              <w:rPr>
                <w:noProof/>
                <w:lang w:val="en-GB"/>
              </w:rPr>
            </w:pPr>
            <w:r w:rsidRPr="002846FA">
              <w:rPr>
                <w:spacing w:val="-3"/>
                <w:lang w:val="en-GB"/>
              </w:rPr>
              <w:t>1.7E-11</w:t>
            </w:r>
          </w:p>
        </w:tc>
        <w:tc>
          <w:tcPr>
            <w:tcW w:w="1080" w:type="dxa"/>
            <w:gridSpan w:val="2"/>
            <w:vAlign w:val="center"/>
          </w:tcPr>
          <w:p w14:paraId="059D61C7" w14:textId="77777777" w:rsidR="00EA1F75" w:rsidRPr="002846FA" w:rsidRDefault="00EA1F75" w:rsidP="008945DF">
            <w:pPr>
              <w:spacing w:line="360" w:lineRule="auto"/>
              <w:jc w:val="center"/>
              <w:rPr>
                <w:noProof/>
                <w:lang w:val="en-GB"/>
              </w:rPr>
            </w:pPr>
            <w:r w:rsidRPr="002846FA">
              <w:rPr>
                <w:spacing w:val="-3"/>
                <w:lang w:val="en-GB"/>
              </w:rPr>
              <w:t>0.6E-11</w:t>
            </w:r>
          </w:p>
        </w:tc>
        <w:tc>
          <w:tcPr>
            <w:tcW w:w="990" w:type="dxa"/>
            <w:gridSpan w:val="2"/>
            <w:vAlign w:val="center"/>
          </w:tcPr>
          <w:p w14:paraId="01BCBC07" w14:textId="77777777" w:rsidR="00EA1F75" w:rsidRPr="002846FA" w:rsidRDefault="00EA1F75" w:rsidP="008945DF">
            <w:pPr>
              <w:spacing w:line="360" w:lineRule="auto"/>
              <w:jc w:val="center"/>
              <w:rPr>
                <w:noProof/>
                <w:lang w:val="en-GB"/>
              </w:rPr>
            </w:pPr>
            <w:r w:rsidRPr="002846FA">
              <w:rPr>
                <w:spacing w:val="-3"/>
                <w:lang w:val="en-GB"/>
              </w:rPr>
              <w:t>1.7E-11</w:t>
            </w:r>
          </w:p>
        </w:tc>
        <w:tc>
          <w:tcPr>
            <w:tcW w:w="990" w:type="dxa"/>
            <w:gridSpan w:val="3"/>
            <w:vAlign w:val="center"/>
          </w:tcPr>
          <w:p w14:paraId="40861CE1" w14:textId="77777777" w:rsidR="00EA1F75" w:rsidRPr="002846FA" w:rsidRDefault="00EA1F75" w:rsidP="008945DF">
            <w:pPr>
              <w:spacing w:line="360" w:lineRule="auto"/>
              <w:jc w:val="center"/>
              <w:rPr>
                <w:noProof/>
                <w:lang w:val="en-GB"/>
              </w:rPr>
            </w:pPr>
            <w:r w:rsidRPr="002846FA">
              <w:rPr>
                <w:spacing w:val="-3"/>
                <w:lang w:val="en-GB"/>
              </w:rPr>
              <w:t>0.6E-11</w:t>
            </w:r>
          </w:p>
        </w:tc>
      </w:tr>
      <w:tr w:rsidR="00EA1F75" w:rsidRPr="002846FA" w14:paraId="37CBEDA5" w14:textId="77777777" w:rsidTr="00EA1F75">
        <w:trPr>
          <w:gridAfter w:val="2"/>
          <w:wAfter w:w="1411" w:type="dxa"/>
          <w:trHeight w:val="347"/>
          <w:jc w:val="center"/>
        </w:trPr>
        <w:tc>
          <w:tcPr>
            <w:tcW w:w="3060" w:type="dxa"/>
          </w:tcPr>
          <w:p w14:paraId="7291D633" w14:textId="77777777" w:rsidR="00EA1F75" w:rsidRPr="004A123E" w:rsidRDefault="00EA1F75" w:rsidP="008945DF">
            <w:pPr>
              <w:spacing w:line="360" w:lineRule="auto"/>
              <w:jc w:val="center"/>
              <w:rPr>
                <w:noProof/>
                <w:lang w:val="it-IT"/>
              </w:rPr>
            </w:pPr>
            <w:r w:rsidRPr="004A123E">
              <w:rPr>
                <w:noProof/>
                <w:lang w:val="it-IT"/>
              </w:rPr>
              <w:lastRenderedPageBreak/>
              <w:t>OH</w:t>
            </w:r>
            <w:r w:rsidRPr="004A123E">
              <w:rPr>
                <w:noProof/>
                <w:vertAlign w:val="superscript"/>
                <w:lang w:val="it-IT"/>
              </w:rPr>
              <w:t>-</w:t>
            </w:r>
            <w:r w:rsidRPr="004A123E">
              <w:rPr>
                <w:noProof/>
                <w:lang w:val="it-IT"/>
              </w:rPr>
              <w:t xml:space="preserve"> diffusivity (</w:t>
            </w:r>
            <m:oMath>
              <m:sSub>
                <m:sSubPr>
                  <m:ctrlPr>
                    <w:rPr>
                      <w:rFonts w:ascii="Cambria Math" w:hAnsi="Cambria Math"/>
                      <w:i/>
                      <w:noProof/>
                      <w:lang w:val="en-GB"/>
                    </w:rPr>
                  </m:ctrlPr>
                </m:sSubPr>
                <m:e>
                  <m:r>
                    <w:rPr>
                      <w:rFonts w:ascii="Cambria Math" w:hAnsi="Cambria Math"/>
                      <w:noProof/>
                      <w:lang w:val="en-GB"/>
                    </w:rPr>
                    <m:t>D</m:t>
                  </m:r>
                </m:e>
                <m:sub>
                  <m:r>
                    <w:rPr>
                      <w:rFonts w:ascii="Cambria Math" w:hAnsi="Cambria Math"/>
                      <w:noProof/>
                      <w:lang w:val="en-GB"/>
                    </w:rPr>
                    <m:t>OH</m:t>
                  </m:r>
                  <m:r>
                    <w:rPr>
                      <w:rFonts w:ascii="Cambria Math" w:hAnsi="Cambria Math"/>
                      <w:noProof/>
                      <w:lang w:val="it-IT"/>
                    </w:rPr>
                    <m:t>,</m:t>
                  </m:r>
                  <m:r>
                    <w:rPr>
                      <w:rFonts w:ascii="Cambria Math" w:hAnsi="Cambria Math"/>
                      <w:noProof/>
                      <w:lang w:val="en-GB"/>
                    </w:rPr>
                    <m:t>m</m:t>
                  </m:r>
                </m:sub>
              </m:sSub>
            </m:oMath>
            <w:r w:rsidRPr="004A123E">
              <w:rPr>
                <w:noProof/>
                <w:lang w:val="it-IT"/>
              </w:rPr>
              <w:t>)</w:t>
            </w:r>
          </w:p>
        </w:tc>
        <w:tc>
          <w:tcPr>
            <w:tcW w:w="1760" w:type="dxa"/>
          </w:tcPr>
          <w:p w14:paraId="5FD355B1" w14:textId="77777777" w:rsidR="00EA1F75" w:rsidRPr="002846FA" w:rsidRDefault="00EA1F75" w:rsidP="008945DF">
            <w:pPr>
              <w:spacing w:line="360" w:lineRule="auto"/>
              <w:jc w:val="center"/>
              <w:rPr>
                <w:noProof/>
                <w:lang w:val="en-GB"/>
              </w:rPr>
            </w:pPr>
            <w:r w:rsidRPr="002846FA">
              <w:rPr>
                <w:noProof/>
                <w:lang w:val="en-GB"/>
              </w:rPr>
              <w:t>m</w:t>
            </w:r>
            <w:r w:rsidRPr="002846FA">
              <w:rPr>
                <w:noProof/>
                <w:vertAlign w:val="superscript"/>
                <w:lang w:val="en-GB"/>
              </w:rPr>
              <w:t>2</w:t>
            </w:r>
            <w:r w:rsidRPr="002846FA">
              <w:rPr>
                <w:noProof/>
                <w:lang w:val="en-GB"/>
              </w:rPr>
              <w:t xml:space="preserve"> s</w:t>
            </w:r>
            <w:r w:rsidRPr="002846FA">
              <w:rPr>
                <w:color w:val="000000" w:themeColor="text1"/>
                <w:vertAlign w:val="superscript"/>
              </w:rPr>
              <w:t>–</w:t>
            </w:r>
            <w:r w:rsidRPr="002846FA">
              <w:rPr>
                <w:noProof/>
                <w:vertAlign w:val="superscript"/>
                <w:lang w:val="en-GB"/>
              </w:rPr>
              <w:t>1</w:t>
            </w:r>
          </w:p>
        </w:tc>
        <w:tc>
          <w:tcPr>
            <w:tcW w:w="990" w:type="dxa"/>
            <w:vAlign w:val="center"/>
          </w:tcPr>
          <w:p w14:paraId="498B482F" w14:textId="77777777" w:rsidR="00EA1F75" w:rsidRPr="002846FA" w:rsidRDefault="00EA1F75" w:rsidP="008945DF">
            <w:pPr>
              <w:spacing w:line="360" w:lineRule="auto"/>
              <w:jc w:val="center"/>
              <w:rPr>
                <w:noProof/>
                <w:lang w:val="en-GB"/>
              </w:rPr>
            </w:pPr>
            <w:r w:rsidRPr="002846FA">
              <w:rPr>
                <w:spacing w:val="-3"/>
                <w:lang w:val="en-GB"/>
              </w:rPr>
              <w:t>1.9E-11</w:t>
            </w:r>
          </w:p>
        </w:tc>
        <w:tc>
          <w:tcPr>
            <w:tcW w:w="1080" w:type="dxa"/>
            <w:gridSpan w:val="2"/>
            <w:vAlign w:val="center"/>
          </w:tcPr>
          <w:p w14:paraId="7F5D0797" w14:textId="77777777" w:rsidR="00EA1F75" w:rsidRPr="002846FA" w:rsidRDefault="00EA1F75" w:rsidP="008945DF">
            <w:pPr>
              <w:spacing w:line="360" w:lineRule="auto"/>
              <w:jc w:val="center"/>
              <w:rPr>
                <w:noProof/>
                <w:lang w:val="en-GB"/>
              </w:rPr>
            </w:pPr>
            <w:r w:rsidRPr="002846FA">
              <w:rPr>
                <w:spacing w:val="-3"/>
                <w:lang w:val="en-GB"/>
              </w:rPr>
              <w:t>0.6E-11</w:t>
            </w:r>
          </w:p>
        </w:tc>
        <w:tc>
          <w:tcPr>
            <w:tcW w:w="990" w:type="dxa"/>
            <w:gridSpan w:val="2"/>
            <w:vAlign w:val="center"/>
          </w:tcPr>
          <w:p w14:paraId="2EF927DD" w14:textId="77777777" w:rsidR="00EA1F75" w:rsidRPr="002846FA" w:rsidRDefault="00EA1F75" w:rsidP="008945DF">
            <w:pPr>
              <w:spacing w:line="360" w:lineRule="auto"/>
              <w:jc w:val="center"/>
              <w:rPr>
                <w:noProof/>
                <w:lang w:val="en-GB"/>
              </w:rPr>
            </w:pPr>
            <w:r w:rsidRPr="002846FA">
              <w:rPr>
                <w:spacing w:val="-3"/>
                <w:lang w:val="en-GB"/>
              </w:rPr>
              <w:t>1.9E-10</w:t>
            </w:r>
          </w:p>
        </w:tc>
        <w:tc>
          <w:tcPr>
            <w:tcW w:w="990" w:type="dxa"/>
            <w:gridSpan w:val="3"/>
            <w:vAlign w:val="center"/>
          </w:tcPr>
          <w:p w14:paraId="277B1471" w14:textId="77777777" w:rsidR="00EA1F75" w:rsidRPr="002846FA" w:rsidRDefault="00EA1F75" w:rsidP="008945DF">
            <w:pPr>
              <w:spacing w:line="360" w:lineRule="auto"/>
              <w:jc w:val="center"/>
              <w:rPr>
                <w:noProof/>
                <w:lang w:val="en-GB"/>
              </w:rPr>
            </w:pPr>
            <w:r w:rsidRPr="002846FA">
              <w:rPr>
                <w:spacing w:val="-3"/>
                <w:lang w:val="en-GB"/>
              </w:rPr>
              <w:t>0.6E-11</w:t>
            </w:r>
          </w:p>
        </w:tc>
      </w:tr>
      <w:tr w:rsidR="00EA1F75" w:rsidRPr="002846FA" w14:paraId="171EEB2D" w14:textId="77777777" w:rsidTr="00EA1F75">
        <w:trPr>
          <w:gridAfter w:val="2"/>
          <w:wAfter w:w="1411" w:type="dxa"/>
          <w:trHeight w:val="347"/>
          <w:jc w:val="center"/>
        </w:trPr>
        <w:tc>
          <w:tcPr>
            <w:tcW w:w="3060" w:type="dxa"/>
            <w:tcBorders>
              <w:bottom w:val="single" w:sz="4" w:space="0" w:color="auto"/>
            </w:tcBorders>
          </w:tcPr>
          <w:p w14:paraId="2568AE6E" w14:textId="77777777" w:rsidR="00EA1F75" w:rsidRPr="002846FA" w:rsidRDefault="00EA1F75" w:rsidP="008945DF">
            <w:pPr>
              <w:spacing w:line="360" w:lineRule="auto"/>
              <w:jc w:val="center"/>
              <w:rPr>
                <w:noProof/>
              </w:rPr>
            </w:pPr>
            <w:r w:rsidRPr="002846FA">
              <w:rPr>
                <w:noProof/>
                <w:lang w:val="en-GB"/>
              </w:rPr>
              <w:t xml:space="preserve">Fixed charge density </w:t>
            </w:r>
            <w:r w:rsidRPr="002846FA">
              <w:rPr>
                <w:noProof/>
              </w:rPr>
              <w:t>(</w:t>
            </w:r>
            <m:oMath>
              <m:sSub>
                <m:sSubPr>
                  <m:ctrlPr>
                    <w:rPr>
                      <w:rFonts w:ascii="Cambria Math" w:hAnsi="Cambria Math"/>
                      <w:i/>
                      <w:noProof/>
                    </w:rPr>
                  </m:ctrlPr>
                </m:sSubPr>
                <m:e>
                  <m:r>
                    <w:rPr>
                      <w:rFonts w:ascii="Cambria Math" w:hAnsi="Cambria Math"/>
                      <w:noProof/>
                    </w:rPr>
                    <m:t>X</m:t>
                  </m:r>
                </m:e>
                <m:sub>
                  <m:r>
                    <w:rPr>
                      <w:rFonts w:ascii="Cambria Math" w:hAnsi="Cambria Math"/>
                      <w:noProof/>
                    </w:rPr>
                    <m:t>m</m:t>
                  </m:r>
                </m:sub>
              </m:sSub>
            </m:oMath>
            <w:r w:rsidRPr="002846FA">
              <w:rPr>
                <w:noProof/>
              </w:rPr>
              <w:t>)</w:t>
            </w:r>
          </w:p>
        </w:tc>
        <w:tc>
          <w:tcPr>
            <w:tcW w:w="1760" w:type="dxa"/>
            <w:tcBorders>
              <w:bottom w:val="single" w:sz="4" w:space="0" w:color="auto"/>
            </w:tcBorders>
          </w:tcPr>
          <w:p w14:paraId="3BF8837C" w14:textId="77777777" w:rsidR="00EA1F75" w:rsidRPr="002846FA" w:rsidRDefault="00EA1F75" w:rsidP="008945DF">
            <w:pPr>
              <w:spacing w:line="360" w:lineRule="auto"/>
              <w:jc w:val="center"/>
              <w:rPr>
                <w:noProof/>
                <w:lang w:val="en-GB"/>
              </w:rPr>
            </w:pPr>
            <w:r w:rsidRPr="002846FA">
              <w:rPr>
                <w:noProof/>
                <w:lang w:val="en-GB"/>
              </w:rPr>
              <w:t>mol m</w:t>
            </w:r>
            <w:r w:rsidRPr="002846FA">
              <w:rPr>
                <w:color w:val="000000" w:themeColor="text1"/>
                <w:vertAlign w:val="superscript"/>
              </w:rPr>
              <w:t>–</w:t>
            </w:r>
            <w:r w:rsidRPr="002846FA">
              <w:rPr>
                <w:noProof/>
                <w:vertAlign w:val="superscript"/>
                <w:lang w:val="en-GB"/>
              </w:rPr>
              <w:t>3</w:t>
            </w:r>
          </w:p>
        </w:tc>
        <w:tc>
          <w:tcPr>
            <w:tcW w:w="990" w:type="dxa"/>
            <w:tcBorders>
              <w:bottom w:val="single" w:sz="4" w:space="0" w:color="auto"/>
            </w:tcBorders>
            <w:vAlign w:val="center"/>
          </w:tcPr>
          <w:p w14:paraId="47D8F780" w14:textId="77777777" w:rsidR="00EA1F75" w:rsidRPr="002846FA" w:rsidRDefault="00EA1F75" w:rsidP="008945DF">
            <w:pPr>
              <w:spacing w:line="360" w:lineRule="auto"/>
              <w:jc w:val="center"/>
              <w:rPr>
                <w:noProof/>
                <w:lang w:val="en-GB"/>
              </w:rPr>
            </w:pPr>
            <w:r w:rsidRPr="002846FA">
              <w:rPr>
                <w:noProof/>
                <w:lang w:val="en-GB"/>
              </w:rPr>
              <w:t>5,000</w:t>
            </w:r>
          </w:p>
        </w:tc>
        <w:tc>
          <w:tcPr>
            <w:tcW w:w="1080" w:type="dxa"/>
            <w:gridSpan w:val="2"/>
            <w:tcBorders>
              <w:bottom w:val="single" w:sz="4" w:space="0" w:color="auto"/>
            </w:tcBorders>
            <w:vAlign w:val="center"/>
          </w:tcPr>
          <w:p w14:paraId="699BBFF7" w14:textId="77777777" w:rsidR="00EA1F75" w:rsidRPr="002846FA" w:rsidRDefault="00EA1F75" w:rsidP="008945DF">
            <w:pPr>
              <w:spacing w:line="360" w:lineRule="auto"/>
              <w:jc w:val="center"/>
              <w:rPr>
                <w:noProof/>
                <w:lang w:val="en-GB"/>
              </w:rPr>
            </w:pPr>
            <w:r w:rsidRPr="002846FA">
              <w:rPr>
                <w:noProof/>
                <w:lang w:val="en-GB"/>
              </w:rPr>
              <w:t>5,000</w:t>
            </w:r>
          </w:p>
        </w:tc>
        <w:tc>
          <w:tcPr>
            <w:tcW w:w="990" w:type="dxa"/>
            <w:gridSpan w:val="2"/>
            <w:tcBorders>
              <w:bottom w:val="single" w:sz="4" w:space="0" w:color="auto"/>
            </w:tcBorders>
            <w:vAlign w:val="center"/>
          </w:tcPr>
          <w:p w14:paraId="1720581A" w14:textId="77777777" w:rsidR="00EA1F75" w:rsidRPr="002846FA" w:rsidRDefault="00EA1F75" w:rsidP="008945DF">
            <w:pPr>
              <w:spacing w:line="360" w:lineRule="auto"/>
              <w:jc w:val="center"/>
              <w:rPr>
                <w:noProof/>
                <w:lang w:val="en-GB"/>
              </w:rPr>
            </w:pPr>
            <w:r w:rsidRPr="002846FA">
              <w:rPr>
                <w:noProof/>
                <w:lang w:val="en-GB"/>
              </w:rPr>
              <w:t>5,000</w:t>
            </w:r>
          </w:p>
        </w:tc>
        <w:tc>
          <w:tcPr>
            <w:tcW w:w="990" w:type="dxa"/>
            <w:gridSpan w:val="3"/>
            <w:tcBorders>
              <w:bottom w:val="single" w:sz="4" w:space="0" w:color="auto"/>
            </w:tcBorders>
            <w:vAlign w:val="center"/>
          </w:tcPr>
          <w:p w14:paraId="4EE08A1A" w14:textId="77777777" w:rsidR="00EA1F75" w:rsidRPr="002846FA" w:rsidRDefault="00EA1F75" w:rsidP="008945DF">
            <w:pPr>
              <w:spacing w:line="360" w:lineRule="auto"/>
              <w:jc w:val="center"/>
              <w:rPr>
                <w:noProof/>
                <w:lang w:val="en-GB"/>
              </w:rPr>
            </w:pPr>
            <w:r w:rsidRPr="002846FA">
              <w:rPr>
                <w:noProof/>
                <w:lang w:val="en-GB"/>
              </w:rPr>
              <w:t>5,000</w:t>
            </w:r>
          </w:p>
        </w:tc>
      </w:tr>
      <w:tr w:rsidR="00EA1F75" w:rsidRPr="002846FA" w14:paraId="7DBDA700" w14:textId="77777777" w:rsidTr="00EA1F75">
        <w:trPr>
          <w:trHeight w:val="347"/>
          <w:jc w:val="center"/>
        </w:trPr>
        <w:tc>
          <w:tcPr>
            <w:tcW w:w="10281" w:type="dxa"/>
            <w:gridSpan w:val="12"/>
            <w:tcBorders>
              <w:top w:val="single" w:sz="4" w:space="0" w:color="auto"/>
              <w:bottom w:val="single" w:sz="4" w:space="0" w:color="auto"/>
            </w:tcBorders>
          </w:tcPr>
          <w:p w14:paraId="384D04CB" w14:textId="77777777" w:rsidR="00EA1F75" w:rsidRPr="002846FA" w:rsidRDefault="00EA1F75" w:rsidP="008945DF">
            <w:pPr>
              <w:spacing w:line="360" w:lineRule="auto"/>
              <w:jc w:val="center"/>
              <w:rPr>
                <w:noProof/>
                <w:lang w:val="en-GB"/>
              </w:rPr>
            </w:pPr>
            <w:bookmarkStart w:id="2" w:name="_Ref101280965"/>
            <w:r w:rsidRPr="002846FA">
              <w:rPr>
                <w:noProof/>
                <w:lang w:val="en-GB"/>
              </w:rPr>
              <w:t>Geometrical features</w:t>
            </w:r>
          </w:p>
        </w:tc>
      </w:tr>
      <w:tr w:rsidR="00EA1F75" w:rsidRPr="002846FA" w14:paraId="680388F6" w14:textId="77777777" w:rsidTr="00EA1F75">
        <w:trPr>
          <w:trHeight w:val="347"/>
          <w:jc w:val="center"/>
        </w:trPr>
        <w:tc>
          <w:tcPr>
            <w:tcW w:w="6030" w:type="dxa"/>
            <w:gridSpan w:val="4"/>
            <w:vAlign w:val="center"/>
          </w:tcPr>
          <w:p w14:paraId="6FBCA13C" w14:textId="77777777" w:rsidR="00EA1F75" w:rsidRPr="002846FA" w:rsidRDefault="00EA1F75" w:rsidP="008945DF">
            <w:pPr>
              <w:spacing w:line="360" w:lineRule="auto"/>
              <w:jc w:val="center"/>
              <w:rPr>
                <w:noProof/>
                <w:lang w:val="en-GB"/>
              </w:rPr>
            </w:pPr>
            <w:r w:rsidRPr="002846FA">
              <w:t>Spacer width (</w:t>
            </w:r>
            <m:oMath>
              <m:r>
                <w:rPr>
                  <w:rFonts w:ascii="Cambria Math" w:hAnsi="Cambria Math"/>
                </w:rPr>
                <m:t>b</m:t>
              </m:r>
            </m:oMath>
            <w:r w:rsidRPr="002846FA">
              <w:t>)</w:t>
            </w:r>
          </w:p>
        </w:tc>
        <w:tc>
          <w:tcPr>
            <w:tcW w:w="1170" w:type="dxa"/>
            <w:gridSpan w:val="2"/>
            <w:vAlign w:val="center"/>
          </w:tcPr>
          <w:p w14:paraId="32826CEA" w14:textId="77777777" w:rsidR="00EA1F75" w:rsidRPr="002846FA" w:rsidRDefault="00EA1F75" w:rsidP="008945DF">
            <w:pPr>
              <w:spacing w:line="360" w:lineRule="auto"/>
              <w:jc w:val="center"/>
              <w:rPr>
                <w:noProof/>
                <w:lang w:val="en-GB"/>
              </w:rPr>
            </w:pPr>
            <w:r w:rsidRPr="002846FA">
              <w:t>cm</w:t>
            </w:r>
          </w:p>
        </w:tc>
        <w:tc>
          <w:tcPr>
            <w:tcW w:w="900" w:type="dxa"/>
            <w:gridSpan w:val="2"/>
            <w:vAlign w:val="center"/>
          </w:tcPr>
          <w:p w14:paraId="5099190F" w14:textId="0B47C2E3" w:rsidR="00EA1F75" w:rsidRPr="002846FA" w:rsidRDefault="00EA1F75" w:rsidP="008945DF">
            <w:pPr>
              <w:spacing w:line="360" w:lineRule="auto"/>
              <w:jc w:val="center"/>
              <w:rPr>
                <w:noProof/>
                <w:lang w:val="en-GB"/>
              </w:rPr>
            </w:pPr>
            <w:r>
              <w:rPr>
                <w:noProof/>
                <w:lang w:val="en-GB"/>
              </w:rPr>
              <w:t>10</w:t>
            </w:r>
          </w:p>
        </w:tc>
        <w:tc>
          <w:tcPr>
            <w:tcW w:w="467" w:type="dxa"/>
            <w:vAlign w:val="center"/>
          </w:tcPr>
          <w:p w14:paraId="1C633C4D" w14:textId="77777777" w:rsidR="00EA1F75" w:rsidRPr="002846FA" w:rsidRDefault="00EA1F75" w:rsidP="008945DF">
            <w:pPr>
              <w:spacing w:line="360" w:lineRule="auto"/>
              <w:jc w:val="center"/>
              <w:rPr>
                <w:noProof/>
                <w:lang w:val="en-GB"/>
              </w:rPr>
            </w:pPr>
          </w:p>
        </w:tc>
        <w:tc>
          <w:tcPr>
            <w:tcW w:w="989" w:type="dxa"/>
            <w:gridSpan w:val="2"/>
            <w:vAlign w:val="center"/>
          </w:tcPr>
          <w:p w14:paraId="260D265F" w14:textId="77777777" w:rsidR="00EA1F75" w:rsidRPr="002846FA" w:rsidRDefault="00EA1F75" w:rsidP="008945DF">
            <w:pPr>
              <w:spacing w:line="360" w:lineRule="auto"/>
              <w:jc w:val="center"/>
              <w:rPr>
                <w:noProof/>
                <w:lang w:val="en-GB"/>
              </w:rPr>
            </w:pPr>
          </w:p>
        </w:tc>
        <w:tc>
          <w:tcPr>
            <w:tcW w:w="725" w:type="dxa"/>
            <w:vAlign w:val="center"/>
          </w:tcPr>
          <w:p w14:paraId="6185E087" w14:textId="77777777" w:rsidR="00EA1F75" w:rsidRPr="002846FA" w:rsidRDefault="00EA1F75" w:rsidP="008945DF">
            <w:pPr>
              <w:spacing w:line="360" w:lineRule="auto"/>
              <w:jc w:val="center"/>
              <w:rPr>
                <w:noProof/>
                <w:lang w:val="en-GB"/>
              </w:rPr>
            </w:pPr>
          </w:p>
        </w:tc>
      </w:tr>
      <w:tr w:rsidR="00EA1F75" w:rsidRPr="002846FA" w14:paraId="18F9F33B" w14:textId="77777777" w:rsidTr="00EA1F75">
        <w:trPr>
          <w:trHeight w:val="347"/>
          <w:jc w:val="center"/>
        </w:trPr>
        <w:tc>
          <w:tcPr>
            <w:tcW w:w="6030" w:type="dxa"/>
            <w:gridSpan w:val="4"/>
            <w:vAlign w:val="center"/>
          </w:tcPr>
          <w:p w14:paraId="6AAA311D" w14:textId="77777777" w:rsidR="00EA1F75" w:rsidRPr="002846FA" w:rsidRDefault="00EA1F75" w:rsidP="008945DF">
            <w:pPr>
              <w:spacing w:line="360" w:lineRule="auto"/>
              <w:jc w:val="center"/>
            </w:pPr>
            <w:r w:rsidRPr="002846FA">
              <w:t>Spacer type</w:t>
            </w:r>
          </w:p>
        </w:tc>
        <w:tc>
          <w:tcPr>
            <w:tcW w:w="1170" w:type="dxa"/>
            <w:gridSpan w:val="2"/>
            <w:vAlign w:val="center"/>
          </w:tcPr>
          <w:p w14:paraId="1E2B0705" w14:textId="77777777" w:rsidR="00EA1F75" w:rsidRPr="002846FA" w:rsidRDefault="00EA1F75" w:rsidP="008945DF">
            <w:pPr>
              <w:spacing w:line="360" w:lineRule="auto"/>
              <w:jc w:val="center"/>
            </w:pPr>
            <w:r w:rsidRPr="002846FA">
              <w:t>-</w:t>
            </w:r>
          </w:p>
        </w:tc>
        <w:tc>
          <w:tcPr>
            <w:tcW w:w="900" w:type="dxa"/>
            <w:gridSpan w:val="2"/>
            <w:vAlign w:val="center"/>
          </w:tcPr>
          <w:p w14:paraId="73B90A5A" w14:textId="77777777" w:rsidR="00EA1F75" w:rsidRPr="002846FA" w:rsidRDefault="00EA1F75" w:rsidP="008945DF">
            <w:pPr>
              <w:spacing w:line="360" w:lineRule="auto"/>
              <w:jc w:val="center"/>
              <w:rPr>
                <w:noProof/>
                <w:lang w:val="en-GB"/>
              </w:rPr>
            </w:pPr>
            <w:r w:rsidRPr="002846FA">
              <w:rPr>
                <w:noProof/>
                <w:lang w:val="en-GB"/>
              </w:rPr>
              <w:t>woven</w:t>
            </w:r>
          </w:p>
        </w:tc>
        <w:tc>
          <w:tcPr>
            <w:tcW w:w="467" w:type="dxa"/>
            <w:vAlign w:val="center"/>
          </w:tcPr>
          <w:p w14:paraId="1CCF2019" w14:textId="77777777" w:rsidR="00EA1F75" w:rsidRPr="002846FA" w:rsidRDefault="00EA1F75" w:rsidP="008945DF">
            <w:pPr>
              <w:spacing w:line="360" w:lineRule="auto"/>
              <w:jc w:val="center"/>
              <w:rPr>
                <w:noProof/>
                <w:lang w:val="en-GB"/>
              </w:rPr>
            </w:pPr>
          </w:p>
        </w:tc>
        <w:tc>
          <w:tcPr>
            <w:tcW w:w="989" w:type="dxa"/>
            <w:gridSpan w:val="2"/>
            <w:vAlign w:val="center"/>
          </w:tcPr>
          <w:p w14:paraId="510F2D3B" w14:textId="77777777" w:rsidR="00EA1F75" w:rsidRPr="002846FA" w:rsidRDefault="00EA1F75" w:rsidP="008945DF">
            <w:pPr>
              <w:spacing w:line="360" w:lineRule="auto"/>
              <w:jc w:val="center"/>
              <w:rPr>
                <w:noProof/>
                <w:lang w:val="en-GB"/>
              </w:rPr>
            </w:pPr>
          </w:p>
        </w:tc>
        <w:tc>
          <w:tcPr>
            <w:tcW w:w="725" w:type="dxa"/>
            <w:vAlign w:val="center"/>
          </w:tcPr>
          <w:p w14:paraId="4E471B95" w14:textId="77777777" w:rsidR="00EA1F75" w:rsidRPr="002846FA" w:rsidRDefault="00EA1F75" w:rsidP="008945DF">
            <w:pPr>
              <w:spacing w:line="360" w:lineRule="auto"/>
              <w:jc w:val="center"/>
              <w:rPr>
                <w:noProof/>
                <w:lang w:val="en-GB"/>
              </w:rPr>
            </w:pPr>
          </w:p>
        </w:tc>
      </w:tr>
      <w:tr w:rsidR="00EA1F75" w:rsidRPr="002846FA" w14:paraId="218CA5C0" w14:textId="77777777" w:rsidTr="00EA1F75">
        <w:trPr>
          <w:trHeight w:val="347"/>
          <w:jc w:val="center"/>
        </w:trPr>
        <w:tc>
          <w:tcPr>
            <w:tcW w:w="6030" w:type="dxa"/>
            <w:gridSpan w:val="4"/>
            <w:vAlign w:val="center"/>
          </w:tcPr>
          <w:p w14:paraId="47F4D894" w14:textId="77777777" w:rsidR="00EA1F75" w:rsidRPr="002846FA" w:rsidRDefault="00EA1F75" w:rsidP="008945DF">
            <w:pPr>
              <w:spacing w:line="360" w:lineRule="auto"/>
              <w:jc w:val="center"/>
            </w:pPr>
            <w:r w:rsidRPr="002846FA">
              <w:t>Spacer pitch-to-height ratio</w:t>
            </w:r>
          </w:p>
        </w:tc>
        <w:tc>
          <w:tcPr>
            <w:tcW w:w="1170" w:type="dxa"/>
            <w:gridSpan w:val="2"/>
            <w:vAlign w:val="center"/>
          </w:tcPr>
          <w:p w14:paraId="17257DCF" w14:textId="77777777" w:rsidR="00EA1F75" w:rsidRPr="002846FA" w:rsidRDefault="00EA1F75" w:rsidP="008945DF">
            <w:pPr>
              <w:spacing w:line="360" w:lineRule="auto"/>
              <w:jc w:val="center"/>
            </w:pPr>
            <w:r w:rsidRPr="002846FA">
              <w:t>-</w:t>
            </w:r>
          </w:p>
        </w:tc>
        <w:tc>
          <w:tcPr>
            <w:tcW w:w="900" w:type="dxa"/>
            <w:gridSpan w:val="2"/>
            <w:vAlign w:val="center"/>
          </w:tcPr>
          <w:p w14:paraId="14583216" w14:textId="77777777" w:rsidR="00EA1F75" w:rsidRPr="002846FA" w:rsidRDefault="00EA1F75" w:rsidP="008945DF">
            <w:pPr>
              <w:spacing w:line="360" w:lineRule="auto"/>
              <w:jc w:val="center"/>
              <w:rPr>
                <w:noProof/>
                <w:lang w:val="en-GB"/>
              </w:rPr>
            </w:pPr>
            <w:r w:rsidRPr="002846FA">
              <w:rPr>
                <w:noProof/>
                <w:lang w:val="en-GB"/>
              </w:rPr>
              <w:t>2</w:t>
            </w:r>
          </w:p>
        </w:tc>
        <w:tc>
          <w:tcPr>
            <w:tcW w:w="467" w:type="dxa"/>
            <w:vAlign w:val="center"/>
          </w:tcPr>
          <w:p w14:paraId="16863F33" w14:textId="77777777" w:rsidR="00EA1F75" w:rsidRPr="002846FA" w:rsidRDefault="00EA1F75" w:rsidP="008945DF">
            <w:pPr>
              <w:spacing w:line="360" w:lineRule="auto"/>
              <w:jc w:val="center"/>
              <w:rPr>
                <w:noProof/>
                <w:lang w:val="en-GB"/>
              </w:rPr>
            </w:pPr>
          </w:p>
        </w:tc>
        <w:tc>
          <w:tcPr>
            <w:tcW w:w="989" w:type="dxa"/>
            <w:gridSpan w:val="2"/>
            <w:vAlign w:val="center"/>
          </w:tcPr>
          <w:p w14:paraId="37334CC3" w14:textId="77777777" w:rsidR="00EA1F75" w:rsidRPr="002846FA" w:rsidRDefault="00EA1F75" w:rsidP="008945DF">
            <w:pPr>
              <w:spacing w:line="360" w:lineRule="auto"/>
              <w:jc w:val="center"/>
              <w:rPr>
                <w:noProof/>
                <w:lang w:val="en-GB"/>
              </w:rPr>
            </w:pPr>
          </w:p>
        </w:tc>
        <w:tc>
          <w:tcPr>
            <w:tcW w:w="725" w:type="dxa"/>
            <w:vAlign w:val="center"/>
          </w:tcPr>
          <w:p w14:paraId="4614A863" w14:textId="77777777" w:rsidR="00EA1F75" w:rsidRPr="002846FA" w:rsidRDefault="00EA1F75" w:rsidP="008945DF">
            <w:pPr>
              <w:spacing w:line="360" w:lineRule="auto"/>
              <w:jc w:val="center"/>
              <w:rPr>
                <w:noProof/>
                <w:lang w:val="en-GB"/>
              </w:rPr>
            </w:pPr>
          </w:p>
        </w:tc>
      </w:tr>
      <w:tr w:rsidR="00EA1F75" w:rsidRPr="002846FA" w14:paraId="1EFEDC9F" w14:textId="77777777" w:rsidTr="00EA1F75">
        <w:trPr>
          <w:trHeight w:val="347"/>
          <w:jc w:val="center"/>
        </w:trPr>
        <w:tc>
          <w:tcPr>
            <w:tcW w:w="6030" w:type="dxa"/>
            <w:gridSpan w:val="4"/>
            <w:vAlign w:val="center"/>
          </w:tcPr>
          <w:p w14:paraId="2BBF6AAD" w14:textId="77777777" w:rsidR="00EA1F75" w:rsidRPr="002846FA" w:rsidRDefault="00EA1F75" w:rsidP="008945DF">
            <w:pPr>
              <w:spacing w:line="360" w:lineRule="auto"/>
              <w:jc w:val="center"/>
            </w:pPr>
            <w:r w:rsidRPr="002846FA">
              <w:t>Spacer flow attack angle</w:t>
            </w:r>
          </w:p>
        </w:tc>
        <w:tc>
          <w:tcPr>
            <w:tcW w:w="1170" w:type="dxa"/>
            <w:gridSpan w:val="2"/>
            <w:vAlign w:val="center"/>
          </w:tcPr>
          <w:p w14:paraId="696C43F7" w14:textId="77777777" w:rsidR="00EA1F75" w:rsidRPr="002846FA" w:rsidRDefault="00EA1F75" w:rsidP="008945DF">
            <w:pPr>
              <w:spacing w:line="360" w:lineRule="auto"/>
              <w:jc w:val="center"/>
            </w:pPr>
            <w:r w:rsidRPr="002846FA">
              <w:t>-</w:t>
            </w:r>
          </w:p>
        </w:tc>
        <w:tc>
          <w:tcPr>
            <w:tcW w:w="900" w:type="dxa"/>
            <w:gridSpan w:val="2"/>
            <w:vAlign w:val="center"/>
          </w:tcPr>
          <w:p w14:paraId="797841C1" w14:textId="77777777" w:rsidR="00EA1F75" w:rsidRPr="002846FA" w:rsidRDefault="00EA1F75" w:rsidP="008945DF">
            <w:pPr>
              <w:spacing w:line="360" w:lineRule="auto"/>
              <w:jc w:val="center"/>
              <w:rPr>
                <w:noProof/>
                <w:lang w:val="en-GB"/>
              </w:rPr>
            </w:pPr>
            <w:r w:rsidRPr="002846FA">
              <w:rPr>
                <w:noProof/>
                <w:lang w:val="en-GB"/>
              </w:rPr>
              <w:t>45°</w:t>
            </w:r>
          </w:p>
        </w:tc>
        <w:tc>
          <w:tcPr>
            <w:tcW w:w="467" w:type="dxa"/>
            <w:vAlign w:val="center"/>
          </w:tcPr>
          <w:p w14:paraId="157F7FF4" w14:textId="77777777" w:rsidR="00EA1F75" w:rsidRPr="002846FA" w:rsidRDefault="00EA1F75" w:rsidP="008945DF">
            <w:pPr>
              <w:spacing w:line="360" w:lineRule="auto"/>
              <w:jc w:val="center"/>
              <w:rPr>
                <w:noProof/>
                <w:lang w:val="en-GB"/>
              </w:rPr>
            </w:pPr>
          </w:p>
        </w:tc>
        <w:tc>
          <w:tcPr>
            <w:tcW w:w="989" w:type="dxa"/>
            <w:gridSpan w:val="2"/>
            <w:vAlign w:val="center"/>
          </w:tcPr>
          <w:p w14:paraId="575C6A6A" w14:textId="77777777" w:rsidR="00EA1F75" w:rsidRPr="002846FA" w:rsidRDefault="00EA1F75" w:rsidP="008945DF">
            <w:pPr>
              <w:spacing w:line="360" w:lineRule="auto"/>
              <w:jc w:val="center"/>
              <w:rPr>
                <w:noProof/>
                <w:lang w:val="en-GB"/>
              </w:rPr>
            </w:pPr>
          </w:p>
        </w:tc>
        <w:tc>
          <w:tcPr>
            <w:tcW w:w="725" w:type="dxa"/>
            <w:vAlign w:val="center"/>
          </w:tcPr>
          <w:p w14:paraId="0F6B35E2" w14:textId="77777777" w:rsidR="00EA1F75" w:rsidRPr="002846FA" w:rsidRDefault="00EA1F75" w:rsidP="008945DF">
            <w:pPr>
              <w:spacing w:line="360" w:lineRule="auto"/>
              <w:jc w:val="center"/>
              <w:rPr>
                <w:noProof/>
                <w:lang w:val="en-GB"/>
              </w:rPr>
            </w:pPr>
          </w:p>
        </w:tc>
      </w:tr>
      <w:tr w:rsidR="00EA1F75" w:rsidRPr="002846FA" w14:paraId="5007A33E" w14:textId="77777777" w:rsidTr="00EA1F75">
        <w:trPr>
          <w:trHeight w:val="347"/>
          <w:jc w:val="center"/>
        </w:trPr>
        <w:tc>
          <w:tcPr>
            <w:tcW w:w="6030" w:type="dxa"/>
            <w:gridSpan w:val="4"/>
            <w:vAlign w:val="center"/>
          </w:tcPr>
          <w:p w14:paraId="3262781C" w14:textId="77777777" w:rsidR="00EA1F75" w:rsidRPr="002846FA" w:rsidRDefault="00EA1F75" w:rsidP="008945DF">
            <w:pPr>
              <w:spacing w:line="360" w:lineRule="auto"/>
              <w:jc w:val="center"/>
              <w:rPr>
                <w:noProof/>
                <w:lang w:val="en-GB"/>
              </w:rPr>
            </w:pPr>
            <w:r w:rsidRPr="002846FA">
              <w:t>N° spacer holes for manifolds (</w:t>
            </w:r>
            <m:oMath>
              <m:sSub>
                <m:sSubPr>
                  <m:ctrlPr>
                    <w:rPr>
                      <w:rFonts w:ascii="Cambria Math" w:hAnsi="Cambria Math"/>
                      <w:i/>
                    </w:rPr>
                  </m:ctrlPr>
                </m:sSubPr>
                <m:e>
                  <m:r>
                    <w:rPr>
                      <w:rFonts w:ascii="Cambria Math" w:hAnsi="Cambria Math"/>
                    </w:rPr>
                    <m:t>N</m:t>
                  </m:r>
                </m:e>
                <m:sub>
                  <m:r>
                    <w:rPr>
                      <w:rFonts w:ascii="Cambria Math" w:hAnsi="Cambria Math"/>
                    </w:rPr>
                    <m:t>holes</m:t>
                  </m:r>
                </m:sub>
              </m:sSub>
            </m:oMath>
            <w:r w:rsidRPr="002846FA">
              <w:t>)</w:t>
            </w:r>
          </w:p>
        </w:tc>
        <w:tc>
          <w:tcPr>
            <w:tcW w:w="1170" w:type="dxa"/>
            <w:gridSpan w:val="2"/>
            <w:vAlign w:val="center"/>
          </w:tcPr>
          <w:p w14:paraId="06A6946E" w14:textId="77777777" w:rsidR="00EA1F75" w:rsidRPr="002846FA" w:rsidRDefault="00EA1F75" w:rsidP="008945DF">
            <w:pPr>
              <w:spacing w:line="360" w:lineRule="auto"/>
              <w:jc w:val="center"/>
              <w:rPr>
                <w:noProof/>
                <w:lang w:val="en-GB"/>
              </w:rPr>
            </w:pPr>
            <w:r w:rsidRPr="002846FA">
              <w:t>-</w:t>
            </w:r>
          </w:p>
        </w:tc>
        <w:tc>
          <w:tcPr>
            <w:tcW w:w="900" w:type="dxa"/>
            <w:gridSpan w:val="2"/>
            <w:vAlign w:val="center"/>
          </w:tcPr>
          <w:p w14:paraId="3F98F3A9" w14:textId="7CDF27FD" w:rsidR="00EA1F75" w:rsidRPr="002846FA" w:rsidRDefault="00EA1F75" w:rsidP="008945DF">
            <w:pPr>
              <w:spacing w:line="360" w:lineRule="auto"/>
              <w:jc w:val="center"/>
              <w:rPr>
                <w:noProof/>
                <w:lang w:val="en-GB"/>
              </w:rPr>
            </w:pPr>
            <w:r>
              <w:rPr>
                <w:noProof/>
                <w:lang w:val="en-GB"/>
              </w:rPr>
              <w:t>3</w:t>
            </w:r>
          </w:p>
        </w:tc>
        <w:tc>
          <w:tcPr>
            <w:tcW w:w="467" w:type="dxa"/>
            <w:vAlign w:val="center"/>
          </w:tcPr>
          <w:p w14:paraId="69C880F8" w14:textId="77777777" w:rsidR="00EA1F75" w:rsidRPr="002846FA" w:rsidRDefault="00EA1F75" w:rsidP="008945DF">
            <w:pPr>
              <w:spacing w:line="360" w:lineRule="auto"/>
              <w:jc w:val="center"/>
              <w:rPr>
                <w:noProof/>
                <w:lang w:val="en-GB"/>
              </w:rPr>
            </w:pPr>
          </w:p>
        </w:tc>
        <w:tc>
          <w:tcPr>
            <w:tcW w:w="989" w:type="dxa"/>
            <w:gridSpan w:val="2"/>
            <w:vAlign w:val="center"/>
          </w:tcPr>
          <w:p w14:paraId="4C089D7C" w14:textId="77777777" w:rsidR="00EA1F75" w:rsidRPr="002846FA" w:rsidRDefault="00EA1F75" w:rsidP="008945DF">
            <w:pPr>
              <w:spacing w:line="360" w:lineRule="auto"/>
              <w:jc w:val="center"/>
              <w:rPr>
                <w:noProof/>
                <w:lang w:val="en-GB"/>
              </w:rPr>
            </w:pPr>
          </w:p>
        </w:tc>
        <w:tc>
          <w:tcPr>
            <w:tcW w:w="725" w:type="dxa"/>
            <w:vAlign w:val="center"/>
          </w:tcPr>
          <w:p w14:paraId="018E6D66" w14:textId="77777777" w:rsidR="00EA1F75" w:rsidRPr="002846FA" w:rsidRDefault="00EA1F75" w:rsidP="008945DF">
            <w:pPr>
              <w:spacing w:line="360" w:lineRule="auto"/>
              <w:jc w:val="center"/>
              <w:rPr>
                <w:noProof/>
                <w:lang w:val="en-GB"/>
              </w:rPr>
            </w:pPr>
          </w:p>
        </w:tc>
      </w:tr>
      <w:tr w:rsidR="00EA1F75" w:rsidRPr="002846FA" w14:paraId="3B07032D" w14:textId="77777777" w:rsidTr="00EA1F75">
        <w:trPr>
          <w:trHeight w:val="347"/>
          <w:jc w:val="center"/>
        </w:trPr>
        <w:tc>
          <w:tcPr>
            <w:tcW w:w="6030" w:type="dxa"/>
            <w:gridSpan w:val="4"/>
            <w:vAlign w:val="center"/>
          </w:tcPr>
          <w:p w14:paraId="500E5C69" w14:textId="30896216" w:rsidR="00EA1F75" w:rsidRPr="002846FA" w:rsidRDefault="00EA1F75" w:rsidP="008945DF">
            <w:pPr>
              <w:spacing w:line="360" w:lineRule="auto"/>
              <w:jc w:val="center"/>
              <w:rPr>
                <w:noProof/>
                <w:lang w:val="en-GB"/>
              </w:rPr>
            </w:pPr>
            <w:r>
              <w:t>Diameter</w:t>
            </w:r>
            <w:r w:rsidRPr="002846FA">
              <w:t xml:space="preserve"> hole for manifolds</w:t>
            </w:r>
          </w:p>
        </w:tc>
        <w:tc>
          <w:tcPr>
            <w:tcW w:w="1170" w:type="dxa"/>
            <w:gridSpan w:val="2"/>
            <w:vAlign w:val="center"/>
          </w:tcPr>
          <w:p w14:paraId="51FC1A1C" w14:textId="679B835D" w:rsidR="00EA1F75" w:rsidRPr="002846FA" w:rsidRDefault="00EA1F75" w:rsidP="008945DF">
            <w:pPr>
              <w:spacing w:line="360" w:lineRule="auto"/>
              <w:jc w:val="center"/>
              <w:rPr>
                <w:noProof/>
                <w:lang w:val="en-GB"/>
              </w:rPr>
            </w:pPr>
            <w:r w:rsidRPr="002846FA">
              <w:t>mm</w:t>
            </w:r>
          </w:p>
        </w:tc>
        <w:tc>
          <w:tcPr>
            <w:tcW w:w="900" w:type="dxa"/>
            <w:gridSpan w:val="2"/>
            <w:vAlign w:val="center"/>
          </w:tcPr>
          <w:p w14:paraId="4F828893" w14:textId="7DA615B4" w:rsidR="00EA1F75" w:rsidRPr="002846FA" w:rsidRDefault="00EA1F75" w:rsidP="008945DF">
            <w:pPr>
              <w:spacing w:line="360" w:lineRule="auto"/>
              <w:jc w:val="center"/>
              <w:rPr>
                <w:noProof/>
                <w:lang w:val="en-GB"/>
              </w:rPr>
            </w:pPr>
            <w:r>
              <w:rPr>
                <w:noProof/>
                <w:lang w:val="en-GB"/>
              </w:rPr>
              <w:t>8</w:t>
            </w:r>
          </w:p>
        </w:tc>
        <w:tc>
          <w:tcPr>
            <w:tcW w:w="467" w:type="dxa"/>
            <w:vAlign w:val="center"/>
          </w:tcPr>
          <w:p w14:paraId="5DBE5886" w14:textId="77777777" w:rsidR="00EA1F75" w:rsidRPr="002846FA" w:rsidRDefault="00EA1F75" w:rsidP="008945DF">
            <w:pPr>
              <w:spacing w:line="360" w:lineRule="auto"/>
              <w:jc w:val="center"/>
              <w:rPr>
                <w:noProof/>
                <w:lang w:val="en-GB"/>
              </w:rPr>
            </w:pPr>
          </w:p>
        </w:tc>
        <w:tc>
          <w:tcPr>
            <w:tcW w:w="989" w:type="dxa"/>
            <w:gridSpan w:val="2"/>
            <w:vAlign w:val="center"/>
          </w:tcPr>
          <w:p w14:paraId="6A5706CF" w14:textId="77777777" w:rsidR="00EA1F75" w:rsidRPr="002846FA" w:rsidRDefault="00EA1F75" w:rsidP="008945DF">
            <w:pPr>
              <w:spacing w:line="360" w:lineRule="auto"/>
              <w:jc w:val="center"/>
              <w:rPr>
                <w:noProof/>
                <w:lang w:val="en-GB"/>
              </w:rPr>
            </w:pPr>
          </w:p>
        </w:tc>
        <w:tc>
          <w:tcPr>
            <w:tcW w:w="725" w:type="dxa"/>
            <w:vAlign w:val="center"/>
          </w:tcPr>
          <w:p w14:paraId="27AD3640" w14:textId="77777777" w:rsidR="00EA1F75" w:rsidRPr="002846FA" w:rsidRDefault="00EA1F75" w:rsidP="008945DF">
            <w:pPr>
              <w:spacing w:line="360" w:lineRule="auto"/>
              <w:jc w:val="center"/>
              <w:rPr>
                <w:noProof/>
                <w:lang w:val="en-GB"/>
              </w:rPr>
            </w:pPr>
          </w:p>
        </w:tc>
      </w:tr>
      <w:tr w:rsidR="00EA1F75" w:rsidRPr="002846FA" w14:paraId="7AF01C84" w14:textId="77777777" w:rsidTr="00EA1F75">
        <w:trPr>
          <w:trHeight w:val="347"/>
          <w:jc w:val="center"/>
        </w:trPr>
        <w:tc>
          <w:tcPr>
            <w:tcW w:w="6030" w:type="dxa"/>
            <w:gridSpan w:val="4"/>
            <w:vAlign w:val="center"/>
          </w:tcPr>
          <w:p w14:paraId="1711AB98" w14:textId="3C2A0EFC" w:rsidR="00EA1F75" w:rsidRPr="002846FA" w:rsidRDefault="00EA1F75" w:rsidP="008945DF">
            <w:pPr>
              <w:spacing w:line="360" w:lineRule="auto"/>
              <w:jc w:val="center"/>
              <w:rPr>
                <w:noProof/>
                <w:lang w:val="en-GB"/>
              </w:rPr>
            </w:pPr>
            <w:r w:rsidRPr="002846FA">
              <w:t>N° triplets (</w:t>
            </w:r>
            <m:oMath>
              <m:sSub>
                <m:sSubPr>
                  <m:ctrlPr>
                    <w:rPr>
                      <w:rFonts w:ascii="Cambria Math" w:hAnsi="Cambria Math"/>
                      <w:i/>
                    </w:rPr>
                  </m:ctrlPr>
                </m:sSubPr>
                <m:e>
                  <m:r>
                    <w:rPr>
                      <w:rFonts w:ascii="Cambria Math" w:hAnsi="Cambria Math"/>
                    </w:rPr>
                    <m:t>N</m:t>
                  </m:r>
                </m:e>
                <m:sub>
                  <m:r>
                    <w:rPr>
                      <w:rFonts w:ascii="Cambria Math" w:hAnsi="Cambria Math"/>
                    </w:rPr>
                    <m:t>tr</m:t>
                  </m:r>
                </m:sub>
              </m:sSub>
            </m:oMath>
            <w:r w:rsidRPr="002846FA">
              <w:t>)</w:t>
            </w:r>
          </w:p>
        </w:tc>
        <w:tc>
          <w:tcPr>
            <w:tcW w:w="1170" w:type="dxa"/>
            <w:gridSpan w:val="2"/>
            <w:vAlign w:val="center"/>
          </w:tcPr>
          <w:p w14:paraId="1BF09C52" w14:textId="77777777" w:rsidR="00EA1F75" w:rsidRPr="002846FA" w:rsidRDefault="00EA1F75" w:rsidP="008945DF">
            <w:pPr>
              <w:spacing w:line="360" w:lineRule="auto"/>
              <w:jc w:val="center"/>
              <w:rPr>
                <w:noProof/>
                <w:lang w:val="en-GB"/>
              </w:rPr>
            </w:pPr>
            <w:r w:rsidRPr="002846FA">
              <w:t>-</w:t>
            </w:r>
          </w:p>
        </w:tc>
        <w:tc>
          <w:tcPr>
            <w:tcW w:w="900" w:type="dxa"/>
            <w:gridSpan w:val="2"/>
            <w:vAlign w:val="center"/>
          </w:tcPr>
          <w:p w14:paraId="78A9AECE" w14:textId="68234B9A" w:rsidR="00EA1F75" w:rsidRPr="002846FA" w:rsidRDefault="00EA1F75" w:rsidP="008945DF">
            <w:pPr>
              <w:spacing w:line="360" w:lineRule="auto"/>
              <w:jc w:val="center"/>
              <w:rPr>
                <w:noProof/>
                <w:lang w:val="en-GB"/>
              </w:rPr>
            </w:pPr>
            <w:r>
              <w:rPr>
                <w:noProof/>
                <w:lang w:val="en-GB"/>
              </w:rPr>
              <w:t>30</w:t>
            </w:r>
          </w:p>
        </w:tc>
        <w:tc>
          <w:tcPr>
            <w:tcW w:w="467" w:type="dxa"/>
            <w:vAlign w:val="center"/>
          </w:tcPr>
          <w:p w14:paraId="20A41DCF" w14:textId="77777777" w:rsidR="00EA1F75" w:rsidRPr="002846FA" w:rsidRDefault="00EA1F75" w:rsidP="008945DF">
            <w:pPr>
              <w:spacing w:line="360" w:lineRule="auto"/>
              <w:jc w:val="center"/>
              <w:rPr>
                <w:noProof/>
                <w:lang w:val="en-GB"/>
              </w:rPr>
            </w:pPr>
          </w:p>
        </w:tc>
        <w:tc>
          <w:tcPr>
            <w:tcW w:w="989" w:type="dxa"/>
            <w:gridSpan w:val="2"/>
            <w:vAlign w:val="center"/>
          </w:tcPr>
          <w:p w14:paraId="5318432C" w14:textId="77777777" w:rsidR="00EA1F75" w:rsidRPr="002846FA" w:rsidRDefault="00EA1F75" w:rsidP="008945DF">
            <w:pPr>
              <w:spacing w:line="360" w:lineRule="auto"/>
              <w:jc w:val="center"/>
              <w:rPr>
                <w:noProof/>
                <w:lang w:val="en-GB"/>
              </w:rPr>
            </w:pPr>
          </w:p>
        </w:tc>
        <w:tc>
          <w:tcPr>
            <w:tcW w:w="725" w:type="dxa"/>
            <w:vAlign w:val="center"/>
          </w:tcPr>
          <w:p w14:paraId="64D5D8EE" w14:textId="77777777" w:rsidR="00EA1F75" w:rsidRPr="002846FA" w:rsidRDefault="00EA1F75" w:rsidP="008945DF">
            <w:pPr>
              <w:spacing w:line="360" w:lineRule="auto"/>
              <w:jc w:val="center"/>
              <w:rPr>
                <w:noProof/>
                <w:lang w:val="en-GB"/>
              </w:rPr>
            </w:pPr>
          </w:p>
        </w:tc>
      </w:tr>
      <w:tr w:rsidR="00EA1F75" w:rsidRPr="002846FA" w14:paraId="023F5B52" w14:textId="77777777" w:rsidTr="00EA1F75">
        <w:trPr>
          <w:trHeight w:val="347"/>
          <w:jc w:val="center"/>
        </w:trPr>
        <w:tc>
          <w:tcPr>
            <w:tcW w:w="10281" w:type="dxa"/>
            <w:gridSpan w:val="12"/>
            <w:tcBorders>
              <w:top w:val="single" w:sz="4" w:space="0" w:color="auto"/>
              <w:bottom w:val="single" w:sz="4" w:space="0" w:color="auto"/>
            </w:tcBorders>
            <w:vAlign w:val="center"/>
          </w:tcPr>
          <w:p w14:paraId="6882F008" w14:textId="77777777" w:rsidR="00EA1F75" w:rsidRPr="002846FA" w:rsidRDefault="00EA1F75" w:rsidP="008945DF">
            <w:pPr>
              <w:spacing w:line="360" w:lineRule="auto"/>
              <w:jc w:val="center"/>
              <w:rPr>
                <w:noProof/>
                <w:lang w:val="en-GB"/>
              </w:rPr>
            </w:pPr>
            <w:r w:rsidRPr="002846FA">
              <w:rPr>
                <w:noProof/>
                <w:lang w:val="en-GB"/>
              </w:rPr>
              <w:t>Process conditions</w:t>
            </w:r>
          </w:p>
        </w:tc>
      </w:tr>
      <w:tr w:rsidR="00EA1F75" w:rsidRPr="002846FA" w14:paraId="4A245327" w14:textId="77777777" w:rsidTr="00EA1F75">
        <w:trPr>
          <w:trHeight w:val="347"/>
          <w:jc w:val="center"/>
        </w:trPr>
        <w:tc>
          <w:tcPr>
            <w:tcW w:w="6030" w:type="dxa"/>
            <w:gridSpan w:val="4"/>
            <w:tcBorders>
              <w:bottom w:val="single" w:sz="4" w:space="0" w:color="auto"/>
            </w:tcBorders>
            <w:vAlign w:val="center"/>
          </w:tcPr>
          <w:p w14:paraId="63AD92C4" w14:textId="77777777" w:rsidR="00EA1F75" w:rsidRPr="002846FA" w:rsidRDefault="00EA1F75" w:rsidP="008945DF">
            <w:pPr>
              <w:spacing w:line="360" w:lineRule="auto"/>
              <w:jc w:val="center"/>
            </w:pPr>
            <w:r w:rsidRPr="002846FA">
              <w:rPr>
                <w:lang w:val="en-GB"/>
              </w:rPr>
              <w:t>Blank resistance (</w:t>
            </w:r>
            <m:oMath>
              <m:sSub>
                <m:sSubPr>
                  <m:ctrlPr>
                    <w:rPr>
                      <w:rFonts w:ascii="Cambria Math" w:hAnsi="Cambria Math"/>
                      <w:lang w:val="en-GB"/>
                    </w:rPr>
                  </m:ctrlPr>
                </m:sSubPr>
                <m:e>
                  <m:r>
                    <w:rPr>
                      <w:rFonts w:ascii="Cambria Math" w:hAnsi="Cambria Math"/>
                      <w:lang w:val="en-GB"/>
                    </w:rPr>
                    <m:t>R</m:t>
                  </m:r>
                </m:e>
                <m:sub>
                  <m:r>
                    <w:rPr>
                      <w:rFonts w:ascii="Cambria Math" w:hAnsi="Cambria Math"/>
                      <w:lang w:val="en-GB"/>
                    </w:rPr>
                    <m:t>bl</m:t>
                  </m:r>
                </m:sub>
              </m:sSub>
            </m:oMath>
            <w:r w:rsidRPr="002846FA">
              <w:rPr>
                <w:lang w:val="en-GB"/>
              </w:rPr>
              <w:t>)</w:t>
            </w:r>
          </w:p>
        </w:tc>
        <w:tc>
          <w:tcPr>
            <w:tcW w:w="1170" w:type="dxa"/>
            <w:gridSpan w:val="2"/>
            <w:tcBorders>
              <w:bottom w:val="single" w:sz="4" w:space="0" w:color="auto"/>
            </w:tcBorders>
            <w:vAlign w:val="center"/>
          </w:tcPr>
          <w:p w14:paraId="14E46583" w14:textId="77777777" w:rsidR="00EA1F75" w:rsidRPr="002846FA" w:rsidRDefault="00EA1F75" w:rsidP="008945DF">
            <w:pPr>
              <w:spacing w:line="360" w:lineRule="auto"/>
              <w:jc w:val="center"/>
              <w:rPr>
                <w:noProof/>
                <w:lang w:val="en-GB"/>
              </w:rPr>
            </w:pPr>
            <w:r w:rsidRPr="002846FA">
              <w:rPr>
                <w:lang w:val="en-GB"/>
              </w:rPr>
              <w:t>Ω cm</w:t>
            </w:r>
            <w:r w:rsidRPr="002846FA">
              <w:rPr>
                <w:vertAlign w:val="superscript"/>
                <w:lang w:val="en-GB"/>
              </w:rPr>
              <w:t>2</w:t>
            </w:r>
          </w:p>
        </w:tc>
        <w:tc>
          <w:tcPr>
            <w:tcW w:w="900" w:type="dxa"/>
            <w:gridSpan w:val="2"/>
            <w:tcBorders>
              <w:bottom w:val="single" w:sz="4" w:space="0" w:color="auto"/>
            </w:tcBorders>
            <w:vAlign w:val="center"/>
          </w:tcPr>
          <w:p w14:paraId="1917132E" w14:textId="6103C5C6" w:rsidR="00EA1F75" w:rsidRPr="002846FA" w:rsidRDefault="00EA1F75" w:rsidP="008945DF">
            <w:pPr>
              <w:spacing w:line="360" w:lineRule="auto"/>
              <w:jc w:val="center"/>
              <w:rPr>
                <w:noProof/>
                <w:lang w:val="en-GB"/>
              </w:rPr>
            </w:pPr>
            <w:r>
              <w:rPr>
                <w:noProof/>
                <w:lang w:val="en-GB"/>
              </w:rPr>
              <w:t>70</w:t>
            </w:r>
          </w:p>
        </w:tc>
        <w:tc>
          <w:tcPr>
            <w:tcW w:w="467" w:type="dxa"/>
            <w:tcBorders>
              <w:bottom w:val="single" w:sz="4" w:space="0" w:color="auto"/>
            </w:tcBorders>
            <w:vAlign w:val="center"/>
          </w:tcPr>
          <w:p w14:paraId="25479538" w14:textId="77777777" w:rsidR="00EA1F75" w:rsidRPr="002846FA" w:rsidRDefault="00EA1F75" w:rsidP="008945DF">
            <w:pPr>
              <w:spacing w:line="360" w:lineRule="auto"/>
              <w:jc w:val="center"/>
              <w:rPr>
                <w:noProof/>
                <w:lang w:val="en-GB"/>
              </w:rPr>
            </w:pPr>
          </w:p>
        </w:tc>
        <w:tc>
          <w:tcPr>
            <w:tcW w:w="989" w:type="dxa"/>
            <w:gridSpan w:val="2"/>
            <w:tcBorders>
              <w:bottom w:val="single" w:sz="4" w:space="0" w:color="auto"/>
            </w:tcBorders>
            <w:vAlign w:val="center"/>
          </w:tcPr>
          <w:p w14:paraId="46344016" w14:textId="77777777" w:rsidR="00EA1F75" w:rsidRPr="002846FA" w:rsidRDefault="00EA1F75" w:rsidP="008945DF">
            <w:pPr>
              <w:spacing w:line="360" w:lineRule="auto"/>
              <w:jc w:val="center"/>
              <w:rPr>
                <w:noProof/>
                <w:lang w:val="en-GB"/>
              </w:rPr>
            </w:pPr>
          </w:p>
        </w:tc>
        <w:tc>
          <w:tcPr>
            <w:tcW w:w="725" w:type="dxa"/>
            <w:tcBorders>
              <w:bottom w:val="single" w:sz="4" w:space="0" w:color="auto"/>
            </w:tcBorders>
            <w:vAlign w:val="center"/>
          </w:tcPr>
          <w:p w14:paraId="5D8B756A" w14:textId="77777777" w:rsidR="00EA1F75" w:rsidRPr="002846FA" w:rsidRDefault="00EA1F75" w:rsidP="008945DF">
            <w:pPr>
              <w:spacing w:line="360" w:lineRule="auto"/>
              <w:jc w:val="center"/>
              <w:rPr>
                <w:noProof/>
                <w:lang w:val="en-GB"/>
              </w:rPr>
            </w:pPr>
          </w:p>
        </w:tc>
      </w:tr>
      <w:bookmarkEnd w:id="2"/>
    </w:tbl>
    <w:p w14:paraId="3DBA2FDC" w14:textId="77777777" w:rsidR="005C5362" w:rsidRDefault="005C5362" w:rsidP="005C5362">
      <w:pPr>
        <w:spacing w:line="360" w:lineRule="auto"/>
        <w:jc w:val="both"/>
        <w:rPr>
          <w:vertAlign w:val="superscript"/>
        </w:rPr>
      </w:pPr>
    </w:p>
    <w:p w14:paraId="2BC2C69A" w14:textId="21AA95D8" w:rsidR="002246FE" w:rsidRPr="00C14F17" w:rsidRDefault="005C5362" w:rsidP="00C14F17">
      <w:pPr>
        <w:spacing w:line="360" w:lineRule="auto"/>
        <w:jc w:val="both"/>
        <w:rPr>
          <w:rFonts w:eastAsiaTheme="minorEastAsia"/>
          <w:lang w:val="en-GB"/>
        </w:rPr>
      </w:pPr>
      <w:r w:rsidRPr="005C5362">
        <w:rPr>
          <w:rFonts w:eastAsiaTheme="minorEastAsia"/>
          <w:lang w:val="en-GB"/>
        </w:rPr>
        <w:t xml:space="preserve">The electrical resistances of the monopolar membranes used in this study are </w:t>
      </w:r>
      <w:r>
        <w:rPr>
          <w:rFonts w:eastAsiaTheme="minorEastAsia"/>
          <w:lang w:val="en-GB"/>
        </w:rPr>
        <w:t>provided</w:t>
      </w:r>
      <w:r w:rsidRPr="005C5362">
        <w:rPr>
          <w:rFonts w:eastAsiaTheme="minorEastAsia"/>
          <w:lang w:val="en-GB"/>
        </w:rPr>
        <w:t xml:space="preserve"> by the manufacturer. However, the resistance of the bipolar membrane is not provided </w:t>
      </w:r>
      <w:sdt>
        <w:sdtPr>
          <w:rPr>
            <w:rFonts w:eastAsiaTheme="minorEastAsia"/>
            <w:color w:val="000000"/>
            <w:lang w:val="en-GB"/>
          </w:rPr>
          <w:tag w:val="MENDELEY_CITATION_v3_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"/>
          <w:id w:val="141083461"/>
          <w:placeholder>
            <w:docPart w:val="DefaultPlaceholder_-1854013440"/>
          </w:placeholder>
        </w:sdtPr>
        <w:sdtEndPr/>
        <w:sdtContent>
          <w:r w:rsidR="00D9047D" w:rsidRPr="00D9047D">
            <w:rPr>
              <w:rFonts w:eastAsiaTheme="minorEastAsia"/>
              <w:color w:val="000000"/>
              <w:lang w:val="en-GB"/>
            </w:rPr>
            <w:t>(FUMATECH BWT GmbH, n.d.)</w:t>
          </w:r>
        </w:sdtContent>
      </w:sdt>
      <w:r w:rsidR="00BA3308">
        <w:rPr>
          <w:rFonts w:eastAsiaTheme="minorEastAsia"/>
          <w:lang w:val="en-GB"/>
        </w:rPr>
        <w:t xml:space="preserve">. </w:t>
      </w:r>
      <w:r w:rsidRPr="005C5362">
        <w:rPr>
          <w:rFonts w:eastAsiaTheme="minorEastAsia"/>
          <w:lang w:val="en-GB"/>
        </w:rPr>
        <w:t xml:space="preserve">As a result, the electrical resistance of the bipolar membrane was estimated by summing the resistances of the CEL, AEL, and interlayer, as described by Strathmann </w:t>
      </w:r>
      <w:sdt>
        <w:sdtPr>
          <w:rPr>
            <w:rFonts w:eastAsiaTheme="minorEastAsia"/>
            <w:color w:val="000000"/>
            <w:lang w:val="en-GB"/>
          </w:rPr>
          <w:tag w:val="MENDELEY_CITATION_v3_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"/>
          <w:id w:val="-1958012859"/>
          <w:placeholder>
            <w:docPart w:val="DefaultPlaceholder_-1854013440"/>
          </w:placeholder>
        </w:sdtPr>
        <w:sdtEndPr/>
        <w:sdtContent>
          <w:r w:rsidR="00D9047D" w:rsidRPr="00D9047D">
            <w:rPr>
              <w:rFonts w:eastAsiaTheme="minorEastAsia"/>
              <w:color w:val="000000"/>
              <w:lang w:val="en-GB"/>
            </w:rPr>
            <w:t>(Strathmann et al., 1997)</w:t>
          </w:r>
        </w:sdtContent>
      </w:sdt>
      <w:r w:rsidR="00BA3308">
        <w:rPr>
          <w:rFonts w:eastAsiaTheme="minorEastAsia"/>
          <w:color w:val="000000"/>
          <w:lang w:val="en-GB"/>
        </w:rPr>
        <w:t xml:space="preserve"> </w:t>
      </w:r>
      <w:r w:rsidR="00BA3308">
        <w:rPr>
          <w:rFonts w:eastAsiaTheme="minorEastAsia"/>
          <w:lang w:val="en-GB"/>
        </w:rPr>
        <w:t xml:space="preserve">. </w:t>
      </w:r>
      <w:r w:rsidR="00C14F17" w:rsidRPr="00C14F17">
        <w:rPr>
          <w:rFonts w:eastAsiaTheme="minorEastAsia"/>
          <w:lang w:val="en-GB"/>
        </w:rPr>
        <w:t xml:space="preserve">However, in this study, to better simulate the </w:t>
      </w:r>
      <w:r w:rsidR="00C14F17">
        <w:rPr>
          <w:rFonts w:eastAsiaTheme="minorEastAsia"/>
          <w:lang w:val="en-GB"/>
        </w:rPr>
        <w:t xml:space="preserve">electric </w:t>
      </w:r>
      <w:r w:rsidR="00C14F17" w:rsidRPr="00C14F17">
        <w:rPr>
          <w:rFonts w:eastAsiaTheme="minorEastAsia"/>
          <w:lang w:val="en-GB"/>
        </w:rPr>
        <w:t>resistance of the membranes as the concentrations of the electrolytic solutions vary, a specific correlation was developed and implemented in the triplet scale of the model</w:t>
      </w:r>
      <w:r w:rsidR="00C14F17">
        <w:rPr>
          <w:rFonts w:eastAsiaTheme="minorEastAsia"/>
          <w:lang w:val="en-GB"/>
        </w:rPr>
        <w:t xml:space="preserve"> (Eq. S1)</w:t>
      </w:r>
      <w:r w:rsidR="00D35DB3" w:rsidRPr="00D35DB3">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4223"/>
        <w:gridCol w:w="1138"/>
      </w:tblGrid>
      <w:tr w:rsidR="002246FE" w14:paraId="2BDF9E78" w14:textId="77777777" w:rsidTr="008945DF">
        <w:trPr>
          <w:trHeight w:val="990"/>
        </w:trPr>
        <w:tc>
          <w:tcPr>
            <w:tcW w:w="2352" w:type="dxa"/>
            <w:vAlign w:val="center"/>
          </w:tcPr>
          <w:p w14:paraId="5B330218" w14:textId="77777777" w:rsidR="002246FE" w:rsidRDefault="002246FE" w:rsidP="008945DF">
            <w:pPr>
              <w:jc w:val="center"/>
            </w:pPr>
          </w:p>
        </w:tc>
        <w:tc>
          <w:tcPr>
            <w:tcW w:w="4223" w:type="dxa"/>
            <w:vAlign w:val="center"/>
          </w:tcPr>
          <w:p w14:paraId="4EE43074" w14:textId="6861F14D" w:rsidR="002246FE" w:rsidRPr="00921C45" w:rsidRDefault="002246FE" w:rsidP="008945DF">
            <w:pPr>
              <w:jc w:val="center"/>
              <w:rPr>
                <w:rFonts w:ascii="Cambria Math" w:eastAsia="Arial" w:hAnsi="Cambria Math" w:cs="Arial"/>
                <w:i/>
                <w:iCs/>
                <w:color w:val="000000"/>
                <w:szCs w:val="24"/>
              </w:rPr>
            </w:pPr>
            <w:r w:rsidRPr="0063062F">
              <w:rPr>
                <w:color w:val="000000"/>
                <w:szCs w:val="24"/>
                <w:lang w:val="en-GB"/>
              </w:rPr>
              <w:t xml:space="preserve">       </w:t>
            </w:r>
            <m:oMath>
              <m:sSub>
                <m:sSubPr>
                  <m:ctrlPr>
                    <w:rPr>
                      <w:rFonts w:ascii="Cambria Math" w:hAnsi="Cambria Math"/>
                      <w:i/>
                      <w:spacing w:val="-3"/>
                      <w:lang w:val="en-GB"/>
                    </w:rPr>
                  </m:ctrlPr>
                </m:sSubPr>
                <m:e>
                  <m:r>
                    <w:rPr>
                      <w:rFonts w:ascii="Cambria Math" w:hAnsi="Cambria Math"/>
                      <w:spacing w:val="-3"/>
                      <w:lang w:val="en-GB"/>
                    </w:rPr>
                    <m:t>R</m:t>
                  </m:r>
                </m:e>
                <m:sub>
                  <m:r>
                    <w:rPr>
                      <w:rFonts w:ascii="Cambria Math" w:hAnsi="Cambria Math"/>
                      <w:spacing w:val="-3"/>
                      <w:lang w:val="en-GB"/>
                    </w:rPr>
                    <m:t>m</m:t>
                  </m:r>
                </m:sub>
              </m:sSub>
              <m:r>
                <w:rPr>
                  <w:rFonts w:ascii="Cambria Math" w:hAnsi="Cambria Math"/>
                  <w:spacing w:val="-3"/>
                  <w:lang w:val="en-GB"/>
                </w:rPr>
                <m:t>=β∙</m:t>
              </m:r>
              <m:sSubSup>
                <m:sSubSupPr>
                  <m:ctrlPr>
                    <w:rPr>
                      <w:rFonts w:ascii="Cambria Math" w:hAnsi="Cambria Math"/>
                      <w:i/>
                      <w:noProof/>
                      <w:lang w:val="en-GB"/>
                    </w:rPr>
                  </m:ctrlPr>
                </m:sSubSupPr>
                <m:e>
                  <m:r>
                    <w:rPr>
                      <w:rFonts w:ascii="Cambria Math" w:hAnsi="Cambria Math"/>
                      <w:noProof/>
                      <w:lang w:val="en-GB"/>
                    </w:rPr>
                    <m:t>R</m:t>
                  </m:r>
                </m:e>
                <m:sub>
                  <m:r>
                    <w:rPr>
                      <w:rFonts w:ascii="Cambria Math" w:hAnsi="Cambria Math"/>
                      <w:noProof/>
                      <w:lang w:val="en-GB"/>
                    </w:rPr>
                    <m:t>m</m:t>
                  </m:r>
                </m:sub>
                <m:sup>
                  <m:r>
                    <w:rPr>
                      <w:rFonts w:ascii="Cambria Math" w:hAnsi="Cambria Math"/>
                      <w:noProof/>
                      <w:lang w:val="en-GB"/>
                    </w:rPr>
                    <m:t>*</m:t>
                  </m:r>
                </m:sup>
              </m:sSubSup>
            </m:oMath>
          </w:p>
        </w:tc>
        <w:tc>
          <w:tcPr>
            <w:tcW w:w="1138" w:type="dxa"/>
            <w:vAlign w:val="center"/>
          </w:tcPr>
          <w:p w14:paraId="2323B4E6" w14:textId="0006F536" w:rsidR="002246FE" w:rsidRDefault="002246FE" w:rsidP="008945DF">
            <w:pPr>
              <w:jc w:val="center"/>
            </w:pPr>
            <w:r>
              <w:t>Eq. S</w:t>
            </w:r>
            <w:r w:rsidR="00F63621">
              <w:t>1</w:t>
            </w:r>
          </w:p>
        </w:tc>
      </w:tr>
    </w:tbl>
    <w:p w14:paraId="0277594C" w14:textId="479501FE" w:rsidR="0019223A" w:rsidRDefault="002246FE" w:rsidP="00C14F17">
      <w:pPr>
        <w:jc w:val="both"/>
      </w:pPr>
      <w:r>
        <w:t>in which</w:t>
      </w:r>
      <w:r w:rsidR="00C14F17">
        <w:t xml:space="preserve">, </w:t>
      </w:r>
      <m:oMath>
        <m:sSub>
          <m:sSubPr>
            <m:ctrlPr>
              <w:rPr>
                <w:rFonts w:ascii="Cambria Math" w:hAnsi="Cambria Math"/>
                <w:i/>
                <w:spacing w:val="-3"/>
                <w:lang w:val="en-GB"/>
              </w:rPr>
            </m:ctrlPr>
          </m:sSubPr>
          <m:e>
            <m:r>
              <w:rPr>
                <w:rFonts w:ascii="Cambria Math" w:hAnsi="Cambria Math"/>
                <w:spacing w:val="-3"/>
                <w:lang w:val="en-GB"/>
              </w:rPr>
              <m:t>R</m:t>
            </m:r>
          </m:e>
          <m:sub>
            <m:r>
              <w:rPr>
                <w:rFonts w:ascii="Cambria Math" w:hAnsi="Cambria Math"/>
                <w:spacing w:val="-3"/>
                <w:lang w:val="en-GB"/>
              </w:rPr>
              <m:t>m</m:t>
            </m:r>
          </m:sub>
        </m:sSub>
      </m:oMath>
      <w:r w:rsidR="00C14F17">
        <w:rPr>
          <w:rFonts w:eastAsiaTheme="minorEastAsia"/>
          <w:spacing w:val="-3"/>
          <w:lang w:val="en-GB"/>
        </w:rPr>
        <w:t xml:space="preserve"> is the areal resisitance of the membrane,</w:t>
      </w:r>
      <w:r>
        <w:t xml:space="preserve"> </w:t>
      </w:r>
      <m:oMath>
        <m:r>
          <w:rPr>
            <w:rFonts w:ascii="Cambria Math" w:hAnsi="Cambria Math"/>
            <w:spacing w:val="-3"/>
            <w:lang w:val="en-GB"/>
          </w:rPr>
          <m:t>β</m:t>
        </m:r>
      </m:oMath>
      <w:r>
        <w:rPr>
          <w:rFonts w:eastAsiaTheme="minorEastAsia"/>
          <w:spacing w:val="-3"/>
          <w:lang w:val="en-GB"/>
        </w:rPr>
        <w:t xml:space="preserve"> is the correction factor of the membrane resistance</w:t>
      </w:r>
      <w:r w:rsidR="00C14F17">
        <w:rPr>
          <w:rFonts w:eastAsiaTheme="minorEastAsia"/>
          <w:spacing w:val="-3"/>
          <w:lang w:val="en-GB"/>
        </w:rPr>
        <w:t xml:space="preserve"> and </w:t>
      </w:r>
      <m:oMath>
        <m:sSubSup>
          <m:sSubSupPr>
            <m:ctrlPr>
              <w:rPr>
                <w:rFonts w:ascii="Cambria Math" w:hAnsi="Cambria Math"/>
                <w:i/>
                <w:noProof/>
                <w:lang w:val="en-GB"/>
              </w:rPr>
            </m:ctrlPr>
          </m:sSubSupPr>
          <m:e>
            <m:r>
              <w:rPr>
                <w:rFonts w:ascii="Cambria Math" w:hAnsi="Cambria Math"/>
                <w:noProof/>
                <w:lang w:val="en-GB"/>
              </w:rPr>
              <m:t>R</m:t>
            </m:r>
          </m:e>
          <m:sub>
            <m:r>
              <w:rPr>
                <w:rFonts w:ascii="Cambria Math" w:hAnsi="Cambria Math"/>
                <w:noProof/>
                <w:lang w:val="en-GB"/>
              </w:rPr>
              <m:t>m</m:t>
            </m:r>
          </m:sub>
          <m:sup>
            <m:r>
              <w:rPr>
                <w:rFonts w:ascii="Cambria Math" w:hAnsi="Cambria Math"/>
                <w:noProof/>
                <w:lang w:val="en-GB"/>
              </w:rPr>
              <m:t>*</m:t>
            </m:r>
          </m:sup>
        </m:sSubSup>
      </m:oMath>
      <w:r w:rsidR="00C14F17">
        <w:rPr>
          <w:rFonts w:eastAsiaTheme="minorEastAsia"/>
          <w:lang w:val="en-GB"/>
        </w:rPr>
        <w:t xml:space="preserve"> </w:t>
      </w:r>
      <w:r w:rsidR="00C14F17" w:rsidRPr="00C14F17">
        <w:rPr>
          <w:rFonts w:eastAsiaTheme="minorEastAsia"/>
          <w:lang w:val="en-GB"/>
        </w:rPr>
        <w:t>is the starting value of the membrane resistance calculated using the parameters provided by the manufacturer.</w:t>
      </w:r>
      <w:r w:rsidR="00C14F17">
        <w:rPr>
          <w:rFonts w:eastAsiaTheme="minorEastAsia"/>
          <w:spacing w:val="-3"/>
          <w:lang w:val="en-GB"/>
        </w:rPr>
        <w:t xml:space="preserve"> </w:t>
      </w:r>
      <w:r w:rsidR="005C5362">
        <w:t>The correction factor</w:t>
      </w:r>
      <w:r w:rsidR="005C5362" w:rsidRPr="00D35DB3">
        <w:t xml:space="preserve"> is a function of the average concentration of acid and base</w:t>
      </w:r>
      <w:r w:rsidR="005C5362">
        <w:t xml:space="preserve"> (Eq. S2).</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878"/>
        <w:gridCol w:w="1138"/>
      </w:tblGrid>
      <w:tr w:rsidR="00EA1F75" w14:paraId="01A94D01" w14:textId="77777777" w:rsidTr="000355D7">
        <w:trPr>
          <w:trHeight w:val="990"/>
        </w:trPr>
        <w:tc>
          <w:tcPr>
            <w:tcW w:w="1701" w:type="dxa"/>
            <w:vAlign w:val="center"/>
          </w:tcPr>
          <w:p w14:paraId="7B33FB08" w14:textId="77777777" w:rsidR="00EA1F75" w:rsidRDefault="00EA1F75" w:rsidP="008945DF">
            <w:pPr>
              <w:jc w:val="center"/>
            </w:pPr>
          </w:p>
        </w:tc>
        <w:tc>
          <w:tcPr>
            <w:tcW w:w="4878" w:type="dxa"/>
            <w:vAlign w:val="center"/>
          </w:tcPr>
          <w:p w14:paraId="1432517A" w14:textId="6D5C7F07" w:rsidR="00EA1F75" w:rsidRPr="00921C45" w:rsidRDefault="00EA1F75" w:rsidP="008945DF">
            <w:pPr>
              <w:jc w:val="center"/>
              <w:rPr>
                <w:rFonts w:ascii="Cambria Math" w:eastAsia="Arial" w:hAnsi="Cambria Math" w:cs="Arial"/>
                <w:i/>
                <w:iCs/>
                <w:color w:val="000000"/>
                <w:szCs w:val="24"/>
              </w:rPr>
            </w:pPr>
            <w:r w:rsidRPr="0063062F">
              <w:rPr>
                <w:color w:val="000000"/>
                <w:szCs w:val="24"/>
                <w:lang w:val="en-GB"/>
              </w:rPr>
              <w:t xml:space="preserve">       </w:t>
            </w:r>
            <m:oMath>
              <m:r>
                <w:rPr>
                  <w:rFonts w:ascii="Cambria Math" w:hAnsi="Cambria Math"/>
                  <w:spacing w:val="-3"/>
                  <w:lang w:val="en-GB"/>
                </w:rPr>
                <m:t>β=1.44∙</m:t>
              </m:r>
              <m:sSup>
                <m:sSupPr>
                  <m:ctrlPr>
                    <w:rPr>
                      <w:rFonts w:ascii="Cambria Math" w:hAnsi="Cambria Math"/>
                      <w:i/>
                      <w:spacing w:val="-3"/>
                      <w:lang w:val="en-GB"/>
                    </w:rPr>
                  </m:ctrlPr>
                </m:sSupPr>
                <m:e>
                  <m:r>
                    <w:rPr>
                      <w:rFonts w:ascii="Cambria Math" w:hAnsi="Cambria Math"/>
                      <w:spacing w:val="-3"/>
                      <w:lang w:val="en-GB"/>
                    </w:rPr>
                    <m:t>10</m:t>
                  </m:r>
                </m:e>
                <m:sup>
                  <m:r>
                    <w:rPr>
                      <w:rFonts w:ascii="Cambria Math" w:hAnsi="Cambria Math"/>
                      <w:spacing w:val="-3"/>
                      <w:lang w:val="en-GB"/>
                    </w:rPr>
                    <m:t>-7</m:t>
                  </m:r>
                </m:sup>
              </m:sSup>
              <m:r>
                <w:rPr>
                  <w:rFonts w:ascii="Cambria Math" w:hAnsi="Cambria Math"/>
                  <w:spacing w:val="-3"/>
                  <w:lang w:val="en-GB"/>
                </w:rPr>
                <m:t>∙</m:t>
              </m:r>
              <m:sSubSup>
                <m:sSubSupPr>
                  <m:ctrlPr>
                    <w:rPr>
                      <w:rFonts w:ascii="Cambria Math" w:hAnsi="Cambria Math"/>
                      <w:i/>
                      <w:spacing w:val="-3"/>
                      <w:lang w:val="en-GB"/>
                    </w:rPr>
                  </m:ctrlPr>
                </m:sSubSupPr>
                <m:e>
                  <m:r>
                    <w:rPr>
                      <w:rFonts w:ascii="Cambria Math" w:hAnsi="Cambria Math"/>
                      <w:spacing w:val="-3"/>
                      <w:lang w:val="en-GB"/>
                    </w:rPr>
                    <m:t>C</m:t>
                  </m:r>
                </m:e>
                <m:sub>
                  <m:r>
                    <w:rPr>
                      <w:rFonts w:ascii="Cambria Math" w:hAnsi="Cambria Math"/>
                      <w:spacing w:val="-3"/>
                      <w:lang w:val="en-GB"/>
                    </w:rPr>
                    <m:t>av</m:t>
                  </m:r>
                </m:sub>
                <m:sup>
                  <m:r>
                    <w:rPr>
                      <w:rFonts w:ascii="Cambria Math" w:hAnsi="Cambria Math"/>
                      <w:spacing w:val="-3"/>
                      <w:lang w:val="en-GB"/>
                    </w:rPr>
                    <m:t>2</m:t>
                  </m:r>
                </m:sup>
              </m:sSubSup>
              <m:r>
                <w:rPr>
                  <w:rFonts w:ascii="Cambria Math" w:hAnsi="Cambria Math"/>
                  <w:spacing w:val="-3"/>
                  <w:lang w:val="en-GB"/>
                </w:rPr>
                <m:t>-6.63∙</m:t>
              </m:r>
              <m:sSub>
                <m:sSubPr>
                  <m:ctrlPr>
                    <w:rPr>
                      <w:rFonts w:ascii="Cambria Math" w:hAnsi="Cambria Math"/>
                      <w:i/>
                      <w:spacing w:val="-3"/>
                      <w:lang w:val="en-GB"/>
                    </w:rPr>
                  </m:ctrlPr>
                </m:sSubPr>
                <m:e>
                  <m:r>
                    <w:rPr>
                      <w:rFonts w:ascii="Cambria Math" w:hAnsi="Cambria Math"/>
                      <w:spacing w:val="-3"/>
                      <w:lang w:val="en-GB"/>
                    </w:rPr>
                    <m:t>C</m:t>
                  </m:r>
                </m:e>
                <m:sub>
                  <m:r>
                    <w:rPr>
                      <w:rFonts w:ascii="Cambria Math" w:hAnsi="Cambria Math"/>
                      <w:spacing w:val="-3"/>
                      <w:lang w:val="en-GB"/>
                    </w:rPr>
                    <m:t>av</m:t>
                  </m:r>
                </m:sub>
              </m:sSub>
              <m:r>
                <w:rPr>
                  <w:rFonts w:ascii="Cambria Math" w:hAnsi="Cambria Math"/>
                  <w:spacing w:val="-3"/>
                  <w:lang w:val="en-GB"/>
                </w:rPr>
                <m:t>+1.56</m:t>
              </m:r>
            </m:oMath>
          </w:p>
        </w:tc>
        <w:tc>
          <w:tcPr>
            <w:tcW w:w="1138" w:type="dxa"/>
            <w:vAlign w:val="center"/>
          </w:tcPr>
          <w:p w14:paraId="696C7AA0" w14:textId="6DF0BD24" w:rsidR="00EA1F75" w:rsidRDefault="00EA1F75" w:rsidP="008945DF">
            <w:pPr>
              <w:jc w:val="center"/>
            </w:pPr>
            <w:r>
              <w:t xml:space="preserve">Eq. </w:t>
            </w:r>
            <w:r w:rsidR="002246FE">
              <w:t>S2</w:t>
            </w:r>
          </w:p>
        </w:tc>
      </w:tr>
    </w:tbl>
    <w:p w14:paraId="7785121B" w14:textId="64DD13F0" w:rsidR="0019223A" w:rsidRDefault="005C5362" w:rsidP="005410C0">
      <w:pPr>
        <w:jc w:val="both"/>
        <w:rPr>
          <w:rFonts w:eastAsiaTheme="minorEastAsia"/>
          <w:spacing w:val="-3"/>
          <w:lang w:val="en-GB"/>
        </w:rPr>
      </w:pPr>
      <w:r>
        <w:t xml:space="preserve">in which </w:t>
      </w:r>
      <m:oMath>
        <m:sSub>
          <m:sSubPr>
            <m:ctrlPr>
              <w:rPr>
                <w:rFonts w:ascii="Cambria Math" w:hAnsi="Cambria Math"/>
                <w:i/>
                <w:spacing w:val="-3"/>
                <w:lang w:val="en-GB"/>
              </w:rPr>
            </m:ctrlPr>
          </m:sSubPr>
          <m:e>
            <m:r>
              <w:rPr>
                <w:rFonts w:ascii="Cambria Math" w:hAnsi="Cambria Math"/>
                <w:spacing w:val="-3"/>
                <w:lang w:val="en-GB"/>
              </w:rPr>
              <m:t>C</m:t>
            </m:r>
          </m:e>
          <m:sub>
            <m:r>
              <w:rPr>
                <w:rFonts w:ascii="Cambria Math" w:hAnsi="Cambria Math"/>
                <w:spacing w:val="-3"/>
                <w:lang w:val="en-GB"/>
              </w:rPr>
              <m:t>av</m:t>
            </m:r>
          </m:sub>
        </m:sSub>
      </m:oMath>
      <w:r>
        <w:rPr>
          <w:rFonts w:eastAsiaTheme="minorEastAsia"/>
          <w:spacing w:val="-3"/>
          <w:lang w:val="en-GB"/>
        </w:rPr>
        <w:t xml:space="preserve"> is the average acid/base concentration. </w:t>
      </w:r>
    </w:p>
    <w:p w14:paraId="55EB36D8" w14:textId="7D35A5A8" w:rsidR="00C14F17" w:rsidRDefault="00635D9C" w:rsidP="005410C0">
      <w:pPr>
        <w:jc w:val="both"/>
        <w:rPr>
          <w:rFonts w:eastAsiaTheme="minorEastAsia"/>
          <w:spacing w:val="-3"/>
          <w:lang w:val="en-GB"/>
        </w:rPr>
      </w:pPr>
      <w:r>
        <w:rPr>
          <w:rFonts w:eastAsiaTheme="minorEastAsia"/>
          <w:spacing w:val="-3"/>
          <w:lang w:val="en-GB"/>
        </w:rPr>
        <w:lastRenderedPageBreak/>
        <w:t>Moreover</w:t>
      </w:r>
      <w:r w:rsidRPr="00635D9C">
        <w:rPr>
          <w:rFonts w:eastAsiaTheme="minorEastAsia"/>
          <w:spacing w:val="-3"/>
          <w:lang w:val="en-GB"/>
        </w:rPr>
        <w:t xml:space="preserve">, in the stack model, and specifically in the hydraulic sub-model, the local loss coefficients and the friction factor were multiplied by a constant factor of 4.72 to better simulate the trend of the stack's </w:t>
      </w:r>
      <w:r>
        <w:rPr>
          <w:rFonts w:eastAsiaTheme="minorEastAsia"/>
          <w:spacing w:val="-3"/>
          <w:lang w:val="en-GB"/>
        </w:rPr>
        <w:t>pressure</w:t>
      </w:r>
      <w:r w:rsidRPr="00635D9C">
        <w:rPr>
          <w:rFonts w:eastAsiaTheme="minorEastAsia"/>
          <w:spacing w:val="-3"/>
          <w:lang w:val="en-GB"/>
        </w:rPr>
        <w:t xml:space="preserve"> losses. The factor was obtained by calibrating the model with experimental data in the reference </w:t>
      </w:r>
      <w:r>
        <w:rPr>
          <w:rFonts w:eastAsiaTheme="minorEastAsia"/>
          <w:spacing w:val="-3"/>
          <w:lang w:val="en-GB"/>
        </w:rPr>
        <w:t>scenario</w:t>
      </w:r>
      <w:r w:rsidRPr="00635D9C">
        <w:rPr>
          <w:rFonts w:eastAsiaTheme="minorEastAsia"/>
          <w:spacing w:val="-3"/>
          <w:lang w:val="en-GB"/>
        </w:rPr>
        <w:t xml:space="preserve"> and was tested in the improved scenario</w:t>
      </w:r>
      <w:r>
        <w:rPr>
          <w:rFonts w:eastAsiaTheme="minorEastAsia"/>
          <w:spacing w:val="-3"/>
          <w:lang w:val="en-GB"/>
        </w:rPr>
        <w:t>, showing</w:t>
      </w:r>
      <w:r w:rsidRPr="00635D9C">
        <w:rPr>
          <w:rFonts w:eastAsiaTheme="minorEastAsia"/>
          <w:spacing w:val="-3"/>
          <w:lang w:val="en-GB"/>
        </w:rPr>
        <w:t xml:space="preserve"> </w:t>
      </w:r>
      <w:r>
        <w:rPr>
          <w:rFonts w:eastAsiaTheme="minorEastAsia"/>
          <w:spacing w:val="-3"/>
          <w:lang w:val="en-GB"/>
        </w:rPr>
        <w:t>a</w:t>
      </w:r>
      <w:r w:rsidRPr="00635D9C">
        <w:rPr>
          <w:rFonts w:eastAsiaTheme="minorEastAsia"/>
          <w:spacing w:val="-3"/>
          <w:lang w:val="en-GB"/>
        </w:rPr>
        <w:t xml:space="preserve"> good agreement</w:t>
      </w:r>
      <w:r>
        <w:rPr>
          <w:rFonts w:eastAsiaTheme="minorEastAsia"/>
          <w:spacing w:val="-3"/>
          <w:lang w:val="en-GB"/>
        </w:rPr>
        <w:t xml:space="preserve"> between model outcome and experimental results</w:t>
      </w:r>
      <w:r w:rsidRPr="00635D9C">
        <w:rPr>
          <w:rFonts w:eastAsiaTheme="minorEastAsia"/>
          <w:spacing w:val="-3"/>
          <w:lang w:val="en-GB"/>
        </w:rPr>
        <w:t>.</w:t>
      </w:r>
    </w:p>
    <w:p w14:paraId="13CB09F7" w14:textId="2555BA34" w:rsidR="00C93A1D" w:rsidRPr="00B52D07" w:rsidRDefault="000932E8" w:rsidP="00C93A1D">
      <w:pPr>
        <w:rPr>
          <w:b/>
          <w:bCs/>
          <w:iCs/>
          <w:sz w:val="22"/>
          <w:szCs w:val="20"/>
          <w:lang w:val="en-GB"/>
        </w:rPr>
      </w:pPr>
      <w:bookmarkStart w:id="3" w:name="_Toc112261334"/>
      <w:r w:rsidRPr="00B52D07">
        <w:rPr>
          <w:rFonts w:eastAsiaTheme="majorEastAsia" w:cstheme="majorBidi"/>
          <w:b/>
          <w:bCs/>
          <w:iCs/>
          <w:color w:val="000000" w:themeColor="text1"/>
          <w:lang w:val="en-GB"/>
        </w:rPr>
        <w:t>S.1</w:t>
      </w:r>
      <w:r w:rsidR="00C93A1D" w:rsidRPr="00B52D07">
        <w:rPr>
          <w:rFonts w:eastAsiaTheme="majorEastAsia" w:cstheme="majorBidi"/>
          <w:b/>
          <w:bCs/>
          <w:iCs/>
          <w:color w:val="000000" w:themeColor="text1"/>
          <w:lang w:val="en-GB"/>
        </w:rPr>
        <w:t>.</w:t>
      </w:r>
      <w:r w:rsidR="0019223A">
        <w:rPr>
          <w:rFonts w:eastAsiaTheme="majorEastAsia" w:cstheme="majorBidi"/>
          <w:b/>
          <w:bCs/>
          <w:iCs/>
          <w:color w:val="000000" w:themeColor="text1"/>
          <w:lang w:val="en-GB"/>
        </w:rPr>
        <w:t>2</w:t>
      </w:r>
      <w:r w:rsidR="00C93A1D" w:rsidRPr="00B52D07">
        <w:rPr>
          <w:rFonts w:eastAsiaTheme="majorEastAsia" w:cstheme="majorBidi"/>
          <w:b/>
          <w:bCs/>
          <w:iCs/>
          <w:color w:val="000000" w:themeColor="text1"/>
          <w:lang w:val="en-GB"/>
        </w:rPr>
        <w:t xml:space="preserve"> Closed-loop</w:t>
      </w:r>
      <w:bookmarkEnd w:id="3"/>
      <w:r w:rsidR="00C93A1D" w:rsidRPr="00B52D07">
        <w:rPr>
          <w:rFonts w:eastAsiaTheme="majorEastAsia" w:cstheme="majorBidi"/>
          <w:b/>
          <w:bCs/>
          <w:iCs/>
          <w:color w:val="000000" w:themeColor="text1"/>
          <w:lang w:val="en-GB"/>
        </w:rPr>
        <w:t xml:space="preserve"> configuration</w:t>
      </w:r>
    </w:p>
    <w:p w14:paraId="7FA0F468" w14:textId="77777777" w:rsidR="00C93A1D" w:rsidRDefault="00C93A1D" w:rsidP="00C93A1D">
      <w:pPr>
        <w:jc w:val="both"/>
        <w:rPr>
          <w:lang w:val="en-GB"/>
        </w:rPr>
      </w:pPr>
      <w:r w:rsidRPr="004D7B93">
        <w:rPr>
          <w:lang w:val="en-GB"/>
        </w:rPr>
        <w:t>Closed</w:t>
      </w:r>
      <w:r>
        <w:rPr>
          <w:lang w:val="en-GB"/>
        </w:rPr>
        <w:t>-</w:t>
      </w:r>
      <w:r w:rsidRPr="004D7B93">
        <w:rPr>
          <w:lang w:val="en-GB"/>
        </w:rPr>
        <w:t xml:space="preserve">loop tests were battery charge and discharge </w:t>
      </w:r>
      <w:r>
        <w:rPr>
          <w:lang w:val="en-GB"/>
        </w:rPr>
        <w:t xml:space="preserve">round-trip </w:t>
      </w:r>
      <w:r w:rsidRPr="004D7B93">
        <w:rPr>
          <w:lang w:val="en-GB"/>
        </w:rPr>
        <w:t>cycle</w:t>
      </w:r>
      <w:r>
        <w:rPr>
          <w:lang w:val="en-GB"/>
        </w:rPr>
        <w:t xml:space="preserve">s </w:t>
      </w:r>
      <w:r w:rsidRPr="004D7B93">
        <w:rPr>
          <w:lang w:val="en-GB"/>
        </w:rPr>
        <w:t>in which all solutions were recirculated until a target concentration is reached as shown in</w:t>
      </w:r>
      <w:r>
        <w:rPr>
          <w:lang w:val="en-GB"/>
        </w:rPr>
        <w:t xml:space="preserve"> Figure S1</w:t>
      </w:r>
      <w:r w:rsidRPr="004D7B93">
        <w:rPr>
          <w:lang w:val="en-GB"/>
        </w:rPr>
        <w:t>.</w:t>
      </w:r>
      <w:r>
        <w:rPr>
          <w:lang w:val="en-GB"/>
        </w:rPr>
        <w:t xml:space="preserve"> </w:t>
      </w:r>
    </w:p>
    <w:p w14:paraId="4CDFC9D0" w14:textId="77777777" w:rsidR="00C93A1D" w:rsidRDefault="00C93A1D" w:rsidP="00C93A1D">
      <w:pPr>
        <w:keepNext/>
        <w:jc w:val="center"/>
      </w:pPr>
      <w:r w:rsidRPr="00C93A1D">
        <w:rPr>
          <w:noProof/>
        </w:rPr>
        <w:drawing>
          <wp:inline distT="0" distB="0" distL="0" distR="0" wp14:anchorId="0C2D46EE" wp14:editId="4006CD83">
            <wp:extent cx="4023360" cy="2519680"/>
            <wp:effectExtent l="0" t="0" r="0" b="0"/>
            <wp:docPr id="8" name="Immagine 7"/>
            <wp:cNvGraphicFramePr/>
            <a:graphic xmlns:a="http://schemas.openxmlformats.org/drawingml/2006/main">
              <a:graphicData uri="http://schemas.openxmlformats.org/drawingml/2006/picture">
                <pic:pic xmlns:pic="http://schemas.openxmlformats.org/drawingml/2006/picture">
                  <pic:nvPicPr>
                    <pic:cNvPr id="8" name="Immagine 7"/>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23360" cy="2519680"/>
                    </a:xfrm>
                    <a:prstGeom prst="rect">
                      <a:avLst/>
                    </a:prstGeom>
                    <a:noFill/>
                    <a:ln>
                      <a:noFill/>
                    </a:ln>
                  </pic:spPr>
                </pic:pic>
              </a:graphicData>
            </a:graphic>
          </wp:inline>
        </w:drawing>
      </w:r>
    </w:p>
    <w:p w14:paraId="0B166CC7" w14:textId="564A39D3" w:rsidR="00C93A1D" w:rsidRPr="00A64413" w:rsidRDefault="00C93A1D" w:rsidP="00C93A1D">
      <w:pPr>
        <w:pStyle w:val="Didascalia"/>
      </w:pPr>
      <w:r>
        <w:t xml:space="preserve">Figure </w:t>
      </w:r>
      <w:r w:rsidR="000932E8">
        <w:t>S</w:t>
      </w:r>
      <w:r w:rsidR="003533F1">
        <w:fldChar w:fldCharType="begin"/>
      </w:r>
      <w:r w:rsidR="003533F1">
        <w:instrText xml:space="preserve"> SEQ Figure \* ARABIC </w:instrText>
      </w:r>
      <w:r w:rsidR="003533F1">
        <w:fldChar w:fldCharType="separate"/>
      </w:r>
      <w:r w:rsidR="00F628FA">
        <w:rPr>
          <w:noProof/>
        </w:rPr>
        <w:t>1</w:t>
      </w:r>
      <w:r w:rsidR="003533F1">
        <w:rPr>
          <w:noProof/>
        </w:rPr>
        <w:fldChar w:fldCharType="end"/>
      </w:r>
      <w:r>
        <w:t xml:space="preserve">. </w:t>
      </w:r>
      <w:r w:rsidRPr="00A64413">
        <w:t xml:space="preserve">Schemes of the </w:t>
      </w:r>
      <w:r>
        <w:t xml:space="preserve">closed-loop </w:t>
      </w:r>
      <w:r w:rsidRPr="00A64413">
        <w:t>configuration of the battery.</w:t>
      </w:r>
    </w:p>
    <w:p w14:paraId="6F4A0DBD" w14:textId="5CCD3E2E" w:rsidR="00C93A1D" w:rsidRPr="004D7B93" w:rsidRDefault="00C93A1D" w:rsidP="00C93A1D">
      <w:pPr>
        <w:jc w:val="both"/>
        <w:rPr>
          <w:lang w:val="en-GB"/>
        </w:rPr>
      </w:pPr>
      <w:r w:rsidRPr="004D7B93">
        <w:rPr>
          <w:lang w:val="en-GB"/>
        </w:rPr>
        <w:t>The solutions in the stack had a velocity of 0.2 cm s</w:t>
      </w:r>
      <w:r w:rsidRPr="004D7B93">
        <w:rPr>
          <w:vertAlign w:val="superscript"/>
          <w:lang w:val="en-GB"/>
        </w:rPr>
        <w:t>-1</w:t>
      </w:r>
      <w:r w:rsidRPr="004D7B93">
        <w:rPr>
          <w:rStyle w:val="Rimandocommento"/>
          <w:sz w:val="24"/>
          <w:szCs w:val="24"/>
          <w:lang w:val="en-GB"/>
        </w:rPr>
        <w:t>, high enough to minimise membrane polarisation, but low enough to avoid high pressure drops. T</w:t>
      </w:r>
      <w:r w:rsidRPr="004D7B93">
        <w:rPr>
          <w:lang w:val="en-GB"/>
        </w:rPr>
        <w:t>he volumes of each solution used in the tests were 600 m</w:t>
      </w:r>
      <w:r>
        <w:rPr>
          <w:lang w:val="en-GB"/>
        </w:rPr>
        <w:t>L</w:t>
      </w:r>
      <w:r w:rsidRPr="004D7B93">
        <w:rPr>
          <w:lang w:val="en-GB"/>
        </w:rPr>
        <w:t xml:space="preserve"> and the starting concentrations for the charge phase were 0.1 M </w:t>
      </w:r>
      <w:r>
        <w:rPr>
          <w:lang w:val="en-GB"/>
        </w:rPr>
        <w:t xml:space="preserve">(i.e., 10% SoC) </w:t>
      </w:r>
      <w:r w:rsidRPr="004D7B93">
        <w:rPr>
          <w:lang w:val="en-GB"/>
        </w:rPr>
        <w:t xml:space="preserve">for the acid and alkaline solutions, and 1.0 M for the salt solution. </w:t>
      </w:r>
      <w:r>
        <w:rPr>
          <w:lang w:val="en-GB"/>
        </w:rPr>
        <w:t>Notably</w:t>
      </w:r>
      <w:r w:rsidRPr="004D7B93">
        <w:rPr>
          <w:lang w:val="en-GB"/>
        </w:rPr>
        <w:t>, a minimum starting concentration was chosen for the acidic and alkaline solutions to avoid having solutions with high resistances at the beginning of each test and thus obtaining voltage peaks before reaching the steady state.</w:t>
      </w:r>
    </w:p>
    <w:p w14:paraId="06FDF0AB" w14:textId="3BDA7A55" w:rsidR="00C93A1D" w:rsidRDefault="00C93A1D" w:rsidP="00C93A1D">
      <w:pPr>
        <w:jc w:val="both"/>
        <w:rPr>
          <w:lang w:val="en-GB"/>
        </w:rPr>
      </w:pPr>
      <w:r w:rsidRPr="004D7B93">
        <w:rPr>
          <w:lang w:val="en-GB"/>
        </w:rPr>
        <w:t xml:space="preserve">The charge phase </w:t>
      </w:r>
      <w:r w:rsidR="002B750A">
        <w:rPr>
          <w:lang w:val="en-GB"/>
        </w:rPr>
        <w:t xml:space="preserve">(schematically represented in </w:t>
      </w:r>
      <w:r w:rsidR="007F3149">
        <w:rPr>
          <w:lang w:val="en-GB"/>
        </w:rPr>
        <w:fldChar w:fldCharType="begin"/>
      </w:r>
      <w:r w:rsidR="007F3149">
        <w:rPr>
          <w:lang w:val="en-GB"/>
        </w:rPr>
        <w:instrText xml:space="preserve"> REF _Ref149841536 \h </w:instrText>
      </w:r>
      <w:r w:rsidR="007F3149">
        <w:rPr>
          <w:lang w:val="en-GB"/>
        </w:rPr>
      </w:r>
      <w:r w:rsidR="007F3149">
        <w:rPr>
          <w:lang w:val="en-GB"/>
        </w:rPr>
        <w:fldChar w:fldCharType="separate"/>
      </w:r>
      <w:r w:rsidR="007F3149">
        <w:t>Figure S</w:t>
      </w:r>
      <w:r w:rsidR="007F3149">
        <w:rPr>
          <w:noProof/>
        </w:rPr>
        <w:t>2</w:t>
      </w:r>
      <w:r w:rsidR="007F3149">
        <w:rPr>
          <w:lang w:val="en-GB"/>
        </w:rPr>
        <w:fldChar w:fldCharType="end"/>
      </w:r>
      <w:r w:rsidR="007A2231">
        <w:rPr>
          <w:lang w:val="en-GB"/>
        </w:rPr>
        <w:t xml:space="preserve">, with </w:t>
      </w:r>
      <w:r w:rsidR="007A2231">
        <w:t xml:space="preserve">hydraulic and electrical circuits overlapped) </w:t>
      </w:r>
      <w:r w:rsidRPr="004D7B93">
        <w:rPr>
          <w:lang w:val="en-GB"/>
        </w:rPr>
        <w:t>was conducted up to the maximum concentration achievable by acidic and alkaline solutions</w:t>
      </w:r>
      <w:r>
        <w:rPr>
          <w:lang w:val="en-GB"/>
        </w:rPr>
        <w:t xml:space="preserve"> </w:t>
      </w:r>
      <w:r>
        <w:rPr>
          <w:lang w:val="en-GB"/>
        </w:rPr>
        <w:lastRenderedPageBreak/>
        <w:t>but in any case lower than 1</w:t>
      </w:r>
      <w:r w:rsidR="00DC1806">
        <w:rPr>
          <w:lang w:val="en-GB"/>
        </w:rPr>
        <w:t xml:space="preserve"> </w:t>
      </w:r>
      <w:r>
        <w:rPr>
          <w:lang w:val="en-GB"/>
        </w:rPr>
        <w:t>M (i.e., 100% SoC and corresponding to a theoretical capacity of ~16.1 Ah)</w:t>
      </w:r>
      <w:r w:rsidRPr="004D7B93">
        <w:rPr>
          <w:lang w:val="en-GB"/>
        </w:rPr>
        <w:t xml:space="preserve">, and </w:t>
      </w:r>
      <w:r>
        <w:rPr>
          <w:lang w:val="en-GB"/>
        </w:rPr>
        <w:t xml:space="preserve">this achieved concentrations were chosen as starting point of the </w:t>
      </w:r>
      <w:r w:rsidRPr="004D7B93">
        <w:rPr>
          <w:lang w:val="en-GB"/>
        </w:rPr>
        <w:t>discharge phase. This was conducted up to the solutions' final concentration equal to the initial concentration of the charge phase</w:t>
      </w:r>
      <w:r>
        <w:rPr>
          <w:lang w:val="en-GB"/>
        </w:rPr>
        <w:t xml:space="preserve"> (i.e., round-trip tests)</w:t>
      </w:r>
      <w:r w:rsidRPr="004D7B93">
        <w:rPr>
          <w:lang w:val="en-GB"/>
        </w:rPr>
        <w:t>. The charge and discharge phases were carried out at constant current densities of 100 A m</w:t>
      </w:r>
      <w:r w:rsidRPr="004D7B93">
        <w:rPr>
          <w:vertAlign w:val="superscript"/>
          <w:lang w:val="en-GB"/>
        </w:rPr>
        <w:t>-2</w:t>
      </w:r>
      <w:r>
        <w:rPr>
          <w:lang w:val="en-GB"/>
        </w:rPr>
        <w:t xml:space="preserve"> (C-rate of C/16) </w:t>
      </w:r>
      <w:r w:rsidRPr="004D7B93">
        <w:rPr>
          <w:lang w:val="en-GB"/>
        </w:rPr>
        <w:t>and 29 A m</w:t>
      </w:r>
      <w:r w:rsidRPr="004D7B93">
        <w:rPr>
          <w:vertAlign w:val="superscript"/>
          <w:lang w:val="en-GB"/>
        </w:rPr>
        <w:t>-2</w:t>
      </w:r>
      <w:r w:rsidRPr="00410431">
        <w:rPr>
          <w:lang w:val="en-GB"/>
        </w:rPr>
        <w:t xml:space="preserve"> </w:t>
      </w:r>
      <w:r>
        <w:rPr>
          <w:lang w:val="en-GB"/>
        </w:rPr>
        <w:t>(C-rate of C/56)</w:t>
      </w:r>
      <w:r w:rsidRPr="004D7B93">
        <w:rPr>
          <w:lang w:val="en-GB"/>
        </w:rPr>
        <w:t xml:space="preserve">, respectively. During the tests, the voltage was monitored as it varied over time. </w:t>
      </w:r>
    </w:p>
    <w:p w14:paraId="76FE318B" w14:textId="77777777" w:rsidR="00E61250" w:rsidRDefault="00E61250" w:rsidP="00E61250">
      <w:pPr>
        <w:keepNext/>
        <w:jc w:val="both"/>
      </w:pPr>
      <w:r w:rsidRPr="00E61250">
        <w:rPr>
          <w:noProof/>
        </w:rPr>
        <w:drawing>
          <wp:inline distT="0" distB="0" distL="0" distR="0" wp14:anchorId="61AF6E45" wp14:editId="206A8359">
            <wp:extent cx="6057900" cy="5631180"/>
            <wp:effectExtent l="0" t="0" r="0" b="7620"/>
            <wp:docPr id="128404537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5631180"/>
                    </a:xfrm>
                    <a:prstGeom prst="rect">
                      <a:avLst/>
                    </a:prstGeom>
                    <a:noFill/>
                    <a:ln>
                      <a:noFill/>
                    </a:ln>
                  </pic:spPr>
                </pic:pic>
              </a:graphicData>
            </a:graphic>
          </wp:inline>
        </w:drawing>
      </w:r>
    </w:p>
    <w:p w14:paraId="09BC25C1" w14:textId="265347E7" w:rsidR="00E61250" w:rsidRDefault="00E61250" w:rsidP="00E61250">
      <w:pPr>
        <w:pStyle w:val="Didascalia"/>
        <w:jc w:val="both"/>
      </w:pPr>
      <w:bookmarkStart w:id="4" w:name="_Ref149841536"/>
      <w:r>
        <w:t>Figure S</w:t>
      </w:r>
      <w:r w:rsidR="003533F1">
        <w:fldChar w:fldCharType="begin"/>
      </w:r>
      <w:r w:rsidR="003533F1">
        <w:instrText xml:space="preserve"> SEQ Figure \* ARABIC </w:instrText>
      </w:r>
      <w:r w:rsidR="003533F1">
        <w:fldChar w:fldCharType="separate"/>
      </w:r>
      <w:r w:rsidR="00F628FA">
        <w:rPr>
          <w:noProof/>
        </w:rPr>
        <w:t>2</w:t>
      </w:r>
      <w:r w:rsidR="003533F1">
        <w:rPr>
          <w:noProof/>
        </w:rPr>
        <w:fldChar w:fldCharType="end"/>
      </w:r>
      <w:r>
        <w:t>.</w:t>
      </w:r>
      <w:bookmarkEnd w:id="4"/>
      <w:r w:rsidR="007F3149">
        <w:t xml:space="preserve"> </w:t>
      </w:r>
      <w:r w:rsidR="002D32D4" w:rsidRPr="00967359">
        <w:t xml:space="preserve">Schematic representation of </w:t>
      </w:r>
      <w:r w:rsidR="002D32D4">
        <w:t xml:space="preserve">the </w:t>
      </w:r>
      <w:r w:rsidR="002D32D4" w:rsidRPr="00967359">
        <w:t>AB-FB</w:t>
      </w:r>
      <w:r w:rsidR="002D32D4">
        <w:t xml:space="preserve"> charge phase</w:t>
      </w:r>
      <w:r w:rsidR="002D32D4" w:rsidRPr="00967359">
        <w:t xml:space="preserve">, </w:t>
      </w:r>
      <w:r w:rsidR="002D32D4">
        <w:t>hy</w:t>
      </w:r>
      <w:r w:rsidR="002D32D4" w:rsidRPr="00967359">
        <w:t>dr</w:t>
      </w:r>
      <w:r w:rsidR="002D32D4">
        <w:t>aulic and electrical circuits</w:t>
      </w:r>
      <w:r w:rsidR="002D32D4" w:rsidRPr="00967359">
        <w:t xml:space="preserve"> overlapped. In this representation the concentrated channels have lower resistances, so there is a </w:t>
      </w:r>
      <w:r w:rsidR="002D32D4" w:rsidRPr="00967359">
        <w:lastRenderedPageBreak/>
        <w:t>preferential pathway for the current in the manifold of the system due to the lower resistanc</w:t>
      </w:r>
      <w:r w:rsidR="002D32D4">
        <w:t>es in the y direction compared</w:t>
      </w:r>
      <w:r w:rsidR="002D32D4" w:rsidRPr="00967359">
        <w:t xml:space="preserve"> to the x direction perpendicular </w:t>
      </w:r>
      <w:r w:rsidR="002D32D4">
        <w:t>to</w:t>
      </w:r>
      <w:r w:rsidR="002D32D4" w:rsidRPr="00967359">
        <w:t xml:space="preserve"> the membranes</w:t>
      </w:r>
      <w:r w:rsidR="002D32D4">
        <w:t>.</w:t>
      </w:r>
    </w:p>
    <w:p w14:paraId="2D0B80AC" w14:textId="77777777" w:rsidR="00077413" w:rsidRDefault="00077413" w:rsidP="00C93A1D">
      <w:pPr>
        <w:jc w:val="both"/>
        <w:rPr>
          <w:lang w:val="en-GB"/>
        </w:rPr>
      </w:pPr>
    </w:p>
    <w:p w14:paraId="1B3AB170" w14:textId="5E1829DA" w:rsidR="00FF4973" w:rsidRPr="00B52D07" w:rsidRDefault="00FF4973" w:rsidP="008A0F67">
      <w:pPr>
        <w:rPr>
          <w:b/>
          <w:bCs/>
          <w:iCs/>
          <w:sz w:val="22"/>
          <w:szCs w:val="20"/>
          <w:lang w:val="en-GB"/>
        </w:rPr>
      </w:pPr>
      <w:r w:rsidRPr="00B52D07">
        <w:rPr>
          <w:rFonts w:eastAsiaTheme="majorEastAsia" w:cstheme="majorBidi"/>
          <w:b/>
          <w:bCs/>
          <w:iCs/>
          <w:color w:val="000000" w:themeColor="text1"/>
          <w:lang w:val="en-GB"/>
        </w:rPr>
        <w:t>S.1.</w:t>
      </w:r>
      <w:r w:rsidR="0019223A">
        <w:rPr>
          <w:rFonts w:eastAsiaTheme="majorEastAsia" w:cstheme="majorBidi"/>
          <w:b/>
          <w:bCs/>
          <w:iCs/>
          <w:color w:val="000000" w:themeColor="text1"/>
          <w:lang w:val="en-GB"/>
        </w:rPr>
        <w:t>3</w:t>
      </w:r>
      <w:r w:rsidRPr="00B52D07">
        <w:rPr>
          <w:rFonts w:eastAsiaTheme="majorEastAsia" w:cstheme="majorBidi"/>
          <w:b/>
          <w:bCs/>
          <w:iCs/>
          <w:color w:val="000000" w:themeColor="text1"/>
          <w:lang w:val="en-GB"/>
        </w:rPr>
        <w:t xml:space="preserve"> AB-FB Performance Indicators</w:t>
      </w:r>
    </w:p>
    <w:p w14:paraId="5A824B98" w14:textId="4CD955C2" w:rsidR="00FF4973" w:rsidRDefault="00FF4973" w:rsidP="00FF4973">
      <w:pPr>
        <w:rPr>
          <w:lang w:val="en-GB"/>
        </w:rPr>
      </w:pPr>
      <w:r>
        <w:rPr>
          <w:lang w:val="en-GB"/>
        </w:rPr>
        <w:t xml:space="preserve">The </w:t>
      </w:r>
      <w:r w:rsidRPr="001B5FC5">
        <w:rPr>
          <w:i/>
          <w:iCs/>
          <w:lang w:val="en-GB"/>
        </w:rPr>
        <w:t>Charge Efficiency</w:t>
      </w:r>
      <w:r>
        <w:rPr>
          <w:lang w:val="en-GB"/>
        </w:rPr>
        <w:t xml:space="preserve"> is the ratio of the charge used to produce acid and base to the total charge transferred during the charge phase (Eq. </w:t>
      </w:r>
      <w:r w:rsidR="00F63621">
        <w:rPr>
          <w:lang w:val="en-GB"/>
        </w:rPr>
        <w:t>S3</w:t>
      </w:r>
      <w:r>
        <w:rPr>
          <w:lang w:val="en-GB"/>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5804"/>
        <w:gridCol w:w="2065"/>
      </w:tblGrid>
      <w:tr w:rsidR="00FF4973" w14:paraId="1EEAC89E" w14:textId="77777777" w:rsidTr="0090279E">
        <w:trPr>
          <w:trHeight w:val="1147"/>
        </w:trPr>
        <w:tc>
          <w:tcPr>
            <w:tcW w:w="1426" w:type="dxa"/>
            <w:vAlign w:val="center"/>
          </w:tcPr>
          <w:p w14:paraId="539ADBDC" w14:textId="77777777" w:rsidR="00FF4973" w:rsidRDefault="00FF4973" w:rsidP="0090279E">
            <w:pPr>
              <w:jc w:val="center"/>
            </w:pPr>
            <w:bookmarkStart w:id="5" w:name="_Hlk125017072"/>
          </w:p>
        </w:tc>
        <w:tc>
          <w:tcPr>
            <w:tcW w:w="5804" w:type="dxa"/>
            <w:vAlign w:val="center"/>
          </w:tcPr>
          <w:p w14:paraId="76F1785C" w14:textId="46BAD52F" w:rsidR="00FF4973" w:rsidRPr="00921C45" w:rsidRDefault="003533F1" w:rsidP="0090279E">
            <w:pPr>
              <w:jc w:val="center"/>
              <w:rPr>
                <w:rFonts w:ascii="Cambria Math" w:eastAsia="Arial" w:hAnsi="Cambria Math" w:cs="Arial"/>
                <w:i/>
                <w:iCs/>
                <w:color w:val="000000"/>
                <w:szCs w:val="24"/>
              </w:rPr>
            </w:pPr>
            <m:oMathPara>
              <m:oMath>
                <m:sSub>
                  <m:sSubPr>
                    <m:ctrlPr>
                      <w:rPr>
                        <w:rFonts w:ascii="Cambria Math" w:eastAsia="Arial" w:hAnsi="Cambria Math" w:cs="Arial"/>
                        <w:i/>
                        <w:color w:val="000000"/>
                        <w:szCs w:val="24"/>
                      </w:rPr>
                    </m:ctrlPr>
                  </m:sSubPr>
                  <m:e>
                    <m:r>
                      <w:rPr>
                        <w:rFonts w:ascii="Cambria Math" w:eastAsia="Arial" w:hAnsi="Cambria Math" w:cs="Arial"/>
                        <w:color w:val="000000"/>
                        <w:szCs w:val="24"/>
                      </w:rPr>
                      <m:t>η</m:t>
                    </m:r>
                  </m:e>
                  <m:sub>
                    <m:r>
                      <w:rPr>
                        <w:rFonts w:ascii="Cambria Math" w:eastAsia="Arial" w:hAnsi="Cambria Math" w:cs="Arial"/>
                        <w:color w:val="000000"/>
                        <w:szCs w:val="24"/>
                      </w:rPr>
                      <m:t>c</m:t>
                    </m:r>
                  </m:sub>
                </m:sSub>
                <m:r>
                  <w:rPr>
                    <w:rFonts w:ascii="Cambria Math" w:eastAsia="Arial" w:hAnsi="Cambria Math" w:cs="Arial"/>
                    <w:color w:val="000000"/>
                    <w:szCs w:val="24"/>
                  </w:rPr>
                  <m:t>=</m:t>
                </m:r>
                <m:f>
                  <m:fPr>
                    <m:ctrlPr>
                      <w:rPr>
                        <w:rFonts w:ascii="Cambria Math" w:eastAsia="Arial" w:hAnsi="Cambria Math" w:cs="Arial"/>
                        <w:i/>
                        <w:iCs/>
                        <w:color w:val="000000"/>
                        <w:szCs w:val="24"/>
                      </w:rPr>
                    </m:ctrlPr>
                  </m:fPr>
                  <m:num>
                    <m:sSub>
                      <m:sSubPr>
                        <m:ctrlPr>
                          <w:rPr>
                            <w:rFonts w:ascii="Cambria Math" w:eastAsia="Arial" w:hAnsi="Cambria Math" w:cs="Arial"/>
                            <w:i/>
                            <w:iCs/>
                            <w:color w:val="000000"/>
                            <w:szCs w:val="24"/>
                          </w:rPr>
                        </m:ctrlPr>
                      </m:sSubPr>
                      <m:e>
                        <m:r>
                          <w:rPr>
                            <w:rFonts w:ascii="Cambria Math" w:eastAsia="Arial" w:hAnsi="Cambria Math" w:cs="Arial"/>
                            <w:color w:val="000000"/>
                            <w:szCs w:val="24"/>
                          </w:rPr>
                          <m:t>(</m:t>
                        </m:r>
                        <m:r>
                          <w:rPr>
                            <w:rFonts w:ascii="Cambria Math" w:eastAsia="Arial" w:hAnsi="Cambria Math" w:cs="Arial"/>
                            <w:color w:val="000000"/>
                            <w:szCs w:val="24"/>
                          </w:rPr>
                          <m:t>c</m:t>
                        </m:r>
                      </m:e>
                      <m:sub>
                        <m:r>
                          <w:rPr>
                            <w:rFonts w:ascii="Cambria Math" w:eastAsia="Arial" w:hAnsi="Cambria Math" w:cs="Arial"/>
                            <w:color w:val="000000"/>
                            <w:szCs w:val="24"/>
                          </w:rPr>
                          <m:t>HCl</m:t>
                        </m:r>
                        <m:r>
                          <w:rPr>
                            <w:rFonts w:ascii="Cambria Math" w:eastAsia="Arial" w:hAnsi="Cambria Math" w:cs="Arial"/>
                            <w:color w:val="000000"/>
                            <w:szCs w:val="24"/>
                          </w:rPr>
                          <m:t xml:space="preserve">, </m:t>
                        </m:r>
                        <m:r>
                          <w:rPr>
                            <w:rFonts w:ascii="Cambria Math" w:eastAsia="Arial" w:hAnsi="Cambria Math" w:cs="Arial"/>
                            <w:color w:val="000000"/>
                            <w:szCs w:val="24"/>
                          </w:rPr>
                          <m:t>fin</m:t>
                        </m:r>
                        <m:r>
                          <w:rPr>
                            <w:rFonts w:ascii="Cambria Math" w:eastAsia="Arial" w:hAnsi="Cambria Math" w:cs="Arial"/>
                            <w:color w:val="000000"/>
                            <w:szCs w:val="24"/>
                          </w:rPr>
                          <m:t>,</m:t>
                        </m:r>
                        <m:r>
                          <w:rPr>
                            <w:rFonts w:ascii="Cambria Math" w:eastAsia="Arial" w:hAnsi="Cambria Math" w:cs="Arial"/>
                            <w:color w:val="000000"/>
                            <w:szCs w:val="24"/>
                          </w:rPr>
                          <m:t>c</m:t>
                        </m:r>
                      </m:sub>
                    </m:sSub>
                    <m:sSub>
                      <m:sSubPr>
                        <m:ctrlPr>
                          <w:rPr>
                            <w:rFonts w:ascii="Cambria Math" w:eastAsia="Arial" w:hAnsi="Cambria Math" w:cs="Arial"/>
                            <w:i/>
                            <w:iCs/>
                            <w:color w:val="000000"/>
                            <w:szCs w:val="24"/>
                          </w:rPr>
                        </m:ctrlPr>
                      </m:sSubPr>
                      <m:e>
                        <m:r>
                          <w:rPr>
                            <w:rFonts w:ascii="Cambria Math" w:eastAsia="Arial" w:hAnsi="Cambria Math" w:cs="Arial"/>
                            <w:color w:val="000000"/>
                            <w:szCs w:val="24"/>
                          </w:rPr>
                          <m:t>V</m:t>
                        </m:r>
                      </m:e>
                      <m:sub>
                        <m:r>
                          <w:rPr>
                            <w:rFonts w:ascii="Cambria Math" w:eastAsia="Arial" w:hAnsi="Cambria Math" w:cs="Arial"/>
                            <w:color w:val="000000"/>
                            <w:szCs w:val="24"/>
                          </w:rPr>
                          <m:t>HCl</m:t>
                        </m:r>
                        <m:r>
                          <w:rPr>
                            <w:rFonts w:ascii="Cambria Math" w:eastAsia="Arial" w:hAnsi="Cambria Math" w:cs="Arial"/>
                            <w:color w:val="000000"/>
                            <w:szCs w:val="24"/>
                          </w:rPr>
                          <m:t xml:space="preserve">, </m:t>
                        </m:r>
                        <m:r>
                          <w:rPr>
                            <w:rFonts w:ascii="Cambria Math" w:eastAsia="Arial" w:hAnsi="Cambria Math" w:cs="Arial"/>
                            <w:color w:val="000000"/>
                            <w:szCs w:val="24"/>
                          </w:rPr>
                          <m:t>fin</m:t>
                        </m:r>
                        <m:r>
                          <w:rPr>
                            <w:rFonts w:ascii="Cambria Math" w:eastAsia="Arial" w:hAnsi="Cambria Math" w:cs="Arial"/>
                            <w:color w:val="000000"/>
                            <w:szCs w:val="24"/>
                          </w:rPr>
                          <m:t>,</m:t>
                        </m:r>
                        <m:r>
                          <w:rPr>
                            <w:rFonts w:ascii="Cambria Math" w:eastAsia="Arial" w:hAnsi="Cambria Math" w:cs="Arial"/>
                            <w:color w:val="000000"/>
                            <w:szCs w:val="24"/>
                          </w:rPr>
                          <m:t>c</m:t>
                        </m:r>
                      </m:sub>
                    </m:sSub>
                    <m:r>
                      <w:rPr>
                        <w:rFonts w:ascii="Cambria Math" w:eastAsia="Arial" w:hAnsi="Cambria Math" w:cs="Arial"/>
                        <w:color w:val="000000"/>
                        <w:szCs w:val="24"/>
                      </w:rPr>
                      <m:t>-</m:t>
                    </m:r>
                    <m:sSub>
                      <m:sSubPr>
                        <m:ctrlPr>
                          <w:rPr>
                            <w:rFonts w:ascii="Cambria Math" w:eastAsia="Arial" w:hAnsi="Cambria Math" w:cs="Arial"/>
                            <w:i/>
                            <w:iCs/>
                            <w:color w:val="000000"/>
                            <w:szCs w:val="24"/>
                          </w:rPr>
                        </m:ctrlPr>
                      </m:sSubPr>
                      <m:e>
                        <m:r>
                          <w:rPr>
                            <w:rFonts w:ascii="Cambria Math" w:eastAsia="Arial" w:hAnsi="Cambria Math" w:cs="Arial"/>
                            <w:color w:val="000000"/>
                            <w:szCs w:val="24"/>
                          </w:rPr>
                          <m:t>c</m:t>
                        </m:r>
                      </m:e>
                      <m:sub>
                        <m:r>
                          <w:rPr>
                            <w:rFonts w:ascii="Cambria Math" w:eastAsia="Arial" w:hAnsi="Cambria Math" w:cs="Arial"/>
                            <w:color w:val="000000"/>
                            <w:szCs w:val="24"/>
                          </w:rPr>
                          <m:t>HCl</m:t>
                        </m:r>
                        <m:r>
                          <w:rPr>
                            <w:rFonts w:ascii="Cambria Math" w:eastAsia="Arial" w:hAnsi="Cambria Math" w:cs="Arial"/>
                            <w:color w:val="000000"/>
                            <w:szCs w:val="24"/>
                          </w:rPr>
                          <m:t xml:space="preserve">, </m:t>
                        </m:r>
                        <m:r>
                          <w:rPr>
                            <w:rFonts w:ascii="Cambria Math" w:eastAsia="Arial" w:hAnsi="Cambria Math" w:cs="Arial"/>
                            <w:color w:val="000000"/>
                            <w:szCs w:val="24"/>
                          </w:rPr>
                          <m:t>in</m:t>
                        </m:r>
                        <m:r>
                          <w:rPr>
                            <w:rFonts w:ascii="Cambria Math" w:eastAsia="Arial" w:hAnsi="Cambria Math" w:cs="Arial"/>
                            <w:color w:val="000000"/>
                            <w:szCs w:val="24"/>
                          </w:rPr>
                          <m:t>,</m:t>
                        </m:r>
                        <m:r>
                          <w:rPr>
                            <w:rFonts w:ascii="Cambria Math" w:eastAsia="Arial" w:hAnsi="Cambria Math" w:cs="Arial"/>
                            <w:color w:val="000000"/>
                            <w:szCs w:val="24"/>
                          </w:rPr>
                          <m:t>c</m:t>
                        </m:r>
                      </m:sub>
                    </m:sSub>
                    <m:sSub>
                      <m:sSubPr>
                        <m:ctrlPr>
                          <w:rPr>
                            <w:rFonts w:ascii="Cambria Math" w:eastAsia="Arial" w:hAnsi="Cambria Math" w:cs="Arial"/>
                            <w:i/>
                            <w:iCs/>
                            <w:color w:val="000000"/>
                            <w:szCs w:val="24"/>
                          </w:rPr>
                        </m:ctrlPr>
                      </m:sSubPr>
                      <m:e>
                        <m:r>
                          <w:rPr>
                            <w:rFonts w:ascii="Cambria Math" w:eastAsia="Arial" w:hAnsi="Cambria Math" w:cs="Arial"/>
                            <w:color w:val="000000"/>
                            <w:szCs w:val="24"/>
                          </w:rPr>
                          <m:t>V</m:t>
                        </m:r>
                      </m:e>
                      <m:sub>
                        <m:r>
                          <w:rPr>
                            <w:rFonts w:ascii="Cambria Math" w:eastAsia="Arial" w:hAnsi="Cambria Math" w:cs="Arial"/>
                            <w:color w:val="000000"/>
                            <w:szCs w:val="24"/>
                          </w:rPr>
                          <m:t>HCl</m:t>
                        </m:r>
                        <m:r>
                          <w:rPr>
                            <w:rFonts w:ascii="Cambria Math" w:eastAsia="Arial" w:hAnsi="Cambria Math" w:cs="Arial"/>
                            <w:color w:val="000000"/>
                            <w:szCs w:val="24"/>
                          </w:rPr>
                          <m:t xml:space="preserve">, </m:t>
                        </m:r>
                        <m:r>
                          <w:rPr>
                            <w:rFonts w:ascii="Cambria Math" w:eastAsia="Arial" w:hAnsi="Cambria Math" w:cs="Arial"/>
                            <w:color w:val="000000"/>
                            <w:szCs w:val="24"/>
                          </w:rPr>
                          <m:t>in</m:t>
                        </m:r>
                        <m:r>
                          <w:rPr>
                            <w:rFonts w:ascii="Cambria Math" w:eastAsia="Arial" w:hAnsi="Cambria Math" w:cs="Arial"/>
                            <w:color w:val="000000"/>
                            <w:szCs w:val="24"/>
                          </w:rPr>
                          <m:t>,</m:t>
                        </m:r>
                        <m:r>
                          <w:rPr>
                            <w:rFonts w:ascii="Cambria Math" w:eastAsia="Arial" w:hAnsi="Cambria Math" w:cs="Arial"/>
                            <w:color w:val="000000"/>
                            <w:szCs w:val="24"/>
                          </w:rPr>
                          <m:t>c</m:t>
                        </m:r>
                      </m:sub>
                    </m:sSub>
                    <m:r>
                      <w:rPr>
                        <w:rFonts w:ascii="Cambria Math" w:eastAsia="Arial" w:hAnsi="Cambria Math" w:cs="Arial"/>
                        <w:color w:val="000000"/>
                        <w:szCs w:val="24"/>
                      </w:rPr>
                      <m:t>)</m:t>
                    </m:r>
                    <m:r>
                      <w:rPr>
                        <w:rFonts w:ascii="Cambria Math" w:eastAsia="Arial" w:hAnsi="Cambria Math" w:cs="Arial"/>
                        <w:color w:val="000000"/>
                        <w:szCs w:val="24"/>
                      </w:rPr>
                      <m:t>F</m:t>
                    </m:r>
                  </m:num>
                  <m:den>
                    <m:sSub>
                      <m:sSubPr>
                        <m:ctrlPr>
                          <w:rPr>
                            <w:rFonts w:ascii="Cambria Math" w:eastAsia="Arial" w:hAnsi="Cambria Math" w:cs="Arial"/>
                            <w:i/>
                            <w:iCs/>
                            <w:color w:val="000000"/>
                            <w:szCs w:val="24"/>
                          </w:rPr>
                        </m:ctrlPr>
                      </m:sSubPr>
                      <m:e>
                        <m:r>
                          <w:rPr>
                            <w:rFonts w:ascii="Cambria Math" w:eastAsia="Arial" w:hAnsi="Cambria Math" w:cs="Arial"/>
                            <w:color w:val="000000"/>
                            <w:szCs w:val="24"/>
                          </w:rPr>
                          <m:t>N</m:t>
                        </m:r>
                      </m:e>
                      <m:sub>
                        <m:r>
                          <w:rPr>
                            <w:rFonts w:ascii="Cambria Math" w:eastAsia="Arial" w:hAnsi="Cambria Math" w:cs="Arial"/>
                            <w:color w:val="000000"/>
                            <w:szCs w:val="24"/>
                          </w:rPr>
                          <m:t>tr</m:t>
                        </m:r>
                      </m:sub>
                    </m:sSub>
                    <m:nary>
                      <m:naryPr>
                        <m:ctrlPr>
                          <w:rPr>
                            <w:rFonts w:ascii="Cambria Math" w:eastAsia="Arial" w:hAnsi="Cambria Math" w:cs="Arial"/>
                            <w:i/>
                            <w:iCs/>
                            <w:color w:val="000000"/>
                            <w:szCs w:val="24"/>
                          </w:rPr>
                        </m:ctrlPr>
                      </m:naryPr>
                      <m:sub>
                        <m:r>
                          <w:rPr>
                            <w:rFonts w:ascii="Cambria Math" w:eastAsia="Arial" w:hAnsi="Cambria Math" w:cs="Arial"/>
                            <w:color w:val="000000"/>
                            <w:szCs w:val="24"/>
                          </w:rPr>
                          <m:t>0</m:t>
                        </m:r>
                      </m:sub>
                      <m:sup>
                        <m:sSub>
                          <m:sSubPr>
                            <m:ctrlPr>
                              <w:rPr>
                                <w:rFonts w:ascii="Cambria Math" w:eastAsia="Arial" w:hAnsi="Cambria Math" w:cs="Arial"/>
                                <w:i/>
                                <w:iCs/>
                                <w:color w:val="000000"/>
                                <w:szCs w:val="24"/>
                              </w:rPr>
                            </m:ctrlPr>
                          </m:sSubPr>
                          <m:e>
                            <m:r>
                              <w:rPr>
                                <w:rFonts w:ascii="Cambria Math" w:eastAsia="Arial" w:hAnsi="Cambria Math" w:cs="Arial"/>
                                <w:color w:val="000000"/>
                                <w:szCs w:val="24"/>
                              </w:rPr>
                              <m:t>t</m:t>
                            </m:r>
                          </m:e>
                          <m:sub>
                            <m:r>
                              <w:rPr>
                                <w:rFonts w:ascii="Cambria Math" w:eastAsia="Arial" w:hAnsi="Cambria Math" w:cs="Arial"/>
                                <w:color w:val="000000"/>
                                <w:szCs w:val="24"/>
                              </w:rPr>
                              <m:t>c</m:t>
                            </m:r>
                          </m:sub>
                        </m:sSub>
                      </m:sup>
                      <m:e>
                        <m:sSub>
                          <m:sSubPr>
                            <m:ctrlPr>
                              <w:rPr>
                                <w:rFonts w:ascii="Cambria Math" w:eastAsia="Arial" w:hAnsi="Cambria Math" w:cs="Arial"/>
                                <w:i/>
                                <w:iCs/>
                                <w:color w:val="000000"/>
                                <w:szCs w:val="24"/>
                              </w:rPr>
                            </m:ctrlPr>
                          </m:sSubPr>
                          <m:e>
                            <m:r>
                              <w:rPr>
                                <w:rFonts w:ascii="Cambria Math" w:eastAsia="Arial" w:hAnsi="Cambria Math" w:cs="Arial"/>
                                <w:color w:val="000000"/>
                                <w:szCs w:val="24"/>
                              </w:rPr>
                              <m:t>I</m:t>
                            </m:r>
                          </m:e>
                          <m:sub>
                            <m:r>
                              <w:rPr>
                                <w:rFonts w:ascii="Cambria Math" w:eastAsia="Arial" w:hAnsi="Cambria Math" w:cs="Arial"/>
                                <w:color w:val="000000"/>
                                <w:szCs w:val="24"/>
                              </w:rPr>
                              <m:t>c</m:t>
                            </m:r>
                          </m:sub>
                        </m:sSub>
                        <m:r>
                          <w:rPr>
                            <w:rFonts w:ascii="Cambria Math" w:eastAsia="Arial" w:hAnsi="Cambria Math" w:cs="Arial"/>
                            <w:color w:val="000000"/>
                            <w:szCs w:val="24"/>
                          </w:rPr>
                          <m:t>d</m:t>
                        </m:r>
                        <m:sSub>
                          <m:sSubPr>
                            <m:ctrlPr>
                              <w:rPr>
                                <w:rFonts w:ascii="Cambria Math" w:eastAsia="Arial" w:hAnsi="Cambria Math" w:cs="Arial"/>
                                <w:i/>
                                <w:color w:val="000000"/>
                                <w:szCs w:val="24"/>
                              </w:rPr>
                            </m:ctrlPr>
                          </m:sSubPr>
                          <m:e>
                            <m:r>
                              <w:rPr>
                                <w:rFonts w:ascii="Cambria Math" w:eastAsia="Arial" w:hAnsi="Cambria Math" w:cs="Arial"/>
                                <w:color w:val="000000"/>
                                <w:szCs w:val="24"/>
                              </w:rPr>
                              <m:t>t</m:t>
                            </m:r>
                          </m:e>
                          <m:sub>
                            <m:r>
                              <w:rPr>
                                <w:rFonts w:ascii="Cambria Math" w:eastAsia="Arial" w:hAnsi="Cambria Math" w:cs="Arial"/>
                                <w:color w:val="000000"/>
                                <w:szCs w:val="24"/>
                              </w:rPr>
                              <m:t>c</m:t>
                            </m:r>
                          </m:sub>
                        </m:sSub>
                      </m:e>
                    </m:nary>
                  </m:den>
                </m:f>
                <m:r>
                  <w:rPr>
                    <w:rFonts w:ascii="Cambria Math" w:eastAsia="Arial" w:hAnsi="Cambria Math" w:cs="Arial"/>
                    <w:color w:val="000000"/>
                    <w:szCs w:val="24"/>
                  </w:rPr>
                  <m:t xml:space="preserve"> 100</m:t>
                </m:r>
              </m:oMath>
            </m:oMathPara>
          </w:p>
        </w:tc>
        <w:tc>
          <w:tcPr>
            <w:tcW w:w="2065" w:type="dxa"/>
            <w:vAlign w:val="center"/>
          </w:tcPr>
          <w:p w14:paraId="28A361C7" w14:textId="00EA0C9E" w:rsidR="00FF4973" w:rsidRDefault="00FF4973" w:rsidP="0090279E">
            <w:pPr>
              <w:jc w:val="center"/>
            </w:pPr>
            <w:r>
              <w:t xml:space="preserve">Eq. </w:t>
            </w:r>
            <w:r w:rsidR="00F63621">
              <w:t>S3</w:t>
            </w:r>
          </w:p>
        </w:tc>
      </w:tr>
    </w:tbl>
    <w:bookmarkEnd w:id="5"/>
    <w:p w14:paraId="301F0727" w14:textId="1F4601AD" w:rsidR="00FF4973" w:rsidRDefault="00FF4973" w:rsidP="00FF4973">
      <w:pPr>
        <w:rPr>
          <w:lang w:val="en-GB"/>
        </w:rPr>
      </w:pPr>
      <w:r>
        <w:rPr>
          <w:lang w:val="en-GB"/>
        </w:rPr>
        <w:t xml:space="preserve">The </w:t>
      </w:r>
      <w:r w:rsidRPr="009D0432">
        <w:rPr>
          <w:i/>
          <w:iCs/>
          <w:lang w:val="en-GB"/>
        </w:rPr>
        <w:t>Discharge</w:t>
      </w:r>
      <w:r w:rsidRPr="001B5FC5">
        <w:rPr>
          <w:i/>
          <w:iCs/>
          <w:lang w:val="en-GB"/>
        </w:rPr>
        <w:t xml:space="preserve"> Efficiency</w:t>
      </w:r>
      <w:r>
        <w:rPr>
          <w:lang w:val="en-GB"/>
        </w:rPr>
        <w:t xml:space="preserve"> is the ratio of the charge obtained from the discharge phase to the charge neutralised during the discharge phase (Eq. </w:t>
      </w:r>
      <w:r w:rsidR="00F63621">
        <w:rPr>
          <w:lang w:val="en-GB"/>
        </w:rPr>
        <w:t>S4</w:t>
      </w:r>
      <w:r>
        <w:rPr>
          <w:lang w:val="en-GB"/>
        </w:rPr>
        <w:t>).</w:t>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084"/>
        <w:gridCol w:w="1837"/>
      </w:tblGrid>
      <w:tr w:rsidR="00FF4973" w14:paraId="59C95416" w14:textId="77777777" w:rsidTr="0090279E">
        <w:trPr>
          <w:trHeight w:val="1290"/>
        </w:trPr>
        <w:tc>
          <w:tcPr>
            <w:tcW w:w="1434" w:type="dxa"/>
            <w:vAlign w:val="center"/>
          </w:tcPr>
          <w:p w14:paraId="31622E06" w14:textId="77777777" w:rsidR="00FF4973" w:rsidRDefault="00FF4973" w:rsidP="0090279E">
            <w:pPr>
              <w:jc w:val="center"/>
            </w:pPr>
          </w:p>
        </w:tc>
        <w:tc>
          <w:tcPr>
            <w:tcW w:w="6084" w:type="dxa"/>
            <w:vAlign w:val="center"/>
          </w:tcPr>
          <w:p w14:paraId="1E8C6144" w14:textId="1490ACC6" w:rsidR="00FF4973" w:rsidRPr="00921C45" w:rsidRDefault="003533F1" w:rsidP="0090279E">
            <w:pPr>
              <w:jc w:val="center"/>
              <w:rPr>
                <w:rFonts w:ascii="Cambria Math" w:eastAsia="Arial" w:hAnsi="Cambria Math" w:cs="Arial"/>
                <w:i/>
                <w:iCs/>
                <w:color w:val="000000"/>
                <w:szCs w:val="24"/>
              </w:rPr>
            </w:pPr>
            <m:oMathPara>
              <m:oMath>
                <m:sSub>
                  <m:sSubPr>
                    <m:ctrlPr>
                      <w:rPr>
                        <w:rFonts w:ascii="Cambria Math" w:eastAsia="Arial" w:hAnsi="Cambria Math" w:cs="Arial"/>
                        <w:i/>
                        <w:color w:val="000000"/>
                        <w:szCs w:val="24"/>
                      </w:rPr>
                    </m:ctrlPr>
                  </m:sSubPr>
                  <m:e>
                    <m:r>
                      <w:rPr>
                        <w:rFonts w:ascii="Cambria Math" w:eastAsia="Arial" w:hAnsi="Cambria Math" w:cs="Arial"/>
                        <w:color w:val="000000"/>
                        <w:szCs w:val="24"/>
                      </w:rPr>
                      <m:t>η</m:t>
                    </m:r>
                  </m:e>
                  <m:sub>
                    <m:r>
                      <w:rPr>
                        <w:rFonts w:ascii="Cambria Math" w:eastAsia="Arial" w:hAnsi="Cambria Math" w:cs="Arial"/>
                        <w:color w:val="000000"/>
                        <w:szCs w:val="24"/>
                      </w:rPr>
                      <m:t>d</m:t>
                    </m:r>
                  </m:sub>
                </m:sSub>
                <m:r>
                  <w:rPr>
                    <w:rFonts w:ascii="Cambria Math" w:eastAsia="Arial" w:hAnsi="Cambria Math" w:cs="Arial"/>
                    <w:color w:val="000000"/>
                    <w:szCs w:val="24"/>
                  </w:rPr>
                  <m:t>=</m:t>
                </m:r>
                <m:f>
                  <m:fPr>
                    <m:ctrlPr>
                      <w:rPr>
                        <w:rFonts w:ascii="Cambria Math" w:eastAsia="Arial" w:hAnsi="Cambria Math" w:cs="Arial"/>
                        <w:i/>
                        <w:iCs/>
                        <w:color w:val="000000"/>
                        <w:szCs w:val="24"/>
                      </w:rPr>
                    </m:ctrlPr>
                  </m:fPr>
                  <m:num>
                    <m:sSub>
                      <m:sSubPr>
                        <m:ctrlPr>
                          <w:rPr>
                            <w:rFonts w:ascii="Cambria Math" w:eastAsia="Arial" w:hAnsi="Cambria Math" w:cs="Arial"/>
                            <w:i/>
                            <w:iCs/>
                            <w:color w:val="000000"/>
                            <w:szCs w:val="24"/>
                          </w:rPr>
                        </m:ctrlPr>
                      </m:sSubPr>
                      <m:e>
                        <m:r>
                          <w:rPr>
                            <w:rFonts w:ascii="Cambria Math" w:eastAsia="Arial" w:hAnsi="Cambria Math" w:cs="Arial"/>
                            <w:color w:val="000000"/>
                            <w:szCs w:val="24"/>
                          </w:rPr>
                          <m:t>N</m:t>
                        </m:r>
                      </m:e>
                      <m:sub>
                        <m:r>
                          <w:rPr>
                            <w:rFonts w:ascii="Cambria Math" w:eastAsia="Arial" w:hAnsi="Cambria Math" w:cs="Arial"/>
                            <w:color w:val="000000"/>
                            <w:szCs w:val="24"/>
                          </w:rPr>
                          <m:t>tr</m:t>
                        </m:r>
                      </m:sub>
                    </m:sSub>
                    <m:nary>
                      <m:naryPr>
                        <m:ctrlPr>
                          <w:rPr>
                            <w:rFonts w:ascii="Cambria Math" w:eastAsia="Arial" w:hAnsi="Cambria Math" w:cs="Arial"/>
                            <w:i/>
                            <w:iCs/>
                            <w:color w:val="000000"/>
                            <w:szCs w:val="24"/>
                          </w:rPr>
                        </m:ctrlPr>
                      </m:naryPr>
                      <m:sub>
                        <m:r>
                          <w:rPr>
                            <w:rFonts w:ascii="Cambria Math" w:eastAsia="Arial" w:hAnsi="Cambria Math" w:cs="Arial"/>
                            <w:color w:val="000000"/>
                            <w:szCs w:val="24"/>
                          </w:rPr>
                          <m:t>0</m:t>
                        </m:r>
                      </m:sub>
                      <m:sup>
                        <m:sSub>
                          <m:sSubPr>
                            <m:ctrlPr>
                              <w:rPr>
                                <w:rFonts w:ascii="Cambria Math" w:eastAsia="Arial" w:hAnsi="Cambria Math" w:cs="Arial"/>
                                <w:i/>
                                <w:iCs/>
                                <w:color w:val="000000"/>
                                <w:szCs w:val="24"/>
                              </w:rPr>
                            </m:ctrlPr>
                          </m:sSubPr>
                          <m:e>
                            <m:r>
                              <w:rPr>
                                <w:rFonts w:ascii="Cambria Math" w:eastAsia="Arial" w:hAnsi="Cambria Math" w:cs="Arial"/>
                                <w:color w:val="000000"/>
                                <w:szCs w:val="24"/>
                              </w:rPr>
                              <m:t>t</m:t>
                            </m:r>
                          </m:e>
                          <m:sub>
                            <m:r>
                              <w:rPr>
                                <w:rFonts w:ascii="Cambria Math" w:eastAsia="Arial" w:hAnsi="Cambria Math" w:cs="Arial"/>
                                <w:color w:val="000000"/>
                                <w:szCs w:val="24"/>
                              </w:rPr>
                              <m:t>d</m:t>
                            </m:r>
                          </m:sub>
                        </m:sSub>
                      </m:sup>
                      <m:e>
                        <m:sSub>
                          <m:sSubPr>
                            <m:ctrlPr>
                              <w:rPr>
                                <w:rFonts w:ascii="Cambria Math" w:eastAsia="Arial" w:hAnsi="Cambria Math" w:cs="Arial"/>
                                <w:i/>
                                <w:iCs/>
                                <w:color w:val="000000"/>
                                <w:szCs w:val="24"/>
                              </w:rPr>
                            </m:ctrlPr>
                          </m:sSubPr>
                          <m:e>
                            <m:r>
                              <w:rPr>
                                <w:rFonts w:ascii="Cambria Math" w:eastAsia="Arial" w:hAnsi="Cambria Math" w:cs="Arial"/>
                                <w:color w:val="000000"/>
                                <w:szCs w:val="24"/>
                              </w:rPr>
                              <m:t>I</m:t>
                            </m:r>
                          </m:e>
                          <m:sub>
                            <m:r>
                              <w:rPr>
                                <w:rFonts w:ascii="Cambria Math" w:eastAsia="Arial" w:hAnsi="Cambria Math" w:cs="Arial"/>
                                <w:color w:val="000000"/>
                                <w:szCs w:val="24"/>
                              </w:rPr>
                              <m:t>d</m:t>
                            </m:r>
                          </m:sub>
                        </m:sSub>
                        <m:r>
                          <w:rPr>
                            <w:rFonts w:ascii="Cambria Math" w:eastAsia="Arial" w:hAnsi="Cambria Math" w:cs="Arial"/>
                            <w:color w:val="000000"/>
                            <w:szCs w:val="24"/>
                          </w:rPr>
                          <m:t>d</m:t>
                        </m:r>
                        <m:sSub>
                          <m:sSubPr>
                            <m:ctrlPr>
                              <w:rPr>
                                <w:rFonts w:ascii="Cambria Math" w:eastAsia="Arial" w:hAnsi="Cambria Math" w:cs="Arial"/>
                                <w:i/>
                                <w:color w:val="000000"/>
                                <w:szCs w:val="24"/>
                              </w:rPr>
                            </m:ctrlPr>
                          </m:sSubPr>
                          <m:e>
                            <m:r>
                              <w:rPr>
                                <w:rFonts w:ascii="Cambria Math" w:eastAsia="Arial" w:hAnsi="Cambria Math" w:cs="Arial"/>
                                <w:color w:val="000000"/>
                                <w:szCs w:val="24"/>
                              </w:rPr>
                              <m:t>t</m:t>
                            </m:r>
                          </m:e>
                          <m:sub>
                            <m:r>
                              <w:rPr>
                                <w:rFonts w:ascii="Cambria Math" w:eastAsia="Arial" w:hAnsi="Cambria Math" w:cs="Arial"/>
                                <w:color w:val="000000"/>
                                <w:szCs w:val="24"/>
                              </w:rPr>
                              <m:t>d</m:t>
                            </m:r>
                          </m:sub>
                        </m:sSub>
                      </m:e>
                    </m:nary>
                  </m:num>
                  <m:den>
                    <m:sSub>
                      <m:sSubPr>
                        <m:ctrlPr>
                          <w:rPr>
                            <w:rFonts w:ascii="Cambria Math" w:eastAsia="Arial" w:hAnsi="Cambria Math" w:cs="Arial"/>
                            <w:i/>
                            <w:iCs/>
                            <w:color w:val="000000"/>
                            <w:szCs w:val="24"/>
                          </w:rPr>
                        </m:ctrlPr>
                      </m:sSubPr>
                      <m:e>
                        <m:r>
                          <w:rPr>
                            <w:rFonts w:ascii="Cambria Math" w:eastAsia="Arial" w:hAnsi="Cambria Math" w:cs="Arial"/>
                            <w:color w:val="000000"/>
                            <w:szCs w:val="24"/>
                          </w:rPr>
                          <m:t>(</m:t>
                        </m:r>
                        <m:r>
                          <w:rPr>
                            <w:rFonts w:ascii="Cambria Math" w:eastAsia="Arial" w:hAnsi="Cambria Math" w:cs="Arial"/>
                            <w:color w:val="000000"/>
                            <w:szCs w:val="24"/>
                          </w:rPr>
                          <m:t>c</m:t>
                        </m:r>
                      </m:e>
                      <m:sub>
                        <m:r>
                          <w:rPr>
                            <w:rFonts w:ascii="Cambria Math" w:eastAsia="Arial" w:hAnsi="Cambria Math" w:cs="Arial"/>
                            <w:color w:val="000000"/>
                            <w:szCs w:val="24"/>
                          </w:rPr>
                          <m:t>HCl</m:t>
                        </m:r>
                        <m:r>
                          <w:rPr>
                            <w:rFonts w:ascii="Cambria Math" w:eastAsia="Arial" w:hAnsi="Cambria Math" w:cs="Arial"/>
                            <w:color w:val="000000"/>
                            <w:szCs w:val="24"/>
                          </w:rPr>
                          <m:t>,</m:t>
                        </m:r>
                        <m:r>
                          <w:rPr>
                            <w:rFonts w:ascii="Cambria Math" w:eastAsia="Arial" w:hAnsi="Cambria Math" w:cs="Arial"/>
                            <w:color w:val="000000"/>
                            <w:szCs w:val="24"/>
                          </w:rPr>
                          <m:t>in</m:t>
                        </m:r>
                        <m:r>
                          <w:rPr>
                            <w:rFonts w:ascii="Cambria Math" w:eastAsia="Arial" w:hAnsi="Cambria Math" w:cs="Arial"/>
                            <w:color w:val="000000"/>
                            <w:szCs w:val="24"/>
                          </w:rPr>
                          <m:t>,</m:t>
                        </m:r>
                        <m:r>
                          <w:rPr>
                            <w:rFonts w:ascii="Cambria Math" w:eastAsia="Arial" w:hAnsi="Cambria Math" w:cs="Arial"/>
                            <w:color w:val="000000"/>
                            <w:szCs w:val="24"/>
                          </w:rPr>
                          <m:t>d</m:t>
                        </m:r>
                      </m:sub>
                    </m:sSub>
                    <m:sSub>
                      <m:sSubPr>
                        <m:ctrlPr>
                          <w:rPr>
                            <w:rFonts w:ascii="Cambria Math" w:eastAsia="Arial" w:hAnsi="Cambria Math" w:cs="Arial"/>
                            <w:i/>
                            <w:iCs/>
                            <w:color w:val="000000"/>
                            <w:szCs w:val="24"/>
                          </w:rPr>
                        </m:ctrlPr>
                      </m:sSubPr>
                      <m:e>
                        <m:r>
                          <w:rPr>
                            <w:rFonts w:ascii="Cambria Math" w:eastAsia="Arial" w:hAnsi="Cambria Math" w:cs="Arial"/>
                            <w:color w:val="000000"/>
                            <w:szCs w:val="24"/>
                          </w:rPr>
                          <m:t>V</m:t>
                        </m:r>
                      </m:e>
                      <m:sub>
                        <m:r>
                          <w:rPr>
                            <w:rFonts w:ascii="Cambria Math" w:eastAsia="Arial" w:hAnsi="Cambria Math" w:cs="Arial"/>
                            <w:color w:val="000000"/>
                            <w:szCs w:val="24"/>
                          </w:rPr>
                          <m:t>HCl</m:t>
                        </m:r>
                        <m:r>
                          <w:rPr>
                            <w:rFonts w:ascii="Cambria Math" w:eastAsia="Arial" w:hAnsi="Cambria Math" w:cs="Arial"/>
                            <w:color w:val="000000"/>
                            <w:szCs w:val="24"/>
                          </w:rPr>
                          <m:t>,</m:t>
                        </m:r>
                        <m:r>
                          <w:rPr>
                            <w:rFonts w:ascii="Cambria Math" w:eastAsia="Arial" w:hAnsi="Cambria Math" w:cs="Arial"/>
                            <w:color w:val="000000"/>
                            <w:szCs w:val="24"/>
                          </w:rPr>
                          <m:t>in</m:t>
                        </m:r>
                        <m:r>
                          <w:rPr>
                            <w:rFonts w:ascii="Cambria Math" w:eastAsia="Arial" w:hAnsi="Cambria Math" w:cs="Arial"/>
                            <w:color w:val="000000"/>
                            <w:szCs w:val="24"/>
                          </w:rPr>
                          <m:t>,</m:t>
                        </m:r>
                        <m:r>
                          <w:rPr>
                            <w:rFonts w:ascii="Cambria Math" w:eastAsia="Arial" w:hAnsi="Cambria Math" w:cs="Arial"/>
                            <w:color w:val="000000"/>
                            <w:szCs w:val="24"/>
                          </w:rPr>
                          <m:t>d</m:t>
                        </m:r>
                      </m:sub>
                    </m:sSub>
                    <m:r>
                      <w:rPr>
                        <w:rFonts w:ascii="Cambria Math" w:eastAsia="Arial" w:hAnsi="Cambria Math" w:cs="Arial"/>
                        <w:color w:val="000000"/>
                        <w:szCs w:val="24"/>
                      </w:rPr>
                      <m:t>-</m:t>
                    </m:r>
                    <m:sSub>
                      <m:sSubPr>
                        <m:ctrlPr>
                          <w:rPr>
                            <w:rFonts w:ascii="Cambria Math" w:eastAsia="Arial" w:hAnsi="Cambria Math" w:cs="Arial"/>
                            <w:i/>
                            <w:iCs/>
                            <w:color w:val="000000"/>
                            <w:szCs w:val="24"/>
                          </w:rPr>
                        </m:ctrlPr>
                      </m:sSubPr>
                      <m:e>
                        <m:r>
                          <w:rPr>
                            <w:rFonts w:ascii="Cambria Math" w:eastAsia="Arial" w:hAnsi="Cambria Math" w:cs="Arial"/>
                            <w:color w:val="000000"/>
                            <w:szCs w:val="24"/>
                          </w:rPr>
                          <m:t>c</m:t>
                        </m:r>
                      </m:e>
                      <m:sub>
                        <m:r>
                          <w:rPr>
                            <w:rFonts w:ascii="Cambria Math" w:eastAsia="Arial" w:hAnsi="Cambria Math" w:cs="Arial"/>
                            <w:color w:val="000000"/>
                            <w:szCs w:val="24"/>
                          </w:rPr>
                          <m:t>HCl</m:t>
                        </m:r>
                        <m:r>
                          <w:rPr>
                            <w:rFonts w:ascii="Cambria Math" w:eastAsia="Arial" w:hAnsi="Cambria Math" w:cs="Arial"/>
                            <w:color w:val="000000"/>
                            <w:szCs w:val="24"/>
                          </w:rPr>
                          <m:t>,</m:t>
                        </m:r>
                        <m:r>
                          <w:rPr>
                            <w:rFonts w:ascii="Cambria Math" w:eastAsia="Arial" w:hAnsi="Cambria Math" w:cs="Arial"/>
                            <w:color w:val="000000"/>
                            <w:szCs w:val="24"/>
                          </w:rPr>
                          <m:t>fin</m:t>
                        </m:r>
                        <m:r>
                          <w:rPr>
                            <w:rFonts w:ascii="Cambria Math" w:eastAsia="Arial" w:hAnsi="Cambria Math" w:cs="Arial"/>
                            <w:color w:val="000000"/>
                            <w:szCs w:val="24"/>
                          </w:rPr>
                          <m:t>,</m:t>
                        </m:r>
                        <m:r>
                          <w:rPr>
                            <w:rFonts w:ascii="Cambria Math" w:eastAsia="Arial" w:hAnsi="Cambria Math" w:cs="Arial"/>
                            <w:color w:val="000000"/>
                            <w:szCs w:val="24"/>
                          </w:rPr>
                          <m:t>d</m:t>
                        </m:r>
                      </m:sub>
                    </m:sSub>
                    <m:sSub>
                      <m:sSubPr>
                        <m:ctrlPr>
                          <w:rPr>
                            <w:rFonts w:ascii="Cambria Math" w:eastAsia="Arial" w:hAnsi="Cambria Math" w:cs="Arial"/>
                            <w:i/>
                            <w:iCs/>
                            <w:color w:val="000000"/>
                            <w:szCs w:val="24"/>
                          </w:rPr>
                        </m:ctrlPr>
                      </m:sSubPr>
                      <m:e>
                        <m:r>
                          <w:rPr>
                            <w:rFonts w:ascii="Cambria Math" w:eastAsia="Arial" w:hAnsi="Cambria Math" w:cs="Arial"/>
                            <w:color w:val="000000"/>
                            <w:szCs w:val="24"/>
                          </w:rPr>
                          <m:t>V</m:t>
                        </m:r>
                      </m:e>
                      <m:sub>
                        <m:r>
                          <w:rPr>
                            <w:rFonts w:ascii="Cambria Math" w:eastAsia="Arial" w:hAnsi="Cambria Math" w:cs="Arial"/>
                            <w:color w:val="000000"/>
                            <w:szCs w:val="24"/>
                          </w:rPr>
                          <m:t>HCl</m:t>
                        </m:r>
                        <m:r>
                          <w:rPr>
                            <w:rFonts w:ascii="Cambria Math" w:eastAsia="Arial" w:hAnsi="Cambria Math" w:cs="Arial"/>
                            <w:color w:val="000000"/>
                            <w:szCs w:val="24"/>
                          </w:rPr>
                          <m:t xml:space="preserve">, </m:t>
                        </m:r>
                        <m:r>
                          <w:rPr>
                            <w:rFonts w:ascii="Cambria Math" w:eastAsia="Arial" w:hAnsi="Cambria Math" w:cs="Arial"/>
                            <w:color w:val="000000"/>
                            <w:szCs w:val="24"/>
                          </w:rPr>
                          <m:t>fin</m:t>
                        </m:r>
                        <m:r>
                          <w:rPr>
                            <w:rFonts w:ascii="Cambria Math" w:eastAsia="Arial" w:hAnsi="Cambria Math" w:cs="Arial"/>
                            <w:color w:val="000000"/>
                            <w:szCs w:val="24"/>
                          </w:rPr>
                          <m:t>,</m:t>
                        </m:r>
                        <m:r>
                          <w:rPr>
                            <w:rFonts w:ascii="Cambria Math" w:eastAsia="Arial" w:hAnsi="Cambria Math" w:cs="Arial"/>
                            <w:color w:val="000000"/>
                            <w:szCs w:val="24"/>
                          </w:rPr>
                          <m:t>d</m:t>
                        </m:r>
                      </m:sub>
                    </m:sSub>
                    <m:r>
                      <w:rPr>
                        <w:rFonts w:ascii="Cambria Math" w:eastAsia="Arial" w:hAnsi="Cambria Math" w:cs="Arial"/>
                        <w:color w:val="000000"/>
                        <w:szCs w:val="24"/>
                      </w:rPr>
                      <m:t>)</m:t>
                    </m:r>
                    <m:r>
                      <w:rPr>
                        <w:rFonts w:ascii="Cambria Math" w:eastAsia="Arial" w:hAnsi="Cambria Math" w:cs="Arial"/>
                        <w:color w:val="000000"/>
                        <w:szCs w:val="24"/>
                      </w:rPr>
                      <m:t>F</m:t>
                    </m:r>
                  </m:den>
                </m:f>
                <m:r>
                  <w:rPr>
                    <w:rFonts w:ascii="Cambria Math" w:eastAsia="Arial" w:hAnsi="Cambria Math" w:cs="Arial"/>
                    <w:color w:val="000000"/>
                    <w:szCs w:val="24"/>
                  </w:rPr>
                  <m:t xml:space="preserve"> 100</m:t>
                </m:r>
              </m:oMath>
            </m:oMathPara>
          </w:p>
        </w:tc>
        <w:tc>
          <w:tcPr>
            <w:tcW w:w="1837" w:type="dxa"/>
            <w:vAlign w:val="center"/>
          </w:tcPr>
          <w:p w14:paraId="0A7C3351" w14:textId="1FA9A506" w:rsidR="00FF4973" w:rsidRDefault="00FF4973" w:rsidP="0090279E">
            <w:pPr>
              <w:jc w:val="center"/>
            </w:pPr>
            <w:r>
              <w:t xml:space="preserve">Eq. </w:t>
            </w:r>
            <w:r w:rsidR="00F63621">
              <w:t>S4</w:t>
            </w:r>
          </w:p>
        </w:tc>
      </w:tr>
    </w:tbl>
    <w:p w14:paraId="232AAF84" w14:textId="7594097F" w:rsidR="006F681E" w:rsidRDefault="006F681E" w:rsidP="006F681E">
      <w:pPr>
        <w:pStyle w:val="Titolo1Supplementary"/>
      </w:pPr>
      <w:r>
        <w:t>Results</w:t>
      </w:r>
    </w:p>
    <w:p w14:paraId="7FE6D0F3" w14:textId="665C7E9A" w:rsidR="006F681E" w:rsidRPr="00560076" w:rsidRDefault="0019223A" w:rsidP="006F681E">
      <w:pPr>
        <w:pStyle w:val="Titolo2"/>
        <w:spacing w:before="0"/>
        <w:rPr>
          <w:lang w:val="en-US"/>
        </w:rPr>
      </w:pPr>
      <w:r>
        <w:rPr>
          <w:lang w:val="en-US"/>
        </w:rPr>
        <w:t>S.2.1</w:t>
      </w:r>
      <w:r w:rsidR="006F681E">
        <w:rPr>
          <w:lang w:val="en-US"/>
        </w:rPr>
        <w:t xml:space="preserve"> Round-trip cycle of the battery</w:t>
      </w:r>
    </w:p>
    <w:p w14:paraId="3A0A2EF6" w14:textId="111A137E" w:rsidR="00EC4893" w:rsidRDefault="006F681E" w:rsidP="00EC4893">
      <w:pPr>
        <w:jc w:val="both"/>
      </w:pPr>
      <w:r w:rsidRPr="00560076">
        <w:t>The performance of the AB-FB was also evaluated when</w:t>
      </w:r>
      <w:r>
        <w:t xml:space="preserve"> operating the battery in round-</w:t>
      </w:r>
      <w:r w:rsidRPr="00560076">
        <w:t>trip cycles. The AB-FB was run in closed-loop configuration, starting from the charge phase and solutions of 0.1 M HCl/NaOH and 1 M of NaCl. Specifically, the tests were carried out at a constant current density of 100 A m</w:t>
      </w:r>
      <w:r w:rsidRPr="00560076">
        <w:rPr>
          <w:vertAlign w:val="superscript"/>
        </w:rPr>
        <w:t>-2</w:t>
      </w:r>
      <w:r w:rsidRPr="00560076">
        <w:t xml:space="preserve"> in the charge phase and 29 A m</w:t>
      </w:r>
      <w:r w:rsidRPr="00560076">
        <w:rPr>
          <w:vertAlign w:val="superscript"/>
        </w:rPr>
        <w:t>-2</w:t>
      </w:r>
      <w:r w:rsidRPr="00560076">
        <w:t xml:space="preserve"> in the discharge phase (the latter in order to prevent the bipolar membranes delamination). </w:t>
      </w:r>
      <w:r w:rsidR="004B01CF">
        <w:fldChar w:fldCharType="begin"/>
      </w:r>
      <w:r w:rsidR="004B01CF">
        <w:instrText xml:space="preserve"> REF _Ref149844299 \h </w:instrText>
      </w:r>
      <w:r w:rsidR="004B01CF">
        <w:fldChar w:fldCharType="separate"/>
      </w:r>
      <w:r w:rsidR="004B01CF">
        <w:t>Figure S</w:t>
      </w:r>
      <w:r w:rsidR="004B01CF">
        <w:rPr>
          <w:noProof/>
        </w:rPr>
        <w:t>3</w:t>
      </w:r>
      <w:r w:rsidR="004B01CF">
        <w:fldChar w:fldCharType="end"/>
      </w:r>
      <w:r>
        <w:t>a</w:t>
      </w:r>
      <w:r w:rsidRPr="00560076">
        <w:t xml:space="preserve"> shows the acid and base concentration profiles over time.</w:t>
      </w:r>
      <w:bookmarkStart w:id="6" w:name="_Hlk126228434"/>
    </w:p>
    <w:p w14:paraId="708A8A84" w14:textId="77777777" w:rsidR="00F628FA" w:rsidRDefault="00EC4893" w:rsidP="00F628FA">
      <w:pPr>
        <w:keepNext/>
        <w:jc w:val="both"/>
      </w:pPr>
      <w:r w:rsidRPr="00EC4893">
        <w:rPr>
          <w:noProof/>
        </w:rPr>
        <w:lastRenderedPageBreak/>
        <w:drawing>
          <wp:inline distT="0" distB="0" distL="0" distR="0" wp14:anchorId="07CDA760" wp14:editId="0A9F2EB9">
            <wp:extent cx="6073140" cy="6637020"/>
            <wp:effectExtent l="0" t="0" r="3810" b="0"/>
            <wp:docPr id="13340289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3140" cy="6637020"/>
                    </a:xfrm>
                    <a:prstGeom prst="rect">
                      <a:avLst/>
                    </a:prstGeom>
                    <a:noFill/>
                    <a:ln>
                      <a:noFill/>
                    </a:ln>
                  </pic:spPr>
                </pic:pic>
              </a:graphicData>
            </a:graphic>
          </wp:inline>
        </w:drawing>
      </w:r>
    </w:p>
    <w:p w14:paraId="57166127" w14:textId="744FDD55" w:rsidR="006F681E" w:rsidRDefault="00F628FA" w:rsidP="00F628FA">
      <w:pPr>
        <w:pStyle w:val="Didascalia"/>
        <w:jc w:val="both"/>
      </w:pPr>
      <w:bookmarkStart w:id="7" w:name="_Ref149844299"/>
      <w:bookmarkStart w:id="8" w:name="_Ref149844294"/>
      <w:r>
        <w:t>Figure S</w:t>
      </w:r>
      <w:r w:rsidR="003533F1">
        <w:fldChar w:fldCharType="begin"/>
      </w:r>
      <w:r w:rsidR="003533F1">
        <w:instrText xml:space="preserve"> SEQ Figure \* ARABIC </w:instrText>
      </w:r>
      <w:r w:rsidR="003533F1">
        <w:fldChar w:fldCharType="separate"/>
      </w:r>
      <w:r>
        <w:rPr>
          <w:noProof/>
        </w:rPr>
        <w:t>3</w:t>
      </w:r>
      <w:r w:rsidR="003533F1">
        <w:rPr>
          <w:noProof/>
        </w:rPr>
        <w:fldChar w:fldCharType="end"/>
      </w:r>
      <w:bookmarkEnd w:id="7"/>
      <w:r>
        <w:t xml:space="preserve">. (a) Acid and </w:t>
      </w:r>
      <w:r w:rsidRPr="00495AB7">
        <w:t xml:space="preserve">base concentrations </w:t>
      </w:r>
      <w:r>
        <w:t>over</w:t>
      </w:r>
      <w:r w:rsidRPr="00495AB7">
        <w:t xml:space="preserve"> time</w:t>
      </w:r>
      <w:r>
        <w:t xml:space="preserve"> for the two scenarios analysed for a complete charge-discharge cycle. (b)</w:t>
      </w:r>
      <w:r w:rsidRPr="00495AB7">
        <w:t xml:space="preserve"> Ene</w:t>
      </w:r>
      <w:r>
        <w:t>rgy consumed during the charge phase</w:t>
      </w:r>
      <w:r w:rsidRPr="00495AB7">
        <w:t xml:space="preserve"> and energy produced during t</w:t>
      </w:r>
      <w:r>
        <w:t>he discharge phase and (c</w:t>
      </w:r>
      <w:r w:rsidRPr="00495AB7">
        <w:t xml:space="preserve">) Voltage Efficiency (VE), Coulombic Efficiency (CE) and Round-Trip Efficiency (RTE) </w:t>
      </w:r>
      <w:r>
        <w:t>for the reference and improved scenarios.</w:t>
      </w:r>
      <w:bookmarkEnd w:id="8"/>
    </w:p>
    <w:bookmarkEnd w:id="6"/>
    <w:p w14:paraId="007AE2FA" w14:textId="3C905FA1" w:rsidR="006F681E" w:rsidRPr="00560076" w:rsidRDefault="006F681E" w:rsidP="006F681E">
      <w:pPr>
        <w:jc w:val="both"/>
      </w:pPr>
      <w:r w:rsidRPr="00560076">
        <w:t xml:space="preserve">In both the reference and improved scenarios, the acid and base concentration profiles exhibit a similar trend. It is worth noting that the concentration profiles in the charge phase are non-linear, while those in </w:t>
      </w:r>
      <w:r w:rsidRPr="00560076">
        <w:lastRenderedPageBreak/>
        <w:t>the discharge phase are practically linear. The difference between the two profiles is mainly due to the different current densitie</w:t>
      </w:r>
      <w:r>
        <w:t>s utiliz</w:t>
      </w:r>
      <w:r w:rsidRPr="00560076">
        <w:t>ed. Indeed, the lower current density in the discharge phase caused an almost linear concentration profile due to the lower impact of non-ideal phenomena, such as electro-osmotic water flux and parasitic currents. Contrastingly, during the charge phase, the current density was more than three times greater, thus exacerbating the non-ideal phenomena mentioned above.</w:t>
      </w:r>
    </w:p>
    <w:p w14:paraId="05622E32" w14:textId="627DFB10" w:rsidR="006F681E" w:rsidRDefault="006F681E" w:rsidP="006F681E">
      <w:pPr>
        <w:jc w:val="both"/>
      </w:pPr>
      <w:r w:rsidRPr="00560076">
        <w:t>As shown in</w:t>
      </w:r>
      <w:r w:rsidR="00CD4CC1">
        <w:t xml:space="preserve"> </w:t>
      </w:r>
      <w:r w:rsidR="00CD4CC1">
        <w:fldChar w:fldCharType="begin"/>
      </w:r>
      <w:r w:rsidR="00CD4CC1">
        <w:instrText xml:space="preserve"> REF _Ref149844299 \h </w:instrText>
      </w:r>
      <w:r w:rsidR="00CD4CC1">
        <w:fldChar w:fldCharType="separate"/>
      </w:r>
      <w:r w:rsidR="003959DB">
        <w:t>Figure S</w:t>
      </w:r>
      <w:r w:rsidR="003959DB">
        <w:rPr>
          <w:noProof/>
        </w:rPr>
        <w:t>3</w:t>
      </w:r>
      <w:r w:rsidR="00CD4CC1">
        <w:fldChar w:fldCharType="end"/>
      </w:r>
      <w:r w:rsidR="003959DB">
        <w:t>a</w:t>
      </w:r>
      <w:r w:rsidRPr="00560076">
        <w:t>, the maximum concentration attained in the charge phase was considerably higher in the improved scenario (~0.7 M HCl) than in the reference scenario (~0.35 M HCl). The significant increase in the achievable concentrations was due to the higher cell current (i.e., the useful current crossing the IEMs) in the improved scenario. In fact, the reduction in the parasitic currents determines an increase in the electric cell current that can be usefully converted into the production of acid and base. The higher migrative flux of protons and hydroxide ions across the bipolar membrane layers allowed higher concentrations of acid (and base) to be obtained, effectively compensating for the phenomena of back-diffusion and solution dilution, the latter of which is related to the water flux (i.e., osmotic and electro-osmotic flux). In turn, the achieved larger concentration gradient allowed much more energy to be stored during the charge in the improved scenario compared to the reference one, although</w:t>
      </w:r>
      <w:r>
        <w:t xml:space="preserve"> the presence of</w:t>
      </w:r>
      <w:r w:rsidRPr="00560076">
        <w:t xml:space="preserve"> </w:t>
      </w:r>
      <w:r>
        <w:t>a small difference in</w:t>
      </w:r>
      <w:r w:rsidRPr="00560076">
        <w:t xml:space="preserve"> </w:t>
      </w:r>
      <w:r>
        <w:t xml:space="preserve">the </w:t>
      </w:r>
      <w:r w:rsidRPr="00560076">
        <w:t>energy supplied to the battery</w:t>
      </w:r>
      <w:r>
        <w:t xml:space="preserve"> </w:t>
      </w:r>
      <w:r w:rsidRPr="00560076">
        <w:t>(</w:t>
      </w:r>
      <w:r w:rsidR="003959DB">
        <w:fldChar w:fldCharType="begin"/>
      </w:r>
      <w:r w:rsidR="003959DB">
        <w:instrText xml:space="preserve"> REF _Ref149844299 \h </w:instrText>
      </w:r>
      <w:r w:rsidR="003959DB">
        <w:fldChar w:fldCharType="separate"/>
      </w:r>
      <w:r w:rsidR="003959DB">
        <w:t>Figure S</w:t>
      </w:r>
      <w:r w:rsidR="003959DB">
        <w:rPr>
          <w:noProof/>
        </w:rPr>
        <w:t>3</w:t>
      </w:r>
      <w:r w:rsidR="003959DB">
        <w:fldChar w:fldCharType="end"/>
      </w:r>
      <w:r>
        <w:t xml:space="preserve">b). </w:t>
      </w:r>
    </w:p>
    <w:p w14:paraId="5D9F9105" w14:textId="10739DD8" w:rsidR="004309AE" w:rsidRDefault="006F681E" w:rsidP="003D6BB5">
      <w:pPr>
        <w:jc w:val="both"/>
        <w:rPr>
          <w:color w:val="000000"/>
        </w:rPr>
      </w:pPr>
      <w:r w:rsidRPr="00560076">
        <w:t>In the improved case, the lower charge energy and the higher disc</w:t>
      </w:r>
      <w:r>
        <w:t>harge energy enhanced the Round-</w:t>
      </w:r>
      <w:r w:rsidRPr="00560076">
        <w:t xml:space="preserve">Trip Efficiency, </w:t>
      </w:r>
      <w:r w:rsidR="003959DB">
        <w:fldChar w:fldCharType="begin"/>
      </w:r>
      <w:r w:rsidR="003959DB">
        <w:instrText xml:space="preserve"> REF _Ref149844299 \h </w:instrText>
      </w:r>
      <w:r w:rsidR="003959DB">
        <w:fldChar w:fldCharType="separate"/>
      </w:r>
      <w:r w:rsidR="003959DB">
        <w:t>Figure S</w:t>
      </w:r>
      <w:r w:rsidR="003959DB">
        <w:rPr>
          <w:noProof/>
        </w:rPr>
        <w:t>3</w:t>
      </w:r>
      <w:r w:rsidR="003959DB">
        <w:fldChar w:fldCharType="end"/>
      </w:r>
      <w:r>
        <w:t>c</w:t>
      </w:r>
      <w:r w:rsidRPr="00560076">
        <w:t xml:space="preserve">. Furthermore, the improved and reference configurations have </w:t>
      </w:r>
      <w:r w:rsidRPr="00F8413B">
        <w:rPr>
          <w:lang w:val="en-GB"/>
        </w:rPr>
        <w:t>pumping</w:t>
      </w:r>
      <w:r w:rsidRPr="00560076">
        <w:t xml:space="preserve"> energy values </w:t>
      </w:r>
      <w:r w:rsidRPr="00B277ED">
        <w:t>of 0.018–0.022 Wh and 0.004–0.01Wh respectively</w:t>
      </w:r>
      <w:r w:rsidRPr="00560076">
        <w:t xml:space="preserve">: these values are at least two orders of magnitude smaller than the charge and discharge energies, thus being reasonably neglected. Indeed, there were improvements in overall efficiency in both the charge </w:t>
      </w:r>
      <w:r>
        <w:t xml:space="preserve">(EDBM) </w:t>
      </w:r>
      <w:r w:rsidRPr="00560076">
        <w:t>and the discharge phase</w:t>
      </w:r>
      <w:r>
        <w:t xml:space="preserve"> (REDBM)</w:t>
      </w:r>
      <w:r w:rsidRPr="00560076">
        <w:t>. In particular,</w:t>
      </w:r>
      <w:r>
        <w:t xml:space="preserve"> </w:t>
      </w:r>
      <w:r w:rsidRPr="00560076">
        <w:t xml:space="preserve">shifting from the reference to the improved scenario, the charge efficiency </w:t>
      </w:r>
      <m:oMath>
        <m:sSub>
          <m:sSubPr>
            <m:ctrlPr>
              <w:rPr>
                <w:rFonts w:ascii="Cambria Math" w:eastAsia="Arial" w:hAnsi="Cambria Math" w:cs="Arial"/>
                <w:i/>
                <w:color w:val="000000"/>
                <w:szCs w:val="24"/>
              </w:rPr>
            </m:ctrlPr>
          </m:sSubPr>
          <m:e>
            <m:r>
              <w:rPr>
                <w:rFonts w:ascii="Cambria Math" w:eastAsia="Arial" w:hAnsi="Cambria Math" w:cs="Arial"/>
                <w:color w:val="000000"/>
                <w:szCs w:val="24"/>
              </w:rPr>
              <m:t>η</m:t>
            </m:r>
          </m:e>
          <m:sub>
            <m:r>
              <w:rPr>
                <w:rFonts w:ascii="Cambria Math" w:eastAsia="Arial" w:hAnsi="Cambria Math" w:cs="Arial"/>
                <w:color w:val="000000"/>
                <w:szCs w:val="24"/>
              </w:rPr>
              <m:t>c</m:t>
            </m:r>
          </m:sub>
        </m:sSub>
      </m:oMath>
      <w:r w:rsidR="009E198A">
        <w:rPr>
          <w:rFonts w:eastAsiaTheme="minorEastAsia"/>
          <w:color w:val="000000"/>
          <w:szCs w:val="24"/>
        </w:rPr>
        <w:t xml:space="preserve"> </w:t>
      </w:r>
      <w:r w:rsidRPr="00560076">
        <w:t xml:space="preserve">passed from 11% to 35%, while the discharge efficiency </w:t>
      </w:r>
      <m:oMath>
        <m:sSub>
          <m:sSubPr>
            <m:ctrlPr>
              <w:rPr>
                <w:rFonts w:ascii="Cambria Math" w:eastAsia="Arial" w:hAnsi="Cambria Math" w:cs="Arial"/>
                <w:i/>
                <w:color w:val="000000"/>
                <w:szCs w:val="24"/>
              </w:rPr>
            </m:ctrlPr>
          </m:sSubPr>
          <m:e>
            <m:r>
              <w:rPr>
                <w:rFonts w:ascii="Cambria Math" w:eastAsia="Arial" w:hAnsi="Cambria Math" w:cs="Arial"/>
                <w:color w:val="000000"/>
                <w:szCs w:val="24"/>
              </w:rPr>
              <m:t>η</m:t>
            </m:r>
          </m:e>
          <m:sub>
            <m:r>
              <w:rPr>
                <w:rFonts w:ascii="Cambria Math" w:eastAsia="Arial" w:hAnsi="Cambria Math" w:cs="Arial"/>
                <w:color w:val="000000"/>
                <w:szCs w:val="24"/>
              </w:rPr>
              <m:t>d</m:t>
            </m:r>
          </m:sub>
        </m:sSub>
      </m:oMath>
      <w:r w:rsidR="009E198A">
        <w:rPr>
          <w:rFonts w:eastAsiaTheme="minorEastAsia"/>
          <w:color w:val="000000"/>
          <w:szCs w:val="24"/>
        </w:rPr>
        <w:t xml:space="preserve"> </w:t>
      </w:r>
      <w:r w:rsidRPr="00560076">
        <w:t xml:space="preserve">changed from 71% to 65%. In the charge efficiency there is a great improvement due to the insertion of the plastic sticks in the manifolds, in the discharge phase </w:t>
      </w:r>
      <w:r w:rsidRPr="00560076">
        <w:lastRenderedPageBreak/>
        <w:t xml:space="preserve">there seems to be a slight decrease. This is not entirely true, because in the discharge phase of the reference scenario the concentration changes from 0.35 M to 0.1 M, treating low concentrations and solutions that are slightly affected by shortcut currents. In the discharge phase of the improved scenario, the solutions change the concentration from 0.7 M to 0.1 M. In this case, the system treats more concentrated solutions and there is a greater impact of shortcut currents in the system, which is mitigated by the presence of the manifold reducers since the discharge efficiency differs by only 5% in the two scenarios. The difference is more marked in the charge efficiency, where there is 24% advantage in the improved scenario. The enhancement in RTE could also be observed in terms of Voltage Efficiency (VE) and Coulombic Efficiency (CE). Specifically, the VE went from 35% to 42%. </w:t>
      </w:r>
      <w:r>
        <w:t>Indeed</w:t>
      </w:r>
      <w:r w:rsidRPr="006306D7">
        <w:t xml:space="preserve">, the discharge voltage in the presence of sticks was observed to be higher, as previously shown </w:t>
      </w:r>
      <w:r>
        <w:t>in</w:t>
      </w:r>
      <w:r w:rsidRPr="006306D7">
        <w:t xml:space="preserve"> </w:t>
      </w:r>
      <w:r>
        <w:t>the section 3.2, thus improving VE</w:t>
      </w:r>
      <w:r w:rsidRPr="00560076">
        <w:t xml:space="preserve">. Conversely, the CE increased from 7% in the reference scenario to 22% in the improved scenario due to more effective conversion of the electric charge into acid and base production in the charge phase and </w:t>
      </w:r>
      <w:r w:rsidRPr="00560076">
        <w:rPr>
          <w:i/>
          <w:iCs/>
        </w:rPr>
        <w:t>viceversa</w:t>
      </w:r>
      <w:r w:rsidRPr="00560076">
        <w:t xml:space="preserve"> in the discharge phase. The CE improvement is indicative of a higher current efficiency in both battery phases (i.e., charge and discharge) when moving from the reference to the improved scenario. Indeed, the CE is a result of the product of the charge and discharge efficiencies. </w:t>
      </w:r>
      <w:r w:rsidRPr="00CA48D7">
        <w:t xml:space="preserve">Overall, the RTE in the improved scenario increased </w:t>
      </w:r>
      <w:r>
        <w:t xml:space="preserve">significantly </w:t>
      </w:r>
      <w:r w:rsidRPr="00CA48D7">
        <w:t xml:space="preserve">from a few percentage points to about 10%. </w:t>
      </w:r>
      <w:r>
        <w:t>Clearly, the increased RTE is still really low, but it should be kept in mind that the present study is carried out with</w:t>
      </w:r>
      <w:r w:rsidRPr="00CA48D7">
        <w:t xml:space="preserve"> a non-optimized lab-scale design. </w:t>
      </w:r>
      <w:r>
        <w:t xml:space="preserve">Importantly, much larger RTE, even higher than 60% has been obtained with a validated process model for the case of </w:t>
      </w:r>
      <w:r w:rsidRPr="00CA48D7">
        <w:t xml:space="preserve">optimized designs </w:t>
      </w:r>
      <w:r>
        <w:t xml:space="preserve">and operating conditions </w:t>
      </w:r>
      <w:sdt>
        <w:sdtPr>
          <w:rPr>
            <w:color w:val="000000"/>
          </w:rPr>
          <w:tag w:val="MENDELEY_CITATION_v3_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"/>
          <w:id w:val="-709875752"/>
          <w:placeholder>
            <w:docPart w:val="DefaultPlaceholder_-1854013440"/>
          </w:placeholder>
        </w:sdtPr>
        <w:sdtEndPr/>
        <w:sdtContent>
          <w:r w:rsidR="00D9047D" w:rsidRPr="00D9047D">
            <w:rPr>
              <w:color w:val="000000"/>
            </w:rPr>
            <w:t>(Culcasi et al., 2023)</w:t>
          </w:r>
        </w:sdtContent>
      </w:sdt>
      <w:r w:rsidR="00BA3308">
        <w:rPr>
          <w:color w:val="000000"/>
        </w:rPr>
        <w:t>.</w:t>
      </w:r>
    </w:p>
    <w:p w14:paraId="7DF0317A" w14:textId="2A28C1FA" w:rsidR="004108C5" w:rsidRPr="008B44EF" w:rsidRDefault="008B44EF" w:rsidP="008B44EF">
      <w:pPr>
        <w:keepNext/>
        <w:keepLines/>
        <w:spacing w:after="160"/>
        <w:jc w:val="both"/>
        <w:outlineLvl w:val="0"/>
        <w:rPr>
          <w:rFonts w:eastAsia="Times New Roman" w:cs="Times New Roman"/>
          <w:b/>
          <w:bCs/>
          <w:szCs w:val="28"/>
          <w:lang w:val="en-GB" w:eastAsia="ja-JP"/>
        </w:rPr>
      </w:pPr>
      <w:r w:rsidRPr="008B44EF">
        <w:rPr>
          <w:rFonts w:eastAsia="Times New Roman" w:cs="Times New Roman"/>
          <w:b/>
          <w:bCs/>
          <w:szCs w:val="28"/>
          <w:lang w:val="en-GB" w:eastAsia="ja-JP"/>
        </w:rPr>
        <w:t>Nomenclature</w:t>
      </w:r>
    </w:p>
    <w:tbl>
      <w:tblPr>
        <w:tblStyle w:val="Grigliatabella"/>
        <w:tblW w:w="9852" w:type="dxa"/>
        <w:tblBorders>
          <w:insideH w:val="none" w:sz="0" w:space="0" w:color="auto"/>
          <w:insideV w:val="none" w:sz="0" w:space="0" w:color="auto"/>
        </w:tblBorders>
        <w:tblLayout w:type="fixed"/>
        <w:tblLook w:val="04A0" w:firstRow="1" w:lastRow="0" w:firstColumn="1" w:lastColumn="0" w:noHBand="0" w:noVBand="1"/>
      </w:tblPr>
      <w:tblGrid>
        <w:gridCol w:w="2035"/>
        <w:gridCol w:w="3347"/>
        <w:gridCol w:w="1774"/>
        <w:gridCol w:w="2696"/>
      </w:tblGrid>
      <w:tr w:rsidR="003619CF" w:rsidRPr="009A4F84" w14:paraId="2D1ADED7" w14:textId="77777777" w:rsidTr="006B6F3A">
        <w:trPr>
          <w:trHeight w:val="482"/>
        </w:trPr>
        <w:tc>
          <w:tcPr>
            <w:tcW w:w="9852" w:type="dxa"/>
            <w:gridSpan w:val="4"/>
            <w:tcBorders>
              <w:top w:val="single" w:sz="4" w:space="0" w:color="auto"/>
            </w:tcBorders>
            <w:vAlign w:val="center"/>
          </w:tcPr>
          <w:p w14:paraId="5C11ACB1" w14:textId="77777777" w:rsidR="009A4F84" w:rsidRPr="009A4F84" w:rsidRDefault="009A4F84" w:rsidP="009A4F84">
            <w:pPr>
              <w:spacing w:line="240" w:lineRule="auto"/>
              <w:rPr>
                <w:rFonts w:eastAsia="Times New Roman" w:cs="Times New Roman"/>
                <w:i/>
                <w:iCs/>
                <w:color w:val="000000" w:themeColor="text1"/>
                <w:lang w:val="en-GB"/>
              </w:rPr>
            </w:pPr>
            <w:r w:rsidRPr="009A4F84">
              <w:rPr>
                <w:rFonts w:eastAsia="Times New Roman" w:cs="Times New Roman"/>
                <w:i/>
                <w:iCs/>
                <w:color w:val="000000" w:themeColor="text1"/>
                <w:lang w:val="en-GB"/>
              </w:rPr>
              <w:t>Symbols</w:t>
            </w:r>
          </w:p>
        </w:tc>
      </w:tr>
      <w:tr w:rsidR="003619CF" w:rsidRPr="009A4F84" w14:paraId="3A0404DB" w14:textId="77777777" w:rsidTr="006B6F3A">
        <w:trPr>
          <w:trHeight w:val="482"/>
        </w:trPr>
        <w:tc>
          <w:tcPr>
            <w:tcW w:w="2035" w:type="dxa"/>
            <w:vAlign w:val="center"/>
          </w:tcPr>
          <w:p w14:paraId="7AE39E17" w14:textId="062361F7"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c</w:t>
            </w:r>
            <w:r w:rsidRPr="003619CF">
              <w:rPr>
                <w:rFonts w:eastAsia="Times New Roman" w:cs="Times New Roman"/>
                <w:b/>
                <w:bCs/>
                <w:color w:val="000000" w:themeColor="text1"/>
                <w:vertAlign w:val="subscript"/>
                <w:lang w:val="en-GB"/>
              </w:rPr>
              <w:t>av</w:t>
            </w:r>
            <w:r w:rsidRPr="009A4F84">
              <w:rPr>
                <w:rFonts w:eastAsia="Times New Roman" w:cs="Times New Roman"/>
                <w:b/>
                <w:bCs/>
                <w:color w:val="000000" w:themeColor="text1"/>
                <w:lang w:val="en-GB"/>
              </w:rPr>
              <w:t xml:space="preserve"> (mol L</w:t>
            </w:r>
            <w:r w:rsidRPr="009A4F84">
              <w:rPr>
                <w:rFonts w:eastAsia="Times New Roman" w:cs="Times New Roman"/>
                <w:b/>
                <w:bCs/>
                <w:color w:val="000000" w:themeColor="text1"/>
                <w:vertAlign w:val="superscript"/>
                <w:lang w:val="en-GB"/>
              </w:rPr>
              <w:t>-1</w:t>
            </w:r>
            <w:r w:rsidRPr="009A4F84">
              <w:rPr>
                <w:rFonts w:eastAsia="Times New Roman" w:cs="Times New Roman"/>
                <w:b/>
                <w:bCs/>
                <w:color w:val="000000" w:themeColor="text1"/>
                <w:lang w:val="en-GB"/>
              </w:rPr>
              <w:t>)</w:t>
            </w:r>
          </w:p>
        </w:tc>
        <w:tc>
          <w:tcPr>
            <w:tcW w:w="3347" w:type="dxa"/>
            <w:vAlign w:val="center"/>
          </w:tcPr>
          <w:p w14:paraId="0934DD35" w14:textId="4F168B80"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Acid</w:t>
            </w:r>
            <w:r w:rsidRPr="003619CF">
              <w:rPr>
                <w:rFonts w:eastAsia="Times New Roman" w:cs="Times New Roman"/>
                <w:color w:val="000000" w:themeColor="text1"/>
                <w:lang w:val="en-GB"/>
              </w:rPr>
              <w:t>/base average</w:t>
            </w:r>
            <w:r w:rsidRPr="009A4F84">
              <w:rPr>
                <w:rFonts w:eastAsia="Times New Roman" w:cs="Times New Roman"/>
                <w:color w:val="000000" w:themeColor="text1"/>
                <w:lang w:val="en-GB"/>
              </w:rPr>
              <w:t xml:space="preserve"> concentration</w:t>
            </w:r>
          </w:p>
        </w:tc>
        <w:tc>
          <w:tcPr>
            <w:tcW w:w="1774" w:type="dxa"/>
            <w:vAlign w:val="center"/>
          </w:tcPr>
          <w:p w14:paraId="4C16EFAD" w14:textId="1BB5C6F9"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RTE (%)</w:t>
            </w:r>
          </w:p>
        </w:tc>
        <w:tc>
          <w:tcPr>
            <w:tcW w:w="2696" w:type="dxa"/>
            <w:vAlign w:val="center"/>
          </w:tcPr>
          <w:p w14:paraId="26F5AD3F" w14:textId="24AD121C"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Round-Trip Efficiency</w:t>
            </w:r>
          </w:p>
        </w:tc>
      </w:tr>
      <w:tr w:rsidR="003619CF" w:rsidRPr="009A4F84" w14:paraId="1B45F2C0" w14:textId="77777777" w:rsidTr="006B6F3A">
        <w:trPr>
          <w:trHeight w:val="482"/>
        </w:trPr>
        <w:tc>
          <w:tcPr>
            <w:tcW w:w="2035" w:type="dxa"/>
            <w:vAlign w:val="center"/>
          </w:tcPr>
          <w:p w14:paraId="473B1D86" w14:textId="5D9F5667"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c</w:t>
            </w:r>
            <w:r w:rsidRPr="009A4F84">
              <w:rPr>
                <w:rFonts w:eastAsia="Times New Roman" w:cs="Times New Roman"/>
                <w:b/>
                <w:bCs/>
                <w:color w:val="000000" w:themeColor="text1"/>
                <w:vertAlign w:val="subscript"/>
                <w:lang w:val="en-GB"/>
              </w:rPr>
              <w:t>HCl</w:t>
            </w:r>
            <w:r w:rsidRPr="009A4F84">
              <w:rPr>
                <w:rFonts w:eastAsia="Times New Roman" w:cs="Times New Roman"/>
                <w:b/>
                <w:bCs/>
                <w:color w:val="000000" w:themeColor="text1"/>
                <w:lang w:val="en-GB"/>
              </w:rPr>
              <w:t xml:space="preserve"> (mol L</w:t>
            </w:r>
            <w:r w:rsidRPr="009A4F84">
              <w:rPr>
                <w:rFonts w:eastAsia="Times New Roman" w:cs="Times New Roman"/>
                <w:b/>
                <w:bCs/>
                <w:color w:val="000000" w:themeColor="text1"/>
                <w:vertAlign w:val="superscript"/>
                <w:lang w:val="en-GB"/>
              </w:rPr>
              <w:t>-1</w:t>
            </w:r>
            <w:r w:rsidRPr="009A4F84">
              <w:rPr>
                <w:rFonts w:eastAsia="Times New Roman" w:cs="Times New Roman"/>
                <w:b/>
                <w:bCs/>
                <w:color w:val="000000" w:themeColor="text1"/>
                <w:lang w:val="en-GB"/>
              </w:rPr>
              <w:t>)</w:t>
            </w:r>
          </w:p>
        </w:tc>
        <w:tc>
          <w:tcPr>
            <w:tcW w:w="3347" w:type="dxa"/>
            <w:vAlign w:val="center"/>
          </w:tcPr>
          <w:p w14:paraId="41E880F6" w14:textId="787DA19B"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Acid concentration</w:t>
            </w:r>
          </w:p>
        </w:tc>
        <w:tc>
          <w:tcPr>
            <w:tcW w:w="1774" w:type="dxa"/>
            <w:vAlign w:val="center"/>
          </w:tcPr>
          <w:p w14:paraId="0FA82AB2" w14:textId="4EEBB23A"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t (s)</w:t>
            </w:r>
          </w:p>
        </w:tc>
        <w:tc>
          <w:tcPr>
            <w:tcW w:w="2696" w:type="dxa"/>
            <w:vAlign w:val="center"/>
          </w:tcPr>
          <w:p w14:paraId="417AB386" w14:textId="43212F21"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Time</w:t>
            </w:r>
          </w:p>
        </w:tc>
      </w:tr>
      <w:tr w:rsidR="003619CF" w:rsidRPr="003619CF" w14:paraId="78764589" w14:textId="77777777" w:rsidTr="006B6F3A">
        <w:trPr>
          <w:trHeight w:val="482"/>
        </w:trPr>
        <w:tc>
          <w:tcPr>
            <w:tcW w:w="2035" w:type="dxa"/>
            <w:vAlign w:val="center"/>
          </w:tcPr>
          <w:p w14:paraId="490F1114" w14:textId="5296A0A1" w:rsidR="003619CF" w:rsidRPr="003619CF"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lastRenderedPageBreak/>
              <w:t>CE (%)</w:t>
            </w:r>
          </w:p>
        </w:tc>
        <w:tc>
          <w:tcPr>
            <w:tcW w:w="3347" w:type="dxa"/>
            <w:vAlign w:val="center"/>
          </w:tcPr>
          <w:p w14:paraId="620EFB8A" w14:textId="5FC8C88B" w:rsidR="003619CF" w:rsidRPr="003619CF"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Coulombic Efficiency</w:t>
            </w:r>
          </w:p>
        </w:tc>
        <w:tc>
          <w:tcPr>
            <w:tcW w:w="1774" w:type="dxa"/>
            <w:vAlign w:val="center"/>
          </w:tcPr>
          <w:p w14:paraId="73D4BDB6" w14:textId="6B19EE43" w:rsidR="003619CF" w:rsidRPr="003619CF"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U (V)</w:t>
            </w:r>
          </w:p>
        </w:tc>
        <w:tc>
          <w:tcPr>
            <w:tcW w:w="2696" w:type="dxa"/>
            <w:vAlign w:val="center"/>
          </w:tcPr>
          <w:p w14:paraId="437EF47D" w14:textId="5CD6620B" w:rsidR="003619CF" w:rsidRPr="003619CF"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External Voltage</w:t>
            </w:r>
          </w:p>
        </w:tc>
      </w:tr>
      <w:tr w:rsidR="003619CF" w:rsidRPr="009A4F84" w14:paraId="2C0C4199" w14:textId="77777777" w:rsidTr="006B6F3A">
        <w:trPr>
          <w:trHeight w:val="482"/>
        </w:trPr>
        <w:tc>
          <w:tcPr>
            <w:tcW w:w="2035" w:type="dxa"/>
            <w:vAlign w:val="center"/>
          </w:tcPr>
          <w:p w14:paraId="657E65C5" w14:textId="1DF8789B" w:rsidR="003619CF" w:rsidRPr="009A4F84" w:rsidRDefault="003619CF" w:rsidP="003619CF">
            <w:pPr>
              <w:spacing w:line="240" w:lineRule="auto"/>
              <w:rPr>
                <w:rFonts w:eastAsia="Times New Roman" w:cs="Times New Roman"/>
                <w:b/>
                <w:bCs/>
                <w:color w:val="000000" w:themeColor="text1"/>
                <w:lang w:val="en-GB"/>
              </w:rPr>
            </w:pPr>
            <w:r w:rsidRPr="003619CF">
              <w:rPr>
                <w:rFonts w:eastAsia="Times New Roman" w:cs="Times New Roman"/>
                <w:b/>
                <w:bCs/>
                <w:color w:val="000000" w:themeColor="text1"/>
                <w:lang w:val="en-GB"/>
              </w:rPr>
              <w:t>d</w:t>
            </w:r>
            <w:r w:rsidRPr="003619CF">
              <w:rPr>
                <w:rFonts w:eastAsia="Times New Roman" w:cs="Times New Roman"/>
                <w:b/>
                <w:bCs/>
                <w:color w:val="000000" w:themeColor="text1"/>
                <w:vertAlign w:val="subscript"/>
                <w:lang w:val="en-GB"/>
              </w:rPr>
              <w:t>m</w:t>
            </w:r>
          </w:p>
        </w:tc>
        <w:tc>
          <w:tcPr>
            <w:tcW w:w="3347" w:type="dxa"/>
            <w:vAlign w:val="center"/>
          </w:tcPr>
          <w:p w14:paraId="3D133558" w14:textId="5130525B" w:rsidR="003619CF" w:rsidRPr="009A4F84" w:rsidRDefault="003619CF" w:rsidP="003619CF">
            <w:pPr>
              <w:spacing w:line="240" w:lineRule="auto"/>
              <w:rPr>
                <w:rFonts w:eastAsia="Times New Roman" w:cs="Times New Roman"/>
                <w:color w:val="000000" w:themeColor="text1"/>
                <w:lang w:val="en-GB"/>
              </w:rPr>
            </w:pPr>
            <w:r w:rsidRPr="003619CF">
              <w:rPr>
                <w:rFonts w:eastAsia="Times New Roman" w:cs="Times New Roman"/>
                <w:color w:val="000000" w:themeColor="text1"/>
                <w:lang w:val="en-GB"/>
              </w:rPr>
              <w:t>Thickness</w:t>
            </w:r>
          </w:p>
        </w:tc>
        <w:tc>
          <w:tcPr>
            <w:tcW w:w="1774" w:type="dxa"/>
            <w:vAlign w:val="center"/>
          </w:tcPr>
          <w:p w14:paraId="24F257B3" w14:textId="7F7AEB53"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V</w:t>
            </w:r>
            <w:r w:rsidRPr="009A4F84">
              <w:rPr>
                <w:rFonts w:eastAsia="Times New Roman" w:cs="Times New Roman"/>
                <w:b/>
                <w:bCs/>
                <w:color w:val="000000" w:themeColor="text1"/>
                <w:vertAlign w:val="subscript"/>
                <w:lang w:val="en-GB"/>
              </w:rPr>
              <w:t>HCl</w:t>
            </w:r>
            <w:r w:rsidRPr="009A4F84">
              <w:rPr>
                <w:rFonts w:eastAsia="Times New Roman" w:cs="Times New Roman"/>
                <w:b/>
                <w:bCs/>
                <w:color w:val="000000" w:themeColor="text1"/>
                <w:lang w:val="en-GB"/>
              </w:rPr>
              <w:t xml:space="preserve"> (L)</w:t>
            </w:r>
          </w:p>
        </w:tc>
        <w:tc>
          <w:tcPr>
            <w:tcW w:w="2696" w:type="dxa"/>
            <w:vAlign w:val="center"/>
          </w:tcPr>
          <w:p w14:paraId="001B22A2" w14:textId="29A2D4E7"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Acid volume</w:t>
            </w:r>
          </w:p>
        </w:tc>
      </w:tr>
      <w:tr w:rsidR="003619CF" w:rsidRPr="009A4F84" w14:paraId="0B70F0FC" w14:textId="77777777" w:rsidTr="006B6F3A">
        <w:trPr>
          <w:trHeight w:val="482"/>
        </w:trPr>
        <w:tc>
          <w:tcPr>
            <w:tcW w:w="2035" w:type="dxa"/>
            <w:vAlign w:val="center"/>
          </w:tcPr>
          <w:p w14:paraId="6D3D4C85" w14:textId="7F8D8ABC"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F (C mol</w:t>
            </w:r>
            <w:r w:rsidRPr="009A4F84">
              <w:rPr>
                <w:rFonts w:eastAsia="Times New Roman" w:cs="Times New Roman"/>
                <w:b/>
                <w:bCs/>
                <w:color w:val="000000" w:themeColor="text1"/>
                <w:vertAlign w:val="superscript"/>
                <w:lang w:val="en-GB"/>
              </w:rPr>
              <w:t>-1</w:t>
            </w:r>
            <w:r w:rsidRPr="009A4F84">
              <w:rPr>
                <w:rFonts w:eastAsia="Times New Roman" w:cs="Times New Roman"/>
                <w:b/>
                <w:bCs/>
                <w:color w:val="000000" w:themeColor="text1"/>
                <w:lang w:val="en-GB"/>
              </w:rPr>
              <w:t>)</w:t>
            </w:r>
          </w:p>
        </w:tc>
        <w:tc>
          <w:tcPr>
            <w:tcW w:w="3347" w:type="dxa"/>
            <w:vAlign w:val="center"/>
          </w:tcPr>
          <w:p w14:paraId="63AD6C8C" w14:textId="30D413EC"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Faraday constant</w:t>
            </w:r>
          </w:p>
        </w:tc>
        <w:tc>
          <w:tcPr>
            <w:tcW w:w="1774" w:type="dxa"/>
            <w:vAlign w:val="center"/>
          </w:tcPr>
          <w:p w14:paraId="0F2A15CC" w14:textId="66CE5E3C"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VE (%)</w:t>
            </w:r>
          </w:p>
        </w:tc>
        <w:tc>
          <w:tcPr>
            <w:tcW w:w="2696" w:type="dxa"/>
            <w:vAlign w:val="center"/>
          </w:tcPr>
          <w:p w14:paraId="5C92EBE7" w14:textId="1602061B"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Voltage Efficiency</w:t>
            </w:r>
          </w:p>
        </w:tc>
      </w:tr>
      <w:tr w:rsidR="003619CF" w:rsidRPr="009A4F84" w14:paraId="0834B7DD" w14:textId="77777777" w:rsidTr="006B6F3A">
        <w:trPr>
          <w:trHeight w:val="482"/>
        </w:trPr>
        <w:tc>
          <w:tcPr>
            <w:tcW w:w="2035" w:type="dxa"/>
            <w:vAlign w:val="center"/>
          </w:tcPr>
          <w:p w14:paraId="06D9B4E3" w14:textId="3F50108B"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I (A)</w:t>
            </w:r>
          </w:p>
        </w:tc>
        <w:tc>
          <w:tcPr>
            <w:tcW w:w="3347" w:type="dxa"/>
            <w:vAlign w:val="center"/>
          </w:tcPr>
          <w:p w14:paraId="68FD2AED" w14:textId="7D9778A3"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Current</w:t>
            </w:r>
          </w:p>
        </w:tc>
        <w:tc>
          <w:tcPr>
            <w:tcW w:w="1774" w:type="dxa"/>
            <w:vAlign w:val="center"/>
          </w:tcPr>
          <w:p w14:paraId="5364A45B" w14:textId="1680B741" w:rsidR="003619CF" w:rsidRPr="009A4F84" w:rsidRDefault="003619CF" w:rsidP="003619CF">
            <w:pPr>
              <w:spacing w:line="240" w:lineRule="auto"/>
              <w:rPr>
                <w:rFonts w:eastAsia="Times New Roman" w:cs="Times New Roman"/>
                <w:b/>
                <w:bCs/>
                <w:color w:val="000000" w:themeColor="text1"/>
                <w:lang w:val="en-GB"/>
              </w:rPr>
            </w:pPr>
            <w:r w:rsidRPr="003619CF">
              <w:rPr>
                <w:rFonts w:eastAsia="Times New Roman" w:cs="Times New Roman"/>
                <w:b/>
                <w:bCs/>
                <w:color w:val="000000" w:themeColor="text1"/>
                <w:lang w:val="en-GB"/>
              </w:rPr>
              <w:t>β</w:t>
            </w:r>
          </w:p>
        </w:tc>
        <w:tc>
          <w:tcPr>
            <w:tcW w:w="2696" w:type="dxa"/>
            <w:vAlign w:val="center"/>
          </w:tcPr>
          <w:p w14:paraId="5702243A" w14:textId="6302FD78" w:rsidR="003619CF" w:rsidRPr="009A4F84" w:rsidRDefault="003619CF" w:rsidP="003619CF">
            <w:pPr>
              <w:spacing w:line="240" w:lineRule="auto"/>
              <w:rPr>
                <w:rFonts w:eastAsia="Times New Roman" w:cs="Times New Roman"/>
                <w:color w:val="000000" w:themeColor="text1"/>
                <w:lang w:val="en-GB"/>
              </w:rPr>
            </w:pPr>
            <w:r w:rsidRPr="003619CF">
              <w:rPr>
                <w:rFonts w:eastAsia="Times New Roman" w:cs="Times New Roman"/>
                <w:color w:val="000000" w:themeColor="text1"/>
                <w:lang w:val="en-GB"/>
              </w:rPr>
              <w:t>Correction factor</w:t>
            </w:r>
          </w:p>
        </w:tc>
      </w:tr>
      <w:tr w:rsidR="003619CF" w:rsidRPr="009A4F84" w14:paraId="7329368E" w14:textId="77777777" w:rsidTr="006B6F3A">
        <w:trPr>
          <w:trHeight w:val="482"/>
        </w:trPr>
        <w:tc>
          <w:tcPr>
            <w:tcW w:w="2035" w:type="dxa"/>
            <w:vAlign w:val="center"/>
          </w:tcPr>
          <w:p w14:paraId="697E5740" w14:textId="73726BDC" w:rsidR="003619CF" w:rsidRPr="009A4F84" w:rsidRDefault="003619CF" w:rsidP="003619CF">
            <w:pPr>
              <w:spacing w:line="240" w:lineRule="auto"/>
              <w:rPr>
                <w:rFonts w:eastAsia="Times New Roman" w:cs="Times New Roman"/>
                <w:b/>
                <w:bCs/>
                <w:color w:val="000000" w:themeColor="text1"/>
                <w:lang w:val="en-GB"/>
              </w:rPr>
            </w:pPr>
            <w:r w:rsidRPr="009A4F84">
              <w:rPr>
                <w:rFonts w:eastAsia="Times New Roman" w:cs="Times New Roman"/>
                <w:b/>
                <w:bCs/>
                <w:color w:val="000000" w:themeColor="text1"/>
                <w:lang w:val="en-GB"/>
              </w:rPr>
              <w:t>N</w:t>
            </w:r>
            <w:r w:rsidRPr="009A4F84">
              <w:rPr>
                <w:rFonts w:eastAsia="Times New Roman" w:cs="Times New Roman"/>
                <w:b/>
                <w:bCs/>
                <w:color w:val="000000" w:themeColor="text1"/>
                <w:vertAlign w:val="subscript"/>
                <w:lang w:val="en-GB"/>
              </w:rPr>
              <w:t>tr</w:t>
            </w:r>
          </w:p>
        </w:tc>
        <w:tc>
          <w:tcPr>
            <w:tcW w:w="3347" w:type="dxa"/>
            <w:vAlign w:val="center"/>
          </w:tcPr>
          <w:p w14:paraId="2EE61468" w14:textId="07A0C2AC"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Number of triplet</w:t>
            </w:r>
          </w:p>
        </w:tc>
        <w:tc>
          <w:tcPr>
            <w:tcW w:w="1774" w:type="dxa"/>
            <w:vAlign w:val="center"/>
          </w:tcPr>
          <w:p w14:paraId="4BA9B1AC" w14:textId="04C2E207" w:rsidR="003619CF" w:rsidRPr="009A4F84" w:rsidRDefault="003619CF" w:rsidP="003619CF">
            <w:pPr>
              <w:spacing w:line="240" w:lineRule="auto"/>
              <w:rPr>
                <w:rFonts w:eastAsia="Times New Roman" w:cs="Times New Roman"/>
                <w:b/>
                <w:bCs/>
                <w:color w:val="000000" w:themeColor="text1"/>
                <w:lang w:val="en-GB"/>
              </w:rPr>
            </w:pPr>
            <w:r w:rsidRPr="009A4F84">
              <w:rPr>
                <w:rFonts w:ascii="Calibri" w:eastAsia="Times New Roman" w:hAnsi="Calibri" w:cs="Calibri"/>
                <w:b/>
                <w:bCs/>
                <w:color w:val="000000" w:themeColor="text1"/>
                <w:lang w:val="en-GB"/>
              </w:rPr>
              <w:t>η</w:t>
            </w:r>
            <w:r w:rsidRPr="009A4F84">
              <w:rPr>
                <w:rFonts w:eastAsia="Times New Roman" w:cs="Times New Roman"/>
                <w:b/>
                <w:bCs/>
                <w:color w:val="000000" w:themeColor="text1"/>
                <w:vertAlign w:val="subscript"/>
                <w:lang w:val="en-GB"/>
              </w:rPr>
              <w:t xml:space="preserve">c </w:t>
            </w:r>
            <w:r w:rsidRPr="009A4F84">
              <w:rPr>
                <w:rFonts w:eastAsia="Times New Roman" w:cs="Times New Roman"/>
                <w:b/>
                <w:bCs/>
                <w:color w:val="000000" w:themeColor="text1"/>
                <w:lang w:val="en-GB"/>
              </w:rPr>
              <w:t>(%)</w:t>
            </w:r>
          </w:p>
        </w:tc>
        <w:tc>
          <w:tcPr>
            <w:tcW w:w="2696" w:type="dxa"/>
            <w:vAlign w:val="center"/>
          </w:tcPr>
          <w:p w14:paraId="4811EFCC" w14:textId="4365DC91"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Charge Efficiency</w:t>
            </w:r>
          </w:p>
        </w:tc>
      </w:tr>
      <w:tr w:rsidR="003619CF" w:rsidRPr="009A4F84" w14:paraId="1ACB0ADB" w14:textId="77777777" w:rsidTr="006B6F3A">
        <w:trPr>
          <w:trHeight w:val="482"/>
        </w:trPr>
        <w:tc>
          <w:tcPr>
            <w:tcW w:w="2035" w:type="dxa"/>
            <w:vAlign w:val="center"/>
          </w:tcPr>
          <w:p w14:paraId="0F1ED070" w14:textId="561A011A" w:rsidR="003619CF" w:rsidRPr="009A4F84" w:rsidRDefault="003619CF" w:rsidP="003619CF">
            <w:pPr>
              <w:spacing w:line="240" w:lineRule="auto"/>
              <w:rPr>
                <w:rFonts w:eastAsia="Times New Roman" w:cs="Times New Roman"/>
                <w:b/>
                <w:bCs/>
                <w:color w:val="000000" w:themeColor="text1"/>
                <w:lang w:val="en-GB"/>
              </w:rPr>
            </w:pPr>
            <w:r w:rsidRPr="003619CF">
              <w:rPr>
                <w:rFonts w:eastAsia="Times New Roman" w:cs="Times New Roman"/>
                <w:b/>
                <w:bCs/>
                <w:color w:val="000000" w:themeColor="text1"/>
                <w:lang w:val="en-GB"/>
              </w:rPr>
              <w:t>R</w:t>
            </w:r>
            <w:r w:rsidRPr="003619CF">
              <w:rPr>
                <w:rFonts w:eastAsia="Times New Roman" w:cs="Times New Roman"/>
                <w:b/>
                <w:bCs/>
                <w:color w:val="000000" w:themeColor="text1"/>
                <w:vertAlign w:val="subscript"/>
                <w:lang w:val="en-GB"/>
              </w:rPr>
              <w:t xml:space="preserve">m </w:t>
            </w:r>
            <w:r w:rsidRPr="003619CF">
              <w:rPr>
                <w:rFonts w:eastAsia="Times New Roman" w:cs="Times New Roman"/>
                <w:b/>
                <w:bCs/>
                <w:color w:val="000000" w:themeColor="text1"/>
                <w:lang w:val="en-GB"/>
              </w:rPr>
              <w:t>(</w:t>
            </w:r>
            <w:r w:rsidRPr="009A4F84">
              <w:rPr>
                <w:rFonts w:ascii="Calibri" w:eastAsia="Times New Roman" w:hAnsi="Calibri" w:cs="Calibri"/>
                <w:b/>
                <w:bCs/>
                <w:color w:val="000000" w:themeColor="text1"/>
                <w:lang w:val="en-GB"/>
              </w:rPr>
              <w:t>Ω</w:t>
            </w:r>
            <w:r w:rsidRPr="003619CF">
              <w:rPr>
                <w:rFonts w:ascii="Calibri" w:eastAsia="Times New Roman" w:hAnsi="Calibri" w:cs="Calibri"/>
                <w:b/>
                <w:bCs/>
                <w:color w:val="000000" w:themeColor="text1"/>
                <w:lang w:val="en-GB"/>
              </w:rPr>
              <w:t xml:space="preserve"> cm</w:t>
            </w:r>
            <w:r w:rsidRPr="003619CF">
              <w:rPr>
                <w:rFonts w:ascii="Calibri" w:eastAsia="Times New Roman" w:hAnsi="Calibri" w:cs="Calibri"/>
                <w:b/>
                <w:bCs/>
                <w:color w:val="000000" w:themeColor="text1"/>
                <w:vertAlign w:val="superscript"/>
                <w:lang w:val="en-GB"/>
              </w:rPr>
              <w:t>2</w:t>
            </w:r>
            <w:r w:rsidRPr="003619CF">
              <w:rPr>
                <w:rFonts w:ascii="Calibri" w:eastAsia="Times New Roman" w:hAnsi="Calibri" w:cs="Calibri"/>
                <w:b/>
                <w:bCs/>
                <w:color w:val="000000" w:themeColor="text1"/>
                <w:lang w:val="en-GB"/>
              </w:rPr>
              <w:t>)</w:t>
            </w:r>
          </w:p>
        </w:tc>
        <w:tc>
          <w:tcPr>
            <w:tcW w:w="3347" w:type="dxa"/>
            <w:vAlign w:val="center"/>
          </w:tcPr>
          <w:p w14:paraId="2C2F0D10" w14:textId="5AD8D066" w:rsidR="003619CF" w:rsidRPr="009A4F84" w:rsidRDefault="003619CF" w:rsidP="003619CF">
            <w:pPr>
              <w:spacing w:line="240" w:lineRule="auto"/>
              <w:rPr>
                <w:rFonts w:eastAsia="Times New Roman" w:cs="Times New Roman"/>
                <w:color w:val="000000" w:themeColor="text1"/>
                <w:lang w:val="en-GB"/>
              </w:rPr>
            </w:pPr>
            <w:r w:rsidRPr="003619CF">
              <w:rPr>
                <w:rFonts w:eastAsia="Times New Roman" w:cs="Times New Roman"/>
                <w:color w:val="000000" w:themeColor="text1"/>
                <w:lang w:val="en-GB"/>
              </w:rPr>
              <w:t>Membrane areal Resistance</w:t>
            </w:r>
          </w:p>
        </w:tc>
        <w:tc>
          <w:tcPr>
            <w:tcW w:w="1774" w:type="dxa"/>
            <w:vAlign w:val="center"/>
          </w:tcPr>
          <w:p w14:paraId="2414F761" w14:textId="5AD77C15" w:rsidR="003619CF" w:rsidRPr="009A4F84" w:rsidRDefault="003619CF" w:rsidP="003619CF">
            <w:pPr>
              <w:spacing w:line="240" w:lineRule="auto"/>
              <w:rPr>
                <w:rFonts w:eastAsia="Times New Roman" w:cs="Times New Roman"/>
                <w:b/>
                <w:bCs/>
                <w:color w:val="000000" w:themeColor="text1"/>
                <w:lang w:val="en-GB"/>
              </w:rPr>
            </w:pPr>
            <w:r w:rsidRPr="009A4F84">
              <w:rPr>
                <w:rFonts w:ascii="Calibri" w:eastAsia="Times New Roman" w:hAnsi="Calibri" w:cs="Calibri"/>
                <w:b/>
                <w:bCs/>
                <w:color w:val="000000" w:themeColor="text1"/>
                <w:lang w:val="en-GB"/>
              </w:rPr>
              <w:t>η</w:t>
            </w:r>
            <w:r w:rsidRPr="009A4F84">
              <w:rPr>
                <w:rFonts w:eastAsia="Times New Roman" w:cs="Times New Roman"/>
                <w:b/>
                <w:bCs/>
                <w:color w:val="000000" w:themeColor="text1"/>
                <w:vertAlign w:val="subscript"/>
                <w:lang w:val="en-GB"/>
              </w:rPr>
              <w:t xml:space="preserve">d </w:t>
            </w:r>
            <w:r w:rsidRPr="009A4F84">
              <w:rPr>
                <w:rFonts w:eastAsia="Times New Roman" w:cs="Times New Roman"/>
                <w:b/>
                <w:bCs/>
                <w:color w:val="000000" w:themeColor="text1"/>
                <w:lang w:val="en-GB"/>
              </w:rPr>
              <w:t>(%)</w:t>
            </w:r>
          </w:p>
        </w:tc>
        <w:tc>
          <w:tcPr>
            <w:tcW w:w="2696" w:type="dxa"/>
            <w:vAlign w:val="center"/>
          </w:tcPr>
          <w:p w14:paraId="5363128A" w14:textId="3DAFEA53" w:rsidR="003619CF" w:rsidRPr="009A4F84" w:rsidRDefault="003619CF" w:rsidP="003619CF">
            <w:pPr>
              <w:spacing w:line="240" w:lineRule="auto"/>
              <w:rPr>
                <w:rFonts w:eastAsia="Times New Roman" w:cs="Times New Roman"/>
                <w:color w:val="000000" w:themeColor="text1"/>
                <w:lang w:val="en-GB"/>
              </w:rPr>
            </w:pPr>
            <w:r w:rsidRPr="009A4F84">
              <w:rPr>
                <w:rFonts w:eastAsia="Times New Roman" w:cs="Times New Roman"/>
                <w:color w:val="000000" w:themeColor="text1"/>
                <w:lang w:val="en-GB"/>
              </w:rPr>
              <w:t>Discharge Efficiency</w:t>
            </w:r>
          </w:p>
        </w:tc>
      </w:tr>
      <w:tr w:rsidR="003619CF" w:rsidRPr="009A4F84" w14:paraId="3B667432" w14:textId="77777777" w:rsidTr="006B6F3A">
        <w:trPr>
          <w:trHeight w:val="482"/>
        </w:trPr>
        <w:tc>
          <w:tcPr>
            <w:tcW w:w="2035" w:type="dxa"/>
            <w:vAlign w:val="center"/>
          </w:tcPr>
          <w:p w14:paraId="7A6C3B69" w14:textId="4A4A3A98" w:rsidR="003619CF" w:rsidRPr="009A4F84" w:rsidRDefault="003619CF" w:rsidP="003619CF">
            <w:pPr>
              <w:spacing w:line="240" w:lineRule="auto"/>
              <w:rPr>
                <w:rFonts w:eastAsia="Times New Roman" w:cs="Times New Roman"/>
                <w:b/>
                <w:bCs/>
                <w:color w:val="000000" w:themeColor="text1"/>
                <w:lang w:val="en-GB"/>
              </w:rPr>
            </w:pPr>
            <w:r w:rsidRPr="003619CF">
              <w:rPr>
                <w:rFonts w:eastAsia="Times New Roman" w:cs="Times New Roman"/>
                <w:b/>
                <w:bCs/>
                <w:color w:val="000000" w:themeColor="text1"/>
                <w:lang w:val="en-GB"/>
              </w:rPr>
              <w:t>R</w:t>
            </w:r>
            <w:r w:rsidRPr="003619CF">
              <w:rPr>
                <w:rFonts w:eastAsia="Times New Roman" w:cs="Times New Roman"/>
                <w:b/>
                <w:bCs/>
                <w:color w:val="000000" w:themeColor="text1"/>
                <w:vertAlign w:val="superscript"/>
                <w:lang w:val="en-GB"/>
              </w:rPr>
              <w:t>*</w:t>
            </w:r>
            <w:r w:rsidRPr="003619CF">
              <w:rPr>
                <w:rFonts w:eastAsia="Times New Roman" w:cs="Times New Roman"/>
                <w:b/>
                <w:bCs/>
                <w:color w:val="000000" w:themeColor="text1"/>
                <w:vertAlign w:val="subscript"/>
                <w:lang w:val="en-GB"/>
              </w:rPr>
              <w:t xml:space="preserve">m </w:t>
            </w:r>
            <w:r w:rsidRPr="003619CF">
              <w:rPr>
                <w:rFonts w:eastAsia="Times New Roman" w:cs="Times New Roman"/>
                <w:b/>
                <w:bCs/>
                <w:color w:val="000000" w:themeColor="text1"/>
                <w:lang w:val="en-GB"/>
              </w:rPr>
              <w:t>(</w:t>
            </w:r>
            <w:r w:rsidRPr="009A4F84">
              <w:rPr>
                <w:rFonts w:ascii="Calibri" w:eastAsia="Times New Roman" w:hAnsi="Calibri" w:cs="Calibri"/>
                <w:b/>
                <w:bCs/>
                <w:color w:val="000000" w:themeColor="text1"/>
                <w:lang w:val="en-GB"/>
              </w:rPr>
              <w:t>Ω</w:t>
            </w:r>
            <w:r w:rsidRPr="003619CF">
              <w:rPr>
                <w:rFonts w:ascii="Calibri" w:eastAsia="Times New Roman" w:hAnsi="Calibri" w:cs="Calibri"/>
                <w:b/>
                <w:bCs/>
                <w:color w:val="000000" w:themeColor="text1"/>
                <w:lang w:val="en-GB"/>
              </w:rPr>
              <w:t xml:space="preserve"> cm</w:t>
            </w:r>
            <w:r w:rsidRPr="003619CF">
              <w:rPr>
                <w:rFonts w:ascii="Calibri" w:eastAsia="Times New Roman" w:hAnsi="Calibri" w:cs="Calibri"/>
                <w:b/>
                <w:bCs/>
                <w:color w:val="000000" w:themeColor="text1"/>
                <w:vertAlign w:val="superscript"/>
                <w:lang w:val="en-GB"/>
              </w:rPr>
              <w:t>2</w:t>
            </w:r>
            <w:r w:rsidRPr="003619CF">
              <w:rPr>
                <w:rFonts w:ascii="Calibri" w:eastAsia="Times New Roman" w:hAnsi="Calibri" w:cs="Calibri"/>
                <w:b/>
                <w:bCs/>
                <w:color w:val="000000" w:themeColor="text1"/>
                <w:lang w:val="en-GB"/>
              </w:rPr>
              <w:t>)</w:t>
            </w:r>
          </w:p>
        </w:tc>
        <w:tc>
          <w:tcPr>
            <w:tcW w:w="3347" w:type="dxa"/>
            <w:vAlign w:val="center"/>
          </w:tcPr>
          <w:p w14:paraId="253032C4" w14:textId="035CE523" w:rsidR="003619CF" w:rsidRPr="009A4F84" w:rsidRDefault="003619CF" w:rsidP="003619CF">
            <w:pPr>
              <w:spacing w:line="240" w:lineRule="auto"/>
              <w:rPr>
                <w:rFonts w:eastAsia="Times New Roman" w:cs="Times New Roman"/>
                <w:color w:val="000000" w:themeColor="text1"/>
                <w:lang w:val="en-GB"/>
              </w:rPr>
            </w:pPr>
            <w:r w:rsidRPr="003619CF">
              <w:rPr>
                <w:rFonts w:eastAsia="Times New Roman" w:cs="Times New Roman"/>
                <w:color w:val="000000" w:themeColor="text1"/>
                <w:lang w:val="en-GB"/>
              </w:rPr>
              <w:t>Starting membrane areal Resistance</w:t>
            </w:r>
          </w:p>
        </w:tc>
        <w:tc>
          <w:tcPr>
            <w:tcW w:w="1774" w:type="dxa"/>
            <w:vAlign w:val="center"/>
          </w:tcPr>
          <w:p w14:paraId="45185A5A" w14:textId="0B5FC659" w:rsidR="003619CF" w:rsidRPr="009A4F84" w:rsidRDefault="003619CF" w:rsidP="003619CF">
            <w:pPr>
              <w:spacing w:line="240" w:lineRule="auto"/>
              <w:rPr>
                <w:rFonts w:eastAsia="Times New Roman" w:cs="Times New Roman"/>
                <w:b/>
                <w:bCs/>
                <w:color w:val="000000" w:themeColor="text1"/>
                <w:lang w:val="en-GB"/>
              </w:rPr>
            </w:pPr>
          </w:p>
        </w:tc>
        <w:tc>
          <w:tcPr>
            <w:tcW w:w="2696" w:type="dxa"/>
            <w:vAlign w:val="center"/>
          </w:tcPr>
          <w:p w14:paraId="524EFDAB" w14:textId="2278B260" w:rsidR="003619CF" w:rsidRPr="009A4F84" w:rsidRDefault="003619CF" w:rsidP="003619CF">
            <w:pPr>
              <w:spacing w:line="240" w:lineRule="auto"/>
              <w:rPr>
                <w:rFonts w:eastAsia="Times New Roman" w:cs="Times New Roman"/>
                <w:color w:val="000000" w:themeColor="text1"/>
                <w:lang w:val="en-GB"/>
              </w:rPr>
            </w:pPr>
          </w:p>
        </w:tc>
      </w:tr>
    </w:tbl>
    <w:p w14:paraId="5B7B3968" w14:textId="77777777" w:rsidR="00A97096" w:rsidRDefault="00A97096" w:rsidP="003D6BB5">
      <w:pPr>
        <w:jc w:val="both"/>
        <w:rPr>
          <w:color w:val="000000"/>
        </w:rPr>
      </w:pPr>
    </w:p>
    <w:tbl>
      <w:tblPr>
        <w:tblStyle w:val="Grigliatabella"/>
        <w:tblW w:w="9852" w:type="dxa"/>
        <w:tblBorders>
          <w:insideH w:val="none" w:sz="0" w:space="0" w:color="auto"/>
          <w:insideV w:val="none" w:sz="0" w:space="0" w:color="auto"/>
        </w:tblBorders>
        <w:tblLayout w:type="fixed"/>
        <w:tblLook w:val="04A0" w:firstRow="1" w:lastRow="0" w:firstColumn="1" w:lastColumn="0" w:noHBand="0" w:noVBand="1"/>
      </w:tblPr>
      <w:tblGrid>
        <w:gridCol w:w="801"/>
        <w:gridCol w:w="3963"/>
        <w:gridCol w:w="1488"/>
        <w:gridCol w:w="3600"/>
      </w:tblGrid>
      <w:tr w:rsidR="00A97771" w:rsidRPr="00A97771" w14:paraId="2F265B90" w14:textId="77777777" w:rsidTr="006B6F3A">
        <w:trPr>
          <w:trHeight w:val="526"/>
        </w:trPr>
        <w:tc>
          <w:tcPr>
            <w:tcW w:w="9852" w:type="dxa"/>
            <w:gridSpan w:val="4"/>
            <w:tcBorders>
              <w:top w:val="single" w:sz="4" w:space="0" w:color="auto"/>
            </w:tcBorders>
            <w:vAlign w:val="center"/>
          </w:tcPr>
          <w:p w14:paraId="4CD554E3" w14:textId="77777777" w:rsidR="00A97771" w:rsidRPr="00A97771" w:rsidRDefault="00A97771" w:rsidP="00A97771">
            <w:pPr>
              <w:spacing w:line="240" w:lineRule="auto"/>
              <w:rPr>
                <w:rFonts w:eastAsia="Times New Roman" w:cs="Times New Roman"/>
                <w:i/>
                <w:iCs/>
                <w:lang w:val="en-GB"/>
              </w:rPr>
            </w:pPr>
            <w:r w:rsidRPr="00A97771">
              <w:rPr>
                <w:rFonts w:eastAsia="Times New Roman" w:cs="Times New Roman"/>
                <w:i/>
                <w:iCs/>
                <w:lang w:val="en-GB"/>
              </w:rPr>
              <w:t>Subscript</w:t>
            </w:r>
          </w:p>
        </w:tc>
      </w:tr>
      <w:tr w:rsidR="00441BC8" w:rsidRPr="00A97771" w14:paraId="4D6D2387" w14:textId="77777777" w:rsidTr="006B6F3A">
        <w:trPr>
          <w:trHeight w:val="526"/>
        </w:trPr>
        <w:tc>
          <w:tcPr>
            <w:tcW w:w="801" w:type="dxa"/>
            <w:vAlign w:val="center"/>
          </w:tcPr>
          <w:p w14:paraId="6D9367A5" w14:textId="77777777" w:rsidR="00441BC8" w:rsidRPr="00A97771" w:rsidRDefault="00441BC8" w:rsidP="00441BC8">
            <w:pPr>
              <w:spacing w:line="240" w:lineRule="auto"/>
              <w:rPr>
                <w:rFonts w:eastAsia="Times New Roman" w:cs="Times New Roman"/>
                <w:b/>
                <w:bCs/>
                <w:lang w:val="en-GB"/>
              </w:rPr>
            </w:pPr>
            <w:r w:rsidRPr="00A97771">
              <w:rPr>
                <w:rFonts w:eastAsia="Times New Roman" w:cs="Times New Roman"/>
                <w:b/>
                <w:bCs/>
                <w:lang w:val="en-GB"/>
              </w:rPr>
              <w:t>c</w:t>
            </w:r>
          </w:p>
        </w:tc>
        <w:tc>
          <w:tcPr>
            <w:tcW w:w="3963" w:type="dxa"/>
            <w:vAlign w:val="center"/>
          </w:tcPr>
          <w:p w14:paraId="4AFC17F5" w14:textId="77777777" w:rsidR="00441BC8" w:rsidRPr="00A97771" w:rsidRDefault="00441BC8" w:rsidP="00441BC8">
            <w:pPr>
              <w:spacing w:line="240" w:lineRule="auto"/>
              <w:rPr>
                <w:rFonts w:eastAsia="Times New Roman" w:cs="Times New Roman"/>
                <w:lang w:val="en-GB"/>
              </w:rPr>
            </w:pPr>
            <w:r w:rsidRPr="00A97771">
              <w:rPr>
                <w:rFonts w:eastAsia="Times New Roman" w:cs="Times New Roman"/>
                <w:lang w:val="en-GB"/>
              </w:rPr>
              <w:t xml:space="preserve">Charging phase  </w:t>
            </w:r>
          </w:p>
        </w:tc>
        <w:tc>
          <w:tcPr>
            <w:tcW w:w="1488" w:type="dxa"/>
            <w:vAlign w:val="center"/>
          </w:tcPr>
          <w:p w14:paraId="442FE4F3" w14:textId="4AD82F56" w:rsidR="00441BC8" w:rsidRPr="00A97771" w:rsidRDefault="00441BC8" w:rsidP="00441BC8">
            <w:pPr>
              <w:spacing w:line="240" w:lineRule="auto"/>
              <w:rPr>
                <w:rFonts w:eastAsia="Times New Roman" w:cs="Times New Roman"/>
                <w:b/>
                <w:bCs/>
                <w:lang w:val="en-GB"/>
              </w:rPr>
            </w:pPr>
            <w:r w:rsidRPr="00A97771">
              <w:rPr>
                <w:rFonts w:eastAsia="Times New Roman" w:cs="Times New Roman"/>
                <w:b/>
                <w:bCs/>
                <w:lang w:val="en-GB"/>
              </w:rPr>
              <w:t>fin</w:t>
            </w:r>
          </w:p>
        </w:tc>
        <w:tc>
          <w:tcPr>
            <w:tcW w:w="3600" w:type="dxa"/>
            <w:vAlign w:val="center"/>
          </w:tcPr>
          <w:p w14:paraId="7C6F1B09" w14:textId="3518651A" w:rsidR="00441BC8" w:rsidRPr="00A97771" w:rsidRDefault="00441BC8" w:rsidP="00441BC8">
            <w:pPr>
              <w:spacing w:line="240" w:lineRule="auto"/>
              <w:rPr>
                <w:rFonts w:eastAsia="Times New Roman" w:cs="Times New Roman"/>
                <w:lang w:val="en-GB"/>
              </w:rPr>
            </w:pPr>
            <w:r w:rsidRPr="00A97771">
              <w:rPr>
                <w:rFonts w:eastAsia="Times New Roman" w:cs="Times New Roman"/>
                <w:lang w:val="en-GB"/>
              </w:rPr>
              <w:t>At the end of the phase</w:t>
            </w:r>
          </w:p>
        </w:tc>
      </w:tr>
      <w:tr w:rsidR="00441BC8" w:rsidRPr="00A97771" w14:paraId="4CA4E091" w14:textId="77777777" w:rsidTr="006B6F3A">
        <w:trPr>
          <w:trHeight w:val="526"/>
        </w:trPr>
        <w:tc>
          <w:tcPr>
            <w:tcW w:w="801" w:type="dxa"/>
            <w:vAlign w:val="center"/>
          </w:tcPr>
          <w:p w14:paraId="6EF8C43D" w14:textId="77777777" w:rsidR="00441BC8" w:rsidRPr="00A97771" w:rsidRDefault="00441BC8" w:rsidP="00441BC8">
            <w:pPr>
              <w:spacing w:line="240" w:lineRule="auto"/>
              <w:rPr>
                <w:rFonts w:eastAsia="Times New Roman" w:cs="Times New Roman"/>
                <w:b/>
                <w:bCs/>
                <w:lang w:val="en-GB"/>
              </w:rPr>
            </w:pPr>
            <w:r w:rsidRPr="00A97771">
              <w:rPr>
                <w:rFonts w:eastAsia="Times New Roman" w:cs="Times New Roman"/>
                <w:b/>
                <w:bCs/>
                <w:lang w:val="en-GB"/>
              </w:rPr>
              <w:t>d</w:t>
            </w:r>
          </w:p>
        </w:tc>
        <w:tc>
          <w:tcPr>
            <w:tcW w:w="3963" w:type="dxa"/>
            <w:vAlign w:val="center"/>
          </w:tcPr>
          <w:p w14:paraId="588D3BF7" w14:textId="77777777" w:rsidR="00441BC8" w:rsidRPr="00A97771" w:rsidRDefault="00441BC8" w:rsidP="00441BC8">
            <w:pPr>
              <w:spacing w:line="240" w:lineRule="auto"/>
              <w:rPr>
                <w:rFonts w:eastAsia="Times New Roman" w:cs="Times New Roman"/>
                <w:lang w:val="en-GB"/>
              </w:rPr>
            </w:pPr>
            <w:r w:rsidRPr="00A97771">
              <w:rPr>
                <w:rFonts w:eastAsia="Times New Roman" w:cs="Times New Roman"/>
                <w:lang w:val="en-GB"/>
              </w:rPr>
              <w:t>Discharging phase</w:t>
            </w:r>
          </w:p>
        </w:tc>
        <w:tc>
          <w:tcPr>
            <w:tcW w:w="1488" w:type="dxa"/>
            <w:vAlign w:val="center"/>
          </w:tcPr>
          <w:p w14:paraId="3D424A79" w14:textId="7622E7DF" w:rsidR="00441BC8" w:rsidRPr="00A97771" w:rsidRDefault="00441BC8" w:rsidP="00441BC8">
            <w:pPr>
              <w:spacing w:line="240" w:lineRule="auto"/>
              <w:rPr>
                <w:rFonts w:eastAsia="Times New Roman" w:cs="Times New Roman"/>
                <w:b/>
                <w:bCs/>
                <w:lang w:val="en-GB"/>
              </w:rPr>
            </w:pPr>
            <w:r w:rsidRPr="00A97771">
              <w:rPr>
                <w:rFonts w:eastAsia="Times New Roman" w:cs="Times New Roman"/>
                <w:b/>
                <w:bCs/>
                <w:lang w:val="en-GB"/>
              </w:rPr>
              <w:t>in</w:t>
            </w:r>
          </w:p>
        </w:tc>
        <w:tc>
          <w:tcPr>
            <w:tcW w:w="3600" w:type="dxa"/>
            <w:vAlign w:val="center"/>
          </w:tcPr>
          <w:p w14:paraId="332FD255" w14:textId="34264A74" w:rsidR="00441BC8" w:rsidRPr="00A97771" w:rsidRDefault="00441BC8" w:rsidP="00441BC8">
            <w:pPr>
              <w:spacing w:line="240" w:lineRule="auto"/>
              <w:rPr>
                <w:rFonts w:eastAsia="Times New Roman" w:cs="Times New Roman"/>
                <w:lang w:val="en-GB"/>
              </w:rPr>
            </w:pPr>
            <w:r w:rsidRPr="00A97771">
              <w:rPr>
                <w:rFonts w:eastAsia="Times New Roman" w:cs="Times New Roman"/>
                <w:lang w:val="en-GB"/>
              </w:rPr>
              <w:t>At the beginning of the phase</w:t>
            </w:r>
          </w:p>
        </w:tc>
      </w:tr>
    </w:tbl>
    <w:p w14:paraId="3C9585B3" w14:textId="77777777" w:rsidR="00A45007" w:rsidRDefault="00A45007" w:rsidP="003D6BB5">
      <w:pPr>
        <w:jc w:val="both"/>
        <w:rPr>
          <w:color w:val="000000"/>
        </w:rPr>
      </w:pPr>
    </w:p>
    <w:sdt>
      <w:sdtPr>
        <w:rPr>
          <w:rFonts w:eastAsiaTheme="minorHAnsi" w:cstheme="minorBidi"/>
          <w:b w:val="0"/>
          <w:bCs w:val="0"/>
          <w:szCs w:val="22"/>
          <w:lang w:val="it-IT" w:eastAsia="en-US"/>
        </w:rPr>
        <w:id w:val="-639881327"/>
        <w:docPartObj>
          <w:docPartGallery w:val="Bibliographies"/>
          <w:docPartUnique/>
        </w:docPartObj>
      </w:sdtPr>
      <w:sdtEndPr>
        <w:rPr>
          <w:lang w:val="en-US"/>
        </w:rPr>
      </w:sdtEndPr>
      <w:sdtContent>
        <w:p w14:paraId="3716F10C" w14:textId="386FB312" w:rsidR="00A97096" w:rsidRPr="00980D12" w:rsidRDefault="00DD3928" w:rsidP="00DD3928">
          <w:pPr>
            <w:pStyle w:val="Titolo1"/>
            <w:numPr>
              <w:ilvl w:val="0"/>
              <w:numId w:val="0"/>
            </w:numPr>
            <w:ind w:left="432" w:hanging="432"/>
            <w:rPr>
              <w:lang w:val="it-IT"/>
            </w:rPr>
          </w:pPr>
          <w:r w:rsidRPr="00980D12">
            <w:rPr>
              <w:lang w:val="it-IT"/>
            </w:rPr>
            <w:t>References</w:t>
          </w:r>
        </w:p>
        <w:sdt>
          <w:sdtPr>
            <w:tag w:val="MENDELEY_BIBLIOGRAPHY"/>
            <w:id w:val="771814457"/>
            <w:placeholder>
              <w:docPart w:val="DefaultPlaceholder_-1854013440"/>
            </w:placeholder>
          </w:sdtPr>
          <w:sdtEndPr/>
          <w:sdtContent>
            <w:p w14:paraId="650EA3C0" w14:textId="77777777" w:rsidR="00D9047D" w:rsidRDefault="00D9047D">
              <w:pPr>
                <w:autoSpaceDE w:val="0"/>
                <w:autoSpaceDN w:val="0"/>
                <w:ind w:hanging="480"/>
                <w:divId w:val="2077429690"/>
                <w:rPr>
                  <w:rFonts w:eastAsia="Times New Roman"/>
                  <w:szCs w:val="24"/>
                </w:rPr>
              </w:pPr>
              <w:r w:rsidRPr="00D9047D">
                <w:rPr>
                  <w:rFonts w:eastAsia="Times New Roman"/>
                  <w:lang w:val="it-IT"/>
                </w:rPr>
                <w:t xml:space="preserve">Culcasi, A., Gurreri, L., Tamburini, A., Cipollina, A., Bogle, I.D.L., Micale, G., 2023. </w:t>
              </w:r>
              <w:r>
                <w:rPr>
                  <w:rFonts w:eastAsia="Times New Roman"/>
                </w:rPr>
                <w:t>Improving efficiency and discharge power of acid-base flow battery via a bi-objective optimisation. J Energy Storage 66, 107429. https://doi.org/10.1016/j.est.2023.107429</w:t>
              </w:r>
            </w:p>
            <w:p w14:paraId="7DACF65B" w14:textId="77777777" w:rsidR="00D9047D" w:rsidRDefault="00D9047D">
              <w:pPr>
                <w:autoSpaceDE w:val="0"/>
                <w:autoSpaceDN w:val="0"/>
                <w:ind w:hanging="480"/>
                <w:divId w:val="1645239215"/>
                <w:rPr>
                  <w:rFonts w:eastAsia="Times New Roman"/>
                </w:rPr>
              </w:pPr>
              <w:r>
                <w:rPr>
                  <w:rFonts w:eastAsia="Times New Roman"/>
                </w:rPr>
                <w:t>FUMATECH BWT GmbH, n.d. Technical Data Sheet - fumasep® FBM [WWW Document].</w:t>
              </w:r>
            </w:p>
            <w:p w14:paraId="6F73F9B1" w14:textId="77777777" w:rsidR="00D9047D" w:rsidRDefault="00D9047D">
              <w:pPr>
                <w:autoSpaceDE w:val="0"/>
                <w:autoSpaceDN w:val="0"/>
                <w:ind w:hanging="480"/>
                <w:divId w:val="2100370422"/>
                <w:rPr>
                  <w:rFonts w:eastAsia="Times New Roman"/>
                </w:rPr>
              </w:pPr>
              <w:r>
                <w:rPr>
                  <w:rFonts w:eastAsia="Times New Roman"/>
                </w:rPr>
                <w:t>Strathmann, H., Krol, J.J., Rapp, H.-J., Eigenberger, G., 1997. Limiting current density and water dissociation in bipolar membranes. J Memb Sci 125, 123–142.</w:t>
              </w:r>
            </w:p>
            <w:p w14:paraId="062A1AC7" w14:textId="4F3EE639" w:rsidR="00A97096" w:rsidRPr="00E36874" w:rsidRDefault="00D9047D">
              <w:pPr>
                <w:rPr>
                  <w:lang w:val="it-IT"/>
                </w:rPr>
              </w:pPr>
              <w:r>
                <w:rPr>
                  <w:rFonts w:eastAsia="Times New Roman"/>
                </w:rPr>
                <w:t> </w:t>
              </w:r>
            </w:p>
          </w:sdtContent>
        </w:sdt>
      </w:sdtContent>
    </w:sdt>
    <w:p w14:paraId="5BDC6108" w14:textId="77777777" w:rsidR="00A97096" w:rsidRPr="00E36874" w:rsidRDefault="00A97096" w:rsidP="003D6BB5">
      <w:pPr>
        <w:jc w:val="both"/>
        <w:rPr>
          <w:color w:val="000000"/>
          <w:lang w:val="it-IT"/>
        </w:rPr>
      </w:pPr>
    </w:p>
    <w:p w14:paraId="2FD0C2DB" w14:textId="77777777" w:rsidR="00211485" w:rsidRPr="00E36874" w:rsidRDefault="00211485" w:rsidP="003D6BB5">
      <w:pPr>
        <w:jc w:val="both"/>
        <w:rPr>
          <w:lang w:val="it-IT"/>
        </w:rPr>
      </w:pPr>
    </w:p>
    <w:sectPr w:rsidR="00211485" w:rsidRPr="00E36874">
      <w:pgSz w:w="12240" w:h="15840"/>
      <w:pgMar w:top="1417"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75711"/>
    <w:multiLevelType w:val="multilevel"/>
    <w:tmpl w:val="0A4E9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2B491C"/>
    <w:multiLevelType w:val="multilevel"/>
    <w:tmpl w:val="7B18BB92"/>
    <w:lvl w:ilvl="0">
      <w:start w:val="1"/>
      <w:numFmt w:val="decimal"/>
      <w:pStyle w:val="Titolo1"/>
      <w:lvlText w:val="%1"/>
      <w:lvlJc w:val="left"/>
      <w:pPr>
        <w:ind w:left="432" w:hanging="432"/>
      </w:pPr>
    </w:lvl>
    <w:lvl w:ilvl="1">
      <w:start w:val="1"/>
      <w:numFmt w:val="decimal"/>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 w15:restartNumberingAfterBreak="0">
    <w:nsid w:val="25C47E15"/>
    <w:multiLevelType w:val="hybridMultilevel"/>
    <w:tmpl w:val="A1CA49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546285"/>
    <w:multiLevelType w:val="multilevel"/>
    <w:tmpl w:val="F7FC2D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95D0584"/>
    <w:multiLevelType w:val="hybridMultilevel"/>
    <w:tmpl w:val="ACF6C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1550A3"/>
    <w:multiLevelType w:val="hybridMultilevel"/>
    <w:tmpl w:val="9D12367E"/>
    <w:lvl w:ilvl="0" w:tplc="53A089DC">
      <w:start w:val="1"/>
      <w:numFmt w:val="decimal"/>
      <w:pStyle w:val="Titolo2Supplementary"/>
      <w:lvlText w:val="S.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09F5632"/>
    <w:multiLevelType w:val="hybridMultilevel"/>
    <w:tmpl w:val="B9766F98"/>
    <w:lvl w:ilvl="0" w:tplc="94EA642E">
      <w:start w:val="1"/>
      <w:numFmt w:val="decimal"/>
      <w:pStyle w:val="Titolo1Supplementary"/>
      <w:lvlText w:val="S.%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A648D0"/>
    <w:multiLevelType w:val="hybridMultilevel"/>
    <w:tmpl w:val="476ECEE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0066385">
    <w:abstractNumId w:val="2"/>
  </w:num>
  <w:num w:numId="2" w16cid:durableId="1054084967">
    <w:abstractNumId w:val="1"/>
  </w:num>
  <w:num w:numId="3" w16cid:durableId="1311866254">
    <w:abstractNumId w:val="7"/>
  </w:num>
  <w:num w:numId="4" w16cid:durableId="1881163439">
    <w:abstractNumId w:val="4"/>
  </w:num>
  <w:num w:numId="5" w16cid:durableId="1488205560">
    <w:abstractNumId w:val="0"/>
  </w:num>
  <w:num w:numId="6" w16cid:durableId="802767187">
    <w:abstractNumId w:val="3"/>
  </w:num>
  <w:num w:numId="7" w16cid:durableId="788594893">
    <w:abstractNumId w:val="6"/>
  </w:num>
  <w:num w:numId="8" w16cid:durableId="54194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zNDM1MDQ2N7AwMTZV0lEKTi0uzszPAykwNK0FAHB7jiotAAAA"/>
  </w:docVars>
  <w:rsids>
    <w:rsidRoot w:val="000220FA"/>
    <w:rsid w:val="0001290C"/>
    <w:rsid w:val="00016F72"/>
    <w:rsid w:val="000220FA"/>
    <w:rsid w:val="00031410"/>
    <w:rsid w:val="000355D7"/>
    <w:rsid w:val="000579B6"/>
    <w:rsid w:val="00066372"/>
    <w:rsid w:val="00066663"/>
    <w:rsid w:val="00071D1F"/>
    <w:rsid w:val="00077413"/>
    <w:rsid w:val="000932E8"/>
    <w:rsid w:val="000A10D6"/>
    <w:rsid w:val="000C6A7A"/>
    <w:rsid w:val="000E7B57"/>
    <w:rsid w:val="00103B2E"/>
    <w:rsid w:val="00121F0C"/>
    <w:rsid w:val="001264EF"/>
    <w:rsid w:val="00140528"/>
    <w:rsid w:val="00141131"/>
    <w:rsid w:val="0014443D"/>
    <w:rsid w:val="00146069"/>
    <w:rsid w:val="001651CB"/>
    <w:rsid w:val="00170331"/>
    <w:rsid w:val="00170A44"/>
    <w:rsid w:val="0017635B"/>
    <w:rsid w:val="00190AF3"/>
    <w:rsid w:val="0019223A"/>
    <w:rsid w:val="00195EDF"/>
    <w:rsid w:val="00197441"/>
    <w:rsid w:val="001B06F7"/>
    <w:rsid w:val="001C557D"/>
    <w:rsid w:val="001D362C"/>
    <w:rsid w:val="001F0C45"/>
    <w:rsid w:val="00211485"/>
    <w:rsid w:val="00213E3F"/>
    <w:rsid w:val="002246FE"/>
    <w:rsid w:val="00237342"/>
    <w:rsid w:val="00242299"/>
    <w:rsid w:val="00245468"/>
    <w:rsid w:val="00263FE2"/>
    <w:rsid w:val="00265450"/>
    <w:rsid w:val="002727FF"/>
    <w:rsid w:val="00277A95"/>
    <w:rsid w:val="00291132"/>
    <w:rsid w:val="002A13D1"/>
    <w:rsid w:val="002B2DDB"/>
    <w:rsid w:val="002B36A7"/>
    <w:rsid w:val="002B750A"/>
    <w:rsid w:val="002C45B4"/>
    <w:rsid w:val="002D32D4"/>
    <w:rsid w:val="002D37C0"/>
    <w:rsid w:val="002E6B83"/>
    <w:rsid w:val="002F252A"/>
    <w:rsid w:val="002F3C78"/>
    <w:rsid w:val="00305C29"/>
    <w:rsid w:val="003172B2"/>
    <w:rsid w:val="00322B5C"/>
    <w:rsid w:val="00336595"/>
    <w:rsid w:val="00336643"/>
    <w:rsid w:val="00337940"/>
    <w:rsid w:val="003551B9"/>
    <w:rsid w:val="003619CF"/>
    <w:rsid w:val="003959DB"/>
    <w:rsid w:val="003D6BB5"/>
    <w:rsid w:val="003E3B56"/>
    <w:rsid w:val="004108C5"/>
    <w:rsid w:val="004309AE"/>
    <w:rsid w:val="00441BC8"/>
    <w:rsid w:val="0048271D"/>
    <w:rsid w:val="00485903"/>
    <w:rsid w:val="00486995"/>
    <w:rsid w:val="00491379"/>
    <w:rsid w:val="004A123E"/>
    <w:rsid w:val="004A3AF6"/>
    <w:rsid w:val="004A435C"/>
    <w:rsid w:val="004A7BF0"/>
    <w:rsid w:val="004B01CF"/>
    <w:rsid w:val="004B55FA"/>
    <w:rsid w:val="004C4B11"/>
    <w:rsid w:val="004E1BFE"/>
    <w:rsid w:val="004F166D"/>
    <w:rsid w:val="004F3B02"/>
    <w:rsid w:val="004F4336"/>
    <w:rsid w:val="00533319"/>
    <w:rsid w:val="0053780A"/>
    <w:rsid w:val="005410C0"/>
    <w:rsid w:val="00550DCC"/>
    <w:rsid w:val="00562ECA"/>
    <w:rsid w:val="005652C7"/>
    <w:rsid w:val="00567514"/>
    <w:rsid w:val="00586AB9"/>
    <w:rsid w:val="005A42FF"/>
    <w:rsid w:val="005B0177"/>
    <w:rsid w:val="005B259A"/>
    <w:rsid w:val="005C086E"/>
    <w:rsid w:val="005C5362"/>
    <w:rsid w:val="005F7BC3"/>
    <w:rsid w:val="0060000A"/>
    <w:rsid w:val="0062272E"/>
    <w:rsid w:val="006250FB"/>
    <w:rsid w:val="00634B6D"/>
    <w:rsid w:val="00635D9C"/>
    <w:rsid w:val="00640A05"/>
    <w:rsid w:val="006577A4"/>
    <w:rsid w:val="0067054D"/>
    <w:rsid w:val="00674CD2"/>
    <w:rsid w:val="00683182"/>
    <w:rsid w:val="006918AB"/>
    <w:rsid w:val="006A0ACC"/>
    <w:rsid w:val="006B20A5"/>
    <w:rsid w:val="006B5134"/>
    <w:rsid w:val="006C404D"/>
    <w:rsid w:val="006D361C"/>
    <w:rsid w:val="006F681E"/>
    <w:rsid w:val="0071780B"/>
    <w:rsid w:val="0072101F"/>
    <w:rsid w:val="00741B8D"/>
    <w:rsid w:val="00744502"/>
    <w:rsid w:val="007457E0"/>
    <w:rsid w:val="00770673"/>
    <w:rsid w:val="0077173E"/>
    <w:rsid w:val="00787908"/>
    <w:rsid w:val="007A2231"/>
    <w:rsid w:val="007A4099"/>
    <w:rsid w:val="007B7A21"/>
    <w:rsid w:val="007C6C69"/>
    <w:rsid w:val="007F0109"/>
    <w:rsid w:val="007F3149"/>
    <w:rsid w:val="007F3AD3"/>
    <w:rsid w:val="00850227"/>
    <w:rsid w:val="0086018C"/>
    <w:rsid w:val="0086130C"/>
    <w:rsid w:val="008976B8"/>
    <w:rsid w:val="008A0F67"/>
    <w:rsid w:val="008B44EF"/>
    <w:rsid w:val="008B4B9F"/>
    <w:rsid w:val="008D16B9"/>
    <w:rsid w:val="008D4BF4"/>
    <w:rsid w:val="008E5271"/>
    <w:rsid w:val="008E52F7"/>
    <w:rsid w:val="00900548"/>
    <w:rsid w:val="0091083E"/>
    <w:rsid w:val="00920E75"/>
    <w:rsid w:val="00937653"/>
    <w:rsid w:val="00960524"/>
    <w:rsid w:val="009627B6"/>
    <w:rsid w:val="00963F93"/>
    <w:rsid w:val="00971DBA"/>
    <w:rsid w:val="0097260E"/>
    <w:rsid w:val="0097722F"/>
    <w:rsid w:val="00980D12"/>
    <w:rsid w:val="0098221E"/>
    <w:rsid w:val="0098724B"/>
    <w:rsid w:val="009920E8"/>
    <w:rsid w:val="009A0776"/>
    <w:rsid w:val="009A2653"/>
    <w:rsid w:val="009A4F84"/>
    <w:rsid w:val="009C795C"/>
    <w:rsid w:val="009E0239"/>
    <w:rsid w:val="009E198A"/>
    <w:rsid w:val="009E3364"/>
    <w:rsid w:val="009E4D2D"/>
    <w:rsid w:val="009F12F4"/>
    <w:rsid w:val="00A1749D"/>
    <w:rsid w:val="00A45007"/>
    <w:rsid w:val="00A468B1"/>
    <w:rsid w:val="00A56753"/>
    <w:rsid w:val="00A57269"/>
    <w:rsid w:val="00A60B5B"/>
    <w:rsid w:val="00A66C39"/>
    <w:rsid w:val="00A709E7"/>
    <w:rsid w:val="00A77E63"/>
    <w:rsid w:val="00A813FD"/>
    <w:rsid w:val="00A93D88"/>
    <w:rsid w:val="00A955D7"/>
    <w:rsid w:val="00A97096"/>
    <w:rsid w:val="00A97771"/>
    <w:rsid w:val="00AA07AA"/>
    <w:rsid w:val="00AA3EA0"/>
    <w:rsid w:val="00AB3B4A"/>
    <w:rsid w:val="00AB3C63"/>
    <w:rsid w:val="00AE2CBF"/>
    <w:rsid w:val="00AE54C0"/>
    <w:rsid w:val="00AE5BF0"/>
    <w:rsid w:val="00AE6474"/>
    <w:rsid w:val="00AF34E0"/>
    <w:rsid w:val="00B02751"/>
    <w:rsid w:val="00B04D13"/>
    <w:rsid w:val="00B065A0"/>
    <w:rsid w:val="00B144D4"/>
    <w:rsid w:val="00B52D07"/>
    <w:rsid w:val="00B571AE"/>
    <w:rsid w:val="00B80037"/>
    <w:rsid w:val="00B85668"/>
    <w:rsid w:val="00B85E48"/>
    <w:rsid w:val="00B91075"/>
    <w:rsid w:val="00BA0437"/>
    <w:rsid w:val="00BA3308"/>
    <w:rsid w:val="00BB2302"/>
    <w:rsid w:val="00BB2EDA"/>
    <w:rsid w:val="00BC68A7"/>
    <w:rsid w:val="00BD3EA7"/>
    <w:rsid w:val="00BF14E0"/>
    <w:rsid w:val="00C016A8"/>
    <w:rsid w:val="00C14F17"/>
    <w:rsid w:val="00C2469E"/>
    <w:rsid w:val="00C44F7F"/>
    <w:rsid w:val="00C6465A"/>
    <w:rsid w:val="00C82E00"/>
    <w:rsid w:val="00C8728A"/>
    <w:rsid w:val="00C93A1D"/>
    <w:rsid w:val="00CA7FD0"/>
    <w:rsid w:val="00CB357F"/>
    <w:rsid w:val="00CB4C81"/>
    <w:rsid w:val="00CB667E"/>
    <w:rsid w:val="00CC3412"/>
    <w:rsid w:val="00CC3EE2"/>
    <w:rsid w:val="00CD00D0"/>
    <w:rsid w:val="00CD2C31"/>
    <w:rsid w:val="00CD4CC1"/>
    <w:rsid w:val="00CE43AB"/>
    <w:rsid w:val="00D224B4"/>
    <w:rsid w:val="00D26A7E"/>
    <w:rsid w:val="00D35DB3"/>
    <w:rsid w:val="00D5713E"/>
    <w:rsid w:val="00D70A41"/>
    <w:rsid w:val="00D72A0B"/>
    <w:rsid w:val="00D9047D"/>
    <w:rsid w:val="00D9338C"/>
    <w:rsid w:val="00DA4510"/>
    <w:rsid w:val="00DB1780"/>
    <w:rsid w:val="00DB4B18"/>
    <w:rsid w:val="00DC1806"/>
    <w:rsid w:val="00DD35D3"/>
    <w:rsid w:val="00DD3928"/>
    <w:rsid w:val="00DD6E30"/>
    <w:rsid w:val="00E069D8"/>
    <w:rsid w:val="00E07968"/>
    <w:rsid w:val="00E36874"/>
    <w:rsid w:val="00E376C8"/>
    <w:rsid w:val="00E4215D"/>
    <w:rsid w:val="00E52B0A"/>
    <w:rsid w:val="00E61250"/>
    <w:rsid w:val="00E752C6"/>
    <w:rsid w:val="00E8668C"/>
    <w:rsid w:val="00EA0B2E"/>
    <w:rsid w:val="00EA1F75"/>
    <w:rsid w:val="00EC354C"/>
    <w:rsid w:val="00EC4893"/>
    <w:rsid w:val="00ED4CB2"/>
    <w:rsid w:val="00EE741F"/>
    <w:rsid w:val="00EE7E04"/>
    <w:rsid w:val="00EF230C"/>
    <w:rsid w:val="00EF2DA5"/>
    <w:rsid w:val="00F2210C"/>
    <w:rsid w:val="00F36857"/>
    <w:rsid w:val="00F37A1B"/>
    <w:rsid w:val="00F46713"/>
    <w:rsid w:val="00F518D9"/>
    <w:rsid w:val="00F61692"/>
    <w:rsid w:val="00F623D9"/>
    <w:rsid w:val="00F628FA"/>
    <w:rsid w:val="00F631AB"/>
    <w:rsid w:val="00F63621"/>
    <w:rsid w:val="00F715E4"/>
    <w:rsid w:val="00F87F42"/>
    <w:rsid w:val="00FB642D"/>
    <w:rsid w:val="00FF4973"/>
    <w:rsid w:val="00FF5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8B0BA1"/>
  <w15:chartTrackingRefBased/>
  <w15:docId w15:val="{3DB752A9-FD5E-49B2-9214-A9D7AC88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0037"/>
    <w:pPr>
      <w:spacing w:after="0" w:line="480" w:lineRule="auto"/>
    </w:pPr>
    <w:rPr>
      <w:rFonts w:ascii="Times New Roman" w:hAnsi="Times New Roman"/>
      <w:sz w:val="24"/>
    </w:rPr>
  </w:style>
  <w:style w:type="paragraph" w:styleId="Titolo1">
    <w:name w:val="heading 1"/>
    <w:basedOn w:val="Normale"/>
    <w:next w:val="Normale"/>
    <w:link w:val="Titolo1Carattere"/>
    <w:uiPriority w:val="9"/>
    <w:qFormat/>
    <w:rsid w:val="000220FA"/>
    <w:pPr>
      <w:keepNext/>
      <w:keepLines/>
      <w:numPr>
        <w:numId w:val="2"/>
      </w:numPr>
      <w:autoSpaceDE w:val="0"/>
      <w:autoSpaceDN w:val="0"/>
      <w:spacing w:before="480" w:after="240" w:line="240" w:lineRule="auto"/>
      <w:outlineLvl w:val="0"/>
    </w:pPr>
    <w:rPr>
      <w:rFonts w:eastAsia="Times New Roman" w:cs="Times New Roman"/>
      <w:b/>
      <w:bCs/>
      <w:szCs w:val="28"/>
      <w:lang w:val="en-GB" w:eastAsia="ja-JP"/>
    </w:rPr>
  </w:style>
  <w:style w:type="paragraph" w:styleId="Titolo2">
    <w:name w:val="heading 2"/>
    <w:basedOn w:val="Normale"/>
    <w:next w:val="Normale"/>
    <w:link w:val="Titolo2Carattere"/>
    <w:qFormat/>
    <w:rsid w:val="000220FA"/>
    <w:pPr>
      <w:keepNext/>
      <w:keepLines/>
      <w:autoSpaceDE w:val="0"/>
      <w:autoSpaceDN w:val="0"/>
      <w:spacing w:before="240" w:after="120" w:line="240" w:lineRule="auto"/>
      <w:jc w:val="both"/>
      <w:outlineLvl w:val="1"/>
    </w:pPr>
    <w:rPr>
      <w:rFonts w:eastAsia="Times New Roman" w:cs="Times New Roman"/>
      <w:b/>
      <w:bCs/>
      <w:szCs w:val="24"/>
      <w:lang w:val="en-GB"/>
    </w:rPr>
  </w:style>
  <w:style w:type="paragraph" w:styleId="Titolo3">
    <w:name w:val="heading 3"/>
    <w:basedOn w:val="Normale"/>
    <w:next w:val="Normale"/>
    <w:link w:val="Titolo3Carattere"/>
    <w:qFormat/>
    <w:rsid w:val="000220FA"/>
    <w:pPr>
      <w:keepNext/>
      <w:numPr>
        <w:ilvl w:val="2"/>
        <w:numId w:val="2"/>
      </w:numPr>
      <w:autoSpaceDE w:val="0"/>
      <w:autoSpaceDN w:val="0"/>
      <w:spacing w:before="240" w:after="60" w:line="240" w:lineRule="auto"/>
      <w:jc w:val="both"/>
      <w:outlineLvl w:val="2"/>
    </w:pPr>
    <w:rPr>
      <w:rFonts w:eastAsia="Times New Roman" w:cs="Times New Roman"/>
      <w:bCs/>
      <w:i/>
      <w:szCs w:val="24"/>
      <w:lang w:val="en-GB"/>
    </w:rPr>
  </w:style>
  <w:style w:type="paragraph" w:styleId="Titolo4">
    <w:name w:val="heading 4"/>
    <w:basedOn w:val="Normale"/>
    <w:next w:val="Normale"/>
    <w:link w:val="Titolo4Carattere"/>
    <w:uiPriority w:val="9"/>
    <w:semiHidden/>
    <w:unhideWhenUsed/>
    <w:qFormat/>
    <w:rsid w:val="000220FA"/>
    <w:pPr>
      <w:keepNext/>
      <w:keepLines/>
      <w:numPr>
        <w:ilvl w:val="3"/>
        <w:numId w:val="2"/>
      </w:numPr>
      <w:autoSpaceDE w:val="0"/>
      <w:autoSpaceDN w:val="0"/>
      <w:spacing w:before="40" w:line="240" w:lineRule="auto"/>
      <w:jc w:val="both"/>
      <w:outlineLvl w:val="3"/>
    </w:pPr>
    <w:rPr>
      <w:rFonts w:asciiTheme="majorHAnsi" w:eastAsiaTheme="majorEastAsia" w:hAnsiTheme="majorHAnsi" w:cstheme="majorBidi"/>
      <w:i/>
      <w:iCs/>
      <w:color w:val="2F5496" w:themeColor="accent1" w:themeShade="BF"/>
      <w:szCs w:val="24"/>
      <w:lang w:val="en-GB"/>
    </w:rPr>
  </w:style>
  <w:style w:type="paragraph" w:styleId="Titolo5">
    <w:name w:val="heading 5"/>
    <w:basedOn w:val="Normale"/>
    <w:next w:val="Normale"/>
    <w:link w:val="Titolo5Carattere"/>
    <w:uiPriority w:val="9"/>
    <w:semiHidden/>
    <w:unhideWhenUsed/>
    <w:qFormat/>
    <w:rsid w:val="000220FA"/>
    <w:pPr>
      <w:keepNext/>
      <w:keepLines/>
      <w:numPr>
        <w:ilvl w:val="4"/>
        <w:numId w:val="2"/>
      </w:numPr>
      <w:autoSpaceDE w:val="0"/>
      <w:autoSpaceDN w:val="0"/>
      <w:spacing w:before="40" w:line="240" w:lineRule="auto"/>
      <w:jc w:val="both"/>
      <w:outlineLvl w:val="4"/>
    </w:pPr>
    <w:rPr>
      <w:rFonts w:asciiTheme="majorHAnsi" w:eastAsiaTheme="majorEastAsia" w:hAnsiTheme="majorHAnsi" w:cstheme="majorBidi"/>
      <w:color w:val="2F5496" w:themeColor="accent1" w:themeShade="BF"/>
      <w:szCs w:val="24"/>
      <w:lang w:val="en-GB"/>
    </w:rPr>
  </w:style>
  <w:style w:type="paragraph" w:styleId="Titolo6">
    <w:name w:val="heading 6"/>
    <w:basedOn w:val="Normale"/>
    <w:next w:val="Normale"/>
    <w:link w:val="Titolo6Carattere"/>
    <w:uiPriority w:val="9"/>
    <w:semiHidden/>
    <w:unhideWhenUsed/>
    <w:qFormat/>
    <w:rsid w:val="000220FA"/>
    <w:pPr>
      <w:keepNext/>
      <w:keepLines/>
      <w:numPr>
        <w:ilvl w:val="5"/>
        <w:numId w:val="2"/>
      </w:numPr>
      <w:autoSpaceDE w:val="0"/>
      <w:autoSpaceDN w:val="0"/>
      <w:spacing w:before="40" w:line="240" w:lineRule="auto"/>
      <w:jc w:val="both"/>
      <w:outlineLvl w:val="5"/>
    </w:pPr>
    <w:rPr>
      <w:rFonts w:asciiTheme="majorHAnsi" w:eastAsiaTheme="majorEastAsia" w:hAnsiTheme="majorHAnsi" w:cstheme="majorBidi"/>
      <w:color w:val="1F3763" w:themeColor="accent1" w:themeShade="7F"/>
      <w:szCs w:val="24"/>
      <w:lang w:val="en-GB"/>
    </w:rPr>
  </w:style>
  <w:style w:type="paragraph" w:styleId="Titolo7">
    <w:name w:val="heading 7"/>
    <w:basedOn w:val="Normale"/>
    <w:next w:val="Normale"/>
    <w:link w:val="Titolo7Carattere"/>
    <w:uiPriority w:val="9"/>
    <w:semiHidden/>
    <w:unhideWhenUsed/>
    <w:qFormat/>
    <w:rsid w:val="000220FA"/>
    <w:pPr>
      <w:keepNext/>
      <w:keepLines/>
      <w:numPr>
        <w:ilvl w:val="6"/>
        <w:numId w:val="2"/>
      </w:numPr>
      <w:autoSpaceDE w:val="0"/>
      <w:autoSpaceDN w:val="0"/>
      <w:spacing w:before="40" w:line="240" w:lineRule="auto"/>
      <w:jc w:val="both"/>
      <w:outlineLvl w:val="6"/>
    </w:pPr>
    <w:rPr>
      <w:rFonts w:asciiTheme="majorHAnsi" w:eastAsiaTheme="majorEastAsia" w:hAnsiTheme="majorHAnsi" w:cstheme="majorBidi"/>
      <w:i/>
      <w:iCs/>
      <w:color w:val="1F3763" w:themeColor="accent1" w:themeShade="7F"/>
      <w:szCs w:val="24"/>
      <w:lang w:val="en-GB"/>
    </w:rPr>
  </w:style>
  <w:style w:type="paragraph" w:styleId="Titolo8">
    <w:name w:val="heading 8"/>
    <w:basedOn w:val="Normale"/>
    <w:next w:val="Normale"/>
    <w:link w:val="Titolo8Carattere"/>
    <w:uiPriority w:val="9"/>
    <w:semiHidden/>
    <w:unhideWhenUsed/>
    <w:qFormat/>
    <w:rsid w:val="000220FA"/>
    <w:pPr>
      <w:keepNext/>
      <w:keepLines/>
      <w:numPr>
        <w:ilvl w:val="7"/>
        <w:numId w:val="2"/>
      </w:numPr>
      <w:autoSpaceDE w:val="0"/>
      <w:autoSpaceDN w:val="0"/>
      <w:spacing w:before="40" w:line="240" w:lineRule="auto"/>
      <w:jc w:val="both"/>
      <w:outlineLvl w:val="7"/>
    </w:pPr>
    <w:rPr>
      <w:rFonts w:asciiTheme="majorHAnsi" w:eastAsiaTheme="majorEastAsia" w:hAnsiTheme="majorHAnsi" w:cstheme="majorBidi"/>
      <w:color w:val="272727" w:themeColor="text1" w:themeTint="D8"/>
      <w:sz w:val="21"/>
      <w:szCs w:val="21"/>
      <w:lang w:val="en-GB"/>
    </w:rPr>
  </w:style>
  <w:style w:type="paragraph" w:styleId="Titolo9">
    <w:name w:val="heading 9"/>
    <w:basedOn w:val="Normale"/>
    <w:next w:val="Normale"/>
    <w:link w:val="Titolo9Carattere"/>
    <w:uiPriority w:val="9"/>
    <w:semiHidden/>
    <w:unhideWhenUsed/>
    <w:qFormat/>
    <w:rsid w:val="000220FA"/>
    <w:pPr>
      <w:keepNext/>
      <w:keepLines/>
      <w:numPr>
        <w:ilvl w:val="8"/>
        <w:numId w:val="2"/>
      </w:numPr>
      <w:autoSpaceDE w:val="0"/>
      <w:autoSpaceDN w:val="0"/>
      <w:spacing w:before="40" w:line="240" w:lineRule="auto"/>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220FA"/>
    <w:rPr>
      <w:rFonts w:ascii="Times New Roman" w:eastAsia="Times New Roman" w:hAnsi="Times New Roman" w:cs="Times New Roman"/>
      <w:b/>
      <w:bCs/>
      <w:sz w:val="24"/>
      <w:szCs w:val="28"/>
      <w:lang w:val="en-GB" w:eastAsia="ja-JP"/>
    </w:rPr>
  </w:style>
  <w:style w:type="character" w:customStyle="1" w:styleId="Titolo2Carattere">
    <w:name w:val="Titolo 2 Carattere"/>
    <w:basedOn w:val="Carpredefinitoparagrafo"/>
    <w:link w:val="Titolo2"/>
    <w:rsid w:val="000220FA"/>
    <w:rPr>
      <w:rFonts w:ascii="Times New Roman" w:eastAsia="Times New Roman" w:hAnsi="Times New Roman" w:cs="Times New Roman"/>
      <w:b/>
      <w:bCs/>
      <w:sz w:val="24"/>
      <w:szCs w:val="24"/>
      <w:lang w:val="en-GB"/>
    </w:rPr>
  </w:style>
  <w:style w:type="character" w:customStyle="1" w:styleId="Titolo3Carattere">
    <w:name w:val="Titolo 3 Carattere"/>
    <w:basedOn w:val="Carpredefinitoparagrafo"/>
    <w:link w:val="Titolo3"/>
    <w:rsid w:val="000220FA"/>
    <w:rPr>
      <w:rFonts w:ascii="Times New Roman" w:eastAsia="Times New Roman" w:hAnsi="Times New Roman" w:cs="Times New Roman"/>
      <w:bCs/>
      <w:i/>
      <w:sz w:val="24"/>
      <w:szCs w:val="24"/>
      <w:lang w:val="en-GB"/>
    </w:rPr>
  </w:style>
  <w:style w:type="character" w:customStyle="1" w:styleId="Titolo4Carattere">
    <w:name w:val="Titolo 4 Carattere"/>
    <w:basedOn w:val="Carpredefinitoparagrafo"/>
    <w:link w:val="Titolo4"/>
    <w:uiPriority w:val="9"/>
    <w:semiHidden/>
    <w:rsid w:val="000220FA"/>
    <w:rPr>
      <w:rFonts w:asciiTheme="majorHAnsi" w:eastAsiaTheme="majorEastAsia" w:hAnsiTheme="majorHAnsi" w:cstheme="majorBidi"/>
      <w:i/>
      <w:iCs/>
      <w:color w:val="2F5496" w:themeColor="accent1" w:themeShade="BF"/>
      <w:sz w:val="24"/>
      <w:szCs w:val="24"/>
      <w:lang w:val="en-GB"/>
    </w:rPr>
  </w:style>
  <w:style w:type="character" w:customStyle="1" w:styleId="Titolo5Carattere">
    <w:name w:val="Titolo 5 Carattere"/>
    <w:basedOn w:val="Carpredefinitoparagrafo"/>
    <w:link w:val="Titolo5"/>
    <w:uiPriority w:val="9"/>
    <w:semiHidden/>
    <w:rsid w:val="000220FA"/>
    <w:rPr>
      <w:rFonts w:asciiTheme="majorHAnsi" w:eastAsiaTheme="majorEastAsia" w:hAnsiTheme="majorHAnsi" w:cstheme="majorBidi"/>
      <w:color w:val="2F5496" w:themeColor="accent1" w:themeShade="BF"/>
      <w:sz w:val="24"/>
      <w:szCs w:val="24"/>
      <w:lang w:val="en-GB"/>
    </w:rPr>
  </w:style>
  <w:style w:type="character" w:customStyle="1" w:styleId="Titolo6Carattere">
    <w:name w:val="Titolo 6 Carattere"/>
    <w:basedOn w:val="Carpredefinitoparagrafo"/>
    <w:link w:val="Titolo6"/>
    <w:uiPriority w:val="9"/>
    <w:semiHidden/>
    <w:rsid w:val="000220FA"/>
    <w:rPr>
      <w:rFonts w:asciiTheme="majorHAnsi" w:eastAsiaTheme="majorEastAsia" w:hAnsiTheme="majorHAnsi" w:cstheme="majorBidi"/>
      <w:color w:val="1F3763" w:themeColor="accent1" w:themeShade="7F"/>
      <w:sz w:val="24"/>
      <w:szCs w:val="24"/>
      <w:lang w:val="en-GB"/>
    </w:rPr>
  </w:style>
  <w:style w:type="character" w:customStyle="1" w:styleId="Titolo7Carattere">
    <w:name w:val="Titolo 7 Carattere"/>
    <w:basedOn w:val="Carpredefinitoparagrafo"/>
    <w:link w:val="Titolo7"/>
    <w:uiPriority w:val="9"/>
    <w:semiHidden/>
    <w:rsid w:val="000220FA"/>
    <w:rPr>
      <w:rFonts w:asciiTheme="majorHAnsi" w:eastAsiaTheme="majorEastAsia" w:hAnsiTheme="majorHAnsi" w:cstheme="majorBidi"/>
      <w:i/>
      <w:iCs/>
      <w:color w:val="1F3763" w:themeColor="accent1" w:themeShade="7F"/>
      <w:sz w:val="24"/>
      <w:szCs w:val="24"/>
      <w:lang w:val="en-GB"/>
    </w:rPr>
  </w:style>
  <w:style w:type="character" w:customStyle="1" w:styleId="Titolo8Carattere">
    <w:name w:val="Titolo 8 Carattere"/>
    <w:basedOn w:val="Carpredefinitoparagrafo"/>
    <w:link w:val="Titolo8"/>
    <w:uiPriority w:val="9"/>
    <w:semiHidden/>
    <w:rsid w:val="000220FA"/>
    <w:rPr>
      <w:rFonts w:asciiTheme="majorHAnsi" w:eastAsiaTheme="majorEastAsia" w:hAnsiTheme="majorHAnsi" w:cstheme="majorBidi"/>
      <w:color w:val="272727" w:themeColor="text1" w:themeTint="D8"/>
      <w:sz w:val="21"/>
      <w:szCs w:val="21"/>
      <w:lang w:val="en-GB"/>
    </w:rPr>
  </w:style>
  <w:style w:type="character" w:customStyle="1" w:styleId="Titolo9Carattere">
    <w:name w:val="Titolo 9 Carattere"/>
    <w:basedOn w:val="Carpredefinitoparagrafo"/>
    <w:link w:val="Titolo9"/>
    <w:uiPriority w:val="9"/>
    <w:semiHidden/>
    <w:rsid w:val="000220FA"/>
    <w:rPr>
      <w:rFonts w:asciiTheme="majorHAnsi" w:eastAsiaTheme="majorEastAsia" w:hAnsiTheme="majorHAnsi" w:cstheme="majorBidi"/>
      <w:i/>
      <w:iCs/>
      <w:color w:val="272727" w:themeColor="text1" w:themeTint="D8"/>
      <w:sz w:val="21"/>
      <w:szCs w:val="21"/>
      <w:lang w:val="en-GB"/>
    </w:rPr>
  </w:style>
  <w:style w:type="table" w:styleId="Grigliatabella">
    <w:name w:val="Table Grid"/>
    <w:basedOn w:val="Tabellanormale"/>
    <w:uiPriority w:val="39"/>
    <w:rsid w:val="00721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B144D4"/>
    <w:rPr>
      <w:color w:val="808080"/>
    </w:rPr>
  </w:style>
  <w:style w:type="paragraph" w:styleId="Didascalia">
    <w:name w:val="caption"/>
    <w:basedOn w:val="Normale"/>
    <w:next w:val="Normale"/>
    <w:uiPriority w:val="35"/>
    <w:unhideWhenUsed/>
    <w:qFormat/>
    <w:rsid w:val="00B144D4"/>
    <w:pPr>
      <w:spacing w:after="200" w:line="240" w:lineRule="auto"/>
    </w:pPr>
    <w:rPr>
      <w:iCs/>
      <w:color w:val="000000" w:themeColor="text1"/>
      <w:szCs w:val="18"/>
    </w:rPr>
  </w:style>
  <w:style w:type="character" w:styleId="Rimandocommento">
    <w:name w:val="annotation reference"/>
    <w:uiPriority w:val="99"/>
    <w:rsid w:val="00066372"/>
    <w:rPr>
      <w:sz w:val="16"/>
      <w:szCs w:val="16"/>
    </w:rPr>
  </w:style>
  <w:style w:type="paragraph" w:styleId="Paragrafoelenco">
    <w:name w:val="List Paragraph"/>
    <w:basedOn w:val="Normale"/>
    <w:uiPriority w:val="34"/>
    <w:qFormat/>
    <w:rsid w:val="00634B6D"/>
    <w:pPr>
      <w:ind w:left="720"/>
      <w:contextualSpacing/>
    </w:pPr>
  </w:style>
  <w:style w:type="paragraph" w:styleId="Testocommento">
    <w:name w:val="annotation text"/>
    <w:basedOn w:val="Normale"/>
    <w:link w:val="TestocommentoCarattere"/>
    <w:uiPriority w:val="99"/>
    <w:unhideWhenUsed/>
    <w:rsid w:val="00AE2CBF"/>
    <w:pPr>
      <w:spacing w:line="240" w:lineRule="auto"/>
    </w:pPr>
    <w:rPr>
      <w:sz w:val="20"/>
      <w:szCs w:val="20"/>
    </w:rPr>
  </w:style>
  <w:style w:type="character" w:customStyle="1" w:styleId="TestocommentoCarattere">
    <w:name w:val="Testo commento Carattere"/>
    <w:basedOn w:val="Carpredefinitoparagrafo"/>
    <w:link w:val="Testocommento"/>
    <w:uiPriority w:val="99"/>
    <w:rsid w:val="00AE2CBF"/>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AE2CBF"/>
    <w:rPr>
      <w:b/>
      <w:bCs/>
    </w:rPr>
  </w:style>
  <w:style w:type="character" w:customStyle="1" w:styleId="SoggettocommentoCarattere">
    <w:name w:val="Soggetto commento Carattere"/>
    <w:basedOn w:val="TestocommentoCarattere"/>
    <w:link w:val="Soggettocommento"/>
    <w:uiPriority w:val="99"/>
    <w:semiHidden/>
    <w:rsid w:val="00AE2CBF"/>
    <w:rPr>
      <w:rFonts w:ascii="Times New Roman" w:hAnsi="Times New Roman"/>
      <w:b/>
      <w:bCs/>
      <w:sz w:val="20"/>
      <w:szCs w:val="20"/>
    </w:rPr>
  </w:style>
  <w:style w:type="paragraph" w:styleId="Revisione">
    <w:name w:val="Revision"/>
    <w:hidden/>
    <w:uiPriority w:val="99"/>
    <w:semiHidden/>
    <w:rsid w:val="00DB1780"/>
    <w:pPr>
      <w:spacing w:after="0" w:line="240" w:lineRule="auto"/>
    </w:pPr>
    <w:rPr>
      <w:rFonts w:ascii="Times New Roman" w:hAnsi="Times New Roman"/>
      <w:sz w:val="24"/>
    </w:rPr>
  </w:style>
  <w:style w:type="paragraph" w:customStyle="1" w:styleId="Titolo1Supplementary">
    <w:name w:val="Titolo 1 Supplementary"/>
    <w:basedOn w:val="Titolo1"/>
    <w:link w:val="Titolo1SupplementaryCarattere"/>
    <w:qFormat/>
    <w:rsid w:val="00CB667E"/>
    <w:pPr>
      <w:numPr>
        <w:numId w:val="7"/>
      </w:numPr>
      <w:ind w:left="0" w:firstLine="0"/>
    </w:pPr>
  </w:style>
  <w:style w:type="paragraph" w:customStyle="1" w:styleId="Titolo2Supplementary">
    <w:name w:val="Titolo 2 Supplementary"/>
    <w:basedOn w:val="Titolo1Supplementary"/>
    <w:link w:val="Titolo2SupplementaryCarattere"/>
    <w:qFormat/>
    <w:rsid w:val="002B36A7"/>
    <w:pPr>
      <w:numPr>
        <w:numId w:val="8"/>
      </w:numPr>
    </w:pPr>
  </w:style>
  <w:style w:type="character" w:customStyle="1" w:styleId="Titolo1SupplementaryCarattere">
    <w:name w:val="Titolo 1 Supplementary Carattere"/>
    <w:basedOn w:val="Titolo2Carattere"/>
    <w:link w:val="Titolo1Supplementary"/>
    <w:rsid w:val="00CB667E"/>
    <w:rPr>
      <w:rFonts w:ascii="Times New Roman" w:eastAsia="Times New Roman" w:hAnsi="Times New Roman" w:cs="Times New Roman"/>
      <w:b/>
      <w:bCs/>
      <w:sz w:val="24"/>
      <w:szCs w:val="28"/>
      <w:lang w:val="en-GB" w:eastAsia="ja-JP"/>
    </w:rPr>
  </w:style>
  <w:style w:type="character" w:customStyle="1" w:styleId="Titolo2SupplementaryCarattere">
    <w:name w:val="Titolo 2 Supplementary Carattere"/>
    <w:basedOn w:val="Titolo1SupplementaryCarattere"/>
    <w:link w:val="Titolo2Supplementary"/>
    <w:rsid w:val="002B36A7"/>
    <w:rPr>
      <w:rFonts w:ascii="Times New Roman" w:eastAsia="Times New Roman" w:hAnsi="Times New Roman" w:cs="Times New Roman"/>
      <w:b/>
      <w:bCs/>
      <w:sz w:val="24"/>
      <w:szCs w:val="28"/>
      <w:lang w:val="en-GB" w:eastAsia="ja-JP"/>
    </w:rPr>
  </w:style>
  <w:style w:type="character" w:styleId="Collegamentoipertestuale">
    <w:name w:val="Hyperlink"/>
    <w:basedOn w:val="Carpredefinitoparagrafo"/>
    <w:uiPriority w:val="99"/>
    <w:unhideWhenUsed/>
    <w:rsid w:val="00CA7FD0"/>
    <w:rPr>
      <w:color w:val="0563C1" w:themeColor="hyperlink"/>
      <w:u w:val="single"/>
    </w:rPr>
  </w:style>
  <w:style w:type="character" w:styleId="Menzionenonrisolta">
    <w:name w:val="Unresolved Mention"/>
    <w:basedOn w:val="Carpredefinitoparagrafo"/>
    <w:uiPriority w:val="99"/>
    <w:semiHidden/>
    <w:unhideWhenUsed/>
    <w:rsid w:val="00CA7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29025">
      <w:bodyDiv w:val="1"/>
      <w:marLeft w:val="0"/>
      <w:marRight w:val="0"/>
      <w:marTop w:val="0"/>
      <w:marBottom w:val="0"/>
      <w:divBdr>
        <w:top w:val="none" w:sz="0" w:space="0" w:color="auto"/>
        <w:left w:val="none" w:sz="0" w:space="0" w:color="auto"/>
        <w:bottom w:val="none" w:sz="0" w:space="0" w:color="auto"/>
        <w:right w:val="none" w:sz="0" w:space="0" w:color="auto"/>
      </w:divBdr>
      <w:divsChild>
        <w:div w:id="1332678020">
          <w:marLeft w:val="640"/>
          <w:marRight w:val="0"/>
          <w:marTop w:val="0"/>
          <w:marBottom w:val="0"/>
          <w:divBdr>
            <w:top w:val="none" w:sz="0" w:space="0" w:color="auto"/>
            <w:left w:val="none" w:sz="0" w:space="0" w:color="auto"/>
            <w:bottom w:val="none" w:sz="0" w:space="0" w:color="auto"/>
            <w:right w:val="none" w:sz="0" w:space="0" w:color="auto"/>
          </w:divBdr>
        </w:div>
        <w:div w:id="352650634">
          <w:marLeft w:val="640"/>
          <w:marRight w:val="0"/>
          <w:marTop w:val="0"/>
          <w:marBottom w:val="0"/>
          <w:divBdr>
            <w:top w:val="none" w:sz="0" w:space="0" w:color="auto"/>
            <w:left w:val="none" w:sz="0" w:space="0" w:color="auto"/>
            <w:bottom w:val="none" w:sz="0" w:space="0" w:color="auto"/>
            <w:right w:val="none" w:sz="0" w:space="0" w:color="auto"/>
          </w:divBdr>
        </w:div>
        <w:div w:id="2028365287">
          <w:marLeft w:val="640"/>
          <w:marRight w:val="0"/>
          <w:marTop w:val="0"/>
          <w:marBottom w:val="0"/>
          <w:divBdr>
            <w:top w:val="none" w:sz="0" w:space="0" w:color="auto"/>
            <w:left w:val="none" w:sz="0" w:space="0" w:color="auto"/>
            <w:bottom w:val="none" w:sz="0" w:space="0" w:color="auto"/>
            <w:right w:val="none" w:sz="0" w:space="0" w:color="auto"/>
          </w:divBdr>
        </w:div>
      </w:divsChild>
    </w:div>
    <w:div w:id="299575222">
      <w:bodyDiv w:val="1"/>
      <w:marLeft w:val="0"/>
      <w:marRight w:val="0"/>
      <w:marTop w:val="0"/>
      <w:marBottom w:val="0"/>
      <w:divBdr>
        <w:top w:val="none" w:sz="0" w:space="0" w:color="auto"/>
        <w:left w:val="none" w:sz="0" w:space="0" w:color="auto"/>
        <w:bottom w:val="none" w:sz="0" w:space="0" w:color="auto"/>
        <w:right w:val="none" w:sz="0" w:space="0" w:color="auto"/>
      </w:divBdr>
      <w:divsChild>
        <w:div w:id="537938869">
          <w:marLeft w:val="640"/>
          <w:marRight w:val="0"/>
          <w:marTop w:val="0"/>
          <w:marBottom w:val="0"/>
          <w:divBdr>
            <w:top w:val="none" w:sz="0" w:space="0" w:color="auto"/>
            <w:left w:val="none" w:sz="0" w:space="0" w:color="auto"/>
            <w:bottom w:val="none" w:sz="0" w:space="0" w:color="auto"/>
            <w:right w:val="none" w:sz="0" w:space="0" w:color="auto"/>
          </w:divBdr>
        </w:div>
        <w:div w:id="1893152001">
          <w:marLeft w:val="640"/>
          <w:marRight w:val="0"/>
          <w:marTop w:val="0"/>
          <w:marBottom w:val="0"/>
          <w:divBdr>
            <w:top w:val="none" w:sz="0" w:space="0" w:color="auto"/>
            <w:left w:val="none" w:sz="0" w:space="0" w:color="auto"/>
            <w:bottom w:val="none" w:sz="0" w:space="0" w:color="auto"/>
            <w:right w:val="none" w:sz="0" w:space="0" w:color="auto"/>
          </w:divBdr>
        </w:div>
        <w:div w:id="139853828">
          <w:marLeft w:val="640"/>
          <w:marRight w:val="0"/>
          <w:marTop w:val="0"/>
          <w:marBottom w:val="0"/>
          <w:divBdr>
            <w:top w:val="none" w:sz="0" w:space="0" w:color="auto"/>
            <w:left w:val="none" w:sz="0" w:space="0" w:color="auto"/>
            <w:bottom w:val="none" w:sz="0" w:space="0" w:color="auto"/>
            <w:right w:val="none" w:sz="0" w:space="0" w:color="auto"/>
          </w:divBdr>
        </w:div>
      </w:divsChild>
    </w:div>
    <w:div w:id="444078005">
      <w:bodyDiv w:val="1"/>
      <w:marLeft w:val="0"/>
      <w:marRight w:val="0"/>
      <w:marTop w:val="0"/>
      <w:marBottom w:val="0"/>
      <w:divBdr>
        <w:top w:val="none" w:sz="0" w:space="0" w:color="auto"/>
        <w:left w:val="none" w:sz="0" w:space="0" w:color="auto"/>
        <w:bottom w:val="none" w:sz="0" w:space="0" w:color="auto"/>
        <w:right w:val="none" w:sz="0" w:space="0" w:color="auto"/>
      </w:divBdr>
      <w:divsChild>
        <w:div w:id="832331235">
          <w:marLeft w:val="640"/>
          <w:marRight w:val="0"/>
          <w:marTop w:val="0"/>
          <w:marBottom w:val="0"/>
          <w:divBdr>
            <w:top w:val="none" w:sz="0" w:space="0" w:color="auto"/>
            <w:left w:val="none" w:sz="0" w:space="0" w:color="auto"/>
            <w:bottom w:val="none" w:sz="0" w:space="0" w:color="auto"/>
            <w:right w:val="none" w:sz="0" w:space="0" w:color="auto"/>
          </w:divBdr>
        </w:div>
        <w:div w:id="2067606204">
          <w:marLeft w:val="640"/>
          <w:marRight w:val="0"/>
          <w:marTop w:val="0"/>
          <w:marBottom w:val="0"/>
          <w:divBdr>
            <w:top w:val="none" w:sz="0" w:space="0" w:color="auto"/>
            <w:left w:val="none" w:sz="0" w:space="0" w:color="auto"/>
            <w:bottom w:val="none" w:sz="0" w:space="0" w:color="auto"/>
            <w:right w:val="none" w:sz="0" w:space="0" w:color="auto"/>
          </w:divBdr>
        </w:div>
        <w:div w:id="201408714">
          <w:marLeft w:val="640"/>
          <w:marRight w:val="0"/>
          <w:marTop w:val="0"/>
          <w:marBottom w:val="0"/>
          <w:divBdr>
            <w:top w:val="none" w:sz="0" w:space="0" w:color="auto"/>
            <w:left w:val="none" w:sz="0" w:space="0" w:color="auto"/>
            <w:bottom w:val="none" w:sz="0" w:space="0" w:color="auto"/>
            <w:right w:val="none" w:sz="0" w:space="0" w:color="auto"/>
          </w:divBdr>
        </w:div>
      </w:divsChild>
    </w:div>
    <w:div w:id="933787970">
      <w:bodyDiv w:val="1"/>
      <w:marLeft w:val="0"/>
      <w:marRight w:val="0"/>
      <w:marTop w:val="0"/>
      <w:marBottom w:val="0"/>
      <w:divBdr>
        <w:top w:val="none" w:sz="0" w:space="0" w:color="auto"/>
        <w:left w:val="none" w:sz="0" w:space="0" w:color="auto"/>
        <w:bottom w:val="none" w:sz="0" w:space="0" w:color="auto"/>
        <w:right w:val="none" w:sz="0" w:space="0" w:color="auto"/>
      </w:divBdr>
      <w:divsChild>
        <w:div w:id="2077429690">
          <w:marLeft w:val="480"/>
          <w:marRight w:val="0"/>
          <w:marTop w:val="0"/>
          <w:marBottom w:val="0"/>
          <w:divBdr>
            <w:top w:val="none" w:sz="0" w:space="0" w:color="auto"/>
            <w:left w:val="none" w:sz="0" w:space="0" w:color="auto"/>
            <w:bottom w:val="none" w:sz="0" w:space="0" w:color="auto"/>
            <w:right w:val="none" w:sz="0" w:space="0" w:color="auto"/>
          </w:divBdr>
        </w:div>
        <w:div w:id="1645239215">
          <w:marLeft w:val="480"/>
          <w:marRight w:val="0"/>
          <w:marTop w:val="0"/>
          <w:marBottom w:val="0"/>
          <w:divBdr>
            <w:top w:val="none" w:sz="0" w:space="0" w:color="auto"/>
            <w:left w:val="none" w:sz="0" w:space="0" w:color="auto"/>
            <w:bottom w:val="none" w:sz="0" w:space="0" w:color="auto"/>
            <w:right w:val="none" w:sz="0" w:space="0" w:color="auto"/>
          </w:divBdr>
        </w:div>
        <w:div w:id="2100370422">
          <w:marLeft w:val="480"/>
          <w:marRight w:val="0"/>
          <w:marTop w:val="0"/>
          <w:marBottom w:val="0"/>
          <w:divBdr>
            <w:top w:val="none" w:sz="0" w:space="0" w:color="auto"/>
            <w:left w:val="none" w:sz="0" w:space="0" w:color="auto"/>
            <w:bottom w:val="none" w:sz="0" w:space="0" w:color="auto"/>
            <w:right w:val="none" w:sz="0" w:space="0" w:color="auto"/>
          </w:divBdr>
        </w:div>
      </w:divsChild>
    </w:div>
    <w:div w:id="1738435983">
      <w:bodyDiv w:val="1"/>
      <w:marLeft w:val="0"/>
      <w:marRight w:val="0"/>
      <w:marTop w:val="0"/>
      <w:marBottom w:val="0"/>
      <w:divBdr>
        <w:top w:val="none" w:sz="0" w:space="0" w:color="auto"/>
        <w:left w:val="none" w:sz="0" w:space="0" w:color="auto"/>
        <w:bottom w:val="none" w:sz="0" w:space="0" w:color="auto"/>
        <w:right w:val="none" w:sz="0" w:space="0" w:color="auto"/>
      </w:divBdr>
      <w:divsChild>
        <w:div w:id="118575794">
          <w:marLeft w:val="640"/>
          <w:marRight w:val="0"/>
          <w:marTop w:val="0"/>
          <w:marBottom w:val="0"/>
          <w:divBdr>
            <w:top w:val="none" w:sz="0" w:space="0" w:color="auto"/>
            <w:left w:val="none" w:sz="0" w:space="0" w:color="auto"/>
            <w:bottom w:val="none" w:sz="0" w:space="0" w:color="auto"/>
            <w:right w:val="none" w:sz="0" w:space="0" w:color="auto"/>
          </w:divBdr>
        </w:div>
        <w:div w:id="459302905">
          <w:marLeft w:val="640"/>
          <w:marRight w:val="0"/>
          <w:marTop w:val="0"/>
          <w:marBottom w:val="0"/>
          <w:divBdr>
            <w:top w:val="none" w:sz="0" w:space="0" w:color="auto"/>
            <w:left w:val="none" w:sz="0" w:space="0" w:color="auto"/>
            <w:bottom w:val="none" w:sz="0" w:space="0" w:color="auto"/>
            <w:right w:val="none" w:sz="0" w:space="0" w:color="auto"/>
          </w:divBdr>
        </w:div>
        <w:div w:id="1859659815">
          <w:marLeft w:val="640"/>
          <w:marRight w:val="0"/>
          <w:marTop w:val="0"/>
          <w:marBottom w:val="0"/>
          <w:divBdr>
            <w:top w:val="none" w:sz="0" w:space="0" w:color="auto"/>
            <w:left w:val="none" w:sz="0" w:space="0" w:color="auto"/>
            <w:bottom w:val="none" w:sz="0" w:space="0" w:color="auto"/>
            <w:right w:val="none" w:sz="0" w:space="0" w:color="auto"/>
          </w:divBdr>
        </w:div>
      </w:divsChild>
    </w:div>
    <w:div w:id="1967159402">
      <w:bodyDiv w:val="1"/>
      <w:marLeft w:val="0"/>
      <w:marRight w:val="0"/>
      <w:marTop w:val="0"/>
      <w:marBottom w:val="0"/>
      <w:divBdr>
        <w:top w:val="none" w:sz="0" w:space="0" w:color="auto"/>
        <w:left w:val="none" w:sz="0" w:space="0" w:color="auto"/>
        <w:bottom w:val="none" w:sz="0" w:space="0" w:color="auto"/>
        <w:right w:val="none" w:sz="0" w:space="0" w:color="auto"/>
      </w:divBdr>
      <w:divsChild>
        <w:div w:id="1835028313">
          <w:marLeft w:val="640"/>
          <w:marRight w:val="0"/>
          <w:marTop w:val="0"/>
          <w:marBottom w:val="0"/>
          <w:divBdr>
            <w:top w:val="none" w:sz="0" w:space="0" w:color="auto"/>
            <w:left w:val="none" w:sz="0" w:space="0" w:color="auto"/>
            <w:bottom w:val="none" w:sz="0" w:space="0" w:color="auto"/>
            <w:right w:val="none" w:sz="0" w:space="0" w:color="auto"/>
          </w:divBdr>
        </w:div>
        <w:div w:id="530343695">
          <w:marLeft w:val="640"/>
          <w:marRight w:val="0"/>
          <w:marTop w:val="0"/>
          <w:marBottom w:val="0"/>
          <w:divBdr>
            <w:top w:val="none" w:sz="0" w:space="0" w:color="auto"/>
            <w:left w:val="none" w:sz="0" w:space="0" w:color="auto"/>
            <w:bottom w:val="none" w:sz="0" w:space="0" w:color="auto"/>
            <w:right w:val="none" w:sz="0" w:space="0" w:color="auto"/>
          </w:divBdr>
        </w:div>
        <w:div w:id="114307921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ssandro.tamburini@unipa.it"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9ED7DD68-3A12-4D52-B39B-6E552B283E4F}"/>
      </w:docPartPr>
      <w:docPartBody>
        <w:p w:rsidR="00B86625" w:rsidRDefault="00B86625">
          <w:r w:rsidRPr="00180C64">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25"/>
    <w:rsid w:val="00517E58"/>
    <w:rsid w:val="00536A6B"/>
    <w:rsid w:val="0063719A"/>
    <w:rsid w:val="00B86625"/>
    <w:rsid w:val="00F13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866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D75E4B-C402-4BA9-B931-9AB2318969D7}">
  <we:reference id="wa104382081" version="1.55.1.0" store="it-IT" storeType="OMEX"/>
  <we:alternateReferences>
    <we:reference id="wa104382081" version="1.55.1.0" store="" storeType="OMEX"/>
  </we:alternateReferences>
  <we:properties>
    <we:property name="MENDELEY_CITATIONS" value="[{&quot;citationID&quot;:&quot;MENDELEY_CITATION_38e7bac6-2028-4f52-b2a8-f67ab160b4d3&quot;,&quot;properties&quot;:{&quot;noteIndex&quot;:0},&quot;isEdited&quot;:false,&quot;manualOverride&quot;:{&quot;isManuallyOverridden&quot;:false,&quot;citeprocText&quot;:&quot;(FUMATECH BWT GmbH, n.d.)&quot;,&quot;manualOverrideText&quot;:&quot;&quot;},&quot;citationTag&quot;:&quot;MENDELEY_CITATION_v3_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&quot;,&quot;citationItems&quot;:[{&quot;id&quot;:&quot;bf2fafbc-39be-3cdf-bb87-4dad82c705e9&quot;,&quot;itemData&quot;:{&quot;type&quot;:&quot;webpage&quot;,&quot;id&quot;:&quot;bf2fafbc-39be-3cdf-bb87-4dad82c705e9&quot;,&quot;title&quot;:&quot;Technical Data Sheet - fumasep® FBM&quot;,&quot;author&quot;:[{&quot;family&quot;:&quot;FUMATECH BWT GmbH&quot;,&quot;given&quot;:&quot;&quot;,&quot;parse-names&quot;:false,&quot;dropping-particle&quot;:&quot;&quot;,&quot;non-dropping-particle&quot;:&quot;&quot;}],&quot;container-title-short&quot;:&quot;&quot;},&quot;isTemporary&quot;:false}]},{&quot;citationID&quot;:&quot;MENDELEY_CITATION_a5dc7793-a85e-4d11-b0a4-8286389594fd&quot;,&quot;properties&quot;:{&quot;noteIndex&quot;:0},&quot;isEdited&quot;:false,&quot;manualOverride&quot;:{&quot;isManuallyOverridden&quot;:false,&quot;citeprocText&quot;:&quot;(Strathmann et al., 1997)&quot;,&quot;manualOverrideText&quot;:&quot;&quot;},&quot;citationTag&quot;:&quot;MENDELEY_CITATION_v3_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&quot;,&quot;citationItems&quot;:[{&quot;id&quot;:&quot;c7d44c87-9edb-3f92-a0e1-9b2500fe421a&quot;,&quot;itemData&quot;:{&quot;type&quot;:&quot;article-journal&quot;,&quot;id&quot;:&quot;c7d44c87-9edb-3f92-a0e1-9b2500fe421a&quot;,&quot;title&quot;:&quot;Limiting current density and water dissociation in bipolar membranes&quot;,&quot;author&quot;:[{&quot;family&quot;:&quot;Strathmann&quot;,&quot;given&quot;:&quot;H&quot;,&quot;parse-names&quot;:false,&quot;dropping-particle&quot;:&quot;&quot;,&quot;non-dropping-particle&quot;:&quot;&quot;},{&quot;family&quot;:&quot;Krol&quot;,&quot;given&quot;:&quot;J J&quot;,&quot;parse-names&quot;:false,&quot;dropping-particle&quot;:&quot;&quot;,&quot;non-dropping-particle&quot;:&quot;&quot;},{&quot;family&quot;:&quot;Rapp&quot;,&quot;given&quot;:&quot;H.-J&quot;,&quot;parse-names&quot;:false,&quot;dropping-particle&quot;:&quot;&quot;,&quot;non-dropping-particle&quot;:&quot;&quot;},{&quot;family&quot;:&quot;Eigenberger&quot;,&quot;given&quot;:&quot;G&quot;,&quot;parse-names&quot;:false,&quot;dropping-particle&quot;:&quot;&quot;,&quot;non-dropping-particle&quot;:&quot;&quot;}],&quot;container-title&quot;:&quot;Journal of Membrane Science&quot;,&quot;container-title-short&quot;:&quot;J Memb Sci&quot;,&quot;issued&quot;:{&quot;date-parts&quot;:[[1997]]},&quot;page&quot;:&quot;123-142&quot;,&quot;abstract&quot;:&quot;The behaviour of bipolar membranes in NaCl and Na SO solutions is discussed. The membranes are characterized in 2 4 terms of their limiting current densities. Below the limiting current density the electric current is carried by salt ions migrating from the transition region between the anion and the cation exchange layer of the bipolar membrane. In steady state these ions are replaced by salt ions transported from the bulk solutions into the transition region by diffusion and migration due to the fact that the ion-exchange layers are not strictly permselective. When the limiting current density is exceeded, the salt transport from the transition region can no longer be compensated by the transport into the region and a drastic increase in the membrane resistance and enhanced water dissociation is observed. This water dissociation is described as being a combination of the second Wien effect and the protonation and deprotonation of functional groups in the membrane. The limiting current density is calculated from a mass balance that includes all components involved in the transport. The parameters used in the mathematical treatment are the diffusion coefficients of salt ions and water, the ion mobilities in the membrane, the fixed charge densitiy of the membrane, the p K values of the functional groups and the b solution bulk concentrations.&quot;,&quot;volume&quot;:&quot;125&quot;},&quot;isTemporary&quot;:false}]},{&quot;citationID&quot;:&quot;MENDELEY_CITATION_977acc0a-1c40-40a0-9182-f23ae8f73b90&quot;,&quot;properties&quot;:{&quot;noteIndex&quot;:0},&quot;isEdited&quot;:false,&quot;manualOverride&quot;:{&quot;isManuallyOverridden&quot;:false,&quot;citeprocText&quot;:&quot;(Culcasi et al., 2023)&quot;,&quot;manualOverrideText&quot;:&quot;&quot;},&quot;citationTag&quot;:&quot;MENDELEY_CITATION_v3_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&quot;,&quot;citationItems&quot;:[{&quot;id&quot;:&quot;6291c2cd-4a1a-3723-87e1-d070b68bd195&quot;,&quot;itemData&quot;:{&quot;type&quot;:&quot;article-journal&quot;,&quot;id&quot;:&quot;6291c2cd-4a1a-3723-87e1-d070b68bd195&quot;,&quot;title&quot;:&quot;Improving efficiency and discharge power of acid-base flow battery via a bi-objective optimisation&quot;,&quot;author&quot;:[{&quot;family&quot;:&quot;Culcasi&quot;,&quot;given&quot;:&quot;Andrea&quot;,&quot;parse-names&quot;:false,&quot;dropping-particle&quot;:&quot;&quot;,&quot;non-dropping-particle&quot;:&quot;&quot;},{&quot;family&quot;:&quot;Gurreri&quot;,&quot;given&quot;:&quot;Luigi&quot;,&quot;parse-names&quot;:false,&quot;dropping-particle&quot;:&quot;&quot;,&quot;non-dropping-particle&quot;:&quot;&quot;},{&quot;family&quot;:&quot;Tamburini&quot;,&quot;given&quot;:&quot;Alessandro&quot;,&quot;parse-names&quot;:false,&quot;dropping-particle&quot;:&quot;&quot;,&quot;non-dropping-particle&quot;:&quot;&quot;},{&quot;family&quot;:&quot;Cipollina&quot;,&quot;given&quot;:&quot;Andrea&quot;,&quot;parse-names&quot;:false,&quot;dropping-particle&quot;:&quot;&quot;,&quot;non-dropping-particle&quot;:&quot;&quot;},{&quot;family&quot;:&quot;Bogle&quot;,&quot;given&quot;:&quot;I. David L.&quot;,&quot;parse-names&quot;:false,&quot;dropping-particle&quot;:&quot;&quot;,&quot;non-dropping-particle&quot;:&quot;&quot;},{&quot;family&quot;:&quot;Micale&quot;,&quot;given&quot;:&quot;Giorgio&quot;,&quot;parse-names&quot;:false,&quot;dropping-particle&quot;:&quot;&quot;,&quot;non-dropping-particle&quot;:&quot;&quot;}],&quot;container-title&quot;:&quot;Journal of Energy Storage&quot;,&quot;container-title-short&quot;:&quot;J Energy Storage&quot;,&quot;DOI&quot;:&quot;10.1016/j.est.2023.107429&quot;,&quot;ISSN&quot;:&quot;2352152X&quot;,&quot;URL&quot;:&quot;https://linkinghub.elsevier.com/retrieve/pii/S2352152X23008265&quot;,&quot;issued&quot;:{&quot;date-parts&quot;:[[2023,8,30]]},&quot;page&quot;:&quot;107429&quot;,&quot;abstract&quot;:&quot;The implementation of effective storage systems is essential for a deeper market penetration of intermittent renewable sources. One promising, environmentally friendly energy storage technology is the Acid-Base Flow Battery (AB-FB). In the charge phase it stores electricity in the form of pH and salinity gradients via Bipolar Membrane Electrodialysis, while in the discharge phase it applies the reverse process for the opposite conversion. Despite the clear benefits over other osmotic batteries, the potential of the AB-FB has been poorly explored. This study presents the first bi-objective optimisation of the AB-FB in terms of net round trip efficiency (RTEnet) and average net discharge power density per membrane area (NPDd¯). A comprehensive mathematical model previously developed by our research team was used to predict the battery performance. The ε-constraint approach was used to build curves of Pareto optimal solutions under various scenarios by letting several operating and design parameters to vary. Using current commercial membranes, optimal solutions yielded an RTEnet ranging from 32 % to 64 %, while the corresponding NPDd¯ ranged from 19.5 W m−2 to 4 W m−2. These results highlight the great potential of the AB-FB, as well as the need of a proper design of experimental stacks. Simulating hypothetical membranes with improved, yet realistic characteristics shifted the range of RTEnet and NPDd¯ to 59.1–76.3 % and 23.2–4.4 W m−2, respectively, showing that the technological advancement in membrane manufacturing is essential for the development of high-performance AB-FB systems. Although the AB-FB performs similarly to other batteries, it can be made of non-critical materials that are not subject to supply disruptions or economic dependency, making the AB-FB a sustainability-friendly option and a good candidate for the future energy storage systems scenario.&quot;,&quot;publisher&quot;:&quot;Elsevier Ltd&quot;,&quot;volume&quot;:&quot;66&quot;},&quot;isTemporary&quot;:false}]}]"/>
    <we:property name="MENDELEY_CITATIONS_LOCALE_CODE" value="&quot;en-US&quot;"/>
    <we:property name="MENDELEY_CITATIONS_STYLE" value="{&quot;id&quot;:&quot;https://www.zotero.org/styles/chemical-engineering-science&quot;,&quot;title&quot;:&quot;Chemical Engineering Scienc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AD651-FAB9-4456-96B2-6445FDCE6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1884</Words>
  <Characters>10177</Characters>
  <Application>Microsoft Office Word</Application>
  <DocSecurity>0</DocSecurity>
  <Lines>300</Lines>
  <Paragraphs>166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CULCASI</dc:creator>
  <cp:keywords/>
  <dc:description/>
  <cp:lastModifiedBy>alessandra pellegrino</cp:lastModifiedBy>
  <cp:revision>46</cp:revision>
  <dcterms:created xsi:type="dcterms:W3CDTF">2023-10-30T00:15:00Z</dcterms:created>
  <dcterms:modified xsi:type="dcterms:W3CDTF">2023-11-13T16:53:00Z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http://www.zotero.org/styles/chemical-engineering-journal</vt:lpwstr>
  </property>
  <property fmtid="{D5CDD505-2E9C-101B-9397-08002B2CF9AE}" pid="5" name="Mendeley Recent Style Name 1_1">
    <vt:lpwstr>Chemical Engineering Journal</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http://www.zotero.org/styles/desalination</vt:lpwstr>
  </property>
  <property fmtid="{D5CDD505-2E9C-101B-9397-08002B2CF9AE}" pid="9" name="Mendeley Recent Style Name 3_1">
    <vt:lpwstr>Desalination</vt:lpwstr>
  </property>
  <property fmtid="{D5CDD505-2E9C-101B-9397-08002B2CF9AE}" pid="10" name="Mendeley Recent Style Id 4_1">
    <vt:lpwstr>http://www.zotero.org/styles/energies</vt:lpwstr>
  </property>
  <property fmtid="{D5CDD505-2E9C-101B-9397-08002B2CF9AE}" pid="11" name="Mendeley Recent Style Name 4_1">
    <vt:lpwstr>Energies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http://www.zotero.org/styles/journal-of-cleaner-production</vt:lpwstr>
  </property>
  <property fmtid="{D5CDD505-2E9C-101B-9397-08002B2CF9AE}" pid="15" name="Mendeley Recent Style Name 6_1">
    <vt:lpwstr>Journal of Cleaner Production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http://csl.mendeley.com/styles/509108461/harvard-cite-them-right-modified</vt:lpwstr>
  </property>
  <property fmtid="{D5CDD505-2E9C-101B-9397-08002B2CF9AE}" pid="21" name="Mendeley Recent Style Name 9_1">
    <vt:lpwstr>etal-nodoi - Andrea Culcasi</vt:lpwstr>
  </property>
  <property fmtid="{D5CDD505-2E9C-101B-9397-08002B2CF9AE}" pid="22" name="Mendeley Document_1">
    <vt:lpwstr>True</vt:lpwstr>
  </property>
  <property fmtid="{D5CDD505-2E9C-101B-9397-08002B2CF9AE}" pid="23" name="Mendeley Unique User Id_1">
    <vt:lpwstr>7faffa2a-885b-3200-9e9a-15ae2a6da491</vt:lpwstr>
  </property>
  <property fmtid="{D5CDD505-2E9C-101B-9397-08002B2CF9AE}" pid="24" name="Mendeley Citation Style_1">
    <vt:lpwstr>http://www.zotero.org/styles/desalination</vt:lpwstr>
  </property>
  <property fmtid="{D5CDD505-2E9C-101B-9397-08002B2CF9AE}" pid="25" name="GrammarlyDocumentId">
    <vt:lpwstr>cbd36d2547f111fa2443f2101193a9418546985c4efe826e66cea257885e9296</vt:lpwstr>
  </property>
</Properties>
</file>