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B96151" w14:textId="510A04AF" w:rsidR="007441FB" w:rsidRPr="00B25FF8" w:rsidRDefault="007441FB" w:rsidP="002114B9"/>
    <w:p w14:paraId="00D73ADE" w14:textId="3998EB84" w:rsidR="007441FB" w:rsidRDefault="007441FB" w:rsidP="007441FB">
      <w:pPr>
        <w:pStyle w:val="Intestazione"/>
        <w:tabs>
          <w:tab w:val="left" w:pos="4295"/>
        </w:tabs>
        <w:jc w:val="center"/>
        <w:rPr>
          <w:rFonts w:ascii="Times New Roman" w:hAnsi="Times New Roman"/>
        </w:rPr>
      </w:pPr>
      <w:r w:rsidRPr="00E815FA">
        <w:rPr>
          <w:rFonts w:ascii="Calibri Light" w:hAnsi="Calibri Light" w:cs="Calibri Light"/>
          <w:b/>
          <w:noProof/>
          <w:color w:val="323E4F"/>
          <w:sz w:val="28"/>
          <w:szCs w:val="28"/>
          <w:lang w:eastAsia="it-IT" w:bidi="ar-SA"/>
        </w:rPr>
        <w:drawing>
          <wp:anchor distT="0" distB="0" distL="114300" distR="114300" simplePos="0" relativeHeight="251686912" behindDoc="0" locked="0" layoutInCell="1" allowOverlap="1" wp14:anchorId="3CE6367B" wp14:editId="4769759C">
            <wp:simplePos x="0" y="0"/>
            <wp:positionH relativeFrom="margin">
              <wp:posOffset>1506220</wp:posOffset>
            </wp:positionH>
            <wp:positionV relativeFrom="margin">
              <wp:posOffset>1683385</wp:posOffset>
            </wp:positionV>
            <wp:extent cx="1681480" cy="494030"/>
            <wp:effectExtent l="0" t="0" r="0" b="0"/>
            <wp:wrapSquare wrapText="bothSides"/>
            <wp:docPr id="19" name="Immagin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5"/>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81480" cy="494030"/>
                    </a:xfrm>
                    <a:prstGeom prst="rect">
                      <a:avLst/>
                    </a:prstGeom>
                    <a:noFill/>
                    <a:ln>
                      <a:noFill/>
                    </a:ln>
                  </pic:spPr>
                </pic:pic>
              </a:graphicData>
            </a:graphic>
          </wp:anchor>
        </w:drawing>
      </w:r>
    </w:p>
    <w:p w14:paraId="5BFA1357" w14:textId="7A12AD8D" w:rsidR="007441FB" w:rsidRDefault="007441FB" w:rsidP="007441FB">
      <w:pPr>
        <w:pStyle w:val="Intestazione"/>
        <w:tabs>
          <w:tab w:val="left" w:pos="4295"/>
        </w:tabs>
        <w:jc w:val="center"/>
        <w:rPr>
          <w:rFonts w:ascii="Calibri Light" w:hAnsi="Calibri Light" w:cs="Calibri Light"/>
          <w:b/>
          <w:noProof/>
          <w:color w:val="323E4F"/>
          <w:sz w:val="28"/>
          <w:szCs w:val="28"/>
          <w:lang w:eastAsia="it-IT"/>
        </w:rPr>
      </w:pPr>
    </w:p>
    <w:p w14:paraId="6DEF9445" w14:textId="77777777" w:rsidR="007441FB" w:rsidRDefault="007441FB" w:rsidP="007441FB">
      <w:pPr>
        <w:pStyle w:val="Intestazione"/>
        <w:tabs>
          <w:tab w:val="left" w:pos="4295"/>
        </w:tabs>
        <w:jc w:val="center"/>
        <w:rPr>
          <w:rFonts w:ascii="Times New Roman" w:hAnsi="Times New Roman"/>
        </w:rPr>
      </w:pPr>
    </w:p>
    <w:p w14:paraId="1B14EFA7" w14:textId="77777777" w:rsidR="007441FB" w:rsidRDefault="007441FB" w:rsidP="007441FB">
      <w:pPr>
        <w:pStyle w:val="Intestazione"/>
        <w:tabs>
          <w:tab w:val="left" w:pos="4295"/>
        </w:tabs>
        <w:jc w:val="center"/>
        <w:rPr>
          <w:rFonts w:ascii="Times New Roman" w:hAnsi="Times New Roman"/>
        </w:rPr>
      </w:pPr>
    </w:p>
    <w:p w14:paraId="23C4CF65" w14:textId="54E54852" w:rsidR="007441FB" w:rsidRPr="002114B9" w:rsidRDefault="007441FB" w:rsidP="007441FB">
      <w:pPr>
        <w:pStyle w:val="Intestazione"/>
        <w:tabs>
          <w:tab w:val="left" w:pos="4295"/>
        </w:tabs>
        <w:jc w:val="center"/>
        <w:rPr>
          <w:rFonts w:ascii="Times New Roman" w:hAnsi="Times New Roman"/>
          <w:kern w:val="1"/>
        </w:rPr>
      </w:pPr>
      <w:r w:rsidRPr="002114B9">
        <w:rPr>
          <w:rFonts w:ascii="Times New Roman" w:hAnsi="Times New Roman"/>
        </w:rPr>
        <w:t xml:space="preserve">Dipartimento di </w:t>
      </w:r>
      <w:r w:rsidRPr="002114B9">
        <w:rPr>
          <w:rFonts w:ascii="Times New Roman" w:hAnsi="Times New Roman"/>
          <w:kern w:val="1"/>
        </w:rPr>
        <w:t>Promozione della Salute, Materno-Infantile,</w:t>
      </w:r>
    </w:p>
    <w:p w14:paraId="50550C04" w14:textId="4469E059" w:rsidR="007441FB" w:rsidRPr="002114B9" w:rsidRDefault="007441FB" w:rsidP="007441FB">
      <w:pPr>
        <w:pStyle w:val="Intestazione"/>
        <w:tabs>
          <w:tab w:val="left" w:pos="4295"/>
        </w:tabs>
        <w:jc w:val="center"/>
        <w:rPr>
          <w:rFonts w:ascii="Times New Roman" w:hAnsi="Times New Roman"/>
          <w:kern w:val="1"/>
        </w:rPr>
      </w:pPr>
      <w:r w:rsidRPr="002114B9">
        <w:rPr>
          <w:rFonts w:ascii="Times New Roman" w:hAnsi="Times New Roman"/>
          <w:kern w:val="1"/>
        </w:rPr>
        <w:t>Medicina Interna e Specialistica di Eccellenza</w:t>
      </w:r>
    </w:p>
    <w:p w14:paraId="69BAC360" w14:textId="08627E47" w:rsidR="007441FB" w:rsidRDefault="007441FB" w:rsidP="007441FB">
      <w:pPr>
        <w:jc w:val="center"/>
      </w:pPr>
    </w:p>
    <w:p w14:paraId="6FE1C338" w14:textId="77777777" w:rsidR="004D2644" w:rsidRDefault="004D2644" w:rsidP="00536B51">
      <w:pPr>
        <w:pStyle w:val="Standard"/>
        <w:spacing w:line="360" w:lineRule="auto"/>
        <w:jc w:val="both"/>
        <w:rPr>
          <w:rFonts w:ascii="Times New Roman" w:hAnsi="Times New Roman"/>
          <w:color w:val="000000"/>
        </w:rPr>
      </w:pPr>
    </w:p>
    <w:p w14:paraId="430B40B7" w14:textId="77777777" w:rsidR="004D2644" w:rsidRDefault="004D2644" w:rsidP="00536B51">
      <w:pPr>
        <w:pStyle w:val="Standard"/>
        <w:spacing w:line="360" w:lineRule="auto"/>
        <w:jc w:val="both"/>
        <w:rPr>
          <w:rFonts w:ascii="Times New Roman" w:hAnsi="Times New Roman"/>
          <w:color w:val="000000"/>
        </w:rPr>
      </w:pPr>
    </w:p>
    <w:p w14:paraId="21BE929C" w14:textId="77777777" w:rsidR="004D2644" w:rsidRDefault="004D2644" w:rsidP="00536B51">
      <w:pPr>
        <w:pStyle w:val="Standard"/>
        <w:spacing w:line="360" w:lineRule="auto"/>
        <w:jc w:val="both"/>
        <w:rPr>
          <w:rFonts w:ascii="Times New Roman" w:hAnsi="Times New Roman"/>
          <w:color w:val="000000"/>
        </w:rPr>
      </w:pPr>
    </w:p>
    <w:p w14:paraId="270B3441" w14:textId="7D2E8782" w:rsidR="004D2644" w:rsidRDefault="004D2644" w:rsidP="00536B51">
      <w:pPr>
        <w:pStyle w:val="Standard"/>
        <w:spacing w:line="360" w:lineRule="auto"/>
        <w:jc w:val="both"/>
        <w:rPr>
          <w:rFonts w:ascii="Times New Roman" w:hAnsi="Times New Roman"/>
          <w:color w:val="000000"/>
        </w:rPr>
      </w:pPr>
      <w:r w:rsidRPr="00F65835">
        <w:rPr>
          <w:rFonts w:ascii="Times New Roman" w:hAnsi="Times New Roman"/>
          <w:noProof/>
          <w:lang w:eastAsia="it-IT" w:bidi="ar-SA"/>
        </w:rPr>
        <mc:AlternateContent>
          <mc:Choice Requires="wps">
            <w:drawing>
              <wp:anchor distT="0" distB="0" distL="114300" distR="114300" simplePos="0" relativeHeight="251664384" behindDoc="0" locked="0" layoutInCell="1" allowOverlap="1" wp14:anchorId="5B40949D" wp14:editId="7D1184ED">
                <wp:simplePos x="0" y="0"/>
                <wp:positionH relativeFrom="margin">
                  <wp:posOffset>-800100</wp:posOffset>
                </wp:positionH>
                <wp:positionV relativeFrom="page">
                  <wp:posOffset>4558030</wp:posOffset>
                </wp:positionV>
                <wp:extent cx="6399530" cy="2171700"/>
                <wp:effectExtent l="0" t="0" r="1270" b="12700"/>
                <wp:wrapNone/>
                <wp:docPr id="11" name="Casella di tes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9530" cy="21717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14:paraId="7AA5A6A8" w14:textId="1103A3CB" w:rsidR="002114B9" w:rsidRPr="002114B9" w:rsidRDefault="002114B9" w:rsidP="002114B9">
                            <w:pPr>
                              <w:spacing w:line="360" w:lineRule="auto"/>
                              <w:jc w:val="both"/>
                              <w:rPr>
                                <w:b/>
                                <w:sz w:val="32"/>
                                <w:szCs w:val="32"/>
                              </w:rPr>
                            </w:pPr>
                            <w:r w:rsidRPr="002114B9">
                              <w:rPr>
                                <w:b/>
                                <w:sz w:val="32"/>
                                <w:szCs w:val="32"/>
                              </w:rPr>
                              <w:t>METABOLIC MEMORY IN PIEDE DIABETICO (DFS): MODIFICHE EPIGENETICHE SULL’ESPRESSIONE DEI MICRO-RNA E DEI P</w:t>
                            </w:r>
                            <w:r w:rsidRPr="002114B9">
                              <w:rPr>
                                <w:b/>
                                <w:sz w:val="32"/>
                                <w:szCs w:val="32"/>
                              </w:rPr>
                              <w:t>O</w:t>
                            </w:r>
                            <w:r w:rsidRPr="002114B9">
                              <w:rPr>
                                <w:b/>
                                <w:sz w:val="32"/>
                                <w:szCs w:val="32"/>
                              </w:rPr>
                              <w:t>LIMORFISMI A SINGOLO NUCLEOTIDE (SNP) IN UNA COORTE DI PAZIENTI CON PIEDE DIABETICO E CORRELAZIONE CON GLI INDICI DI DISFUNZIONE ENDOTELIALE E ADIPO-INFIAMMATORIA.</w:t>
                            </w:r>
                          </w:p>
                          <w:p w14:paraId="06CBADC0" w14:textId="7A80231E" w:rsidR="002114B9" w:rsidRPr="00C05520" w:rsidRDefault="002114B9" w:rsidP="00C05520">
                            <w:pPr>
                              <w:spacing w:line="360" w:lineRule="auto"/>
                              <w:jc w:val="both"/>
                              <w:rPr>
                                <w:b/>
                                <w:sz w:val="22"/>
                                <w:szCs w:val="28"/>
                              </w:rPr>
                            </w:pPr>
                          </w:p>
                          <w:p w14:paraId="283275D0" w14:textId="7758052E" w:rsidR="002114B9" w:rsidRPr="00C05520" w:rsidRDefault="002114B9" w:rsidP="00E95F7B">
                            <w:pPr>
                              <w:jc w:val="both"/>
                              <w:rPr>
                                <w:sz w:val="22"/>
                                <w:szCs w:val="28"/>
                              </w:rPr>
                            </w:pPr>
                          </w:p>
                          <w:p w14:paraId="02B3ADC2" w14:textId="2C3E3139" w:rsidR="002114B9" w:rsidRPr="00C05520" w:rsidRDefault="002114B9" w:rsidP="00E95F7B">
                            <w:pPr>
                              <w:jc w:val="center"/>
                              <w:rPr>
                                <w:b/>
                                <w:sz w:val="28"/>
                                <w:szCs w:val="36"/>
                              </w:rPr>
                            </w:pP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Casella di testo 11" o:spid="_x0000_s1026" type="#_x0000_t202" style="position:absolute;left:0;text-align:left;margin-left:-62.95pt;margin-top:358.9pt;width:503.9pt;height:17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" filled="f" stroked="f">
                <v:stroke joinstyle="round"/>
                <v:textbox inset="0,0,0,0">
                  <w:txbxContent>
                    <w:p w14:paraId="7AA5A6A8" w14:textId="1103A3CB" w:rsidR="002114B9" w:rsidRPr="002114B9" w:rsidRDefault="002114B9" w:rsidP="002114B9">
                      <w:pPr>
                        <w:spacing w:line="360" w:lineRule="auto"/>
                        <w:jc w:val="both"/>
                        <w:rPr>
                          <w:b/>
                          <w:sz w:val="32"/>
                          <w:szCs w:val="32"/>
                        </w:rPr>
                      </w:pPr>
                      <w:r w:rsidRPr="002114B9">
                        <w:rPr>
                          <w:b/>
                          <w:sz w:val="32"/>
                          <w:szCs w:val="32"/>
                        </w:rPr>
                        <w:t>METABOLIC MEMORY IN PIEDE DIABETICO (DFS): MODIFICHE EPIGENETICHE SULL’ESPRESSIONE DEI MICRO-RNA E DEI P</w:t>
                      </w:r>
                      <w:r w:rsidRPr="002114B9">
                        <w:rPr>
                          <w:b/>
                          <w:sz w:val="32"/>
                          <w:szCs w:val="32"/>
                        </w:rPr>
                        <w:t>O</w:t>
                      </w:r>
                      <w:r w:rsidRPr="002114B9">
                        <w:rPr>
                          <w:b/>
                          <w:sz w:val="32"/>
                          <w:szCs w:val="32"/>
                        </w:rPr>
                        <w:t>LIMORFISMI A SINGOLO NUCLEOTIDE (SNP) IN UNA COORTE DI PAZIENTI CON PIEDE DIABETICO E CORRELAZIONE CON GLI INDICI DI DISFUNZIONE ENDOTELIALE E ADIPO-INFIAMMATORIA.</w:t>
                      </w:r>
                    </w:p>
                    <w:p w14:paraId="06CBADC0" w14:textId="7A80231E" w:rsidR="002114B9" w:rsidRPr="00C05520" w:rsidRDefault="002114B9" w:rsidP="00C05520">
                      <w:pPr>
                        <w:spacing w:line="360" w:lineRule="auto"/>
                        <w:jc w:val="both"/>
                        <w:rPr>
                          <w:b/>
                          <w:sz w:val="22"/>
                          <w:szCs w:val="28"/>
                        </w:rPr>
                      </w:pPr>
                    </w:p>
                    <w:p w14:paraId="283275D0" w14:textId="7758052E" w:rsidR="002114B9" w:rsidRPr="00C05520" w:rsidRDefault="002114B9" w:rsidP="00E95F7B">
                      <w:pPr>
                        <w:jc w:val="both"/>
                        <w:rPr>
                          <w:sz w:val="22"/>
                          <w:szCs w:val="28"/>
                        </w:rPr>
                      </w:pPr>
                    </w:p>
                    <w:p w14:paraId="02B3ADC2" w14:textId="2C3E3139" w:rsidR="002114B9" w:rsidRPr="00C05520" w:rsidRDefault="002114B9" w:rsidP="00E95F7B">
                      <w:pPr>
                        <w:jc w:val="center"/>
                        <w:rPr>
                          <w:b/>
                          <w:sz w:val="28"/>
                          <w:szCs w:val="36"/>
                        </w:rPr>
                      </w:pPr>
                    </w:p>
                  </w:txbxContent>
                </v:textbox>
                <w10:wrap anchorx="margin" anchory="page"/>
              </v:shape>
            </w:pict>
          </mc:Fallback>
        </mc:AlternateContent>
      </w:r>
    </w:p>
    <w:p w14:paraId="73E06353" w14:textId="77777777" w:rsidR="004D2644" w:rsidRDefault="004D2644" w:rsidP="00536B51">
      <w:pPr>
        <w:pStyle w:val="Standard"/>
        <w:spacing w:line="360" w:lineRule="auto"/>
        <w:jc w:val="both"/>
        <w:rPr>
          <w:rFonts w:ascii="Times New Roman" w:hAnsi="Times New Roman"/>
          <w:color w:val="000000"/>
        </w:rPr>
      </w:pPr>
    </w:p>
    <w:p w14:paraId="0DEB30EC" w14:textId="7BBF83C1" w:rsidR="00193A7D" w:rsidRDefault="007441FB" w:rsidP="00536B51">
      <w:pPr>
        <w:pStyle w:val="Standard"/>
        <w:spacing w:line="360" w:lineRule="auto"/>
        <w:jc w:val="both"/>
        <w:rPr>
          <w:rFonts w:ascii="Times New Roman" w:hAnsi="Times New Roman"/>
          <w:color w:val="000000"/>
        </w:rPr>
      </w:pPr>
      <w:r>
        <w:rPr>
          <w:noProof/>
          <w:lang w:eastAsia="it-IT" w:bidi="ar-SA"/>
        </w:rPr>
        <mc:AlternateContent>
          <mc:Choice Requires="wps">
            <w:drawing>
              <wp:anchor distT="0" distB="0" distL="114935" distR="114935" simplePos="0" relativeHeight="251685888" behindDoc="0" locked="0" layoutInCell="1" allowOverlap="1" wp14:anchorId="7618AA7B" wp14:editId="6656ADDD">
                <wp:simplePos x="0" y="0"/>
                <wp:positionH relativeFrom="page">
                  <wp:posOffset>620374</wp:posOffset>
                </wp:positionH>
                <wp:positionV relativeFrom="page">
                  <wp:posOffset>2057816</wp:posOffset>
                </wp:positionV>
                <wp:extent cx="6407150" cy="187960"/>
                <wp:effectExtent l="0" t="0" r="0" b="0"/>
                <wp:wrapNone/>
                <wp:docPr id="1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407150" cy="187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8D22E6" w14:textId="1230753B" w:rsidR="002114B9" w:rsidRDefault="002114B9" w:rsidP="00C05520">
                            <w:pPr>
                              <w:spacing w:line="204" w:lineRule="auto"/>
                              <w:jc w:val="center"/>
                            </w:pPr>
                            <w:r>
                              <w:t>DOTTORATO DI RICERCA IN MEDICINA CLINICA E MOLECOLARE</w:t>
                            </w:r>
                          </w:p>
                        </w:txbxContent>
                      </wps:txbx>
                      <wps:bodyPr rot="0" vert="horz" wrap="square" lIns="635" tIns="635" rIns="635" bIns="635"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48.85pt;margin-top:162.05pt;width:504.5pt;height:14.8pt;z-index:251685888;visibility:visible;mso-wrap-style:square;mso-width-percent:0;mso-height-percent:0;mso-wrap-distance-left:9.05pt;mso-wrap-distance-top:0;mso-wrap-distance-right:9.05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" stroked="f">
                <v:path arrowok="t"/>
                <v:textbox inset=".05pt,.05pt,.05pt,.05pt">
                  <w:txbxContent>
                    <w:p w14:paraId="0A8D22E6" w14:textId="1230753B" w:rsidR="002114B9" w:rsidRDefault="002114B9" w:rsidP="00C05520">
                      <w:pPr>
                        <w:spacing w:line="204" w:lineRule="auto"/>
                        <w:jc w:val="center"/>
                      </w:pPr>
                      <w:r>
                        <w:t>DOTTORATO DI RICERCA IN MEDICINA CLINICA E MOLECOLARE</w:t>
                      </w:r>
                    </w:p>
                  </w:txbxContent>
                </v:textbox>
                <w10:wrap anchorx="page" anchory="page"/>
              </v:shape>
            </w:pict>
          </mc:Fallback>
        </mc:AlternateContent>
      </w:r>
      <w:r>
        <w:rPr>
          <w:noProof/>
          <w:lang w:eastAsia="it-IT" w:bidi="ar-SA"/>
        </w:rPr>
        <w:drawing>
          <wp:anchor distT="0" distB="0" distL="0" distR="0" simplePos="0" relativeHeight="251683840" behindDoc="0" locked="0" layoutInCell="1" allowOverlap="1" wp14:anchorId="64F11452" wp14:editId="0D7F18C4">
            <wp:simplePos x="0" y="0"/>
            <wp:positionH relativeFrom="page">
              <wp:posOffset>-438</wp:posOffset>
            </wp:positionH>
            <wp:positionV relativeFrom="page">
              <wp:posOffset>-168275</wp:posOffset>
            </wp:positionV>
            <wp:extent cx="7554595" cy="2410460"/>
            <wp:effectExtent l="0" t="0" r="0" b="0"/>
            <wp:wrapTopAndBottom/>
            <wp:docPr id="4" name="Immagin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0">
                      <a:extLst>
                        <a:ext uri="{28A0092B-C50C-407E-A947-70E740481C1C}">
                          <a14:useLocalDpi xmlns:a14="http://schemas.microsoft.com/office/drawing/2010/main" val="0"/>
                        </a:ext>
                      </a:extLst>
                    </a:blip>
                    <a:srcRect l="-8" t="-5" r="-8" b="77425"/>
                    <a:stretch>
                      <a:fillRect/>
                    </a:stretch>
                  </pic:blipFill>
                  <pic:spPr bwMode="auto">
                    <a:xfrm>
                      <a:off x="0" y="0"/>
                      <a:ext cx="7554595" cy="24104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12C090B9" w14:textId="0B9A8679" w:rsidR="00193A7D" w:rsidRPr="00F65835" w:rsidRDefault="00193A7D" w:rsidP="00193A7D">
      <w:pPr>
        <w:pStyle w:val="Standard"/>
        <w:ind w:right="-7"/>
        <w:jc w:val="center"/>
        <w:rPr>
          <w:rFonts w:ascii="Times New Roman" w:hAnsi="Times New Roman"/>
          <w:noProof/>
          <w:lang w:eastAsia="it-IT" w:bidi="ar-SA"/>
        </w:rPr>
      </w:pPr>
    </w:p>
    <w:p w14:paraId="007CCB86" w14:textId="3786EE97" w:rsidR="00193A7D" w:rsidRPr="00F65835" w:rsidRDefault="00193A7D" w:rsidP="00193A7D">
      <w:pPr>
        <w:pStyle w:val="Standard"/>
        <w:jc w:val="center"/>
        <w:rPr>
          <w:rFonts w:ascii="Times New Roman" w:hAnsi="Times New Roman"/>
          <w:noProof/>
          <w:lang w:eastAsia="it-IT" w:bidi="ar-SA"/>
        </w:rPr>
      </w:pPr>
    </w:p>
    <w:p w14:paraId="4E987DA4" w14:textId="14420910" w:rsidR="00193A7D" w:rsidRPr="00F65835" w:rsidRDefault="00193A7D" w:rsidP="00193A7D">
      <w:pPr>
        <w:pStyle w:val="Standard"/>
        <w:jc w:val="center"/>
        <w:rPr>
          <w:rFonts w:ascii="Times New Roman" w:hAnsi="Times New Roman"/>
          <w:noProof/>
          <w:lang w:eastAsia="it-IT" w:bidi="ar-SA"/>
        </w:rPr>
      </w:pPr>
    </w:p>
    <w:p w14:paraId="4B18CBA1" w14:textId="7943999F" w:rsidR="00193A7D" w:rsidRPr="00F65835" w:rsidRDefault="00193A7D" w:rsidP="00193A7D">
      <w:pPr>
        <w:pStyle w:val="Standard"/>
        <w:jc w:val="center"/>
        <w:rPr>
          <w:rFonts w:ascii="Times New Roman" w:hAnsi="Times New Roman"/>
          <w:noProof/>
          <w:lang w:eastAsia="it-IT" w:bidi="ar-SA"/>
        </w:rPr>
      </w:pPr>
    </w:p>
    <w:p w14:paraId="1148B6A2" w14:textId="2C174F74" w:rsidR="00193A7D" w:rsidRPr="00F65835" w:rsidRDefault="00193A7D" w:rsidP="00193A7D">
      <w:pPr>
        <w:pStyle w:val="Standard"/>
        <w:jc w:val="center"/>
        <w:rPr>
          <w:rFonts w:ascii="Times New Roman" w:hAnsi="Times New Roman"/>
          <w:noProof/>
          <w:lang w:eastAsia="it-IT" w:bidi="ar-SA"/>
        </w:rPr>
      </w:pPr>
    </w:p>
    <w:p w14:paraId="2D9321D8" w14:textId="68B4CD42" w:rsidR="00193A7D" w:rsidRPr="00F65835" w:rsidRDefault="00193A7D" w:rsidP="00193A7D">
      <w:pPr>
        <w:pStyle w:val="Standard"/>
        <w:ind w:right="-7"/>
        <w:jc w:val="center"/>
        <w:rPr>
          <w:rFonts w:ascii="Times New Roman" w:hAnsi="Times New Roman"/>
          <w:noProof/>
          <w:lang w:eastAsia="it-IT" w:bidi="ar-SA"/>
        </w:rPr>
      </w:pPr>
    </w:p>
    <w:p w14:paraId="00862FC4" w14:textId="499D005F" w:rsidR="00193A7D" w:rsidRPr="00F65835" w:rsidRDefault="00193A7D" w:rsidP="00193A7D">
      <w:pPr>
        <w:pStyle w:val="Standard"/>
        <w:jc w:val="center"/>
        <w:rPr>
          <w:rFonts w:ascii="Times New Roman" w:hAnsi="Times New Roman"/>
          <w:noProof/>
          <w:lang w:eastAsia="it-IT" w:bidi="ar-SA"/>
        </w:rPr>
      </w:pPr>
    </w:p>
    <w:p w14:paraId="36E332F1" w14:textId="5140C8D4" w:rsidR="00193A7D" w:rsidRPr="00F65835" w:rsidRDefault="00193A7D" w:rsidP="00193A7D">
      <w:pPr>
        <w:pStyle w:val="Standard"/>
        <w:jc w:val="center"/>
        <w:rPr>
          <w:rFonts w:ascii="Times New Roman" w:hAnsi="Times New Roman"/>
          <w:noProof/>
          <w:lang w:eastAsia="it-IT" w:bidi="ar-SA"/>
        </w:rPr>
      </w:pPr>
    </w:p>
    <w:p w14:paraId="45261EFE" w14:textId="57F558F3" w:rsidR="00193A7D" w:rsidRPr="00F65835" w:rsidRDefault="00193A7D" w:rsidP="00193A7D">
      <w:pPr>
        <w:pStyle w:val="Standard"/>
        <w:jc w:val="center"/>
        <w:rPr>
          <w:rFonts w:ascii="Times New Roman" w:hAnsi="Times New Roman"/>
          <w:noProof/>
          <w:lang w:eastAsia="it-IT" w:bidi="ar-SA"/>
        </w:rPr>
      </w:pPr>
    </w:p>
    <w:p w14:paraId="627FDA9A" w14:textId="4EDE82C9" w:rsidR="00193A7D" w:rsidRPr="00F65835" w:rsidRDefault="00193A7D" w:rsidP="00193A7D">
      <w:pPr>
        <w:pStyle w:val="Standard"/>
        <w:jc w:val="center"/>
        <w:rPr>
          <w:rFonts w:ascii="Times New Roman" w:hAnsi="Times New Roman"/>
          <w:noProof/>
          <w:lang w:eastAsia="it-IT" w:bidi="ar-SA"/>
        </w:rPr>
      </w:pPr>
    </w:p>
    <w:p w14:paraId="5DF2281A" w14:textId="7A41D5CD" w:rsidR="00193A7D" w:rsidRPr="00F65835" w:rsidRDefault="00193A7D" w:rsidP="00193A7D">
      <w:pPr>
        <w:pStyle w:val="Standard"/>
        <w:jc w:val="center"/>
        <w:rPr>
          <w:rFonts w:ascii="Times New Roman" w:hAnsi="Times New Roman"/>
          <w:noProof/>
          <w:lang w:eastAsia="it-IT" w:bidi="ar-SA"/>
        </w:rPr>
      </w:pPr>
    </w:p>
    <w:p w14:paraId="2DF94556" w14:textId="2E2AD012" w:rsidR="00193A7D" w:rsidRPr="00F65835" w:rsidRDefault="00193A7D" w:rsidP="00ED7C78">
      <w:pPr>
        <w:pStyle w:val="Standard"/>
        <w:jc w:val="both"/>
        <w:rPr>
          <w:rFonts w:ascii="Times New Roman" w:hAnsi="Times New Roman"/>
          <w:noProof/>
          <w:lang w:eastAsia="it-IT" w:bidi="ar-SA"/>
        </w:rPr>
      </w:pPr>
    </w:p>
    <w:p w14:paraId="424AFD65" w14:textId="7EDB6BC7" w:rsidR="00193A7D" w:rsidRPr="00F65835" w:rsidRDefault="00193A7D" w:rsidP="002114B9">
      <w:pPr>
        <w:pStyle w:val="Standard"/>
        <w:rPr>
          <w:rFonts w:ascii="Times New Roman" w:hAnsi="Times New Roman"/>
          <w:noProof/>
          <w:lang w:eastAsia="it-IT" w:bidi="ar-SA"/>
        </w:rPr>
      </w:pPr>
    </w:p>
    <w:p w14:paraId="51E7DA97" w14:textId="184466FD" w:rsidR="00193A7D" w:rsidRPr="00F65835" w:rsidRDefault="00193A7D" w:rsidP="00193A7D">
      <w:pPr>
        <w:pStyle w:val="Standard"/>
        <w:jc w:val="center"/>
        <w:rPr>
          <w:rFonts w:ascii="Times New Roman" w:hAnsi="Times New Roman"/>
          <w:noProof/>
          <w:lang w:eastAsia="it-IT" w:bidi="ar-SA"/>
        </w:rPr>
      </w:pPr>
    </w:p>
    <w:p w14:paraId="46B9B6F6" w14:textId="4F345404" w:rsidR="00193A7D" w:rsidRPr="00F65835" w:rsidRDefault="00193A7D" w:rsidP="00193A7D">
      <w:pPr>
        <w:pStyle w:val="Standard"/>
        <w:jc w:val="center"/>
        <w:rPr>
          <w:rFonts w:ascii="Times New Roman" w:hAnsi="Times New Roman"/>
          <w:noProof/>
          <w:lang w:eastAsia="it-IT" w:bidi="ar-SA"/>
        </w:rPr>
      </w:pPr>
    </w:p>
    <w:p w14:paraId="5DACC89E" w14:textId="4D0226EA" w:rsidR="00193A7D" w:rsidRPr="00F65835" w:rsidRDefault="002114B9" w:rsidP="00193A7D">
      <w:pPr>
        <w:pStyle w:val="Standard"/>
        <w:jc w:val="center"/>
        <w:rPr>
          <w:rFonts w:ascii="Times New Roman" w:hAnsi="Times New Roman"/>
          <w:noProof/>
          <w:lang w:eastAsia="it-IT" w:bidi="ar-SA"/>
        </w:rPr>
      </w:pPr>
      <w:r w:rsidRPr="00F65835">
        <w:rPr>
          <w:noProof/>
          <w:lang w:eastAsia="it-IT" w:bidi="ar-SA"/>
        </w:rPr>
        <mc:AlternateContent>
          <mc:Choice Requires="wps">
            <w:drawing>
              <wp:anchor distT="0" distB="0" distL="114300" distR="114300" simplePos="0" relativeHeight="251666432" behindDoc="0" locked="0" layoutInCell="1" allowOverlap="1" wp14:anchorId="0981DA19" wp14:editId="5B40B18D">
                <wp:simplePos x="0" y="0"/>
                <wp:positionH relativeFrom="margin">
                  <wp:posOffset>2628900</wp:posOffset>
                </wp:positionH>
                <wp:positionV relativeFrom="page">
                  <wp:posOffset>7726045</wp:posOffset>
                </wp:positionV>
                <wp:extent cx="2836545" cy="1033145"/>
                <wp:effectExtent l="0" t="0" r="8255" b="8255"/>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6545" cy="10331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14:paraId="1B7C6D31" w14:textId="39AA4AF7" w:rsidR="002114B9" w:rsidRPr="002114B9" w:rsidRDefault="002114B9" w:rsidP="00193A7D">
                            <w:pPr>
                              <w:jc w:val="right"/>
                            </w:pPr>
                            <w:r w:rsidRPr="002114B9">
                              <w:t>IL COORDINATORE</w:t>
                            </w:r>
                          </w:p>
                          <w:p w14:paraId="0F75C0E7" w14:textId="77777777" w:rsidR="002114B9" w:rsidRPr="002114B9" w:rsidRDefault="002114B9" w:rsidP="00193A7D">
                            <w:pPr>
                              <w:jc w:val="right"/>
                              <w:rPr>
                                <w:b/>
                                <w:bCs/>
                              </w:rPr>
                            </w:pPr>
                            <w:r w:rsidRPr="002114B9">
                              <w:rPr>
                                <w:b/>
                                <w:bCs/>
                              </w:rPr>
                              <w:t>PROF. ANTONINO TUTTOLOMONDO</w:t>
                            </w:r>
                          </w:p>
                          <w:p w14:paraId="33761810" w14:textId="77777777" w:rsidR="002114B9" w:rsidRPr="002114B9" w:rsidRDefault="002114B9" w:rsidP="00193A7D">
                            <w:pPr>
                              <w:jc w:val="center"/>
                              <w:rPr>
                                <w:b/>
                                <w:bCs/>
                              </w:rPr>
                            </w:pPr>
                          </w:p>
                          <w:p w14:paraId="5485F5DA" w14:textId="4AC124DC" w:rsidR="002114B9" w:rsidRPr="002114B9" w:rsidRDefault="004D2644" w:rsidP="00193A7D">
                            <w:pPr>
                              <w:jc w:val="right"/>
                              <w:rPr>
                                <w:b/>
                                <w:bCs/>
                              </w:rPr>
                            </w:pPr>
                            <w:r>
                              <w:rPr>
                                <w:bCs/>
                              </w:rPr>
                              <w:t xml:space="preserve">          </w:t>
                            </w:r>
                            <w:r w:rsidR="002114B9" w:rsidRPr="002114B9">
                              <w:rPr>
                                <w:bCs/>
                              </w:rPr>
                              <w:t>IL CO-TUTOR</w:t>
                            </w:r>
                            <w:r w:rsidR="002114B9" w:rsidRPr="002114B9">
                              <w:rPr>
                                <w:bCs/>
                              </w:rPr>
                              <w:tab/>
                              <w:t>\</w:t>
                            </w:r>
                          </w:p>
                          <w:p w14:paraId="32359672" w14:textId="77777777" w:rsidR="002114B9" w:rsidRPr="007441FB" w:rsidRDefault="002114B9" w:rsidP="00193A7D">
                            <w:pPr>
                              <w:jc w:val="right"/>
                              <w:rPr>
                                <w:b/>
                                <w:bCs/>
                                <w:sz w:val="22"/>
                                <w:szCs w:val="22"/>
                              </w:rPr>
                            </w:pPr>
                            <w:r w:rsidRPr="002114B9">
                              <w:rPr>
                                <w:b/>
                                <w:bCs/>
                              </w:rPr>
                              <w:t>PROF. DOMENICO DI RAIMONDO</w:t>
                            </w: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id="Casella di testo 1" o:spid="_x0000_s1028" type="#_x0000_t202" style="position:absolute;left:0;text-align:left;margin-left:207pt;margin-top:608.35pt;width:223.35pt;height:81.3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" filled="f" stroked="f">
                <v:stroke joinstyle="round"/>
                <v:textbox inset="0,0,0,0">
                  <w:txbxContent>
                    <w:p w14:paraId="1B7C6D31" w14:textId="39AA4AF7" w:rsidR="002114B9" w:rsidRPr="002114B9" w:rsidRDefault="002114B9" w:rsidP="00193A7D">
                      <w:pPr>
                        <w:jc w:val="right"/>
                      </w:pPr>
                      <w:r w:rsidRPr="002114B9">
                        <w:t>IL COORDINATORE</w:t>
                      </w:r>
                    </w:p>
                    <w:p w14:paraId="0F75C0E7" w14:textId="77777777" w:rsidR="002114B9" w:rsidRPr="002114B9" w:rsidRDefault="002114B9" w:rsidP="00193A7D">
                      <w:pPr>
                        <w:jc w:val="right"/>
                        <w:rPr>
                          <w:b/>
                          <w:bCs/>
                        </w:rPr>
                      </w:pPr>
                      <w:r w:rsidRPr="002114B9">
                        <w:rPr>
                          <w:b/>
                          <w:bCs/>
                        </w:rPr>
                        <w:t>PROF. ANTONINO TUTTOLOMONDO</w:t>
                      </w:r>
                    </w:p>
                    <w:p w14:paraId="33761810" w14:textId="77777777" w:rsidR="002114B9" w:rsidRPr="002114B9" w:rsidRDefault="002114B9" w:rsidP="00193A7D">
                      <w:pPr>
                        <w:jc w:val="center"/>
                        <w:rPr>
                          <w:b/>
                          <w:bCs/>
                        </w:rPr>
                      </w:pPr>
                    </w:p>
                    <w:p w14:paraId="5485F5DA" w14:textId="4AC124DC" w:rsidR="002114B9" w:rsidRPr="002114B9" w:rsidRDefault="004D2644" w:rsidP="00193A7D">
                      <w:pPr>
                        <w:jc w:val="right"/>
                        <w:rPr>
                          <w:b/>
                          <w:bCs/>
                        </w:rPr>
                      </w:pPr>
                      <w:r>
                        <w:rPr>
                          <w:bCs/>
                        </w:rPr>
                        <w:t xml:space="preserve">          </w:t>
                      </w:r>
                      <w:r w:rsidR="002114B9" w:rsidRPr="002114B9">
                        <w:rPr>
                          <w:bCs/>
                        </w:rPr>
                        <w:t>IL CO-TUTOR</w:t>
                      </w:r>
                      <w:r w:rsidR="002114B9" w:rsidRPr="002114B9">
                        <w:rPr>
                          <w:bCs/>
                        </w:rPr>
                        <w:tab/>
                        <w:t>\</w:t>
                      </w:r>
                    </w:p>
                    <w:p w14:paraId="32359672" w14:textId="77777777" w:rsidR="002114B9" w:rsidRPr="007441FB" w:rsidRDefault="002114B9" w:rsidP="00193A7D">
                      <w:pPr>
                        <w:jc w:val="right"/>
                        <w:rPr>
                          <w:b/>
                          <w:bCs/>
                          <w:sz w:val="22"/>
                          <w:szCs w:val="22"/>
                        </w:rPr>
                      </w:pPr>
                      <w:r w:rsidRPr="002114B9">
                        <w:rPr>
                          <w:b/>
                          <w:bCs/>
                        </w:rPr>
                        <w:t>PROF. DOMENICO DI RAIMONDO</w:t>
                      </w:r>
                    </w:p>
                  </w:txbxContent>
                </v:textbox>
                <w10:wrap anchorx="margin" anchory="page"/>
              </v:shape>
            </w:pict>
          </mc:Fallback>
        </mc:AlternateContent>
      </w:r>
    </w:p>
    <w:p w14:paraId="489939A7" w14:textId="0394F4E7" w:rsidR="00193A7D" w:rsidRPr="00F65835" w:rsidRDefault="00193A7D" w:rsidP="00193A7D">
      <w:pPr>
        <w:pStyle w:val="Standard"/>
        <w:jc w:val="center"/>
        <w:rPr>
          <w:rFonts w:ascii="Times New Roman" w:hAnsi="Times New Roman"/>
          <w:noProof/>
          <w:lang w:eastAsia="it-IT" w:bidi="ar-SA"/>
        </w:rPr>
      </w:pPr>
    </w:p>
    <w:p w14:paraId="394596DB" w14:textId="516A1AB4" w:rsidR="00193A7D" w:rsidRDefault="00193A7D" w:rsidP="00193A7D">
      <w:pPr>
        <w:pStyle w:val="Standard"/>
        <w:jc w:val="center"/>
        <w:rPr>
          <w:rFonts w:ascii="Times New Roman" w:hAnsi="Times New Roman"/>
          <w:noProof/>
          <w:lang w:eastAsia="it-IT" w:bidi="ar-SA"/>
        </w:rPr>
      </w:pPr>
    </w:p>
    <w:p w14:paraId="3DB92B92" w14:textId="0A17D5DC" w:rsidR="00193A7D" w:rsidRDefault="00193A7D" w:rsidP="00193A7D">
      <w:pPr>
        <w:pStyle w:val="Standard"/>
        <w:jc w:val="center"/>
        <w:rPr>
          <w:rFonts w:ascii="Times New Roman" w:hAnsi="Times New Roman"/>
          <w:noProof/>
          <w:lang w:eastAsia="it-IT" w:bidi="ar-SA"/>
        </w:rPr>
      </w:pPr>
    </w:p>
    <w:p w14:paraId="03C95BFB" w14:textId="30AA3725" w:rsidR="00193A7D" w:rsidRDefault="00193A7D" w:rsidP="00193A7D">
      <w:pPr>
        <w:pStyle w:val="Standard"/>
        <w:jc w:val="center"/>
        <w:rPr>
          <w:rFonts w:ascii="Times New Roman" w:hAnsi="Times New Roman"/>
          <w:noProof/>
          <w:lang w:eastAsia="it-IT" w:bidi="ar-SA"/>
        </w:rPr>
      </w:pPr>
    </w:p>
    <w:p w14:paraId="5EDA5ACA" w14:textId="589B9FDB" w:rsidR="00193A7D" w:rsidRDefault="00193A7D" w:rsidP="00193A7D">
      <w:pPr>
        <w:pStyle w:val="Standard"/>
        <w:jc w:val="center"/>
        <w:rPr>
          <w:rFonts w:ascii="Times New Roman" w:hAnsi="Times New Roman"/>
          <w:noProof/>
          <w:lang w:eastAsia="it-IT" w:bidi="ar-SA"/>
        </w:rPr>
      </w:pPr>
    </w:p>
    <w:p w14:paraId="79D9D078" w14:textId="669BADC1" w:rsidR="00193A7D" w:rsidRDefault="002114B9" w:rsidP="00193A7D">
      <w:pPr>
        <w:pStyle w:val="Standard"/>
        <w:jc w:val="center"/>
        <w:rPr>
          <w:noProof/>
          <w:lang w:eastAsia="it-IT" w:bidi="ar-SA"/>
        </w:rPr>
      </w:pPr>
      <w:r w:rsidRPr="00F65835">
        <w:rPr>
          <w:rFonts w:ascii="Times New Roman" w:hAnsi="Times New Roman"/>
          <w:noProof/>
          <w:lang w:eastAsia="it-IT" w:bidi="ar-SA"/>
        </w:rPr>
        <mc:AlternateContent>
          <mc:Choice Requires="wps">
            <w:drawing>
              <wp:anchor distT="0" distB="0" distL="114300" distR="114300" simplePos="0" relativeHeight="251665408" behindDoc="0" locked="0" layoutInCell="1" allowOverlap="1" wp14:anchorId="1EB9DEBC" wp14:editId="62FDF86D">
                <wp:simplePos x="0" y="0"/>
                <wp:positionH relativeFrom="margin">
                  <wp:posOffset>-342900</wp:posOffset>
                </wp:positionH>
                <wp:positionV relativeFrom="page">
                  <wp:posOffset>7721600</wp:posOffset>
                </wp:positionV>
                <wp:extent cx="2743200" cy="1065530"/>
                <wp:effectExtent l="0" t="0" r="0" b="1270"/>
                <wp:wrapNone/>
                <wp:docPr id="16" name="Casella di tes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0655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14:paraId="05ACC537" w14:textId="28C2C32E" w:rsidR="002114B9" w:rsidRPr="002114B9" w:rsidRDefault="002114B9" w:rsidP="00193A7D">
                            <w:r>
                              <w:rPr>
                                <w:sz w:val="22"/>
                                <w:szCs w:val="22"/>
                              </w:rPr>
                              <w:t xml:space="preserve"> </w:t>
                            </w:r>
                            <w:r w:rsidRPr="002114B9">
                              <w:t>IL DOTTORE</w:t>
                            </w:r>
                          </w:p>
                          <w:p w14:paraId="03ECF488" w14:textId="77777777" w:rsidR="002114B9" w:rsidRPr="002114B9" w:rsidRDefault="002114B9" w:rsidP="00193A7D">
                            <w:pPr>
                              <w:rPr>
                                <w:b/>
                                <w:bCs/>
                              </w:rPr>
                            </w:pPr>
                            <w:r w:rsidRPr="002114B9">
                              <w:rPr>
                                <w:b/>
                                <w:bCs/>
                              </w:rPr>
                              <w:t>DOTT. ALESSANDRO DEL CUORE</w:t>
                            </w:r>
                          </w:p>
                          <w:p w14:paraId="6F12D684" w14:textId="77777777" w:rsidR="002114B9" w:rsidRPr="002114B9" w:rsidRDefault="002114B9" w:rsidP="00193A7D">
                            <w:pPr>
                              <w:rPr>
                                <w:b/>
                                <w:bCs/>
                              </w:rPr>
                            </w:pPr>
                          </w:p>
                          <w:p w14:paraId="40BC68C9" w14:textId="170CB0FA" w:rsidR="002114B9" w:rsidRPr="002114B9" w:rsidRDefault="002114B9" w:rsidP="00193A7D">
                            <w:pPr>
                              <w:rPr>
                                <w:bCs/>
                              </w:rPr>
                            </w:pPr>
                            <w:r w:rsidRPr="002114B9">
                              <w:rPr>
                                <w:bCs/>
                              </w:rPr>
                              <w:t>IL TUTOR</w:t>
                            </w:r>
                          </w:p>
                          <w:p w14:paraId="501682D5" w14:textId="5CEE2502" w:rsidR="002114B9" w:rsidRPr="002114B9" w:rsidRDefault="002114B9" w:rsidP="00193A7D">
                            <w:r w:rsidRPr="002114B9">
                              <w:rPr>
                                <w:b/>
                                <w:bCs/>
                              </w:rPr>
                              <w:t>PROF. ANTONINO TUTTOLOMO</w:t>
                            </w:r>
                            <w:r w:rsidRPr="002114B9">
                              <w:rPr>
                                <w:b/>
                                <w:bCs/>
                              </w:rPr>
                              <w:t>N</w:t>
                            </w:r>
                            <w:r w:rsidRPr="002114B9">
                              <w:rPr>
                                <w:b/>
                                <w:bCs/>
                              </w:rPr>
                              <w:t>DO</w:t>
                            </w:r>
                            <w:r w:rsidRPr="002114B9">
                              <w:rPr>
                                <w:b/>
                                <w:bCs/>
                              </w:rPr>
                              <w:tab/>
                            </w: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id="Casella di testo 16" o:spid="_x0000_s1029" type="#_x0000_t202" style="position:absolute;left:0;text-align:left;margin-left:-26.95pt;margin-top:608pt;width:3in;height:83.9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" filled="f" stroked="f">
                <v:stroke joinstyle="round"/>
                <v:textbox inset="0,0,0,0">
                  <w:txbxContent>
                    <w:p w14:paraId="05ACC537" w14:textId="28C2C32E" w:rsidR="002114B9" w:rsidRPr="002114B9" w:rsidRDefault="002114B9" w:rsidP="00193A7D">
                      <w:r>
                        <w:rPr>
                          <w:sz w:val="22"/>
                          <w:szCs w:val="22"/>
                        </w:rPr>
                        <w:t xml:space="preserve"> </w:t>
                      </w:r>
                      <w:r w:rsidRPr="002114B9">
                        <w:t>IL DOTTORE</w:t>
                      </w:r>
                    </w:p>
                    <w:p w14:paraId="03ECF488" w14:textId="77777777" w:rsidR="002114B9" w:rsidRPr="002114B9" w:rsidRDefault="002114B9" w:rsidP="00193A7D">
                      <w:pPr>
                        <w:rPr>
                          <w:b/>
                          <w:bCs/>
                        </w:rPr>
                      </w:pPr>
                      <w:r w:rsidRPr="002114B9">
                        <w:rPr>
                          <w:b/>
                          <w:bCs/>
                        </w:rPr>
                        <w:t>DOTT. ALESSANDRO DEL CUORE</w:t>
                      </w:r>
                    </w:p>
                    <w:p w14:paraId="6F12D684" w14:textId="77777777" w:rsidR="002114B9" w:rsidRPr="002114B9" w:rsidRDefault="002114B9" w:rsidP="00193A7D">
                      <w:pPr>
                        <w:rPr>
                          <w:b/>
                          <w:bCs/>
                        </w:rPr>
                      </w:pPr>
                    </w:p>
                    <w:p w14:paraId="40BC68C9" w14:textId="170CB0FA" w:rsidR="002114B9" w:rsidRPr="002114B9" w:rsidRDefault="002114B9" w:rsidP="00193A7D">
                      <w:pPr>
                        <w:rPr>
                          <w:bCs/>
                        </w:rPr>
                      </w:pPr>
                      <w:r w:rsidRPr="002114B9">
                        <w:rPr>
                          <w:bCs/>
                        </w:rPr>
                        <w:t>IL TUTOR</w:t>
                      </w:r>
                    </w:p>
                    <w:p w14:paraId="501682D5" w14:textId="5CEE2502" w:rsidR="002114B9" w:rsidRPr="002114B9" w:rsidRDefault="002114B9" w:rsidP="00193A7D">
                      <w:r w:rsidRPr="002114B9">
                        <w:rPr>
                          <w:b/>
                          <w:bCs/>
                        </w:rPr>
                        <w:t>PROF. ANTONINO TUTTOLOMO</w:t>
                      </w:r>
                      <w:r w:rsidRPr="002114B9">
                        <w:rPr>
                          <w:b/>
                          <w:bCs/>
                        </w:rPr>
                        <w:t>N</w:t>
                      </w:r>
                      <w:r w:rsidRPr="002114B9">
                        <w:rPr>
                          <w:b/>
                          <w:bCs/>
                        </w:rPr>
                        <w:t>DO</w:t>
                      </w:r>
                      <w:r w:rsidRPr="002114B9">
                        <w:rPr>
                          <w:b/>
                          <w:bCs/>
                        </w:rPr>
                        <w:tab/>
                      </w:r>
                    </w:p>
                  </w:txbxContent>
                </v:textbox>
                <w10:wrap anchorx="margin" anchory="page"/>
              </v:shape>
            </w:pict>
          </mc:Fallback>
        </mc:AlternateContent>
      </w:r>
    </w:p>
    <w:p w14:paraId="6728D568" w14:textId="77777777" w:rsidR="00BE0104" w:rsidRDefault="00BE0104" w:rsidP="00193A7D">
      <w:pPr>
        <w:pStyle w:val="Standard"/>
        <w:jc w:val="center"/>
        <w:rPr>
          <w:noProof/>
          <w:lang w:eastAsia="it-IT" w:bidi="ar-SA"/>
        </w:rPr>
      </w:pPr>
    </w:p>
    <w:p w14:paraId="248FE813" w14:textId="77777777" w:rsidR="00BE0104" w:rsidRDefault="00BE0104" w:rsidP="00193A7D">
      <w:pPr>
        <w:pStyle w:val="Standard"/>
        <w:jc w:val="center"/>
        <w:rPr>
          <w:noProof/>
          <w:lang w:eastAsia="it-IT" w:bidi="ar-SA"/>
        </w:rPr>
      </w:pPr>
    </w:p>
    <w:p w14:paraId="3FC6ECF4" w14:textId="6B2A83A2" w:rsidR="00BE0104" w:rsidRDefault="00BE0104" w:rsidP="00193A7D">
      <w:pPr>
        <w:pStyle w:val="Standard"/>
        <w:jc w:val="center"/>
        <w:rPr>
          <w:noProof/>
          <w:lang w:eastAsia="it-IT" w:bidi="ar-SA"/>
        </w:rPr>
      </w:pPr>
      <w:r w:rsidRPr="00F65835">
        <w:rPr>
          <w:noProof/>
        </w:rPr>
        <mc:AlternateContent>
          <mc:Choice Requires="wps">
            <w:drawing>
              <wp:anchor distT="0" distB="0" distL="114300" distR="114300" simplePos="0" relativeHeight="251672576" behindDoc="0" locked="0" layoutInCell="1" allowOverlap="1" wp14:anchorId="11D15154" wp14:editId="370302AB">
                <wp:simplePos x="0" y="0"/>
                <wp:positionH relativeFrom="margin">
                  <wp:posOffset>97155</wp:posOffset>
                </wp:positionH>
                <wp:positionV relativeFrom="page">
                  <wp:posOffset>9288780</wp:posOffset>
                </wp:positionV>
                <wp:extent cx="4762500" cy="755015"/>
                <wp:effectExtent l="0" t="0" r="12700" b="6985"/>
                <wp:wrapNone/>
                <wp:docPr id="15" name="Casella di tes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0" cy="7550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14:paraId="5753962C" w14:textId="77777777" w:rsidR="002114B9" w:rsidRDefault="002114B9" w:rsidP="007F7821">
                            <w:pPr>
                              <w:jc w:val="center"/>
                              <w:rPr>
                                <w:sz w:val="22"/>
                                <w:szCs w:val="22"/>
                                <w:lang w:val="en-US"/>
                              </w:rPr>
                            </w:pPr>
                          </w:p>
                          <w:p w14:paraId="098A2188" w14:textId="133515DB" w:rsidR="002114B9" w:rsidRDefault="002114B9" w:rsidP="007F7821">
                            <w:pPr>
                              <w:jc w:val="center"/>
                              <w:rPr>
                                <w:sz w:val="22"/>
                                <w:szCs w:val="22"/>
                                <w:lang w:val="en-US"/>
                              </w:rPr>
                            </w:pPr>
                            <w:r>
                              <w:rPr>
                                <w:sz w:val="22"/>
                                <w:szCs w:val="22"/>
                                <w:lang w:val="en-US"/>
                              </w:rPr>
                              <w:t>CICLO XXXVIII</w:t>
                            </w:r>
                          </w:p>
                          <w:p w14:paraId="49C304FF" w14:textId="77F98DD4" w:rsidR="002114B9" w:rsidRDefault="002114B9" w:rsidP="007F7821">
                            <w:pPr>
                              <w:jc w:val="center"/>
                              <w:rPr>
                                <w:sz w:val="22"/>
                                <w:szCs w:val="22"/>
                                <w:lang w:val="en-US"/>
                              </w:rPr>
                            </w:pPr>
                            <w:r w:rsidRPr="00664CB1">
                              <w:rPr>
                                <w:sz w:val="22"/>
                                <w:szCs w:val="22"/>
                                <w:lang w:val="en-US"/>
                              </w:rPr>
                              <w:t xml:space="preserve">ANNO ACCADEMICO </w:t>
                            </w:r>
                            <w:r>
                              <w:rPr>
                                <w:sz w:val="22"/>
                                <w:szCs w:val="22"/>
                                <w:lang w:val="en-US"/>
                              </w:rPr>
                              <w:t>2022</w:t>
                            </w:r>
                            <w:r w:rsidRPr="00664CB1">
                              <w:rPr>
                                <w:sz w:val="22"/>
                                <w:szCs w:val="22"/>
                                <w:lang w:val="en-US"/>
                              </w:rPr>
                              <w:t xml:space="preserve"> </w:t>
                            </w:r>
                            <w:r>
                              <w:rPr>
                                <w:sz w:val="22"/>
                                <w:szCs w:val="22"/>
                                <w:lang w:val="en-US"/>
                              </w:rPr>
                              <w:t>–</w:t>
                            </w:r>
                            <w:r w:rsidRPr="00664CB1">
                              <w:rPr>
                                <w:sz w:val="22"/>
                                <w:szCs w:val="22"/>
                                <w:lang w:val="en-US"/>
                              </w:rPr>
                              <w:t xml:space="preserve"> </w:t>
                            </w:r>
                            <w:r>
                              <w:rPr>
                                <w:sz w:val="22"/>
                                <w:szCs w:val="22"/>
                                <w:lang w:val="en-US"/>
                              </w:rPr>
                              <w:t>2023</w:t>
                            </w:r>
                          </w:p>
                          <w:p w14:paraId="7B1BE3A8" w14:textId="3F9D1EC0" w:rsidR="002114B9" w:rsidRPr="00664CB1" w:rsidRDefault="002114B9" w:rsidP="007F7821">
                            <w:pPr>
                              <w:jc w:val="center"/>
                              <w:rPr>
                                <w:sz w:val="22"/>
                                <w:szCs w:val="22"/>
                                <w:lang w:val="en-US"/>
                              </w:rPr>
                            </w:pPr>
                            <w:r>
                              <w:rPr>
                                <w:sz w:val="22"/>
                                <w:szCs w:val="22"/>
                                <w:lang w:val="en-US"/>
                              </w:rPr>
                              <w:t>ANNO CONSEGUIMENTO TITOLO 2026</w:t>
                            </w: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id="Casella di testo 15" o:spid="_x0000_s1030" type="#_x0000_t202" style="position:absolute;left:0;text-align:left;margin-left:7.65pt;margin-top:731.4pt;width:375pt;height:59.4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" filled="f" stroked="f">
                <v:stroke joinstyle="round"/>
                <v:textbox inset="0,0,0,0">
                  <w:txbxContent>
                    <w:p w14:paraId="5753962C" w14:textId="77777777" w:rsidR="002114B9" w:rsidRDefault="002114B9" w:rsidP="007F7821">
                      <w:pPr>
                        <w:jc w:val="center"/>
                        <w:rPr>
                          <w:sz w:val="22"/>
                          <w:szCs w:val="22"/>
                          <w:lang w:val="en-US"/>
                        </w:rPr>
                      </w:pPr>
                    </w:p>
                    <w:p w14:paraId="098A2188" w14:textId="133515DB" w:rsidR="002114B9" w:rsidRDefault="002114B9" w:rsidP="007F7821">
                      <w:pPr>
                        <w:jc w:val="center"/>
                        <w:rPr>
                          <w:sz w:val="22"/>
                          <w:szCs w:val="22"/>
                          <w:lang w:val="en-US"/>
                        </w:rPr>
                      </w:pPr>
                      <w:r>
                        <w:rPr>
                          <w:sz w:val="22"/>
                          <w:szCs w:val="22"/>
                          <w:lang w:val="en-US"/>
                        </w:rPr>
                        <w:t>CICLO XXXVIII</w:t>
                      </w:r>
                    </w:p>
                    <w:p w14:paraId="49C304FF" w14:textId="77F98DD4" w:rsidR="002114B9" w:rsidRDefault="002114B9" w:rsidP="007F7821">
                      <w:pPr>
                        <w:jc w:val="center"/>
                        <w:rPr>
                          <w:sz w:val="22"/>
                          <w:szCs w:val="22"/>
                          <w:lang w:val="en-US"/>
                        </w:rPr>
                      </w:pPr>
                      <w:r w:rsidRPr="00664CB1">
                        <w:rPr>
                          <w:sz w:val="22"/>
                          <w:szCs w:val="22"/>
                          <w:lang w:val="en-US"/>
                        </w:rPr>
                        <w:t xml:space="preserve">ANNO ACCADEMICO </w:t>
                      </w:r>
                      <w:r>
                        <w:rPr>
                          <w:sz w:val="22"/>
                          <w:szCs w:val="22"/>
                          <w:lang w:val="en-US"/>
                        </w:rPr>
                        <w:t>2022</w:t>
                      </w:r>
                      <w:r w:rsidRPr="00664CB1">
                        <w:rPr>
                          <w:sz w:val="22"/>
                          <w:szCs w:val="22"/>
                          <w:lang w:val="en-US"/>
                        </w:rPr>
                        <w:t xml:space="preserve"> </w:t>
                      </w:r>
                      <w:r>
                        <w:rPr>
                          <w:sz w:val="22"/>
                          <w:szCs w:val="22"/>
                          <w:lang w:val="en-US"/>
                        </w:rPr>
                        <w:t>–</w:t>
                      </w:r>
                      <w:r w:rsidRPr="00664CB1">
                        <w:rPr>
                          <w:sz w:val="22"/>
                          <w:szCs w:val="22"/>
                          <w:lang w:val="en-US"/>
                        </w:rPr>
                        <w:t xml:space="preserve"> </w:t>
                      </w:r>
                      <w:r>
                        <w:rPr>
                          <w:sz w:val="22"/>
                          <w:szCs w:val="22"/>
                          <w:lang w:val="en-US"/>
                        </w:rPr>
                        <w:t>2023</w:t>
                      </w:r>
                    </w:p>
                    <w:p w14:paraId="7B1BE3A8" w14:textId="3F9D1EC0" w:rsidR="002114B9" w:rsidRPr="00664CB1" w:rsidRDefault="002114B9" w:rsidP="007F7821">
                      <w:pPr>
                        <w:jc w:val="center"/>
                        <w:rPr>
                          <w:sz w:val="22"/>
                          <w:szCs w:val="22"/>
                          <w:lang w:val="en-US"/>
                        </w:rPr>
                      </w:pPr>
                      <w:r>
                        <w:rPr>
                          <w:sz w:val="22"/>
                          <w:szCs w:val="22"/>
                          <w:lang w:val="en-US"/>
                        </w:rPr>
                        <w:t>ANNO CONSEGUIMENTO TITOLO 2026</w:t>
                      </w:r>
                    </w:p>
                  </w:txbxContent>
                </v:textbox>
                <w10:wrap anchorx="margin" anchory="page"/>
              </v:shape>
            </w:pict>
          </mc:Fallback>
        </mc:AlternateContent>
      </w:r>
    </w:p>
    <w:p w14:paraId="4D7D347E" w14:textId="77777777" w:rsidR="00BE0104" w:rsidRPr="008A5D6D" w:rsidRDefault="00BE0104" w:rsidP="00193A7D">
      <w:pPr>
        <w:pStyle w:val="Standard"/>
        <w:jc w:val="center"/>
        <w:rPr>
          <w:rFonts w:ascii="Times New Roman" w:hAnsi="Times New Roman"/>
          <w:noProof/>
          <w:lang w:eastAsia="it-IT" w:bidi="ar-SA"/>
        </w:rPr>
      </w:pPr>
    </w:p>
    <w:p w14:paraId="341F8AAC" w14:textId="53D69BF9" w:rsidR="00193A7D" w:rsidRPr="00D45A0F" w:rsidRDefault="00193A7D" w:rsidP="00193A7D"/>
    <w:p w14:paraId="3917C4B9" w14:textId="6E17C8DB" w:rsidR="00193A7D" w:rsidRPr="00D45A0F" w:rsidRDefault="00193A7D" w:rsidP="00BE0104">
      <w:pPr>
        <w:jc w:val="center"/>
      </w:pPr>
    </w:p>
    <w:p w14:paraId="17ADA38C" w14:textId="6006819E" w:rsidR="007F7821" w:rsidRPr="00762111" w:rsidRDefault="007F7821" w:rsidP="00193A7D"/>
    <w:p w14:paraId="7B67E5B5" w14:textId="43421F18" w:rsidR="00193A7D" w:rsidRPr="00E235FA" w:rsidRDefault="00193A7D" w:rsidP="00193A7D">
      <w:pPr>
        <w:spacing w:line="360" w:lineRule="auto"/>
        <w:jc w:val="center"/>
        <w:rPr>
          <w:b/>
          <w:caps/>
        </w:rPr>
      </w:pPr>
      <w:r>
        <w:rPr>
          <w:b/>
          <w:caps/>
        </w:rPr>
        <w:t xml:space="preserve"> </w:t>
      </w:r>
    </w:p>
    <w:p w14:paraId="5F422CED" w14:textId="37170BFE" w:rsidR="00193A7D" w:rsidRPr="00762111" w:rsidRDefault="00193A7D" w:rsidP="00193A7D">
      <w:pPr>
        <w:spacing w:line="360" w:lineRule="auto"/>
      </w:pPr>
    </w:p>
    <w:p w14:paraId="08C2572B" w14:textId="225524E3" w:rsidR="00193A7D" w:rsidRPr="00762111" w:rsidRDefault="00193A7D" w:rsidP="00193A7D">
      <w:pPr>
        <w:spacing w:line="360" w:lineRule="auto"/>
      </w:pPr>
    </w:p>
    <w:p w14:paraId="2296C2A6" w14:textId="396583C0" w:rsidR="00193A7D" w:rsidRPr="00762111" w:rsidRDefault="00193A7D" w:rsidP="00193A7D">
      <w:pPr>
        <w:spacing w:line="360" w:lineRule="auto"/>
      </w:pPr>
    </w:p>
    <w:p w14:paraId="0CB60C5C" w14:textId="774A5B3B" w:rsidR="00193A7D" w:rsidRPr="00762111" w:rsidRDefault="00193A7D" w:rsidP="00193A7D">
      <w:pPr>
        <w:spacing w:line="360" w:lineRule="auto"/>
      </w:pPr>
    </w:p>
    <w:p w14:paraId="3F04E5C9" w14:textId="37666981" w:rsidR="00193A7D" w:rsidRPr="00762111" w:rsidRDefault="00193A7D" w:rsidP="00193A7D">
      <w:pPr>
        <w:spacing w:line="360" w:lineRule="auto"/>
      </w:pPr>
    </w:p>
    <w:p w14:paraId="39F02AFC" w14:textId="775354D4" w:rsidR="00193A7D" w:rsidRPr="00762111" w:rsidRDefault="00193A7D" w:rsidP="00193A7D">
      <w:pPr>
        <w:spacing w:line="360" w:lineRule="auto"/>
      </w:pPr>
    </w:p>
    <w:p w14:paraId="4DADCCA7" w14:textId="1F660E8A" w:rsidR="00193A7D" w:rsidRDefault="00193A7D" w:rsidP="00181479">
      <w:pPr>
        <w:spacing w:line="360" w:lineRule="auto"/>
        <w:jc w:val="right"/>
      </w:pPr>
    </w:p>
    <w:p w14:paraId="72E5CE19" w14:textId="1E2E73EA" w:rsidR="00181479" w:rsidRDefault="00181479" w:rsidP="00181479">
      <w:pPr>
        <w:spacing w:line="360" w:lineRule="auto"/>
        <w:jc w:val="right"/>
      </w:pPr>
    </w:p>
    <w:p w14:paraId="79ADB5A5" w14:textId="58B0B85D" w:rsidR="00181479" w:rsidRDefault="00181479" w:rsidP="00181479">
      <w:pPr>
        <w:spacing w:line="360" w:lineRule="auto"/>
        <w:jc w:val="right"/>
      </w:pPr>
    </w:p>
    <w:p w14:paraId="4BB6C6EC" w14:textId="600CBD74" w:rsidR="00103EB5" w:rsidRDefault="00103EB5" w:rsidP="00103EB5">
      <w:pPr>
        <w:spacing w:line="360" w:lineRule="auto"/>
        <w:jc w:val="right"/>
        <w:rPr>
          <w:i/>
          <w:iCs/>
        </w:rPr>
      </w:pPr>
    </w:p>
    <w:p w14:paraId="3E9D5FCD" w14:textId="184CE25A" w:rsidR="00103EB5" w:rsidRDefault="00103EB5" w:rsidP="00103EB5">
      <w:pPr>
        <w:spacing w:line="360" w:lineRule="auto"/>
        <w:jc w:val="right"/>
        <w:rPr>
          <w:i/>
          <w:iCs/>
        </w:rPr>
      </w:pPr>
    </w:p>
    <w:p w14:paraId="082DCF6A" w14:textId="798793F6" w:rsidR="00187356" w:rsidRDefault="00187356" w:rsidP="00103EB5">
      <w:pPr>
        <w:spacing w:line="360" w:lineRule="auto"/>
        <w:jc w:val="right"/>
        <w:rPr>
          <w:i/>
          <w:iCs/>
        </w:rPr>
      </w:pPr>
    </w:p>
    <w:p w14:paraId="286E5410" w14:textId="115B65FE" w:rsidR="00103EB5" w:rsidRDefault="00103EB5" w:rsidP="00103EB5">
      <w:pPr>
        <w:spacing w:line="360" w:lineRule="auto"/>
        <w:jc w:val="right"/>
        <w:rPr>
          <w:i/>
          <w:iCs/>
        </w:rPr>
      </w:pPr>
    </w:p>
    <w:p w14:paraId="7A64750C" w14:textId="7AEB3AE7" w:rsidR="007441FB" w:rsidRDefault="007441FB" w:rsidP="00103EB5">
      <w:pPr>
        <w:spacing w:line="360" w:lineRule="auto"/>
        <w:jc w:val="right"/>
        <w:rPr>
          <w:i/>
          <w:iCs/>
        </w:rPr>
      </w:pPr>
    </w:p>
    <w:p w14:paraId="2D3F9F56" w14:textId="7CD083F9" w:rsidR="007441FB" w:rsidRDefault="007441FB" w:rsidP="00103EB5">
      <w:pPr>
        <w:spacing w:line="360" w:lineRule="auto"/>
        <w:jc w:val="right"/>
        <w:rPr>
          <w:i/>
          <w:iCs/>
        </w:rPr>
      </w:pPr>
    </w:p>
    <w:p w14:paraId="6663F093" w14:textId="77777777" w:rsidR="007441FB" w:rsidRPr="00762111" w:rsidRDefault="007441FB" w:rsidP="00103EB5">
      <w:pPr>
        <w:spacing w:line="360" w:lineRule="auto"/>
        <w:jc w:val="right"/>
      </w:pPr>
    </w:p>
    <w:p w14:paraId="3B2A9DD8" w14:textId="4D252DC5" w:rsidR="00193A7D" w:rsidRPr="00762111" w:rsidRDefault="00193A7D" w:rsidP="00193A7D">
      <w:pPr>
        <w:spacing w:line="360" w:lineRule="auto"/>
      </w:pPr>
    </w:p>
    <w:p w14:paraId="6CF63145" w14:textId="4DF52752" w:rsidR="00193A7D" w:rsidRPr="00762111" w:rsidRDefault="00193A7D" w:rsidP="00193A7D">
      <w:pPr>
        <w:spacing w:line="360" w:lineRule="auto"/>
      </w:pPr>
    </w:p>
    <w:p w14:paraId="3BCD210C" w14:textId="3C32F8B6" w:rsidR="00193A7D" w:rsidRPr="00762111" w:rsidRDefault="00193A7D" w:rsidP="00193A7D">
      <w:pPr>
        <w:spacing w:line="360" w:lineRule="auto"/>
      </w:pPr>
    </w:p>
    <w:p w14:paraId="4779A24D" w14:textId="61AF98A7" w:rsidR="00193A7D" w:rsidRPr="00762111" w:rsidRDefault="00193A7D" w:rsidP="00193A7D">
      <w:pPr>
        <w:spacing w:line="360" w:lineRule="auto"/>
      </w:pPr>
    </w:p>
    <w:p w14:paraId="20542EC1" w14:textId="036DD813" w:rsidR="00193A7D" w:rsidRPr="00762111" w:rsidRDefault="00193A7D" w:rsidP="00193A7D">
      <w:pPr>
        <w:spacing w:line="360" w:lineRule="auto"/>
      </w:pPr>
    </w:p>
    <w:p w14:paraId="5892603A" w14:textId="52AFB4FC" w:rsidR="00193A7D" w:rsidRPr="00762111" w:rsidRDefault="00193A7D" w:rsidP="00193A7D">
      <w:pPr>
        <w:spacing w:line="360" w:lineRule="auto"/>
      </w:pPr>
    </w:p>
    <w:p w14:paraId="0282812B" w14:textId="769A8C07" w:rsidR="00193A7D" w:rsidRPr="00762111" w:rsidRDefault="00193A7D" w:rsidP="00193A7D">
      <w:pPr>
        <w:spacing w:line="360" w:lineRule="auto"/>
      </w:pPr>
    </w:p>
    <w:p w14:paraId="63A1F7E8" w14:textId="24DEB7D9" w:rsidR="00193A7D" w:rsidRPr="00762111" w:rsidRDefault="00193A7D" w:rsidP="00193A7D">
      <w:pPr>
        <w:spacing w:line="360" w:lineRule="auto"/>
      </w:pPr>
    </w:p>
    <w:p w14:paraId="57B05C58" w14:textId="77777777" w:rsidR="00193A7D" w:rsidRPr="00762111" w:rsidRDefault="00193A7D" w:rsidP="00193A7D">
      <w:pPr>
        <w:spacing w:line="360" w:lineRule="auto"/>
      </w:pPr>
    </w:p>
    <w:p w14:paraId="23D37D61" w14:textId="77777777" w:rsidR="00193A7D" w:rsidRPr="00762111" w:rsidRDefault="00193A7D" w:rsidP="00193A7D">
      <w:pPr>
        <w:spacing w:line="360" w:lineRule="auto"/>
      </w:pPr>
    </w:p>
    <w:p w14:paraId="037DAAD0" w14:textId="77777777" w:rsidR="00193A7D" w:rsidRPr="00762111" w:rsidRDefault="00193A7D" w:rsidP="00193A7D">
      <w:pPr>
        <w:spacing w:line="360" w:lineRule="auto"/>
      </w:pPr>
    </w:p>
    <w:p w14:paraId="070EA65D" w14:textId="77777777" w:rsidR="00193A7D" w:rsidRPr="00762111" w:rsidRDefault="00193A7D" w:rsidP="00193A7D">
      <w:pPr>
        <w:spacing w:line="360" w:lineRule="auto"/>
      </w:pPr>
    </w:p>
    <w:p w14:paraId="5810E51F" w14:textId="77777777" w:rsidR="00193A7D" w:rsidRPr="00762111" w:rsidRDefault="00193A7D" w:rsidP="00193A7D">
      <w:pPr>
        <w:spacing w:line="360" w:lineRule="auto"/>
      </w:pPr>
    </w:p>
    <w:p w14:paraId="07D05C14" w14:textId="360FEDAD" w:rsidR="00DE22C6" w:rsidRDefault="00DE22C6" w:rsidP="00181479">
      <w:pPr>
        <w:spacing w:line="360" w:lineRule="auto"/>
      </w:pPr>
    </w:p>
    <w:p w14:paraId="1C1DC4DD" w14:textId="77777777" w:rsidR="00181479" w:rsidRDefault="00181479" w:rsidP="00181479">
      <w:pPr>
        <w:spacing w:line="360" w:lineRule="auto"/>
        <w:rPr>
          <w:b/>
        </w:rPr>
      </w:pPr>
    </w:p>
    <w:p w14:paraId="1B2185A4" w14:textId="0E4AD57E" w:rsidR="00193A7D" w:rsidRPr="0046528D" w:rsidRDefault="00193A7D" w:rsidP="0046528D">
      <w:pPr>
        <w:spacing w:line="360" w:lineRule="auto"/>
        <w:jc w:val="both"/>
        <w:rPr>
          <w:b/>
        </w:rPr>
      </w:pPr>
      <w:r w:rsidRPr="0046528D">
        <w:rPr>
          <w:b/>
        </w:rPr>
        <w:t>- INDICE -</w:t>
      </w:r>
    </w:p>
    <w:p w14:paraId="701098CD" w14:textId="77777777" w:rsidR="00193A7D" w:rsidRPr="0046528D" w:rsidRDefault="00193A7D" w:rsidP="0046528D">
      <w:pPr>
        <w:spacing w:line="360" w:lineRule="auto"/>
        <w:jc w:val="both"/>
      </w:pPr>
    </w:p>
    <w:p w14:paraId="47C2E177" w14:textId="77777777" w:rsidR="00193A7D" w:rsidRPr="0046528D" w:rsidRDefault="00193A7D" w:rsidP="0046528D">
      <w:pPr>
        <w:spacing w:line="360" w:lineRule="auto"/>
        <w:jc w:val="both"/>
      </w:pPr>
      <w:r w:rsidRPr="0046528D">
        <w:t xml:space="preserve">CAPITOLO 1: </w:t>
      </w:r>
      <w:r w:rsidR="000347AC" w:rsidRPr="0046528D">
        <w:t>IL PIEDE DIABETICO</w:t>
      </w:r>
    </w:p>
    <w:p w14:paraId="1A5068C6" w14:textId="2688E6CD" w:rsidR="005727AD" w:rsidRPr="0046528D" w:rsidRDefault="00195ACA" w:rsidP="0046528D">
      <w:pPr>
        <w:pStyle w:val="Paragrafoelenco"/>
        <w:numPr>
          <w:ilvl w:val="1"/>
          <w:numId w:val="15"/>
        </w:numPr>
        <w:spacing w:line="360" w:lineRule="auto"/>
        <w:jc w:val="both"/>
        <w:rPr>
          <w:szCs w:val="24"/>
        </w:rPr>
      </w:pPr>
      <w:r w:rsidRPr="0046528D">
        <w:rPr>
          <w:szCs w:val="24"/>
        </w:rPr>
        <w:t xml:space="preserve">      </w:t>
      </w:r>
      <w:r w:rsidR="005727AD" w:rsidRPr="0046528D">
        <w:rPr>
          <w:szCs w:val="24"/>
        </w:rPr>
        <w:t>Introduzione</w:t>
      </w:r>
    </w:p>
    <w:p w14:paraId="19D045E7" w14:textId="7C29376D" w:rsidR="005727AD" w:rsidRPr="0046528D" w:rsidRDefault="00195ACA" w:rsidP="0046528D">
      <w:pPr>
        <w:pStyle w:val="Paragrafoelenco"/>
        <w:numPr>
          <w:ilvl w:val="1"/>
          <w:numId w:val="15"/>
        </w:numPr>
        <w:spacing w:line="360" w:lineRule="auto"/>
        <w:jc w:val="both"/>
        <w:rPr>
          <w:szCs w:val="24"/>
        </w:rPr>
      </w:pPr>
      <w:r w:rsidRPr="0046528D">
        <w:rPr>
          <w:szCs w:val="24"/>
        </w:rPr>
        <w:t xml:space="preserve">      </w:t>
      </w:r>
      <w:r w:rsidR="005727AD" w:rsidRPr="0046528D">
        <w:rPr>
          <w:szCs w:val="24"/>
        </w:rPr>
        <w:t>Epidemiologia</w:t>
      </w:r>
    </w:p>
    <w:p w14:paraId="66167DD1" w14:textId="63DB2DB7" w:rsidR="005727AD" w:rsidRPr="0046528D" w:rsidRDefault="00195ACA" w:rsidP="0046528D">
      <w:pPr>
        <w:pStyle w:val="Paragrafoelenco"/>
        <w:numPr>
          <w:ilvl w:val="1"/>
          <w:numId w:val="15"/>
        </w:numPr>
        <w:spacing w:line="360" w:lineRule="auto"/>
        <w:jc w:val="both"/>
        <w:rPr>
          <w:szCs w:val="24"/>
        </w:rPr>
      </w:pPr>
      <w:r w:rsidRPr="0046528D">
        <w:rPr>
          <w:szCs w:val="24"/>
        </w:rPr>
        <w:t xml:space="preserve">      </w:t>
      </w:r>
      <w:r w:rsidR="005727AD" w:rsidRPr="0046528D">
        <w:rPr>
          <w:szCs w:val="24"/>
        </w:rPr>
        <w:t>Definizione e Classificazione del Piede Diabetico</w:t>
      </w:r>
    </w:p>
    <w:p w14:paraId="07E59F09" w14:textId="4B381A3F" w:rsidR="005727AD" w:rsidRPr="0046528D" w:rsidRDefault="00195ACA" w:rsidP="0046528D">
      <w:pPr>
        <w:pStyle w:val="Paragrafoelenco"/>
        <w:numPr>
          <w:ilvl w:val="1"/>
          <w:numId w:val="15"/>
        </w:numPr>
        <w:spacing w:line="360" w:lineRule="auto"/>
        <w:jc w:val="both"/>
        <w:rPr>
          <w:szCs w:val="24"/>
        </w:rPr>
      </w:pPr>
      <w:r w:rsidRPr="0046528D">
        <w:rPr>
          <w:szCs w:val="24"/>
        </w:rPr>
        <w:t xml:space="preserve">      </w:t>
      </w:r>
      <w:r w:rsidR="005727AD" w:rsidRPr="0046528D">
        <w:rPr>
          <w:szCs w:val="24"/>
        </w:rPr>
        <w:t>Fattori di rischio e Fisiopatologia del Piede Diabetico</w:t>
      </w:r>
    </w:p>
    <w:p w14:paraId="0F12C329" w14:textId="77777777" w:rsidR="00ED04A7" w:rsidRPr="0046528D" w:rsidRDefault="00F37102" w:rsidP="0046528D">
      <w:pPr>
        <w:pStyle w:val="Paragrafoelenco"/>
        <w:numPr>
          <w:ilvl w:val="2"/>
          <w:numId w:val="15"/>
        </w:numPr>
        <w:spacing w:line="360" w:lineRule="auto"/>
        <w:jc w:val="both"/>
        <w:rPr>
          <w:szCs w:val="24"/>
        </w:rPr>
      </w:pPr>
      <w:r w:rsidRPr="0046528D">
        <w:rPr>
          <w:szCs w:val="24"/>
        </w:rPr>
        <w:t>La Neuropatia Periferica</w:t>
      </w:r>
    </w:p>
    <w:p w14:paraId="5DD5B9C9" w14:textId="77777777" w:rsidR="00AE7327" w:rsidRPr="0046528D" w:rsidRDefault="00AE7327" w:rsidP="0046528D">
      <w:pPr>
        <w:pStyle w:val="Paragrafoelenco"/>
        <w:numPr>
          <w:ilvl w:val="2"/>
          <w:numId w:val="15"/>
        </w:numPr>
        <w:spacing w:line="360" w:lineRule="auto"/>
        <w:jc w:val="both"/>
        <w:rPr>
          <w:szCs w:val="24"/>
        </w:rPr>
      </w:pPr>
      <w:r w:rsidRPr="0046528D">
        <w:rPr>
          <w:szCs w:val="24"/>
        </w:rPr>
        <w:t>La Macroangiopatia</w:t>
      </w:r>
    </w:p>
    <w:p w14:paraId="6B452F34" w14:textId="77777777" w:rsidR="00AE7327" w:rsidRPr="0046528D" w:rsidRDefault="0068562E" w:rsidP="0046528D">
      <w:pPr>
        <w:pStyle w:val="Paragrafoelenco"/>
        <w:numPr>
          <w:ilvl w:val="2"/>
          <w:numId w:val="15"/>
        </w:numPr>
        <w:spacing w:line="360" w:lineRule="auto"/>
        <w:jc w:val="both"/>
        <w:rPr>
          <w:szCs w:val="24"/>
        </w:rPr>
      </w:pPr>
      <w:r w:rsidRPr="0046528D">
        <w:rPr>
          <w:szCs w:val="24"/>
        </w:rPr>
        <w:t xml:space="preserve">Le </w:t>
      </w:r>
      <w:r w:rsidR="00AE7327" w:rsidRPr="0046528D">
        <w:rPr>
          <w:szCs w:val="24"/>
        </w:rPr>
        <w:t>Deformità del Piede</w:t>
      </w:r>
    </w:p>
    <w:p w14:paraId="5830E044" w14:textId="77777777" w:rsidR="00AE7327" w:rsidRPr="0046528D" w:rsidRDefault="00AE7327" w:rsidP="0046528D">
      <w:pPr>
        <w:pStyle w:val="Paragrafoelenco"/>
        <w:numPr>
          <w:ilvl w:val="2"/>
          <w:numId w:val="15"/>
        </w:numPr>
        <w:spacing w:line="360" w:lineRule="auto"/>
        <w:jc w:val="both"/>
        <w:rPr>
          <w:szCs w:val="24"/>
        </w:rPr>
      </w:pPr>
      <w:r w:rsidRPr="0046528D">
        <w:rPr>
          <w:szCs w:val="24"/>
        </w:rPr>
        <w:t>La Neuropatia di Charcot</w:t>
      </w:r>
    </w:p>
    <w:p w14:paraId="66186CA3" w14:textId="77777777" w:rsidR="00AE7327" w:rsidRPr="0046528D" w:rsidRDefault="00AE7327" w:rsidP="0046528D">
      <w:pPr>
        <w:pStyle w:val="Paragrafoelenco"/>
        <w:numPr>
          <w:ilvl w:val="2"/>
          <w:numId w:val="15"/>
        </w:numPr>
        <w:spacing w:line="360" w:lineRule="auto"/>
        <w:jc w:val="both"/>
        <w:rPr>
          <w:szCs w:val="24"/>
        </w:rPr>
      </w:pPr>
      <w:bookmarkStart w:id="0" w:name="_GoBack"/>
      <w:bookmarkEnd w:id="0"/>
      <w:r w:rsidRPr="0046528D">
        <w:rPr>
          <w:szCs w:val="24"/>
        </w:rPr>
        <w:t>La Microangiopatia</w:t>
      </w:r>
    </w:p>
    <w:p w14:paraId="520CA48C" w14:textId="77777777" w:rsidR="00AE7327" w:rsidRPr="0046528D" w:rsidRDefault="00AE7327" w:rsidP="0046528D">
      <w:pPr>
        <w:pStyle w:val="Paragrafoelenco"/>
        <w:numPr>
          <w:ilvl w:val="2"/>
          <w:numId w:val="15"/>
        </w:numPr>
        <w:spacing w:line="360" w:lineRule="auto"/>
        <w:jc w:val="both"/>
        <w:rPr>
          <w:szCs w:val="24"/>
        </w:rPr>
      </w:pPr>
      <w:r w:rsidRPr="0046528D">
        <w:rPr>
          <w:szCs w:val="24"/>
        </w:rPr>
        <w:t>Altri Fattori di Rischio</w:t>
      </w:r>
    </w:p>
    <w:p w14:paraId="4A1167F3" w14:textId="77777777" w:rsidR="00AE7327" w:rsidRPr="0046528D" w:rsidRDefault="00AE7327" w:rsidP="0046528D">
      <w:pPr>
        <w:pStyle w:val="Paragrafoelenco"/>
        <w:numPr>
          <w:ilvl w:val="2"/>
          <w:numId w:val="15"/>
        </w:numPr>
        <w:spacing w:line="360" w:lineRule="auto"/>
        <w:jc w:val="both"/>
        <w:rPr>
          <w:szCs w:val="24"/>
        </w:rPr>
      </w:pPr>
      <w:r w:rsidRPr="0046528D">
        <w:rPr>
          <w:szCs w:val="24"/>
        </w:rPr>
        <w:t>Profilo di Rischio Cardiovascolare associato al Piede Diabetico</w:t>
      </w:r>
    </w:p>
    <w:p w14:paraId="18CDADFF" w14:textId="77777777" w:rsidR="00AE7327" w:rsidRPr="0046528D" w:rsidRDefault="00AE7327" w:rsidP="0046528D">
      <w:pPr>
        <w:pStyle w:val="Paragrafoelenco"/>
        <w:numPr>
          <w:ilvl w:val="2"/>
          <w:numId w:val="15"/>
        </w:numPr>
        <w:spacing w:line="360" w:lineRule="auto"/>
        <w:jc w:val="both"/>
        <w:rPr>
          <w:szCs w:val="24"/>
        </w:rPr>
      </w:pPr>
      <w:r w:rsidRPr="0046528D">
        <w:rPr>
          <w:szCs w:val="24"/>
        </w:rPr>
        <w:t>Esperienze scientifiche personali</w:t>
      </w:r>
    </w:p>
    <w:p w14:paraId="2598C583" w14:textId="7BA1C6AD" w:rsidR="005727AD" w:rsidRPr="0046528D" w:rsidRDefault="00195ACA" w:rsidP="0046528D">
      <w:pPr>
        <w:pStyle w:val="Paragrafoelenco"/>
        <w:numPr>
          <w:ilvl w:val="1"/>
          <w:numId w:val="15"/>
        </w:numPr>
        <w:spacing w:line="360" w:lineRule="auto"/>
        <w:jc w:val="both"/>
        <w:rPr>
          <w:szCs w:val="24"/>
        </w:rPr>
      </w:pPr>
      <w:r w:rsidRPr="0046528D">
        <w:rPr>
          <w:szCs w:val="24"/>
        </w:rPr>
        <w:t xml:space="preserve">      </w:t>
      </w:r>
      <w:r w:rsidR="00AE7327" w:rsidRPr="0046528D">
        <w:rPr>
          <w:szCs w:val="24"/>
        </w:rPr>
        <w:t>Conclusioni</w:t>
      </w:r>
    </w:p>
    <w:p w14:paraId="70DDFD11" w14:textId="77777777" w:rsidR="00193A7D" w:rsidRPr="0046528D" w:rsidRDefault="00193A7D" w:rsidP="0046528D">
      <w:pPr>
        <w:spacing w:line="360" w:lineRule="auto"/>
        <w:jc w:val="both"/>
      </w:pPr>
    </w:p>
    <w:p w14:paraId="0F426426" w14:textId="77777777" w:rsidR="00193A7D" w:rsidRPr="0046528D" w:rsidRDefault="00193A7D" w:rsidP="0046528D">
      <w:pPr>
        <w:spacing w:line="360" w:lineRule="auto"/>
        <w:jc w:val="both"/>
      </w:pPr>
      <w:r w:rsidRPr="0046528D">
        <w:t xml:space="preserve">CAPITOLO 2: </w:t>
      </w:r>
      <w:r w:rsidR="000347AC" w:rsidRPr="0046528D">
        <w:t>LA DISFUNZIONE ENDOTELIALE</w:t>
      </w:r>
    </w:p>
    <w:p w14:paraId="0108B9BC" w14:textId="696A0955" w:rsidR="00AE7327" w:rsidRPr="0046528D" w:rsidRDefault="00195ACA" w:rsidP="0046528D">
      <w:pPr>
        <w:pStyle w:val="Paragrafoelenco"/>
        <w:numPr>
          <w:ilvl w:val="1"/>
          <w:numId w:val="16"/>
        </w:numPr>
        <w:spacing w:line="360" w:lineRule="auto"/>
        <w:jc w:val="both"/>
        <w:rPr>
          <w:szCs w:val="24"/>
        </w:rPr>
      </w:pPr>
      <w:r w:rsidRPr="0046528D">
        <w:rPr>
          <w:szCs w:val="24"/>
        </w:rPr>
        <w:t xml:space="preserve">     </w:t>
      </w:r>
      <w:r w:rsidR="00AE7327" w:rsidRPr="0046528D">
        <w:rPr>
          <w:szCs w:val="24"/>
        </w:rPr>
        <w:t>La Fisiopatologia dell’endotelio</w:t>
      </w:r>
    </w:p>
    <w:p w14:paraId="46CA100D" w14:textId="389F49C3" w:rsidR="00AE7327" w:rsidRPr="0046528D" w:rsidRDefault="00195ACA" w:rsidP="0046528D">
      <w:pPr>
        <w:pStyle w:val="Paragrafoelenco"/>
        <w:numPr>
          <w:ilvl w:val="1"/>
          <w:numId w:val="16"/>
        </w:numPr>
        <w:spacing w:line="360" w:lineRule="auto"/>
        <w:jc w:val="both"/>
        <w:rPr>
          <w:szCs w:val="24"/>
        </w:rPr>
      </w:pPr>
      <w:r w:rsidRPr="0046528D">
        <w:rPr>
          <w:szCs w:val="24"/>
        </w:rPr>
        <w:t xml:space="preserve">      </w:t>
      </w:r>
      <w:r w:rsidR="00AE7327" w:rsidRPr="0046528D">
        <w:rPr>
          <w:szCs w:val="24"/>
        </w:rPr>
        <w:t>La Patogenesi della Disfunzione Endoteliale</w:t>
      </w:r>
    </w:p>
    <w:p w14:paraId="50D6A9C0" w14:textId="4B22FF7E" w:rsidR="00AE7327" w:rsidRPr="0046528D" w:rsidRDefault="00195ACA" w:rsidP="0046528D">
      <w:pPr>
        <w:pStyle w:val="Paragrafoelenco"/>
        <w:numPr>
          <w:ilvl w:val="1"/>
          <w:numId w:val="16"/>
        </w:numPr>
        <w:spacing w:line="360" w:lineRule="auto"/>
        <w:jc w:val="both"/>
        <w:rPr>
          <w:szCs w:val="24"/>
        </w:rPr>
      </w:pPr>
      <w:r w:rsidRPr="0046528D">
        <w:rPr>
          <w:szCs w:val="24"/>
        </w:rPr>
        <w:t xml:space="preserve">      </w:t>
      </w:r>
      <w:r w:rsidR="00AE7327" w:rsidRPr="0046528D">
        <w:rPr>
          <w:szCs w:val="24"/>
        </w:rPr>
        <w:t>La Disfunzione endoteliale e i Fattori di Rischio Cardiovascolari</w:t>
      </w:r>
    </w:p>
    <w:p w14:paraId="563B06B0" w14:textId="77777777" w:rsidR="00AE7327" w:rsidRPr="0046528D" w:rsidRDefault="00AE7327" w:rsidP="0046528D">
      <w:pPr>
        <w:pStyle w:val="Paragrafoelenco"/>
        <w:numPr>
          <w:ilvl w:val="2"/>
          <w:numId w:val="16"/>
        </w:numPr>
        <w:spacing w:line="360" w:lineRule="auto"/>
        <w:jc w:val="both"/>
        <w:rPr>
          <w:szCs w:val="24"/>
        </w:rPr>
      </w:pPr>
      <w:r w:rsidRPr="0046528D">
        <w:rPr>
          <w:szCs w:val="24"/>
        </w:rPr>
        <w:t>Le basi molecolari della Patogenesi della Disfunzione Endoteliale nel Diabete</w:t>
      </w:r>
    </w:p>
    <w:p w14:paraId="317C62E8" w14:textId="77777777" w:rsidR="00AE7327" w:rsidRPr="0046528D" w:rsidRDefault="00AE7327" w:rsidP="0046528D">
      <w:pPr>
        <w:pStyle w:val="Paragrafoelenco"/>
        <w:numPr>
          <w:ilvl w:val="2"/>
          <w:numId w:val="16"/>
        </w:numPr>
        <w:spacing w:line="360" w:lineRule="auto"/>
        <w:jc w:val="both"/>
        <w:rPr>
          <w:szCs w:val="24"/>
        </w:rPr>
      </w:pPr>
      <w:r w:rsidRPr="0046528D">
        <w:rPr>
          <w:szCs w:val="24"/>
        </w:rPr>
        <w:t>La Disfunzione Endoteliale nel paziente con Diabete Mellito di tipo 1</w:t>
      </w:r>
    </w:p>
    <w:p w14:paraId="0BEB3760" w14:textId="77777777" w:rsidR="00AE7327" w:rsidRPr="0046528D" w:rsidRDefault="00AE7327" w:rsidP="0046528D">
      <w:pPr>
        <w:pStyle w:val="Paragrafoelenco"/>
        <w:numPr>
          <w:ilvl w:val="2"/>
          <w:numId w:val="16"/>
        </w:numPr>
        <w:spacing w:line="360" w:lineRule="auto"/>
        <w:jc w:val="both"/>
        <w:rPr>
          <w:szCs w:val="24"/>
        </w:rPr>
      </w:pPr>
      <w:r w:rsidRPr="0046528D">
        <w:rPr>
          <w:szCs w:val="24"/>
        </w:rPr>
        <w:t>La Disfunzione Endoteliale nel paziente con Diabete Mellito di tipo 2</w:t>
      </w:r>
    </w:p>
    <w:p w14:paraId="59B8103A" w14:textId="77777777" w:rsidR="00AE7327" w:rsidRPr="0046528D" w:rsidRDefault="00AE7327" w:rsidP="0046528D">
      <w:pPr>
        <w:pStyle w:val="Paragrafoelenco"/>
        <w:numPr>
          <w:ilvl w:val="2"/>
          <w:numId w:val="16"/>
        </w:numPr>
        <w:spacing w:line="360" w:lineRule="auto"/>
        <w:jc w:val="both"/>
        <w:rPr>
          <w:szCs w:val="24"/>
        </w:rPr>
      </w:pPr>
      <w:r w:rsidRPr="0046528D">
        <w:rPr>
          <w:szCs w:val="24"/>
        </w:rPr>
        <w:t>La Disfunzione Endoteliale nel paziente con Obesità</w:t>
      </w:r>
    </w:p>
    <w:p w14:paraId="05535D50" w14:textId="77777777" w:rsidR="00AE7327" w:rsidRPr="0046528D" w:rsidRDefault="00850113" w:rsidP="0046528D">
      <w:pPr>
        <w:pStyle w:val="Paragrafoelenco"/>
        <w:numPr>
          <w:ilvl w:val="2"/>
          <w:numId w:val="16"/>
        </w:numPr>
        <w:spacing w:line="360" w:lineRule="auto"/>
        <w:jc w:val="both"/>
        <w:rPr>
          <w:szCs w:val="24"/>
        </w:rPr>
      </w:pPr>
      <w:r w:rsidRPr="0046528D">
        <w:rPr>
          <w:szCs w:val="24"/>
        </w:rPr>
        <w:t>La Disfunzione Endoteliale e l’Ipercolesterolemia</w:t>
      </w:r>
    </w:p>
    <w:p w14:paraId="6A2F6A2D" w14:textId="77777777" w:rsidR="00850113" w:rsidRPr="0046528D" w:rsidRDefault="00850113" w:rsidP="0046528D">
      <w:pPr>
        <w:pStyle w:val="Paragrafoelenco"/>
        <w:numPr>
          <w:ilvl w:val="2"/>
          <w:numId w:val="16"/>
        </w:numPr>
        <w:spacing w:line="360" w:lineRule="auto"/>
        <w:jc w:val="both"/>
        <w:rPr>
          <w:szCs w:val="24"/>
        </w:rPr>
      </w:pPr>
      <w:r w:rsidRPr="0046528D">
        <w:rPr>
          <w:szCs w:val="24"/>
        </w:rPr>
        <w:t>La Disfunzione Endoteliale nel paziente iperteso</w:t>
      </w:r>
    </w:p>
    <w:p w14:paraId="38092F51" w14:textId="77777777" w:rsidR="00850113" w:rsidRPr="0046528D" w:rsidRDefault="00850113" w:rsidP="0046528D">
      <w:pPr>
        <w:pStyle w:val="Paragrafoelenco"/>
        <w:numPr>
          <w:ilvl w:val="2"/>
          <w:numId w:val="16"/>
        </w:numPr>
        <w:spacing w:line="360" w:lineRule="auto"/>
        <w:jc w:val="both"/>
        <w:rPr>
          <w:szCs w:val="24"/>
        </w:rPr>
      </w:pPr>
      <w:r w:rsidRPr="0046528D">
        <w:rPr>
          <w:szCs w:val="24"/>
        </w:rPr>
        <w:t>La Disfunzione Endoteliale e l’Invecchiamento</w:t>
      </w:r>
    </w:p>
    <w:p w14:paraId="536910A3" w14:textId="77777777" w:rsidR="005D402F" w:rsidRPr="0046528D" w:rsidRDefault="005D402F" w:rsidP="0046528D">
      <w:pPr>
        <w:pStyle w:val="Paragrafoelenco"/>
        <w:numPr>
          <w:ilvl w:val="2"/>
          <w:numId w:val="16"/>
        </w:numPr>
        <w:spacing w:line="360" w:lineRule="auto"/>
        <w:jc w:val="both"/>
        <w:rPr>
          <w:szCs w:val="24"/>
        </w:rPr>
      </w:pPr>
      <w:r w:rsidRPr="0046528D">
        <w:rPr>
          <w:szCs w:val="24"/>
        </w:rPr>
        <w:t>La Disfunzione En</w:t>
      </w:r>
      <w:r w:rsidR="0068562E" w:rsidRPr="0046528D">
        <w:rPr>
          <w:szCs w:val="24"/>
        </w:rPr>
        <w:t>doteliale e il Fumo</w:t>
      </w:r>
    </w:p>
    <w:p w14:paraId="00B031BC" w14:textId="77777777" w:rsidR="005D402F" w:rsidRPr="0046528D" w:rsidRDefault="005D402F" w:rsidP="0046528D">
      <w:pPr>
        <w:pStyle w:val="Paragrafoelenco"/>
        <w:numPr>
          <w:ilvl w:val="2"/>
          <w:numId w:val="16"/>
        </w:numPr>
        <w:spacing w:line="360" w:lineRule="auto"/>
        <w:jc w:val="both"/>
        <w:rPr>
          <w:szCs w:val="24"/>
        </w:rPr>
      </w:pPr>
      <w:r w:rsidRPr="0046528D">
        <w:rPr>
          <w:szCs w:val="24"/>
        </w:rPr>
        <w:t>La Disfunzione Endoteliale e l’Iperomocisteinemia</w:t>
      </w:r>
    </w:p>
    <w:p w14:paraId="027097B9" w14:textId="77777777" w:rsidR="005D402F" w:rsidRPr="0046528D" w:rsidRDefault="005D402F" w:rsidP="0046528D">
      <w:pPr>
        <w:pStyle w:val="Paragrafoelenco"/>
        <w:numPr>
          <w:ilvl w:val="2"/>
          <w:numId w:val="16"/>
        </w:numPr>
        <w:spacing w:line="360" w:lineRule="auto"/>
        <w:jc w:val="both"/>
        <w:rPr>
          <w:szCs w:val="24"/>
        </w:rPr>
      </w:pPr>
      <w:r w:rsidRPr="0046528D">
        <w:rPr>
          <w:szCs w:val="24"/>
        </w:rPr>
        <w:t>La Disfunzione Endoteliale associata ad altre malattie</w:t>
      </w:r>
    </w:p>
    <w:p w14:paraId="34793DF2" w14:textId="3F22A594" w:rsidR="005D402F" w:rsidRPr="0046528D" w:rsidRDefault="00195ACA" w:rsidP="0046528D">
      <w:pPr>
        <w:pStyle w:val="Paragrafoelenco"/>
        <w:numPr>
          <w:ilvl w:val="1"/>
          <w:numId w:val="16"/>
        </w:numPr>
        <w:spacing w:line="360" w:lineRule="auto"/>
        <w:jc w:val="both"/>
        <w:rPr>
          <w:szCs w:val="24"/>
        </w:rPr>
      </w:pPr>
      <w:r w:rsidRPr="0046528D">
        <w:rPr>
          <w:szCs w:val="24"/>
        </w:rPr>
        <w:t xml:space="preserve">      </w:t>
      </w:r>
      <w:r w:rsidR="005D402F" w:rsidRPr="0046528D">
        <w:rPr>
          <w:szCs w:val="24"/>
        </w:rPr>
        <w:t>La Valutazione della Disfunzione Endoteliale</w:t>
      </w:r>
    </w:p>
    <w:p w14:paraId="2A4A328F" w14:textId="3B7BD6DE" w:rsidR="005D402F" w:rsidRPr="0046528D" w:rsidRDefault="00195ACA" w:rsidP="0046528D">
      <w:pPr>
        <w:pStyle w:val="Paragrafoelenco"/>
        <w:numPr>
          <w:ilvl w:val="1"/>
          <w:numId w:val="16"/>
        </w:numPr>
        <w:spacing w:line="360" w:lineRule="auto"/>
        <w:jc w:val="both"/>
        <w:rPr>
          <w:szCs w:val="24"/>
        </w:rPr>
      </w:pPr>
      <w:r w:rsidRPr="0046528D">
        <w:rPr>
          <w:szCs w:val="24"/>
        </w:rPr>
        <w:t xml:space="preserve">      </w:t>
      </w:r>
      <w:r w:rsidR="005D402F" w:rsidRPr="0046528D">
        <w:rPr>
          <w:szCs w:val="24"/>
        </w:rPr>
        <w:t>La Disfunzione Endoteliale come Fattore Prognostico</w:t>
      </w:r>
    </w:p>
    <w:p w14:paraId="7B8267A2" w14:textId="5803C659" w:rsidR="00193A7D" w:rsidRPr="0046528D" w:rsidRDefault="00195ACA" w:rsidP="0046528D">
      <w:pPr>
        <w:pStyle w:val="Paragrafoelenco"/>
        <w:numPr>
          <w:ilvl w:val="1"/>
          <w:numId w:val="16"/>
        </w:numPr>
        <w:spacing w:line="360" w:lineRule="auto"/>
        <w:jc w:val="both"/>
        <w:rPr>
          <w:szCs w:val="24"/>
        </w:rPr>
      </w:pPr>
      <w:r w:rsidRPr="0046528D">
        <w:rPr>
          <w:szCs w:val="24"/>
        </w:rPr>
        <w:lastRenderedPageBreak/>
        <w:t xml:space="preserve">      </w:t>
      </w:r>
      <w:r w:rsidR="005D402F" w:rsidRPr="0046528D">
        <w:rPr>
          <w:szCs w:val="24"/>
        </w:rPr>
        <w:t>Trattamento della Disfunzione Endoteliale</w:t>
      </w:r>
    </w:p>
    <w:p w14:paraId="23DD201F" w14:textId="77777777" w:rsidR="006C6EB1" w:rsidRPr="0046528D" w:rsidRDefault="006C6EB1" w:rsidP="0046528D">
      <w:pPr>
        <w:pStyle w:val="Paragrafoelenco"/>
        <w:spacing w:line="360" w:lineRule="auto"/>
        <w:ind w:left="360"/>
        <w:jc w:val="both"/>
        <w:rPr>
          <w:szCs w:val="24"/>
        </w:rPr>
      </w:pPr>
    </w:p>
    <w:p w14:paraId="54CEA594" w14:textId="77777777" w:rsidR="00193A7D" w:rsidRPr="0046528D" w:rsidRDefault="00CA1E67" w:rsidP="0046528D">
      <w:pPr>
        <w:spacing w:line="360" w:lineRule="auto"/>
        <w:jc w:val="both"/>
      </w:pPr>
      <w:r w:rsidRPr="0046528D">
        <w:t xml:space="preserve">CAPITOLO </w:t>
      </w:r>
      <w:r w:rsidR="00193A7D" w:rsidRPr="0046528D">
        <w:t xml:space="preserve">3: </w:t>
      </w:r>
      <w:r w:rsidR="000B75E8" w:rsidRPr="0046528D">
        <w:t>VALUTAZIONE NON INVASIVA DELLA FUNZIONE END</w:t>
      </w:r>
      <w:r w:rsidR="000B75E8" w:rsidRPr="0046528D">
        <w:t>O</w:t>
      </w:r>
      <w:r w:rsidR="000B75E8" w:rsidRPr="0046528D">
        <w:t xml:space="preserve">TELIALE MEDIANTE </w:t>
      </w:r>
      <w:r w:rsidR="000347AC" w:rsidRPr="0046528D">
        <w:t>ENDOPAT</w:t>
      </w:r>
      <w:r w:rsidR="000B75E8" w:rsidRPr="0046528D">
        <w:t>-</w:t>
      </w:r>
      <w:r w:rsidR="000347AC" w:rsidRPr="0046528D">
        <w:t>2000</w:t>
      </w:r>
    </w:p>
    <w:p w14:paraId="16B2FA68" w14:textId="70C5DAC4" w:rsidR="00193A7D" w:rsidRPr="0046528D" w:rsidRDefault="005D402F" w:rsidP="0046528D">
      <w:pPr>
        <w:spacing w:line="360" w:lineRule="auto"/>
        <w:jc w:val="both"/>
      </w:pPr>
      <w:r w:rsidRPr="0046528D">
        <w:t>3.1</w:t>
      </w:r>
      <w:r w:rsidR="00195ACA" w:rsidRPr="0046528D">
        <w:t xml:space="preserve">.   </w:t>
      </w:r>
      <w:r w:rsidRPr="0046528D">
        <w:t xml:space="preserve"> </w:t>
      </w:r>
      <w:r w:rsidR="00195ACA" w:rsidRPr="0046528D">
        <w:t xml:space="preserve"> </w:t>
      </w:r>
      <w:r w:rsidR="00F92BFA" w:rsidRPr="0046528D">
        <w:t xml:space="preserve"> </w:t>
      </w:r>
      <w:r w:rsidRPr="0046528D">
        <w:t>Fisiologia ed ENDOPAT-2000</w:t>
      </w:r>
    </w:p>
    <w:p w14:paraId="6B3D20E0" w14:textId="3CAA6A89" w:rsidR="005D402F" w:rsidRPr="0046528D" w:rsidRDefault="005D402F" w:rsidP="0046528D">
      <w:pPr>
        <w:spacing w:line="360" w:lineRule="auto"/>
        <w:jc w:val="both"/>
      </w:pPr>
      <w:r w:rsidRPr="0046528D">
        <w:t xml:space="preserve">3.2 </w:t>
      </w:r>
      <w:r w:rsidR="00195ACA" w:rsidRPr="0046528D">
        <w:t xml:space="preserve">     </w:t>
      </w:r>
      <w:r w:rsidR="00F92BFA" w:rsidRPr="0046528D">
        <w:t xml:space="preserve"> </w:t>
      </w:r>
      <w:r w:rsidRPr="0046528D">
        <w:t>Analisi Automatica</w:t>
      </w:r>
    </w:p>
    <w:p w14:paraId="14CDB392" w14:textId="598FCD7D" w:rsidR="005D402F" w:rsidRPr="0046528D" w:rsidRDefault="005D402F" w:rsidP="0046528D">
      <w:pPr>
        <w:spacing w:line="360" w:lineRule="auto"/>
        <w:jc w:val="both"/>
      </w:pPr>
      <w:r w:rsidRPr="0046528D">
        <w:t>3.</w:t>
      </w:r>
      <w:r w:rsidR="00C76944" w:rsidRPr="0046528D">
        <w:t>3</w:t>
      </w:r>
      <w:r w:rsidR="00195ACA" w:rsidRPr="0046528D">
        <w:t xml:space="preserve">     </w:t>
      </w:r>
      <w:r w:rsidR="00F92BFA" w:rsidRPr="0046528D">
        <w:t xml:space="preserve"> </w:t>
      </w:r>
      <w:r w:rsidR="00A04291" w:rsidRPr="0046528D">
        <w:t xml:space="preserve"> </w:t>
      </w:r>
      <w:r w:rsidRPr="0046528D">
        <w:t>Studi realizzati tramite ENDOPAT</w:t>
      </w:r>
    </w:p>
    <w:p w14:paraId="326EB2F8" w14:textId="00233B43" w:rsidR="005D402F" w:rsidRPr="0046528D" w:rsidRDefault="005D402F" w:rsidP="0046528D">
      <w:pPr>
        <w:tabs>
          <w:tab w:val="left" w:pos="709"/>
        </w:tabs>
        <w:spacing w:line="360" w:lineRule="auto"/>
        <w:jc w:val="both"/>
      </w:pPr>
      <w:r w:rsidRPr="0046528D">
        <w:t>3.</w:t>
      </w:r>
      <w:r w:rsidR="00C76944" w:rsidRPr="0046528D">
        <w:t>3</w:t>
      </w:r>
      <w:r w:rsidRPr="0046528D">
        <w:t xml:space="preserve">.1 </w:t>
      </w:r>
      <w:r w:rsidRPr="0046528D">
        <w:tab/>
        <w:t>ENDOPAT e Diabete di tipo 1</w:t>
      </w:r>
    </w:p>
    <w:p w14:paraId="5BD4A025" w14:textId="752B25CE" w:rsidR="005D402F" w:rsidRPr="0046528D" w:rsidRDefault="005D402F" w:rsidP="0046528D">
      <w:pPr>
        <w:tabs>
          <w:tab w:val="left" w:pos="709"/>
        </w:tabs>
        <w:spacing w:line="360" w:lineRule="auto"/>
        <w:jc w:val="both"/>
      </w:pPr>
      <w:r w:rsidRPr="0046528D">
        <w:t>3.</w:t>
      </w:r>
      <w:r w:rsidR="00C76944" w:rsidRPr="0046528D">
        <w:t>3</w:t>
      </w:r>
      <w:r w:rsidRPr="0046528D">
        <w:t xml:space="preserve">.2 </w:t>
      </w:r>
      <w:r w:rsidRPr="0046528D">
        <w:tab/>
        <w:t>ENDOPAT e Diabete di tipo 2</w:t>
      </w:r>
    </w:p>
    <w:p w14:paraId="0710934C" w14:textId="5893F3CE" w:rsidR="005D402F" w:rsidRPr="0046528D" w:rsidRDefault="005D402F" w:rsidP="0046528D">
      <w:pPr>
        <w:tabs>
          <w:tab w:val="left" w:pos="709"/>
        </w:tabs>
        <w:spacing w:line="360" w:lineRule="auto"/>
        <w:jc w:val="both"/>
      </w:pPr>
      <w:r w:rsidRPr="0046528D">
        <w:t>3.</w:t>
      </w:r>
      <w:r w:rsidR="00C76944" w:rsidRPr="0046528D">
        <w:t>3</w:t>
      </w:r>
      <w:r w:rsidRPr="0046528D">
        <w:t xml:space="preserve">.3 </w:t>
      </w:r>
      <w:r w:rsidRPr="0046528D">
        <w:tab/>
        <w:t>ENDOPAT e Aterosclerosi Coronarica</w:t>
      </w:r>
    </w:p>
    <w:p w14:paraId="21EF74A5" w14:textId="0C33F2A7" w:rsidR="005D402F" w:rsidRPr="0046528D" w:rsidRDefault="005D402F" w:rsidP="0046528D">
      <w:pPr>
        <w:tabs>
          <w:tab w:val="left" w:pos="709"/>
        </w:tabs>
        <w:spacing w:line="360" w:lineRule="auto"/>
        <w:jc w:val="both"/>
      </w:pPr>
      <w:r w:rsidRPr="0046528D">
        <w:t>3.</w:t>
      </w:r>
      <w:r w:rsidR="00C76944" w:rsidRPr="0046528D">
        <w:t>3</w:t>
      </w:r>
      <w:r w:rsidRPr="0046528D">
        <w:t xml:space="preserve">.4 </w:t>
      </w:r>
      <w:r w:rsidRPr="0046528D">
        <w:tab/>
        <w:t>ENDOPAT e Ipertenzione</w:t>
      </w:r>
    </w:p>
    <w:p w14:paraId="7A5AB3F5" w14:textId="0BBC694D" w:rsidR="005D402F" w:rsidRPr="0046528D" w:rsidRDefault="005D402F" w:rsidP="0046528D">
      <w:pPr>
        <w:tabs>
          <w:tab w:val="left" w:pos="709"/>
        </w:tabs>
        <w:spacing w:line="360" w:lineRule="auto"/>
        <w:jc w:val="both"/>
      </w:pPr>
      <w:r w:rsidRPr="0046528D">
        <w:t>3.</w:t>
      </w:r>
      <w:r w:rsidR="00C76944" w:rsidRPr="0046528D">
        <w:t>3</w:t>
      </w:r>
      <w:r w:rsidRPr="0046528D">
        <w:t xml:space="preserve">.5 </w:t>
      </w:r>
      <w:r w:rsidRPr="0046528D">
        <w:tab/>
        <w:t>ENDOPAT</w:t>
      </w:r>
      <w:r w:rsidR="0068562E" w:rsidRPr="0046528D">
        <w:t xml:space="preserve"> e Fumo</w:t>
      </w:r>
    </w:p>
    <w:p w14:paraId="7D39B62D" w14:textId="77777777" w:rsidR="0063185E" w:rsidRPr="0046528D" w:rsidRDefault="0063185E" w:rsidP="0046528D">
      <w:pPr>
        <w:spacing w:line="360" w:lineRule="auto"/>
        <w:jc w:val="both"/>
      </w:pPr>
    </w:p>
    <w:p w14:paraId="5EA85028" w14:textId="77777777" w:rsidR="00195ACA" w:rsidRPr="00923562" w:rsidRDefault="00A64C4E" w:rsidP="0046528D">
      <w:pPr>
        <w:spacing w:line="360" w:lineRule="auto"/>
        <w:jc w:val="both"/>
        <w:rPr>
          <w:color w:val="000000" w:themeColor="text1"/>
        </w:rPr>
      </w:pPr>
      <w:r w:rsidRPr="00923562">
        <w:rPr>
          <w:color w:val="000000" w:themeColor="text1"/>
        </w:rPr>
        <w:t xml:space="preserve">CAPITOLO 4: </w:t>
      </w:r>
      <w:r w:rsidR="00195ACA" w:rsidRPr="00923562">
        <w:rPr>
          <w:color w:val="000000" w:themeColor="text1"/>
        </w:rPr>
        <w:t xml:space="preserve">LE ADIPOCHINE INFIAMMATORIE </w:t>
      </w:r>
    </w:p>
    <w:p w14:paraId="1A046F2A" w14:textId="7C833333" w:rsidR="009C2B28" w:rsidRPr="00923562" w:rsidRDefault="00763873" w:rsidP="0046528D">
      <w:pPr>
        <w:spacing w:line="360" w:lineRule="auto"/>
        <w:jc w:val="both"/>
        <w:rPr>
          <w:color w:val="000000" w:themeColor="text1"/>
        </w:rPr>
      </w:pPr>
      <w:r w:rsidRPr="00923562">
        <w:rPr>
          <w:color w:val="000000" w:themeColor="text1"/>
        </w:rPr>
        <w:t>4.</w:t>
      </w:r>
      <w:r w:rsidR="009C2B28" w:rsidRPr="00923562">
        <w:rPr>
          <w:color w:val="000000" w:themeColor="text1"/>
        </w:rPr>
        <w:t>1</w:t>
      </w:r>
      <w:r w:rsidRPr="00923562">
        <w:rPr>
          <w:color w:val="000000" w:themeColor="text1"/>
        </w:rPr>
        <w:t xml:space="preserve"> </w:t>
      </w:r>
      <w:r w:rsidR="009C2B28" w:rsidRPr="00923562">
        <w:rPr>
          <w:color w:val="000000" w:themeColor="text1"/>
        </w:rPr>
        <w:t xml:space="preserve">        Introduzio</w:t>
      </w:r>
      <w:r w:rsidR="00F3634C" w:rsidRPr="00923562">
        <w:rPr>
          <w:color w:val="000000" w:themeColor="text1"/>
        </w:rPr>
        <w:t>ne</w:t>
      </w:r>
      <w:r w:rsidRPr="00923562">
        <w:rPr>
          <w:color w:val="000000" w:themeColor="text1"/>
        </w:rPr>
        <w:t xml:space="preserve"> </w:t>
      </w:r>
    </w:p>
    <w:p w14:paraId="302CBCBE" w14:textId="71A72B36" w:rsidR="009C2B28" w:rsidRPr="00923562" w:rsidRDefault="009C2B28" w:rsidP="0046528D">
      <w:pPr>
        <w:spacing w:line="360" w:lineRule="auto"/>
        <w:jc w:val="both"/>
        <w:rPr>
          <w:color w:val="000000" w:themeColor="text1"/>
        </w:rPr>
      </w:pPr>
      <w:r w:rsidRPr="00923562">
        <w:rPr>
          <w:color w:val="000000" w:themeColor="text1"/>
        </w:rPr>
        <w:t>4.</w:t>
      </w:r>
      <w:r w:rsidR="00F3634C" w:rsidRPr="00923562">
        <w:rPr>
          <w:color w:val="000000" w:themeColor="text1"/>
        </w:rPr>
        <w:t>2</w:t>
      </w:r>
      <w:r w:rsidRPr="00923562">
        <w:rPr>
          <w:color w:val="000000" w:themeColor="text1"/>
        </w:rPr>
        <w:t xml:space="preserve">         Gremlina-1</w:t>
      </w:r>
      <w:r w:rsidR="00F27EFF" w:rsidRPr="00923562">
        <w:rPr>
          <w:color w:val="000000" w:themeColor="text1"/>
        </w:rPr>
        <w:t xml:space="preserve">  </w:t>
      </w:r>
    </w:p>
    <w:p w14:paraId="1A456DA4" w14:textId="77777777" w:rsidR="00195ACA" w:rsidRPr="00923562" w:rsidRDefault="00195ACA" w:rsidP="0046528D">
      <w:pPr>
        <w:spacing w:line="360" w:lineRule="auto"/>
        <w:jc w:val="both"/>
        <w:rPr>
          <w:color w:val="000000" w:themeColor="text1"/>
        </w:rPr>
      </w:pPr>
    </w:p>
    <w:p w14:paraId="4D317BCF" w14:textId="07437F16" w:rsidR="00EC0D37" w:rsidRPr="00923562" w:rsidRDefault="0063185E" w:rsidP="0046528D">
      <w:pPr>
        <w:spacing w:line="360" w:lineRule="auto"/>
        <w:jc w:val="both"/>
        <w:rPr>
          <w:color w:val="000000" w:themeColor="text1"/>
        </w:rPr>
      </w:pPr>
      <w:r w:rsidRPr="00923562">
        <w:rPr>
          <w:color w:val="000000" w:themeColor="text1"/>
        </w:rPr>
        <w:t xml:space="preserve">CAPITOLO 5: MARKERS INFIAMMATORI SIERICI NEL PIEDE DIABETICO </w:t>
      </w:r>
    </w:p>
    <w:p w14:paraId="436F343A" w14:textId="54B4823B" w:rsidR="0012410D" w:rsidRPr="00923562" w:rsidRDefault="0012410D" w:rsidP="0046528D">
      <w:pPr>
        <w:spacing w:line="360" w:lineRule="auto"/>
        <w:jc w:val="both"/>
        <w:rPr>
          <w:color w:val="000000" w:themeColor="text1"/>
        </w:rPr>
      </w:pPr>
      <w:r w:rsidRPr="00923562">
        <w:rPr>
          <w:color w:val="000000" w:themeColor="text1"/>
        </w:rPr>
        <w:t xml:space="preserve">5.1.     Introduzione </w:t>
      </w:r>
    </w:p>
    <w:p w14:paraId="2BF4E162" w14:textId="4BC4820A" w:rsidR="0012410D" w:rsidRPr="00923562" w:rsidRDefault="0012410D" w:rsidP="0046528D">
      <w:pPr>
        <w:spacing w:line="360" w:lineRule="auto"/>
        <w:jc w:val="both"/>
        <w:rPr>
          <w:color w:val="000000" w:themeColor="text1"/>
        </w:rPr>
      </w:pPr>
      <w:r w:rsidRPr="00923562">
        <w:rPr>
          <w:color w:val="000000" w:themeColor="text1"/>
        </w:rPr>
        <w:t xml:space="preserve">5.2      </w:t>
      </w:r>
      <w:r w:rsidR="001B7C91" w:rsidRPr="00923562">
        <w:rPr>
          <w:color w:val="000000" w:themeColor="text1"/>
        </w:rPr>
        <w:t>Biomarker infiammatori</w:t>
      </w:r>
    </w:p>
    <w:p w14:paraId="18887AEF" w14:textId="1510A5A1" w:rsidR="0063185E" w:rsidRPr="00923562" w:rsidRDefault="0063185E" w:rsidP="0046528D">
      <w:pPr>
        <w:spacing w:line="360" w:lineRule="auto"/>
        <w:jc w:val="both"/>
        <w:rPr>
          <w:color w:val="000000" w:themeColor="text1"/>
        </w:rPr>
      </w:pPr>
      <w:r w:rsidRPr="00923562">
        <w:rPr>
          <w:color w:val="000000" w:themeColor="text1"/>
        </w:rPr>
        <w:t>5.</w:t>
      </w:r>
      <w:r w:rsidR="001B7C91" w:rsidRPr="00923562">
        <w:rPr>
          <w:color w:val="000000" w:themeColor="text1"/>
        </w:rPr>
        <w:t xml:space="preserve">3.  </w:t>
      </w:r>
      <w:r w:rsidR="00195ACA" w:rsidRPr="00923562">
        <w:rPr>
          <w:color w:val="000000" w:themeColor="text1"/>
        </w:rPr>
        <w:t xml:space="preserve">   </w:t>
      </w:r>
      <w:r w:rsidRPr="00923562">
        <w:rPr>
          <w:color w:val="000000" w:themeColor="text1"/>
        </w:rPr>
        <w:t>IL-1</w:t>
      </w:r>
      <w:r w:rsidR="00F27EFF" w:rsidRPr="00923562">
        <w:rPr>
          <w:color w:val="000000" w:themeColor="text1"/>
        </w:rPr>
        <w:t xml:space="preserve"> </w:t>
      </w:r>
    </w:p>
    <w:p w14:paraId="4AC45994" w14:textId="7A1D9B77" w:rsidR="0063185E" w:rsidRPr="00923562" w:rsidRDefault="0063185E" w:rsidP="0046528D">
      <w:pPr>
        <w:spacing w:line="360" w:lineRule="auto"/>
        <w:jc w:val="both"/>
        <w:rPr>
          <w:color w:val="000000" w:themeColor="text1"/>
        </w:rPr>
      </w:pPr>
      <w:r w:rsidRPr="00923562">
        <w:rPr>
          <w:color w:val="000000" w:themeColor="text1"/>
        </w:rPr>
        <w:t>5.</w:t>
      </w:r>
      <w:r w:rsidR="001B7C91" w:rsidRPr="00923562">
        <w:rPr>
          <w:color w:val="000000" w:themeColor="text1"/>
        </w:rPr>
        <w:t xml:space="preserve">4.  </w:t>
      </w:r>
      <w:r w:rsidR="00195ACA" w:rsidRPr="00923562">
        <w:rPr>
          <w:color w:val="000000" w:themeColor="text1"/>
        </w:rPr>
        <w:t xml:space="preserve">   </w:t>
      </w:r>
      <w:r w:rsidRPr="00923562">
        <w:rPr>
          <w:color w:val="000000" w:themeColor="text1"/>
        </w:rPr>
        <w:t>IL-6</w:t>
      </w:r>
      <w:r w:rsidR="00F27EFF" w:rsidRPr="00923562">
        <w:rPr>
          <w:color w:val="000000" w:themeColor="text1"/>
        </w:rPr>
        <w:t xml:space="preserve"> </w:t>
      </w:r>
    </w:p>
    <w:p w14:paraId="6179EF75" w14:textId="67DF27A0" w:rsidR="0063185E" w:rsidRPr="00923562" w:rsidRDefault="0063185E" w:rsidP="0046528D">
      <w:pPr>
        <w:spacing w:line="360" w:lineRule="auto"/>
        <w:jc w:val="both"/>
        <w:rPr>
          <w:color w:val="000000" w:themeColor="text1"/>
        </w:rPr>
      </w:pPr>
      <w:r w:rsidRPr="00923562">
        <w:rPr>
          <w:color w:val="000000" w:themeColor="text1"/>
        </w:rPr>
        <w:t>5.</w:t>
      </w:r>
      <w:r w:rsidR="001B7C91" w:rsidRPr="00923562">
        <w:rPr>
          <w:color w:val="000000" w:themeColor="text1"/>
        </w:rPr>
        <w:t>5</w:t>
      </w:r>
      <w:r w:rsidRPr="00923562">
        <w:rPr>
          <w:color w:val="000000" w:themeColor="text1"/>
        </w:rPr>
        <w:t xml:space="preserve"> </w:t>
      </w:r>
      <w:r w:rsidR="00195ACA" w:rsidRPr="00923562">
        <w:rPr>
          <w:color w:val="000000" w:themeColor="text1"/>
        </w:rPr>
        <w:t xml:space="preserve">    </w:t>
      </w:r>
      <w:r w:rsidR="00F3634C" w:rsidRPr="00923562">
        <w:rPr>
          <w:color w:val="000000" w:themeColor="text1"/>
        </w:rPr>
        <w:t xml:space="preserve"> </w:t>
      </w:r>
      <w:r w:rsidRPr="00923562">
        <w:rPr>
          <w:color w:val="000000" w:themeColor="text1"/>
        </w:rPr>
        <w:t xml:space="preserve">TNF-alpha </w:t>
      </w:r>
    </w:p>
    <w:p w14:paraId="608BA54A" w14:textId="5815A22F" w:rsidR="0063185E" w:rsidRPr="00923562" w:rsidRDefault="0063185E" w:rsidP="0046528D">
      <w:pPr>
        <w:spacing w:line="360" w:lineRule="auto"/>
        <w:jc w:val="both"/>
        <w:rPr>
          <w:color w:val="000000" w:themeColor="text1"/>
        </w:rPr>
      </w:pPr>
      <w:r w:rsidRPr="00923562">
        <w:rPr>
          <w:color w:val="000000" w:themeColor="text1"/>
        </w:rPr>
        <w:t>5.</w:t>
      </w:r>
      <w:r w:rsidR="001B7C91" w:rsidRPr="00923562">
        <w:rPr>
          <w:color w:val="000000" w:themeColor="text1"/>
        </w:rPr>
        <w:t>6</w:t>
      </w:r>
      <w:r w:rsidRPr="00923562">
        <w:rPr>
          <w:color w:val="000000" w:themeColor="text1"/>
        </w:rPr>
        <w:t xml:space="preserve"> </w:t>
      </w:r>
      <w:r w:rsidR="00195ACA" w:rsidRPr="00923562">
        <w:rPr>
          <w:color w:val="000000" w:themeColor="text1"/>
        </w:rPr>
        <w:t xml:space="preserve">     </w:t>
      </w:r>
      <w:r w:rsidRPr="00923562">
        <w:rPr>
          <w:color w:val="000000" w:themeColor="text1"/>
        </w:rPr>
        <w:t>VEGF</w:t>
      </w:r>
      <w:r w:rsidR="0054646C" w:rsidRPr="00923562">
        <w:rPr>
          <w:color w:val="000000" w:themeColor="text1"/>
        </w:rPr>
        <w:t xml:space="preserve"> </w:t>
      </w:r>
    </w:p>
    <w:p w14:paraId="58069619" w14:textId="651725D5" w:rsidR="0063185E" w:rsidRPr="00923562" w:rsidRDefault="0063185E" w:rsidP="0046528D">
      <w:pPr>
        <w:spacing w:line="360" w:lineRule="auto"/>
        <w:jc w:val="both"/>
        <w:rPr>
          <w:color w:val="000000" w:themeColor="text1"/>
        </w:rPr>
      </w:pPr>
      <w:r w:rsidRPr="00923562">
        <w:rPr>
          <w:color w:val="000000" w:themeColor="text1"/>
        </w:rPr>
        <w:t>5.</w:t>
      </w:r>
      <w:r w:rsidR="001B7C91" w:rsidRPr="00923562">
        <w:rPr>
          <w:color w:val="000000" w:themeColor="text1"/>
        </w:rPr>
        <w:t>7</w:t>
      </w:r>
      <w:r w:rsidRPr="00923562">
        <w:rPr>
          <w:color w:val="000000" w:themeColor="text1"/>
        </w:rPr>
        <w:t xml:space="preserve"> </w:t>
      </w:r>
      <w:r w:rsidR="00195ACA" w:rsidRPr="00923562">
        <w:rPr>
          <w:color w:val="000000" w:themeColor="text1"/>
        </w:rPr>
        <w:t xml:space="preserve">     </w:t>
      </w:r>
      <w:r w:rsidRPr="00923562">
        <w:rPr>
          <w:color w:val="000000" w:themeColor="text1"/>
        </w:rPr>
        <w:t>E-NOS</w:t>
      </w:r>
      <w:r w:rsidR="003F1508" w:rsidRPr="00923562">
        <w:rPr>
          <w:color w:val="000000" w:themeColor="text1"/>
        </w:rPr>
        <w:t xml:space="preserve"> </w:t>
      </w:r>
    </w:p>
    <w:p w14:paraId="5A091DDF" w14:textId="1C754B95" w:rsidR="00763873" w:rsidRPr="00923562" w:rsidRDefault="00763873" w:rsidP="0046528D">
      <w:pPr>
        <w:spacing w:line="360" w:lineRule="auto"/>
        <w:jc w:val="both"/>
        <w:rPr>
          <w:color w:val="000000" w:themeColor="text1"/>
        </w:rPr>
      </w:pPr>
      <w:r w:rsidRPr="00923562">
        <w:rPr>
          <w:color w:val="000000" w:themeColor="text1"/>
        </w:rPr>
        <w:t>5.</w:t>
      </w:r>
      <w:r w:rsidR="001B7C91" w:rsidRPr="00923562">
        <w:rPr>
          <w:color w:val="000000" w:themeColor="text1"/>
        </w:rPr>
        <w:t>8</w:t>
      </w:r>
      <w:r w:rsidRPr="00923562">
        <w:rPr>
          <w:color w:val="000000" w:themeColor="text1"/>
        </w:rPr>
        <w:t xml:space="preserve">      HIF </w:t>
      </w:r>
    </w:p>
    <w:p w14:paraId="59695B11" w14:textId="77777777" w:rsidR="0063185E" w:rsidRPr="00923562" w:rsidRDefault="0063185E" w:rsidP="0046528D">
      <w:pPr>
        <w:spacing w:line="360" w:lineRule="auto"/>
        <w:jc w:val="both"/>
        <w:rPr>
          <w:color w:val="000000" w:themeColor="text1"/>
        </w:rPr>
      </w:pPr>
    </w:p>
    <w:p w14:paraId="79BB0B32" w14:textId="03DBBA4B" w:rsidR="001B7C91" w:rsidRPr="00923562" w:rsidRDefault="0063185E" w:rsidP="0046528D">
      <w:pPr>
        <w:spacing w:line="360" w:lineRule="auto"/>
        <w:jc w:val="both"/>
        <w:rPr>
          <w:color w:val="000000" w:themeColor="text1"/>
        </w:rPr>
      </w:pPr>
      <w:r w:rsidRPr="00923562">
        <w:rPr>
          <w:color w:val="000000" w:themeColor="text1"/>
        </w:rPr>
        <w:t xml:space="preserve">CAPITOLO 6: </w:t>
      </w:r>
      <w:r w:rsidR="001B7C91" w:rsidRPr="00923562">
        <w:rPr>
          <w:color w:val="000000" w:themeColor="text1"/>
        </w:rPr>
        <w:t>FISIOPATOLOGIA MOLECOLARE DELL’ULCERA DEL PIEDE DIABETICO: IL RUOLO DEI MARKER DI INFIAMMAZIONE SIERICA E DELLA GENOMICA</w:t>
      </w:r>
    </w:p>
    <w:p w14:paraId="7D8F8901" w14:textId="710F5D9A" w:rsidR="00195ACA" w:rsidRPr="00923562" w:rsidRDefault="00195ACA" w:rsidP="0046528D">
      <w:pPr>
        <w:spacing w:line="360" w:lineRule="auto"/>
        <w:jc w:val="both"/>
        <w:rPr>
          <w:color w:val="000000" w:themeColor="text1"/>
        </w:rPr>
      </w:pPr>
    </w:p>
    <w:p w14:paraId="0CCF4FFE" w14:textId="6BF88F0F" w:rsidR="00763873" w:rsidRPr="00923562" w:rsidRDefault="00195ACA" w:rsidP="0046528D">
      <w:pPr>
        <w:spacing w:line="360" w:lineRule="auto"/>
        <w:jc w:val="both"/>
        <w:rPr>
          <w:color w:val="000000" w:themeColor="text1"/>
        </w:rPr>
      </w:pPr>
      <w:r w:rsidRPr="00923562">
        <w:rPr>
          <w:color w:val="000000" w:themeColor="text1"/>
        </w:rPr>
        <w:t>6.</w:t>
      </w:r>
      <w:r w:rsidR="001B7C91" w:rsidRPr="00923562">
        <w:rPr>
          <w:color w:val="000000" w:themeColor="text1"/>
        </w:rPr>
        <w:t xml:space="preserve">1    </w:t>
      </w:r>
      <w:r w:rsidR="0046528D" w:rsidRPr="00923562">
        <w:rPr>
          <w:color w:val="000000" w:themeColor="text1"/>
        </w:rPr>
        <w:t xml:space="preserve">   </w:t>
      </w:r>
      <w:r w:rsidR="001B7C91" w:rsidRPr="00923562">
        <w:rPr>
          <w:color w:val="000000" w:themeColor="text1"/>
        </w:rPr>
        <w:t xml:space="preserve"> Introduzione </w:t>
      </w:r>
    </w:p>
    <w:p w14:paraId="32F295E3" w14:textId="751B1BDE" w:rsidR="00763873" w:rsidRPr="00923562" w:rsidRDefault="00763873" w:rsidP="0046528D">
      <w:pPr>
        <w:spacing w:line="360" w:lineRule="auto"/>
        <w:jc w:val="both"/>
        <w:rPr>
          <w:color w:val="000000" w:themeColor="text1"/>
        </w:rPr>
      </w:pPr>
      <w:r w:rsidRPr="00923562">
        <w:rPr>
          <w:color w:val="000000" w:themeColor="text1"/>
        </w:rPr>
        <w:t>6.</w:t>
      </w:r>
      <w:r w:rsidR="001B7C91" w:rsidRPr="00923562">
        <w:rPr>
          <w:color w:val="000000" w:themeColor="text1"/>
        </w:rPr>
        <w:t xml:space="preserve">2.    </w:t>
      </w:r>
      <w:r w:rsidR="0046528D" w:rsidRPr="00923562">
        <w:rPr>
          <w:color w:val="000000" w:themeColor="text1"/>
        </w:rPr>
        <w:t xml:space="preserve">   </w:t>
      </w:r>
      <w:r w:rsidR="001B7C91" w:rsidRPr="00923562">
        <w:rPr>
          <w:color w:val="000000" w:themeColor="text1"/>
        </w:rPr>
        <w:t xml:space="preserve">Basi molecolari nel processo di guarigione delle ferite </w:t>
      </w:r>
      <w:r w:rsidRPr="00923562">
        <w:rPr>
          <w:color w:val="000000" w:themeColor="text1"/>
        </w:rPr>
        <w:t xml:space="preserve"> </w:t>
      </w:r>
    </w:p>
    <w:p w14:paraId="09A82B2B" w14:textId="387B0187" w:rsidR="00195ACA" w:rsidRPr="00923562" w:rsidRDefault="00195ACA" w:rsidP="0046528D">
      <w:pPr>
        <w:spacing w:line="360" w:lineRule="auto"/>
        <w:jc w:val="both"/>
        <w:rPr>
          <w:color w:val="000000" w:themeColor="text1"/>
        </w:rPr>
      </w:pPr>
      <w:r w:rsidRPr="00923562">
        <w:rPr>
          <w:color w:val="000000" w:themeColor="text1"/>
        </w:rPr>
        <w:t>6.</w:t>
      </w:r>
      <w:r w:rsidR="006B298E" w:rsidRPr="00923562">
        <w:rPr>
          <w:color w:val="000000" w:themeColor="text1"/>
        </w:rPr>
        <w:t xml:space="preserve">3 </w:t>
      </w:r>
      <w:r w:rsidRPr="00923562">
        <w:rPr>
          <w:color w:val="000000" w:themeColor="text1"/>
        </w:rPr>
        <w:t xml:space="preserve">  </w:t>
      </w:r>
      <w:r w:rsidR="0046528D" w:rsidRPr="00923562">
        <w:rPr>
          <w:color w:val="000000" w:themeColor="text1"/>
        </w:rPr>
        <w:t xml:space="preserve">   </w:t>
      </w:r>
      <w:r w:rsidRPr="00923562">
        <w:rPr>
          <w:color w:val="000000" w:themeColor="text1"/>
        </w:rPr>
        <w:t xml:space="preserve">  </w:t>
      </w:r>
      <w:r w:rsidR="0046528D" w:rsidRPr="00923562">
        <w:rPr>
          <w:color w:val="000000" w:themeColor="text1"/>
        </w:rPr>
        <w:t>Ruolo dei marker sierici</w:t>
      </w:r>
    </w:p>
    <w:p w14:paraId="2946CCEC" w14:textId="69DA449D" w:rsidR="0046528D" w:rsidRPr="00923562" w:rsidRDefault="0046528D" w:rsidP="0046528D">
      <w:pPr>
        <w:spacing w:line="360" w:lineRule="auto"/>
        <w:jc w:val="both"/>
        <w:rPr>
          <w:color w:val="000000" w:themeColor="text1"/>
        </w:rPr>
      </w:pPr>
      <w:r w:rsidRPr="00923562">
        <w:rPr>
          <w:color w:val="000000" w:themeColor="text1"/>
        </w:rPr>
        <w:lastRenderedPageBreak/>
        <w:t>6.4</w:t>
      </w:r>
      <w:r w:rsidR="00923562">
        <w:rPr>
          <w:color w:val="000000" w:themeColor="text1"/>
        </w:rPr>
        <w:t xml:space="preserve">  </w:t>
      </w:r>
      <w:r w:rsidRPr="00923562">
        <w:rPr>
          <w:color w:val="000000" w:themeColor="text1"/>
        </w:rPr>
        <w:t xml:space="preserve">      Marker sierici coinvolti nella guarigione delle ulcere del piede diabetico</w:t>
      </w:r>
    </w:p>
    <w:p w14:paraId="2107A562" w14:textId="349A7EF9" w:rsidR="0046528D" w:rsidRPr="00923562" w:rsidRDefault="0046528D" w:rsidP="0046528D">
      <w:pPr>
        <w:spacing w:line="360" w:lineRule="auto"/>
        <w:jc w:val="both"/>
        <w:rPr>
          <w:color w:val="000000" w:themeColor="text1"/>
        </w:rPr>
      </w:pPr>
      <w:r w:rsidRPr="00923562">
        <w:rPr>
          <w:color w:val="000000" w:themeColor="text1"/>
        </w:rPr>
        <w:t>6.5        Ruolo dell’epigenetica</w:t>
      </w:r>
    </w:p>
    <w:p w14:paraId="221A401F" w14:textId="2BF4223B" w:rsidR="0046528D" w:rsidRPr="00923562" w:rsidRDefault="0046528D" w:rsidP="0046528D">
      <w:pPr>
        <w:spacing w:line="360" w:lineRule="auto"/>
        <w:jc w:val="both"/>
        <w:rPr>
          <w:color w:val="000000" w:themeColor="text1"/>
        </w:rPr>
      </w:pPr>
      <w:r w:rsidRPr="00923562">
        <w:rPr>
          <w:color w:val="000000" w:themeColor="text1"/>
        </w:rPr>
        <w:t xml:space="preserve">6.5.1   </w:t>
      </w:r>
      <w:r w:rsidR="00923562">
        <w:rPr>
          <w:color w:val="000000" w:themeColor="text1"/>
        </w:rPr>
        <w:t xml:space="preserve">  </w:t>
      </w:r>
      <w:r w:rsidRPr="00923562">
        <w:rPr>
          <w:color w:val="000000" w:themeColor="text1"/>
        </w:rPr>
        <w:t>Epigenetica e memoria metabolica</w:t>
      </w:r>
    </w:p>
    <w:p w14:paraId="1983B6D0" w14:textId="4EFFC720" w:rsidR="0046528D" w:rsidRPr="00923562" w:rsidRDefault="0046528D" w:rsidP="0046528D">
      <w:pPr>
        <w:spacing w:line="360" w:lineRule="auto"/>
        <w:jc w:val="both"/>
        <w:rPr>
          <w:color w:val="000000" w:themeColor="text1"/>
        </w:rPr>
      </w:pPr>
      <w:r w:rsidRPr="00923562">
        <w:rPr>
          <w:color w:val="000000" w:themeColor="text1"/>
        </w:rPr>
        <w:t xml:space="preserve">6.5.2     miRNA 126,513 e 217 </w:t>
      </w:r>
    </w:p>
    <w:p w14:paraId="5D927BAD" w14:textId="28E04726" w:rsidR="0046528D" w:rsidRPr="00923562" w:rsidRDefault="0046528D" w:rsidP="0046528D">
      <w:pPr>
        <w:spacing w:line="360" w:lineRule="auto"/>
        <w:jc w:val="both"/>
        <w:rPr>
          <w:color w:val="000000" w:themeColor="text1"/>
        </w:rPr>
      </w:pPr>
      <w:r w:rsidRPr="00923562">
        <w:rPr>
          <w:color w:val="000000" w:themeColor="text1"/>
        </w:rPr>
        <w:t xml:space="preserve">6.5.3  </w:t>
      </w:r>
      <w:r w:rsidR="00923562">
        <w:rPr>
          <w:color w:val="000000" w:themeColor="text1"/>
        </w:rPr>
        <w:t xml:space="preserve">   </w:t>
      </w:r>
      <w:r w:rsidRPr="00923562">
        <w:rPr>
          <w:color w:val="000000" w:themeColor="text1"/>
        </w:rPr>
        <w:t xml:space="preserve">Polimorfismi a singolo nucleotide </w:t>
      </w:r>
    </w:p>
    <w:p w14:paraId="2092AA52" w14:textId="77777777" w:rsidR="00763873" w:rsidRPr="0046528D" w:rsidRDefault="00763873" w:rsidP="0046528D">
      <w:pPr>
        <w:jc w:val="both"/>
        <w:rPr>
          <w:color w:val="000000" w:themeColor="text1"/>
        </w:rPr>
      </w:pPr>
    </w:p>
    <w:p w14:paraId="463A60FE" w14:textId="77777777" w:rsidR="00F3634C" w:rsidRPr="0046528D" w:rsidRDefault="00F3634C" w:rsidP="0046528D">
      <w:pPr>
        <w:jc w:val="both"/>
        <w:rPr>
          <w:color w:val="000000" w:themeColor="text1"/>
        </w:rPr>
      </w:pPr>
    </w:p>
    <w:p w14:paraId="4F3F1808" w14:textId="425B530E" w:rsidR="006C143F" w:rsidRPr="0046528D" w:rsidRDefault="00193A7D" w:rsidP="0046528D">
      <w:pPr>
        <w:jc w:val="both"/>
      </w:pPr>
      <w:r w:rsidRPr="0046528D">
        <w:rPr>
          <w:color w:val="000000" w:themeColor="text1"/>
        </w:rPr>
        <w:t xml:space="preserve">CAPITOLO </w:t>
      </w:r>
      <w:r w:rsidR="00195ACA" w:rsidRPr="0046528D">
        <w:rPr>
          <w:color w:val="000000" w:themeColor="text1"/>
        </w:rPr>
        <w:t>7</w:t>
      </w:r>
      <w:r w:rsidRPr="0046528D">
        <w:rPr>
          <w:color w:val="000000" w:themeColor="text1"/>
        </w:rPr>
        <w:t xml:space="preserve">: </w:t>
      </w:r>
      <w:r w:rsidR="00C05520" w:rsidRPr="00C05520">
        <w:rPr>
          <w:color w:val="000000"/>
        </w:rPr>
        <w:t>VALUTAZIONE DELLE MODIFICHE EPIGENETICHE SUI M</w:t>
      </w:r>
      <w:r w:rsidR="00C05520" w:rsidRPr="00C05520">
        <w:rPr>
          <w:color w:val="000000"/>
        </w:rPr>
        <w:t>I</w:t>
      </w:r>
      <w:r w:rsidR="00C05520" w:rsidRPr="00C05520">
        <w:rPr>
          <w:color w:val="000000"/>
        </w:rPr>
        <w:t>CRO-RNA MIRNA126, 503, 217 E SUI POLIMORFISMI A SINGOLO N</w:t>
      </w:r>
      <w:r w:rsidR="00C05520" w:rsidRPr="00C05520">
        <w:rPr>
          <w:color w:val="000000"/>
        </w:rPr>
        <w:t>U</w:t>
      </w:r>
      <w:r w:rsidR="00C05520" w:rsidRPr="00C05520">
        <w:rPr>
          <w:color w:val="000000"/>
        </w:rPr>
        <w:t>CLEOTIDE SNP rs1800795 del gene IL-6 -G174C, SNP rs1800629 del gene TNF-α -G308A, SNP rs699947 del gene VEGF-C2578A, SNP rs3025039 del gene VEGF C936T, SNP rs1799983 del gene ENOS-G894T, SNP rs11549465 del gene HIF-1alpha C1772T IN UNA POPOLAZIONE DI PAZIENTI CON DIABETE MELL</w:t>
      </w:r>
      <w:r w:rsidR="00C05520" w:rsidRPr="00C05520">
        <w:rPr>
          <w:color w:val="000000"/>
        </w:rPr>
        <w:t>I</w:t>
      </w:r>
      <w:r w:rsidR="00C05520" w:rsidRPr="00C05520">
        <w:rPr>
          <w:color w:val="000000"/>
        </w:rPr>
        <w:t>TO DI TIPO 2 CON E SENZA PIEDE DIABETICO E CORRE-LAZIONE CON GLI INDICI DI DISFUNZIONE ENDOTELIALE E I MARKERS SIEROLOGICI DI ADIPO-INFIAMMATORI.</w:t>
      </w:r>
    </w:p>
    <w:p w14:paraId="60346A6C" w14:textId="77777777" w:rsidR="00195ACA" w:rsidRPr="0046528D" w:rsidRDefault="00195ACA" w:rsidP="0046528D">
      <w:pPr>
        <w:spacing w:line="360" w:lineRule="auto"/>
        <w:jc w:val="both"/>
      </w:pPr>
    </w:p>
    <w:p w14:paraId="43243D20" w14:textId="2528912A" w:rsidR="00C335B5" w:rsidRPr="0046528D" w:rsidRDefault="006C143F" w:rsidP="0046528D">
      <w:pPr>
        <w:spacing w:line="360" w:lineRule="auto"/>
        <w:jc w:val="both"/>
      </w:pPr>
      <w:r w:rsidRPr="0046528D">
        <w:t>7</w:t>
      </w:r>
      <w:r w:rsidR="00EC0D37" w:rsidRPr="0046528D">
        <w:t xml:space="preserve">.1 </w:t>
      </w:r>
      <w:r w:rsidR="00C335B5" w:rsidRPr="0046528D">
        <w:t xml:space="preserve">     </w:t>
      </w:r>
      <w:r w:rsidR="00EC0D37" w:rsidRPr="0046528D">
        <w:t>Introduzione</w:t>
      </w:r>
    </w:p>
    <w:p w14:paraId="70470CAB" w14:textId="6341DA84" w:rsidR="00EC0D37" w:rsidRPr="0046528D" w:rsidRDefault="006C143F" w:rsidP="0046528D">
      <w:pPr>
        <w:spacing w:line="360" w:lineRule="auto"/>
        <w:jc w:val="both"/>
      </w:pPr>
      <w:r w:rsidRPr="0046528D">
        <w:t>7</w:t>
      </w:r>
      <w:r w:rsidR="00EC0D37" w:rsidRPr="0046528D">
        <w:t>.2</w:t>
      </w:r>
      <w:r w:rsidR="00C335B5" w:rsidRPr="0046528D">
        <w:t xml:space="preserve">.   </w:t>
      </w:r>
      <w:r w:rsidR="00EC0D37" w:rsidRPr="0046528D">
        <w:t xml:space="preserve"> </w:t>
      </w:r>
      <w:r w:rsidR="00C335B5" w:rsidRPr="0046528D">
        <w:t xml:space="preserve"> </w:t>
      </w:r>
      <w:r w:rsidR="00EC0D37" w:rsidRPr="0046528D">
        <w:t>Obiettivi dello Studio</w:t>
      </w:r>
    </w:p>
    <w:p w14:paraId="5482FF1E" w14:textId="78EAD031" w:rsidR="00C335B5" w:rsidRPr="0046528D" w:rsidRDefault="00C335B5" w:rsidP="0046528D">
      <w:pPr>
        <w:spacing w:line="360" w:lineRule="auto"/>
        <w:jc w:val="both"/>
      </w:pPr>
      <w:r w:rsidRPr="0046528D">
        <w:t>7.3      Materiali e metodi</w:t>
      </w:r>
    </w:p>
    <w:p w14:paraId="7ADC4365" w14:textId="397281D0" w:rsidR="00C335B5" w:rsidRPr="0046528D" w:rsidRDefault="00C335B5" w:rsidP="0046528D">
      <w:pPr>
        <w:spacing w:line="360" w:lineRule="auto"/>
        <w:jc w:val="both"/>
      </w:pPr>
      <w:r w:rsidRPr="0046528D">
        <w:t>7.4      Valutazione clinica e laboratoristica</w:t>
      </w:r>
    </w:p>
    <w:p w14:paraId="525BD3F3" w14:textId="22E4AAA0" w:rsidR="00C335B5" w:rsidRPr="0046528D" w:rsidRDefault="00C335B5" w:rsidP="0046528D">
      <w:pPr>
        <w:spacing w:line="360" w:lineRule="auto"/>
        <w:jc w:val="both"/>
      </w:pPr>
      <w:r w:rsidRPr="0046528D">
        <w:t>7.5      Valutazione funzioni cognitive (mini mental state examination)</w:t>
      </w:r>
    </w:p>
    <w:p w14:paraId="517970D3" w14:textId="6012182B" w:rsidR="00C335B5" w:rsidRPr="0046528D" w:rsidRDefault="00C335B5" w:rsidP="0046528D">
      <w:pPr>
        <w:spacing w:line="360" w:lineRule="auto"/>
        <w:jc w:val="both"/>
      </w:pPr>
      <w:r w:rsidRPr="0046528D">
        <w:t>7.6      Valutazione funzione endoteliale mediante RH-PAT</w:t>
      </w:r>
    </w:p>
    <w:p w14:paraId="2511F613" w14:textId="6E2A191B" w:rsidR="00C335B5" w:rsidRPr="0046528D" w:rsidRDefault="00C335B5" w:rsidP="0046528D">
      <w:pPr>
        <w:spacing w:line="360" w:lineRule="auto"/>
        <w:jc w:val="both"/>
      </w:pPr>
      <w:r w:rsidRPr="0046528D">
        <w:t>7.7      Analisi genetica</w:t>
      </w:r>
    </w:p>
    <w:p w14:paraId="34E4E452" w14:textId="08C7A5A3" w:rsidR="00C335B5" w:rsidRPr="0046528D" w:rsidRDefault="00C335B5" w:rsidP="0046528D">
      <w:pPr>
        <w:spacing w:line="360" w:lineRule="auto"/>
        <w:jc w:val="both"/>
      </w:pPr>
      <w:r w:rsidRPr="0046528D">
        <w:t>7.8      Analisi biochimica</w:t>
      </w:r>
    </w:p>
    <w:p w14:paraId="2608416A" w14:textId="46320A73" w:rsidR="00C335B5" w:rsidRPr="0046528D" w:rsidRDefault="00C335B5" w:rsidP="0046528D">
      <w:pPr>
        <w:spacing w:line="360" w:lineRule="auto"/>
        <w:jc w:val="both"/>
      </w:pPr>
      <w:r w:rsidRPr="0046528D">
        <w:t xml:space="preserve">7.9      Analisi statistica </w:t>
      </w:r>
    </w:p>
    <w:p w14:paraId="73127566" w14:textId="16BCF0D7" w:rsidR="00C335B5" w:rsidRPr="0046528D" w:rsidRDefault="00C335B5" w:rsidP="0046528D">
      <w:pPr>
        <w:spacing w:line="360" w:lineRule="auto"/>
        <w:jc w:val="both"/>
      </w:pPr>
      <w:r w:rsidRPr="0046528D">
        <w:t>7.10    Risultati</w:t>
      </w:r>
    </w:p>
    <w:p w14:paraId="6D665206" w14:textId="77777777" w:rsidR="00C335B5" w:rsidRPr="0046528D" w:rsidRDefault="00C335B5" w:rsidP="0046528D">
      <w:pPr>
        <w:spacing w:line="360" w:lineRule="auto"/>
        <w:jc w:val="both"/>
      </w:pPr>
      <w:r w:rsidRPr="0046528D">
        <w:t>7.11    Discussione</w:t>
      </w:r>
    </w:p>
    <w:p w14:paraId="69701F2D" w14:textId="22503D3D" w:rsidR="00C335B5" w:rsidRPr="0046528D" w:rsidRDefault="00C335B5" w:rsidP="0046528D">
      <w:pPr>
        <w:spacing w:line="360" w:lineRule="auto"/>
        <w:jc w:val="both"/>
      </w:pPr>
      <w:r w:rsidRPr="0046528D">
        <w:t xml:space="preserve">7.12    Conclusioni </w:t>
      </w:r>
    </w:p>
    <w:p w14:paraId="52833D9A" w14:textId="77777777" w:rsidR="00923562" w:rsidRDefault="00923562" w:rsidP="0046528D">
      <w:pPr>
        <w:spacing w:line="360" w:lineRule="auto"/>
        <w:jc w:val="both"/>
      </w:pPr>
    </w:p>
    <w:p w14:paraId="60D0C4FA" w14:textId="3F163886" w:rsidR="00187356" w:rsidRPr="0046528D" w:rsidRDefault="00187356" w:rsidP="0046528D">
      <w:pPr>
        <w:spacing w:line="360" w:lineRule="auto"/>
        <w:jc w:val="both"/>
      </w:pPr>
      <w:r w:rsidRPr="0046528D">
        <w:br/>
        <w:t xml:space="preserve">RINGRAZIAMENTI </w:t>
      </w:r>
    </w:p>
    <w:p w14:paraId="41978C63" w14:textId="6DF17E04" w:rsidR="00187356" w:rsidRPr="0046528D" w:rsidRDefault="00187356" w:rsidP="0046528D">
      <w:pPr>
        <w:spacing w:line="360" w:lineRule="auto"/>
        <w:jc w:val="both"/>
      </w:pPr>
    </w:p>
    <w:p w14:paraId="647C474D" w14:textId="77777777" w:rsidR="00187356" w:rsidRPr="0046528D" w:rsidRDefault="00187356" w:rsidP="0046528D">
      <w:pPr>
        <w:spacing w:line="360" w:lineRule="auto"/>
        <w:jc w:val="both"/>
      </w:pPr>
    </w:p>
    <w:p w14:paraId="415826FD" w14:textId="77777777" w:rsidR="00193A7D" w:rsidRPr="0046528D" w:rsidRDefault="00193A7D" w:rsidP="0046528D">
      <w:pPr>
        <w:spacing w:line="360" w:lineRule="auto"/>
        <w:jc w:val="both"/>
      </w:pPr>
      <w:r w:rsidRPr="0046528D">
        <w:t>BIBLIOGRAFIA</w:t>
      </w:r>
    </w:p>
    <w:p w14:paraId="41E183A5" w14:textId="5384DB70" w:rsidR="00193A7D" w:rsidRPr="0046528D" w:rsidRDefault="00193A7D" w:rsidP="0046528D">
      <w:pPr>
        <w:spacing w:line="360" w:lineRule="auto"/>
        <w:jc w:val="both"/>
      </w:pPr>
    </w:p>
    <w:p w14:paraId="327527B3" w14:textId="0EC84BE3" w:rsidR="00C76944" w:rsidRPr="0046528D" w:rsidRDefault="00C76944" w:rsidP="0046528D">
      <w:pPr>
        <w:spacing w:line="360" w:lineRule="auto"/>
        <w:jc w:val="both"/>
      </w:pPr>
    </w:p>
    <w:p w14:paraId="679B781D" w14:textId="731F6BC1" w:rsidR="00411A26" w:rsidRPr="0046528D" w:rsidRDefault="00411A26" w:rsidP="0046528D">
      <w:pPr>
        <w:spacing w:line="360" w:lineRule="auto"/>
        <w:jc w:val="both"/>
        <w:rPr>
          <w:b/>
        </w:rPr>
      </w:pPr>
    </w:p>
    <w:p w14:paraId="1775BA29" w14:textId="77777777" w:rsidR="00DD469F" w:rsidRPr="0046528D" w:rsidRDefault="00DD469F" w:rsidP="0046528D">
      <w:pPr>
        <w:spacing w:line="360" w:lineRule="auto"/>
        <w:jc w:val="both"/>
        <w:rPr>
          <w:b/>
        </w:rPr>
      </w:pPr>
    </w:p>
    <w:p w14:paraId="290D586A" w14:textId="51692A65" w:rsidR="00411A26" w:rsidRPr="0046528D" w:rsidRDefault="00411A26" w:rsidP="0046528D">
      <w:pPr>
        <w:spacing w:line="360" w:lineRule="auto"/>
        <w:jc w:val="both"/>
        <w:rPr>
          <w:b/>
        </w:rPr>
      </w:pPr>
    </w:p>
    <w:p w14:paraId="48ACD668" w14:textId="3E573410" w:rsidR="00193A7D" w:rsidRPr="0046528D" w:rsidRDefault="00193A7D" w:rsidP="0046528D">
      <w:pPr>
        <w:spacing w:line="360" w:lineRule="auto"/>
        <w:jc w:val="both"/>
        <w:rPr>
          <w:b/>
        </w:rPr>
      </w:pPr>
      <w:r w:rsidRPr="0046528D">
        <w:rPr>
          <w:b/>
        </w:rPr>
        <w:t>Capitolo 1 – Il Piede Diabetico</w:t>
      </w:r>
    </w:p>
    <w:p w14:paraId="29AA22D5" w14:textId="77777777" w:rsidR="00193A7D" w:rsidRPr="0046528D" w:rsidRDefault="00193A7D" w:rsidP="0046528D">
      <w:pPr>
        <w:spacing w:line="360" w:lineRule="auto"/>
        <w:jc w:val="both"/>
      </w:pPr>
    </w:p>
    <w:p w14:paraId="7F07110E" w14:textId="77777777" w:rsidR="00193A7D" w:rsidRPr="0046528D" w:rsidRDefault="00193A7D" w:rsidP="0046528D">
      <w:pPr>
        <w:spacing w:line="360" w:lineRule="auto"/>
        <w:jc w:val="both"/>
        <w:rPr>
          <w:b/>
        </w:rPr>
      </w:pPr>
      <w:r w:rsidRPr="0046528D">
        <w:rPr>
          <w:b/>
        </w:rPr>
        <w:t>1.1 Introduzione</w:t>
      </w:r>
    </w:p>
    <w:p w14:paraId="4D263175" w14:textId="77777777" w:rsidR="00193A7D" w:rsidRPr="0046528D" w:rsidRDefault="00193A7D" w:rsidP="0046528D">
      <w:pPr>
        <w:spacing w:line="360" w:lineRule="auto"/>
        <w:jc w:val="both"/>
      </w:pPr>
      <w:r w:rsidRPr="0046528D">
        <w:t>Il piede diabetico è una severa complicanza a lungo termine del diabete mellito. La sua gestione, in ultimo, comporta l'amputazione dell'arto con disabilità e compromi</w:t>
      </w:r>
      <w:r w:rsidRPr="0046528D">
        <w:t>s</w:t>
      </w:r>
      <w:r w:rsidRPr="0046528D">
        <w:t>sione significativa della qualità di vita.  Nella definizione di tale complicanza veng</w:t>
      </w:r>
      <w:r w:rsidRPr="0046528D">
        <w:t>o</w:t>
      </w:r>
      <w:r w:rsidRPr="0046528D">
        <w:t>no incluse diverse lesioni come, ad esempio, ulcere correnti, ulcere guarite, gangrene e amputazione degli arti inferiori.</w:t>
      </w:r>
    </w:p>
    <w:p w14:paraId="4D443A95" w14:textId="77777777" w:rsidR="00193A7D" w:rsidRPr="0046528D" w:rsidRDefault="00193A7D" w:rsidP="0046528D">
      <w:pPr>
        <w:spacing w:line="360" w:lineRule="auto"/>
        <w:jc w:val="both"/>
        <w:rPr>
          <w:color w:val="FF0000"/>
        </w:rPr>
      </w:pPr>
      <w:r w:rsidRPr="0046528D">
        <w:t>Le ulcere e le amputazioni sono le maggiori complicanze del diabete, presentano la più elevata mortalità e morbilità; basti pensare che circa il 15-20% dei pazienti diab</w:t>
      </w:r>
      <w:r w:rsidRPr="0046528D">
        <w:t>e</w:t>
      </w:r>
      <w:r w:rsidRPr="0046528D">
        <w:t>tici svilupperà tale complicanza durante il corso della vita</w:t>
      </w:r>
      <w:r w:rsidR="00E41FA7" w:rsidRPr="0046528D">
        <w:rPr>
          <w:rStyle w:val="Rimandonotadichiusura"/>
        </w:rPr>
        <w:endnoteReference w:id="1"/>
      </w:r>
      <w:r w:rsidRPr="0046528D">
        <w:t xml:space="preserve"> dunque sono da consid</w:t>
      </w:r>
      <w:r w:rsidRPr="0046528D">
        <w:t>e</w:t>
      </w:r>
      <w:r w:rsidRPr="0046528D">
        <w:t>rare i costi finanziari; infatti, negli Stati Uniti, più del 20% delle ospedalizzazioni dei pazienti diabetici sono correlate al piede diabetico.</w:t>
      </w:r>
    </w:p>
    <w:p w14:paraId="4D88413E" w14:textId="77777777" w:rsidR="00193A7D" w:rsidRPr="0046528D" w:rsidRDefault="00193A7D" w:rsidP="0046528D">
      <w:pPr>
        <w:spacing w:line="360" w:lineRule="auto"/>
        <w:jc w:val="both"/>
      </w:pPr>
      <w:r w:rsidRPr="0046528D">
        <w:t>Inoltre più del 60% delle amputazioni non traumatiche nel mondo Occidentale r</w:t>
      </w:r>
      <w:r w:rsidRPr="0046528D">
        <w:t>i</w:t>
      </w:r>
      <w:r w:rsidRPr="0046528D">
        <w:t>guardano i diabetici</w:t>
      </w:r>
      <w:r w:rsidR="00374499" w:rsidRPr="0046528D">
        <w:rPr>
          <w:rStyle w:val="Rimandonotadichiusura"/>
        </w:rPr>
        <w:endnoteReference w:id="2"/>
      </w:r>
      <w:r w:rsidRPr="0046528D">
        <w:t xml:space="preserve">. </w:t>
      </w:r>
    </w:p>
    <w:p w14:paraId="7F3BBC90" w14:textId="77777777" w:rsidR="00193A7D" w:rsidRPr="0046528D" w:rsidRDefault="00193A7D" w:rsidP="0046528D">
      <w:pPr>
        <w:spacing w:line="360" w:lineRule="auto"/>
        <w:jc w:val="both"/>
        <w:rPr>
          <w:color w:val="FF0000"/>
        </w:rPr>
      </w:pPr>
      <w:r w:rsidRPr="0046528D">
        <w:t>Annualmente negli Stati Uniti, circa 82000 amputazioni degli arti inferiori sono d</w:t>
      </w:r>
      <w:r w:rsidRPr="0046528D">
        <w:t>i</w:t>
      </w:r>
      <w:r w:rsidRPr="0046528D">
        <w:t>rettamente correlate al diabete</w:t>
      </w:r>
      <w:r w:rsidR="00C25377" w:rsidRPr="0046528D">
        <w:rPr>
          <w:rStyle w:val="Rimandonotadichiusura"/>
        </w:rPr>
        <w:endnoteReference w:id="3"/>
      </w:r>
      <w:r w:rsidRPr="0046528D">
        <w:t xml:space="preserve"> e circa l'80% di esse sono state precedute dall'ulcera diabetica</w:t>
      </w:r>
      <w:r w:rsidR="00C06769" w:rsidRPr="0046528D">
        <w:rPr>
          <w:rStyle w:val="Rimandonotadichiusura"/>
        </w:rPr>
        <w:endnoteReference w:id="4"/>
      </w:r>
      <w:r w:rsidRPr="0046528D">
        <w:t>.</w:t>
      </w:r>
      <w:r w:rsidRPr="0046528D">
        <w:rPr>
          <w:color w:val="000000" w:themeColor="text1"/>
        </w:rPr>
        <w:t xml:space="preserve"> Oggi, al mondo, ogni 30 secondi un paziente diabetico viene sottoposto ad amputazione.</w:t>
      </w:r>
      <w:r w:rsidR="00AD5FF9" w:rsidRPr="0046528D">
        <w:rPr>
          <w:color w:val="000000" w:themeColor="text1"/>
        </w:rPr>
        <w:t xml:space="preserve"> </w:t>
      </w:r>
      <w:r w:rsidRPr="0046528D">
        <w:rPr>
          <w:color w:val="000000" w:themeColor="text1"/>
        </w:rPr>
        <w:t>I tassi di mortalità dopo un’amputazione maggiore sono del 40% ad 1 anno e dell’80% a 5 anni.</w:t>
      </w:r>
    </w:p>
    <w:p w14:paraId="31BDE6BC" w14:textId="77777777" w:rsidR="00193A7D" w:rsidRPr="0046528D" w:rsidRDefault="00193A7D" w:rsidP="0046528D">
      <w:pPr>
        <w:spacing w:line="360" w:lineRule="auto"/>
        <w:jc w:val="both"/>
      </w:pPr>
      <w:r w:rsidRPr="0046528D">
        <w:t>Recentemente si è visto un significativo incremento delle conoscenze sui pathways fisiopatologici del piede diabetico, insieme ad un concomitante aumento della sens</w:t>
      </w:r>
      <w:r w:rsidRPr="0046528D">
        <w:t>i</w:t>
      </w:r>
      <w:r w:rsidRPr="0046528D">
        <w:t xml:space="preserve">bilità e specificità delle tecniche diagnostiche adoperate e dell’efficacia di tutti gli approcci terapeutici conservativi; ciò ha consentito, in un'alta percentuale di casi, il risparmio dell'arto. </w:t>
      </w:r>
    </w:p>
    <w:p w14:paraId="5D498F0A" w14:textId="77777777" w:rsidR="00193A7D" w:rsidRPr="0046528D" w:rsidRDefault="00193A7D" w:rsidP="0046528D">
      <w:pPr>
        <w:spacing w:line="360" w:lineRule="auto"/>
        <w:jc w:val="both"/>
      </w:pPr>
      <w:r w:rsidRPr="0046528D">
        <w:t>I due principali fattori eziopatogenetici del piede diabetico sono la neuropatia diab</w:t>
      </w:r>
      <w:r w:rsidRPr="0046528D">
        <w:t>e</w:t>
      </w:r>
      <w:r w:rsidRPr="0046528D">
        <w:t>tica e la malattia vascolare periferica o arteropatia periferica.</w:t>
      </w:r>
      <w:r w:rsidRPr="0046528D">
        <w:rPr>
          <w:vertAlign w:val="superscript"/>
        </w:rPr>
        <w:endnoteReference w:id="5"/>
      </w:r>
    </w:p>
    <w:p w14:paraId="6A015D2E" w14:textId="77777777" w:rsidR="00193A7D" w:rsidRPr="0046528D" w:rsidRDefault="00193A7D" w:rsidP="0046528D">
      <w:pPr>
        <w:spacing w:line="360" w:lineRule="auto"/>
        <w:jc w:val="both"/>
      </w:pPr>
      <w:r w:rsidRPr="0046528D">
        <w:t>L'ulcera nella neuropatia diabetica è dovuta allo stress biomeccanico e all'alta pre</w:t>
      </w:r>
      <w:r w:rsidRPr="0046528D">
        <w:t>s</w:t>
      </w:r>
      <w:r w:rsidRPr="0046528D">
        <w:t>sione che coinvolge la porzione plantare del piede e dei primi metatarsi.</w:t>
      </w:r>
    </w:p>
    <w:p w14:paraId="516092CA" w14:textId="77777777" w:rsidR="00193A7D" w:rsidRPr="0046528D" w:rsidRDefault="00193A7D" w:rsidP="0046528D">
      <w:pPr>
        <w:spacing w:line="360" w:lineRule="auto"/>
        <w:jc w:val="both"/>
      </w:pPr>
      <w:r w:rsidRPr="0046528D">
        <w:lastRenderedPageBreak/>
        <w:t>L'ulcera neuropatica, in assenza di adeguato trattamento, può evolvere in un'ulcera cronica che tende a non guarire e ciò può condurre ad un’ulteriore terribile compl</w:t>
      </w:r>
      <w:r w:rsidRPr="0046528D">
        <w:t>i</w:t>
      </w:r>
      <w:r w:rsidRPr="0046528D">
        <w:t>canza quale l'osteomielite.</w:t>
      </w:r>
    </w:p>
    <w:p w14:paraId="00EC2A80" w14:textId="77777777" w:rsidR="00193A7D" w:rsidRPr="0046528D" w:rsidRDefault="00193A7D" w:rsidP="0046528D">
      <w:pPr>
        <w:spacing w:line="360" w:lineRule="auto"/>
        <w:jc w:val="both"/>
      </w:pPr>
      <w:r w:rsidRPr="0046528D">
        <w:t>La neuro-artropatia di Charcot è la più comune complicanza della neuropatia diabet</w:t>
      </w:r>
      <w:r w:rsidRPr="0046528D">
        <w:t>i</w:t>
      </w:r>
      <w:r w:rsidRPr="0046528D">
        <w:t>ca e può arrecare la frattura e la distruzione delle articolazioni e delle ossa.</w:t>
      </w:r>
    </w:p>
    <w:p w14:paraId="7F271F2D" w14:textId="77777777" w:rsidR="00193A7D" w:rsidRPr="0046528D" w:rsidRDefault="00193A7D" w:rsidP="0046528D">
      <w:pPr>
        <w:spacing w:line="360" w:lineRule="auto"/>
        <w:jc w:val="both"/>
      </w:pPr>
      <w:r w:rsidRPr="0046528D">
        <w:t>L’arteropatia periferica nella popolazione diabetica, è però il maggiore fattore di r</w:t>
      </w:r>
      <w:r w:rsidRPr="0046528D">
        <w:t>i</w:t>
      </w:r>
      <w:r w:rsidRPr="0046528D">
        <w:t xml:space="preserve">schio per l’amputazione; infatti, se non diagnosticata in tempo, la terapia per l'ulcera non può essere portata a termine. </w:t>
      </w:r>
    </w:p>
    <w:p w14:paraId="1AE407C6" w14:textId="77777777" w:rsidR="00193A7D" w:rsidRPr="0046528D" w:rsidRDefault="00193A7D" w:rsidP="0046528D">
      <w:pPr>
        <w:spacing w:line="360" w:lineRule="auto"/>
        <w:jc w:val="both"/>
      </w:pPr>
      <w:r w:rsidRPr="0046528D">
        <w:t>Sebbene nei pazienti diabetici l'arteropatia periferica sia comunemente localizzata nella regione del piede, in molti casi essa ha un’estensione maggiore, con il coinvo</w:t>
      </w:r>
      <w:r w:rsidRPr="0046528D">
        <w:t>l</w:t>
      </w:r>
      <w:r w:rsidRPr="0046528D">
        <w:t>gimento anche dei vasi femorali, poplitei e tibiali.</w:t>
      </w:r>
    </w:p>
    <w:p w14:paraId="390AF0B3" w14:textId="77777777" w:rsidR="00193A7D" w:rsidRPr="0046528D" w:rsidRDefault="00193A7D" w:rsidP="0046528D">
      <w:pPr>
        <w:spacing w:line="360" w:lineRule="auto"/>
        <w:jc w:val="both"/>
      </w:pPr>
      <w:r w:rsidRPr="0046528D">
        <w:t>Nella maggior parte dei pazienti, le complicanze vascolari del piede possono rappr</w:t>
      </w:r>
      <w:r w:rsidRPr="0046528D">
        <w:t>e</w:t>
      </w:r>
      <w:r w:rsidRPr="0046528D">
        <w:t>sentare causa di ospedalizzazione a lungo termine e richiedere assistenza domicili</w:t>
      </w:r>
      <w:r w:rsidRPr="0046528D">
        <w:t>a</w:t>
      </w:r>
      <w:r w:rsidRPr="0046528D">
        <w:t>re</w:t>
      </w:r>
      <w:r w:rsidRPr="0046528D">
        <w:rPr>
          <w:vertAlign w:val="superscript"/>
        </w:rPr>
        <w:endnoteReference w:id="6"/>
      </w:r>
      <w:r w:rsidRPr="0046528D">
        <w:t xml:space="preserve">. </w:t>
      </w:r>
    </w:p>
    <w:p w14:paraId="73C0DE96" w14:textId="77777777" w:rsidR="00193A7D" w:rsidRPr="0046528D" w:rsidRDefault="00193A7D" w:rsidP="0046528D">
      <w:pPr>
        <w:spacing w:line="360" w:lineRule="auto"/>
        <w:jc w:val="both"/>
      </w:pPr>
      <w:r w:rsidRPr="0046528D">
        <w:t>Le ulcere al piede sono i precursori più comuni delle amputazioni dell'arto inferiore nei diabetici</w:t>
      </w:r>
      <w:r w:rsidRPr="0046528D">
        <w:rPr>
          <w:vertAlign w:val="superscript"/>
        </w:rPr>
        <w:endnoteReference w:id="7"/>
      </w:r>
      <w:r w:rsidRPr="0046528D">
        <w:t xml:space="preserve"> </w:t>
      </w:r>
      <w:r w:rsidRPr="0046528D">
        <w:rPr>
          <w:vertAlign w:val="superscript"/>
        </w:rPr>
        <w:endnoteReference w:id="8"/>
      </w:r>
      <w:r w:rsidRPr="0046528D">
        <w:t xml:space="preserve">.  Samann et all </w:t>
      </w:r>
      <w:r w:rsidRPr="0046528D">
        <w:rPr>
          <w:vertAlign w:val="superscript"/>
        </w:rPr>
        <w:endnoteReference w:id="9"/>
      </w:r>
      <w:r w:rsidRPr="0046528D">
        <w:t xml:space="preserve"> hanno dimostrato in uno studio crociato su larga sc</w:t>
      </w:r>
      <w:r w:rsidRPr="0046528D">
        <w:t>a</w:t>
      </w:r>
      <w:r w:rsidRPr="0046528D">
        <w:t>la, che la prevalenza del piede diabetico era del 3,6% nel diabete di tipo 1 e 2,8% nel diabete di tipo 2 e che più del 53% dei pazienti con piede diabetico avevano subito un’amputazione maggiore o minore all'arto inferiore.</w:t>
      </w:r>
    </w:p>
    <w:p w14:paraId="49281F58" w14:textId="77777777" w:rsidR="00193A7D" w:rsidRPr="0046528D" w:rsidRDefault="00193A7D" w:rsidP="0046528D">
      <w:pPr>
        <w:spacing w:line="360" w:lineRule="auto"/>
        <w:jc w:val="both"/>
        <w:rPr>
          <w:color w:val="000000" w:themeColor="text1"/>
        </w:rPr>
      </w:pPr>
      <w:r w:rsidRPr="0046528D">
        <w:rPr>
          <w:color w:val="000000" w:themeColor="text1"/>
        </w:rPr>
        <w:t>I fattori che contribuiscono alla formazione dell'ulcera diabetici, infatti, sono:</w:t>
      </w:r>
    </w:p>
    <w:p w14:paraId="234760BE" w14:textId="77777777" w:rsidR="00193A7D" w:rsidRPr="0046528D" w:rsidRDefault="00193A7D" w:rsidP="0046528D">
      <w:pPr>
        <w:spacing w:line="360" w:lineRule="auto"/>
        <w:jc w:val="both"/>
        <w:rPr>
          <w:color w:val="000000" w:themeColor="text1"/>
        </w:rPr>
      </w:pPr>
      <w:r w:rsidRPr="0046528D">
        <w:rPr>
          <w:color w:val="000000" w:themeColor="text1"/>
        </w:rPr>
        <w:t>- la neuropatia periferica</w:t>
      </w:r>
    </w:p>
    <w:p w14:paraId="04571079" w14:textId="77777777" w:rsidR="00193A7D" w:rsidRPr="0046528D" w:rsidRDefault="00193A7D" w:rsidP="0046528D">
      <w:pPr>
        <w:spacing w:line="360" w:lineRule="auto"/>
        <w:jc w:val="both"/>
        <w:rPr>
          <w:color w:val="000000" w:themeColor="text1"/>
        </w:rPr>
      </w:pPr>
      <w:r w:rsidRPr="0046528D">
        <w:rPr>
          <w:color w:val="000000" w:themeColor="text1"/>
        </w:rPr>
        <w:t>- la deformità del piede</w:t>
      </w:r>
    </w:p>
    <w:p w14:paraId="1B1FB552" w14:textId="77777777" w:rsidR="00193A7D" w:rsidRPr="0046528D" w:rsidRDefault="00193A7D" w:rsidP="0046528D">
      <w:pPr>
        <w:spacing w:line="360" w:lineRule="auto"/>
        <w:jc w:val="both"/>
        <w:rPr>
          <w:color w:val="000000" w:themeColor="text1"/>
        </w:rPr>
      </w:pPr>
      <w:r w:rsidRPr="0046528D">
        <w:rPr>
          <w:color w:val="000000" w:themeColor="text1"/>
        </w:rPr>
        <w:t xml:space="preserve">- l’elevata pressione plantare </w:t>
      </w:r>
    </w:p>
    <w:p w14:paraId="2A7BC995" w14:textId="77777777" w:rsidR="00193A7D" w:rsidRPr="0046528D" w:rsidRDefault="00193A7D" w:rsidP="0046528D">
      <w:pPr>
        <w:spacing w:line="360" w:lineRule="auto"/>
        <w:jc w:val="both"/>
        <w:rPr>
          <w:color w:val="000000" w:themeColor="text1"/>
        </w:rPr>
      </w:pPr>
      <w:r w:rsidRPr="0046528D">
        <w:rPr>
          <w:color w:val="000000" w:themeColor="text1"/>
        </w:rPr>
        <w:t xml:space="preserve">- lo scarso controllo della glicemia </w:t>
      </w:r>
    </w:p>
    <w:p w14:paraId="69F114D8" w14:textId="77777777" w:rsidR="00193A7D" w:rsidRPr="0046528D" w:rsidRDefault="00193A7D" w:rsidP="0046528D">
      <w:pPr>
        <w:spacing w:line="360" w:lineRule="auto"/>
        <w:jc w:val="both"/>
        <w:rPr>
          <w:color w:val="000000" w:themeColor="text1"/>
        </w:rPr>
      </w:pPr>
      <w:r w:rsidRPr="0046528D">
        <w:rPr>
          <w:color w:val="000000" w:themeColor="text1"/>
        </w:rPr>
        <w:t xml:space="preserve">- la durata del diabete </w:t>
      </w:r>
    </w:p>
    <w:p w14:paraId="60B999C1" w14:textId="77777777" w:rsidR="00193A7D" w:rsidRPr="0046528D" w:rsidRDefault="00193A7D" w:rsidP="0046528D">
      <w:pPr>
        <w:spacing w:line="360" w:lineRule="auto"/>
        <w:jc w:val="both"/>
        <w:rPr>
          <w:color w:val="000000" w:themeColor="text1"/>
        </w:rPr>
      </w:pPr>
      <w:r w:rsidRPr="0046528D">
        <w:rPr>
          <w:color w:val="000000" w:themeColor="text1"/>
        </w:rPr>
        <w:t>- il sesso maschile</w:t>
      </w:r>
      <w:r w:rsidR="00114D02" w:rsidRPr="0046528D">
        <w:rPr>
          <w:rStyle w:val="Rimandonotadichiusura"/>
          <w:color w:val="000000" w:themeColor="text1"/>
        </w:rPr>
        <w:endnoteReference w:id="10"/>
      </w:r>
      <w:r w:rsidRPr="0046528D">
        <w:rPr>
          <w:color w:val="000000" w:themeColor="text1"/>
        </w:rPr>
        <w:t>.</w:t>
      </w:r>
    </w:p>
    <w:p w14:paraId="4B4C618C" w14:textId="77777777" w:rsidR="00193A7D" w:rsidRPr="0046528D" w:rsidRDefault="00193A7D" w:rsidP="0046528D">
      <w:pPr>
        <w:spacing w:line="360" w:lineRule="auto"/>
        <w:jc w:val="both"/>
      </w:pPr>
      <w:r w:rsidRPr="0046528D">
        <w:t>Le infezioni sono una delle complicanze più severe del piede diabetico, difatti fle</w:t>
      </w:r>
      <w:r w:rsidRPr="0046528D">
        <w:t>m</w:t>
      </w:r>
      <w:r w:rsidRPr="0046528D">
        <w:t>moni e fasciti necrotizzanti possono causare non solo la mortif</w:t>
      </w:r>
      <w:r w:rsidRPr="0046528D">
        <w:t>i</w:t>
      </w:r>
      <w:r w:rsidRPr="0046528D">
        <w:t>cazione dell'arto, ma possono inficiare anche la s</w:t>
      </w:r>
      <w:r w:rsidRPr="0046528D">
        <w:t>o</w:t>
      </w:r>
      <w:r w:rsidRPr="0046528D">
        <w:t>pravvivenza stessa del paziente.</w:t>
      </w:r>
    </w:p>
    <w:p w14:paraId="4C4708EE" w14:textId="77777777" w:rsidR="00193A7D" w:rsidRPr="0046528D" w:rsidRDefault="00193A7D" w:rsidP="0046528D">
      <w:pPr>
        <w:spacing w:line="360" w:lineRule="auto"/>
        <w:jc w:val="both"/>
      </w:pPr>
      <w:r w:rsidRPr="0046528D">
        <w:t>Il trattamento delle ulcere infette del piede rappresenta più di un quarto delle osped</w:t>
      </w:r>
      <w:r w:rsidRPr="0046528D">
        <w:t>a</w:t>
      </w:r>
      <w:r w:rsidRPr="0046528D">
        <w:t>lizzazioni n</w:t>
      </w:r>
      <w:r w:rsidRPr="0046528D">
        <w:t>e</w:t>
      </w:r>
      <w:r w:rsidRPr="0046528D">
        <w:t>gli Stati Uniti e in UK, rendendo queste ultime le maggiori cause di ospedalizzazi</w:t>
      </w:r>
      <w:r w:rsidRPr="0046528D">
        <w:t>o</w:t>
      </w:r>
      <w:r w:rsidRPr="0046528D">
        <w:t>ne correlate ai p</w:t>
      </w:r>
      <w:r w:rsidRPr="0046528D">
        <w:t>a</w:t>
      </w:r>
      <w:r w:rsidRPr="0046528D">
        <w:t>zienti diabetici</w:t>
      </w:r>
      <w:r w:rsidRPr="0046528D">
        <w:rPr>
          <w:vertAlign w:val="superscript"/>
        </w:rPr>
        <w:endnoteReference w:id="11"/>
      </w:r>
      <w:r w:rsidRPr="0046528D">
        <w:t xml:space="preserve"> </w:t>
      </w:r>
      <w:r w:rsidRPr="0046528D">
        <w:rPr>
          <w:vertAlign w:val="superscript"/>
        </w:rPr>
        <w:endnoteReference w:id="12"/>
      </w:r>
      <w:r w:rsidRPr="0046528D">
        <w:t>.</w:t>
      </w:r>
    </w:p>
    <w:p w14:paraId="5C2E80D4" w14:textId="77777777" w:rsidR="00193A7D" w:rsidRPr="0046528D" w:rsidRDefault="00193A7D" w:rsidP="0046528D">
      <w:pPr>
        <w:spacing w:line="360" w:lineRule="auto"/>
        <w:jc w:val="both"/>
      </w:pPr>
      <w:r w:rsidRPr="0046528D">
        <w:lastRenderedPageBreak/>
        <w:t>Il principale obiettivo terapeutico, dunque, è la prevenzione primaria e secondaria dell'ulcera diabetica in specie in pazienti con moltepl</w:t>
      </w:r>
      <w:r w:rsidRPr="0046528D">
        <w:t>i</w:t>
      </w:r>
      <w:r w:rsidRPr="0046528D">
        <w:t>ci fattori di rischio, al fine di el</w:t>
      </w:r>
      <w:r w:rsidRPr="0046528D">
        <w:t>u</w:t>
      </w:r>
      <w:r w:rsidRPr="0046528D">
        <w:t>dere il ricorso all'amputazione.</w:t>
      </w:r>
    </w:p>
    <w:p w14:paraId="7F113435" w14:textId="77777777" w:rsidR="00193A7D" w:rsidRPr="0046528D" w:rsidRDefault="00193A7D" w:rsidP="0046528D">
      <w:pPr>
        <w:spacing w:line="360" w:lineRule="auto"/>
        <w:jc w:val="both"/>
      </w:pPr>
      <w:r w:rsidRPr="0046528D">
        <w:rPr>
          <w:noProof/>
        </w:rPr>
        <w:drawing>
          <wp:anchor distT="0" distB="0" distL="114300" distR="114300" simplePos="0" relativeHeight="251669504" behindDoc="0" locked="0" layoutInCell="1" allowOverlap="1" wp14:anchorId="2969966F" wp14:editId="52BCE02A">
            <wp:simplePos x="0" y="0"/>
            <wp:positionH relativeFrom="column">
              <wp:posOffset>2226310</wp:posOffset>
            </wp:positionH>
            <wp:positionV relativeFrom="paragraph">
              <wp:posOffset>19145</wp:posOffset>
            </wp:positionV>
            <wp:extent cx="2800985" cy="3744595"/>
            <wp:effectExtent l="0" t="0" r="5715" b="1905"/>
            <wp:wrapSquare wrapText="bothSides"/>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ermata 2020-09-03 alle 16.43.50.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00985" cy="3744595"/>
                    </a:xfrm>
                    <a:prstGeom prst="rect">
                      <a:avLst/>
                    </a:prstGeom>
                  </pic:spPr>
                </pic:pic>
              </a:graphicData>
            </a:graphic>
            <wp14:sizeRelH relativeFrom="page">
              <wp14:pctWidth>0</wp14:pctWidth>
            </wp14:sizeRelH>
            <wp14:sizeRelV relativeFrom="page">
              <wp14:pctHeight>0</wp14:pctHeight>
            </wp14:sizeRelV>
          </wp:anchor>
        </w:drawing>
      </w:r>
    </w:p>
    <w:p w14:paraId="520CC45F" w14:textId="77777777" w:rsidR="00193A7D" w:rsidRPr="0046528D" w:rsidRDefault="00193A7D" w:rsidP="0046528D">
      <w:pPr>
        <w:spacing w:line="360" w:lineRule="auto"/>
        <w:jc w:val="both"/>
      </w:pPr>
      <w:r w:rsidRPr="0046528D">
        <w:rPr>
          <w:noProof/>
        </w:rPr>
        <w:drawing>
          <wp:inline distT="0" distB="0" distL="0" distR="0" wp14:anchorId="32F07BCF" wp14:editId="4ECA71CA">
            <wp:extent cx="2086650" cy="2782110"/>
            <wp:effectExtent l="0" t="0" r="0" b="0"/>
            <wp:docPr id="37" name="Picture 12" descr="C:\Users\Alessandro Del Cuore\Desktop\tesi\immagini tesi\IMG_0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ssandro Del Cuore\Desktop\tesi\immagini tesi\IMG_020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53815" cy="2871661"/>
                    </a:xfrm>
                    <a:prstGeom prst="rect">
                      <a:avLst/>
                    </a:prstGeom>
                    <a:noFill/>
                    <a:ln>
                      <a:noFill/>
                    </a:ln>
                  </pic:spPr>
                </pic:pic>
              </a:graphicData>
            </a:graphic>
          </wp:inline>
        </w:drawing>
      </w:r>
    </w:p>
    <w:p w14:paraId="4ED658BD" w14:textId="77777777" w:rsidR="00193A7D" w:rsidRPr="0046528D" w:rsidRDefault="00193A7D" w:rsidP="0046528D">
      <w:pPr>
        <w:spacing w:line="360" w:lineRule="auto"/>
        <w:jc w:val="both"/>
      </w:pPr>
    </w:p>
    <w:p w14:paraId="1017178A" w14:textId="77777777" w:rsidR="00193A7D" w:rsidRPr="0046528D" w:rsidRDefault="00193A7D" w:rsidP="0046528D">
      <w:pPr>
        <w:spacing w:line="360" w:lineRule="auto"/>
        <w:jc w:val="both"/>
        <w:rPr>
          <w:b/>
          <w:bCs/>
        </w:rPr>
      </w:pPr>
    </w:p>
    <w:p w14:paraId="60EECA8B" w14:textId="77777777" w:rsidR="00193A7D" w:rsidRPr="0046528D" w:rsidRDefault="00193A7D" w:rsidP="0046528D">
      <w:pPr>
        <w:spacing w:line="360" w:lineRule="auto"/>
        <w:jc w:val="both"/>
        <w:rPr>
          <w:b/>
          <w:bCs/>
        </w:rPr>
      </w:pPr>
    </w:p>
    <w:p w14:paraId="43DD264A" w14:textId="77777777" w:rsidR="00193A7D" w:rsidRPr="0046528D" w:rsidRDefault="00193A7D" w:rsidP="0046528D">
      <w:pPr>
        <w:spacing w:line="360" w:lineRule="auto"/>
        <w:jc w:val="both"/>
        <w:rPr>
          <w:b/>
          <w:bCs/>
        </w:rPr>
      </w:pPr>
      <w:r w:rsidRPr="0046528D">
        <w:rPr>
          <w:b/>
          <w:bCs/>
        </w:rPr>
        <w:t>1.2 Epidemiologia</w:t>
      </w:r>
    </w:p>
    <w:p w14:paraId="1612BF06" w14:textId="77777777" w:rsidR="00193A7D" w:rsidRPr="0046528D" w:rsidRDefault="00193A7D" w:rsidP="0046528D">
      <w:pPr>
        <w:spacing w:line="360" w:lineRule="auto"/>
        <w:jc w:val="both"/>
      </w:pPr>
      <w:r w:rsidRPr="0046528D">
        <w:t>Circa il 15% dei pazienti diabetici sviluppa un’ulcera dell'arto inferiore.</w:t>
      </w:r>
      <w:r w:rsidRPr="0046528D">
        <w:rPr>
          <w:vertAlign w:val="superscript"/>
        </w:rPr>
        <w:endnoteReference w:id="13"/>
      </w:r>
      <w:r w:rsidRPr="0046528D">
        <w:t xml:space="preserve"> </w:t>
      </w:r>
      <w:r w:rsidRPr="0046528D">
        <w:rPr>
          <w:vertAlign w:val="superscript"/>
        </w:rPr>
        <w:endnoteReference w:id="14"/>
      </w:r>
    </w:p>
    <w:p w14:paraId="6837105C" w14:textId="77777777" w:rsidR="00193A7D" w:rsidRPr="0046528D" w:rsidRDefault="00193A7D" w:rsidP="0046528D">
      <w:pPr>
        <w:spacing w:line="360" w:lineRule="auto"/>
        <w:jc w:val="both"/>
      </w:pPr>
      <w:r w:rsidRPr="0046528D">
        <w:t>L'incidenza e la prevalenza del piede diabetico sono molto variabili in letteratura in base alla popolazione e al metodo di studio.</w:t>
      </w:r>
    </w:p>
    <w:p w14:paraId="237B88B1" w14:textId="77777777" w:rsidR="00193A7D" w:rsidRPr="0046528D" w:rsidRDefault="00193A7D" w:rsidP="0046528D">
      <w:pPr>
        <w:spacing w:line="360" w:lineRule="auto"/>
        <w:jc w:val="both"/>
      </w:pPr>
      <w:r w:rsidRPr="0046528D">
        <w:t xml:space="preserve">Nel Regno Unito sono stati eseguiti studi che hanno evidenziato una prevalenza del piede diabetico tra il 5,3% e il 7,4% </w:t>
      </w:r>
      <w:r w:rsidRPr="0046528D">
        <w:rPr>
          <w:vertAlign w:val="superscript"/>
        </w:rPr>
        <w:endnoteReference w:id="15"/>
      </w:r>
      <w:r w:rsidRPr="0046528D">
        <w:t xml:space="preserve"> </w:t>
      </w:r>
      <w:r w:rsidRPr="0046528D">
        <w:rPr>
          <w:vertAlign w:val="superscript"/>
        </w:rPr>
        <w:endnoteReference w:id="16"/>
      </w:r>
      <w:r w:rsidRPr="0046528D">
        <w:t>.</w:t>
      </w:r>
    </w:p>
    <w:p w14:paraId="5537BE06" w14:textId="77777777" w:rsidR="00193A7D" w:rsidRPr="0046528D" w:rsidRDefault="00193A7D" w:rsidP="0046528D">
      <w:pPr>
        <w:spacing w:line="360" w:lineRule="auto"/>
        <w:jc w:val="both"/>
      </w:pPr>
      <w:r w:rsidRPr="0046528D">
        <w:t>Negli Stati Uniti, Ramsey ha evidenziato, in più di tre anni, un'incidenza cumulativa del 5,8% di lesioni ulcerative in pazienti dimessi dai ricoveri ospedalieri.</w:t>
      </w:r>
      <w:r w:rsidRPr="0046528D">
        <w:rPr>
          <w:vertAlign w:val="superscript"/>
        </w:rPr>
        <w:endnoteReference w:id="17"/>
      </w:r>
    </w:p>
    <w:p w14:paraId="5681D035" w14:textId="77777777" w:rsidR="00193A7D" w:rsidRPr="0046528D" w:rsidRDefault="00193A7D" w:rsidP="0046528D">
      <w:pPr>
        <w:spacing w:line="360" w:lineRule="auto"/>
        <w:jc w:val="both"/>
      </w:pPr>
      <w:r w:rsidRPr="0046528D">
        <w:t>In una grande comunità presa in esame nel Regno Unito, l'incidenza annuale del pi</w:t>
      </w:r>
      <w:r w:rsidRPr="0046528D">
        <w:t>e</w:t>
      </w:r>
      <w:r w:rsidRPr="0046528D">
        <w:t>de diabetico era leggermente superiore al 2% considerando tutti i pazienti e tra il 5 % e il 7 % considerando quelli con neuropatia periferica.</w:t>
      </w:r>
      <w:r w:rsidRPr="0046528D">
        <w:rPr>
          <w:vertAlign w:val="superscript"/>
        </w:rPr>
        <w:endnoteReference w:id="18"/>
      </w:r>
    </w:p>
    <w:p w14:paraId="4D1D6DE6" w14:textId="77777777" w:rsidR="00193A7D" w:rsidRPr="0046528D" w:rsidRDefault="00193A7D" w:rsidP="0046528D">
      <w:pPr>
        <w:spacing w:line="360" w:lineRule="auto"/>
        <w:jc w:val="both"/>
      </w:pPr>
      <w:r w:rsidRPr="0046528D">
        <w:t>In un recente studio americano, la prevalenza del piede diabetico era più bassa dei 3 anni stimati dallo studio di Ramsey et al</w:t>
      </w:r>
      <w:r w:rsidR="0035610C" w:rsidRPr="0046528D">
        <w:rPr>
          <w:rStyle w:val="Rimandonotadichiusura"/>
        </w:rPr>
        <w:endnoteReference w:id="19"/>
      </w:r>
      <w:r w:rsidR="0035610C" w:rsidRPr="0046528D">
        <w:t xml:space="preserve">. </w:t>
      </w:r>
      <w:r w:rsidRPr="0046528D">
        <w:t>Questi risultati controversi possono essere spiegati in parte dalle differenti metodiche e campioni di popolazione prese in esame; inoltre i dati sulle glicemie, sul controllo della pressione arteriosa, sull'uso di statine e sulle alterazioni del piede non vengono riportati.</w:t>
      </w:r>
    </w:p>
    <w:p w14:paraId="7D0DF8ED" w14:textId="77777777" w:rsidR="00193A7D" w:rsidRPr="0046528D" w:rsidRDefault="00193A7D" w:rsidP="0046528D">
      <w:pPr>
        <w:spacing w:line="360" w:lineRule="auto"/>
        <w:jc w:val="both"/>
      </w:pPr>
      <w:r w:rsidRPr="0046528D">
        <w:lastRenderedPageBreak/>
        <w:t>Sebbene la prevalenza del piede diabetico fosse più bassa, il tasso di amputazioni era tre volte maggiore nei pazienti di questo studio americano e ciò corrobora la necess</w:t>
      </w:r>
      <w:r w:rsidRPr="0046528D">
        <w:t>i</w:t>
      </w:r>
      <w:r w:rsidRPr="0046528D">
        <w:t xml:space="preserve">tà di includere nella differente definizione di piede diabetico le ulcere acute o guarite, le amputazioni, i differenti stati di neuropatia periferica e le lesioni minori. </w:t>
      </w:r>
    </w:p>
    <w:p w14:paraId="1C139D47" w14:textId="77777777" w:rsidR="00193A7D" w:rsidRPr="0046528D" w:rsidRDefault="00193A7D" w:rsidP="0046528D">
      <w:pPr>
        <w:spacing w:line="360" w:lineRule="auto"/>
        <w:jc w:val="both"/>
      </w:pPr>
      <w:r w:rsidRPr="0046528D">
        <w:t>Per tale ragione i due autori hanno presentato tassi di prevalenza riguardanti tutte le alterazioni del piede.</w:t>
      </w:r>
    </w:p>
    <w:p w14:paraId="378565F7" w14:textId="77777777" w:rsidR="00193A7D" w:rsidRPr="0046528D" w:rsidRDefault="00193A7D" w:rsidP="0046528D">
      <w:pPr>
        <w:spacing w:line="360" w:lineRule="auto"/>
        <w:jc w:val="both"/>
      </w:pPr>
      <w:r w:rsidRPr="0046528D">
        <w:t>Inoltre, esistono delle evidenze che mostrano che l'incidenza del piede diabetico p</w:t>
      </w:r>
      <w:r w:rsidRPr="0046528D">
        <w:t>o</w:t>
      </w:r>
      <w:r w:rsidRPr="0046528D">
        <w:t>trebbe essere stata in riduzione in Europa a causa di un miglior trattamento della p</w:t>
      </w:r>
      <w:r w:rsidRPr="0046528D">
        <w:t>a</w:t>
      </w:r>
      <w:r w:rsidRPr="0046528D">
        <w:t xml:space="preserve">tologia stessa. Trautner et al scoprirono una riduzione del 37% di amputazioni sopra il piede tra il 1990 e il 2005 </w:t>
      </w:r>
      <w:r w:rsidRPr="0046528D">
        <w:rPr>
          <w:vertAlign w:val="superscript"/>
        </w:rPr>
        <w:endnoteReference w:id="20"/>
      </w:r>
      <w:r w:rsidRPr="0046528D">
        <w:t>.</w:t>
      </w:r>
    </w:p>
    <w:p w14:paraId="13A57EEA" w14:textId="77777777" w:rsidR="00193A7D" w:rsidRPr="0046528D" w:rsidRDefault="00193A7D" w:rsidP="0046528D">
      <w:pPr>
        <w:spacing w:line="360" w:lineRule="auto"/>
        <w:jc w:val="both"/>
      </w:pPr>
      <w:r w:rsidRPr="0046528D">
        <w:t xml:space="preserve">Molti studi evidenziano che l'incidenza annuale del piede </w:t>
      </w:r>
      <w:r w:rsidR="00BA4946" w:rsidRPr="0046528D">
        <w:t>diabetico sia tra lo 0,5 e il 3</w:t>
      </w:r>
      <w:r w:rsidRPr="0046528D">
        <w:t xml:space="preserve">% </w:t>
      </w:r>
      <w:r w:rsidRPr="0046528D">
        <w:rPr>
          <w:vertAlign w:val="superscript"/>
        </w:rPr>
        <w:endnoteReference w:id="21"/>
      </w:r>
      <w:r w:rsidRPr="0046528D">
        <w:t xml:space="preserve"> </w:t>
      </w:r>
      <w:r w:rsidRPr="0046528D">
        <w:rPr>
          <w:vertAlign w:val="superscript"/>
        </w:rPr>
        <w:endnoteReference w:id="22"/>
      </w:r>
      <w:r w:rsidRPr="0046528D">
        <w:t xml:space="preserve"> e che la sua prevalenza per le varie popolazion</w:t>
      </w:r>
      <w:r w:rsidR="00573C67" w:rsidRPr="0046528D">
        <w:t>i sia compresa tra il 2 e il 10</w:t>
      </w:r>
      <w:r w:rsidRPr="0046528D">
        <w:t>%</w:t>
      </w:r>
      <w:r w:rsidRPr="0046528D">
        <w:rPr>
          <w:vertAlign w:val="superscript"/>
        </w:rPr>
        <w:endnoteReference w:id="23"/>
      </w:r>
      <w:r w:rsidR="00114D02" w:rsidRPr="0046528D">
        <w:t xml:space="preserve"> </w:t>
      </w:r>
      <w:r w:rsidRPr="0046528D">
        <w:t xml:space="preserve">. </w:t>
      </w:r>
    </w:p>
    <w:p w14:paraId="4F0283BD" w14:textId="77777777" w:rsidR="00193A7D" w:rsidRPr="0046528D" w:rsidRDefault="00193A7D" w:rsidP="0046528D">
      <w:pPr>
        <w:spacing w:line="360" w:lineRule="auto"/>
        <w:jc w:val="both"/>
      </w:pPr>
      <w:r w:rsidRPr="0046528D">
        <w:t>I dati sulle dimissioni ospedaliere nazionali mostrano che la degenza media di un p</w:t>
      </w:r>
      <w:r w:rsidRPr="0046528D">
        <w:t>a</w:t>
      </w:r>
      <w:r w:rsidRPr="0046528D">
        <w:t>ziente diabetico con ulcera al piede è del 59% più lunga rispetto a quella di un p</w:t>
      </w:r>
      <w:r w:rsidRPr="0046528D">
        <w:t>a</w:t>
      </w:r>
      <w:r w:rsidRPr="0046528D">
        <w:t xml:space="preserve">ziente diabetico senza ulcera </w:t>
      </w:r>
      <w:r w:rsidRPr="0046528D">
        <w:rPr>
          <w:vertAlign w:val="superscript"/>
        </w:rPr>
        <w:endnoteReference w:id="24"/>
      </w:r>
      <w:r w:rsidRPr="0046528D">
        <w:t xml:space="preserve">. </w:t>
      </w:r>
    </w:p>
    <w:p w14:paraId="2E84D45C" w14:textId="77777777" w:rsidR="00193A7D" w:rsidRPr="0046528D" w:rsidRDefault="00193A7D" w:rsidP="0046528D">
      <w:pPr>
        <w:spacing w:line="360" w:lineRule="auto"/>
        <w:jc w:val="both"/>
      </w:pPr>
      <w:r w:rsidRPr="0046528D">
        <w:t>Poiché il 7-20% dei pazienti con piede diabetico richiederà un’amputazione, l'ulcera al piede è considerata il precursore di circa l'85% delle amputazioni dell'arto inferiore nei pazienti con diabete</w:t>
      </w:r>
      <w:r w:rsidRPr="0046528D">
        <w:rPr>
          <w:vertAlign w:val="superscript"/>
        </w:rPr>
        <w:t xml:space="preserve">6 3.  </w:t>
      </w:r>
    </w:p>
    <w:p w14:paraId="38D39A13" w14:textId="77777777" w:rsidR="00193A7D" w:rsidRPr="0046528D" w:rsidRDefault="00193A7D" w:rsidP="0046528D">
      <w:pPr>
        <w:spacing w:line="360" w:lineRule="auto"/>
        <w:jc w:val="both"/>
      </w:pPr>
      <w:r w:rsidRPr="0046528D">
        <w:t xml:space="preserve">Alcuni studi epidemiologici hanno pubblicato dati riguardanti le ulcere al piede, le amputazioni e i relativi fattori di rischio nei soggetti diabetici </w:t>
      </w:r>
      <w:r w:rsidRPr="0046528D">
        <w:rPr>
          <w:vertAlign w:val="superscript"/>
        </w:rPr>
        <w:endnoteReference w:id="25"/>
      </w:r>
      <w:r w:rsidRPr="0046528D">
        <w:t xml:space="preserve"> </w:t>
      </w:r>
      <w:r w:rsidRPr="0046528D">
        <w:rPr>
          <w:vertAlign w:val="superscript"/>
        </w:rPr>
        <w:endnoteReference w:id="26"/>
      </w:r>
      <w:r w:rsidRPr="0046528D">
        <w:t xml:space="preserve">, sebbene i nuovi dati sulle nuove ulcere o sulle nuove amputazioni siano limitati </w:t>
      </w:r>
      <w:r w:rsidRPr="0046528D">
        <w:rPr>
          <w:vertAlign w:val="superscript"/>
        </w:rPr>
        <w:endnoteReference w:id="27"/>
      </w:r>
      <w:r w:rsidRPr="0046528D">
        <w:t>.</w:t>
      </w:r>
    </w:p>
    <w:p w14:paraId="28CA9DC6" w14:textId="77777777" w:rsidR="00193A7D" w:rsidRPr="0046528D" w:rsidRDefault="00193A7D" w:rsidP="0046528D">
      <w:pPr>
        <w:spacing w:line="360" w:lineRule="auto"/>
        <w:jc w:val="both"/>
      </w:pPr>
      <w:r w:rsidRPr="0046528D">
        <w:t xml:space="preserve">Studi epidemiologici sul piede diabetico sono stati complicati da numerosi problemi correlati ai test diagnostici e alla scelta del campione di popolazione </w:t>
      </w:r>
      <w:r w:rsidRPr="0046528D">
        <w:rPr>
          <w:vertAlign w:val="superscript"/>
        </w:rPr>
        <w:endnoteReference w:id="28"/>
      </w:r>
      <w:r w:rsidRPr="0046528D">
        <w:t xml:space="preserve"> </w:t>
      </w:r>
      <w:r w:rsidRPr="0046528D">
        <w:rPr>
          <w:vertAlign w:val="superscript"/>
        </w:rPr>
        <w:endnoteReference w:id="29"/>
      </w:r>
      <w:r w:rsidRPr="0046528D">
        <w:t xml:space="preserve">, ma è ormai assodato che le ulcere al piede e le amputazioni rimangono le più comuni e severe complicanze di ambedue i tipi di diabete mellito, associate ad un significativo </w:t>
      </w:r>
      <w:r w:rsidRPr="0046528D">
        <w:rPr>
          <w:color w:val="000000" w:themeColor="text1"/>
        </w:rPr>
        <w:t>a</w:t>
      </w:r>
      <w:r w:rsidRPr="0046528D">
        <w:rPr>
          <w:color w:val="000000" w:themeColor="text1"/>
        </w:rPr>
        <w:t>u</w:t>
      </w:r>
      <w:r w:rsidRPr="0046528D">
        <w:rPr>
          <w:color w:val="000000" w:themeColor="text1"/>
        </w:rPr>
        <w:t>mento</w:t>
      </w:r>
      <w:r w:rsidRPr="0046528D">
        <w:t xml:space="preserve"> del trend della mortalità e della morbilità </w:t>
      </w:r>
      <w:r w:rsidRPr="0046528D">
        <w:rPr>
          <w:vertAlign w:val="superscript"/>
        </w:rPr>
        <w:endnoteReference w:id="30"/>
      </w:r>
      <w:r w:rsidRPr="0046528D">
        <w:t xml:space="preserve"> </w:t>
      </w:r>
      <w:r w:rsidRPr="0046528D">
        <w:rPr>
          <w:vertAlign w:val="superscript"/>
        </w:rPr>
        <w:endnoteReference w:id="31"/>
      </w:r>
      <w:r w:rsidRPr="0046528D">
        <w:t>.</w:t>
      </w:r>
    </w:p>
    <w:p w14:paraId="00138ABA" w14:textId="77777777" w:rsidR="00193A7D" w:rsidRPr="0046528D" w:rsidRDefault="00193A7D" w:rsidP="0046528D">
      <w:pPr>
        <w:spacing w:line="360" w:lineRule="auto"/>
        <w:jc w:val="both"/>
      </w:pPr>
      <w:r w:rsidRPr="0046528D">
        <w:t>Pertanto risulta necessario dare una definizione a queste due condizioni.</w:t>
      </w:r>
    </w:p>
    <w:p w14:paraId="08BDB43A" w14:textId="77777777" w:rsidR="00193A7D" w:rsidRPr="0046528D" w:rsidRDefault="00193A7D" w:rsidP="0046528D">
      <w:pPr>
        <w:spacing w:line="360" w:lineRule="auto"/>
        <w:jc w:val="both"/>
      </w:pPr>
      <w:r w:rsidRPr="0046528D">
        <w:t>Le ulcere al piede sono lesioni cutanee che comportano perdita di epitelio, ma poss</w:t>
      </w:r>
      <w:r w:rsidRPr="0046528D">
        <w:t>o</w:t>
      </w:r>
      <w:r w:rsidRPr="0046528D">
        <w:t>no anche estendersi al derma e agli strati inferiori fino a coinvolgere in taluni casi anche i muscoli e le ossa.</w:t>
      </w:r>
    </w:p>
    <w:p w14:paraId="70B7C074" w14:textId="77777777" w:rsidR="00193A7D" w:rsidRPr="0046528D" w:rsidRDefault="00193A7D" w:rsidP="0046528D">
      <w:pPr>
        <w:spacing w:line="360" w:lineRule="auto"/>
        <w:jc w:val="both"/>
      </w:pPr>
      <w:r w:rsidRPr="0046528D">
        <w:t>Le amputazioni sono la rimozione chirurgica della porzione non vitale dell'arto.</w:t>
      </w:r>
      <w:r w:rsidRPr="0046528D">
        <w:rPr>
          <w:vertAlign w:val="superscript"/>
        </w:rPr>
        <w:endnoteReference w:id="32"/>
      </w:r>
    </w:p>
    <w:p w14:paraId="545F1027" w14:textId="77777777" w:rsidR="00193A7D" w:rsidRPr="0046528D" w:rsidRDefault="00193A7D" w:rsidP="0046528D">
      <w:pPr>
        <w:spacing w:line="360" w:lineRule="auto"/>
        <w:jc w:val="both"/>
      </w:pPr>
      <w:r w:rsidRPr="0046528D">
        <w:t>Due studi nord-europei hanno riportato che l'incidenza annuale delle ulcere al piede potrebbe essere poco superiore del 2% nei pazienti diabetici.</w:t>
      </w:r>
      <w:r w:rsidRPr="0046528D">
        <w:rPr>
          <w:vertAlign w:val="superscript"/>
        </w:rPr>
        <w:t>28</w:t>
      </w:r>
      <w:r w:rsidRPr="0046528D">
        <w:t xml:space="preserve"> </w:t>
      </w:r>
      <w:r w:rsidRPr="0046528D">
        <w:rPr>
          <w:vertAlign w:val="superscript"/>
        </w:rPr>
        <w:t>16</w:t>
      </w:r>
    </w:p>
    <w:p w14:paraId="5DFB9317" w14:textId="77777777" w:rsidR="00193A7D" w:rsidRPr="0046528D" w:rsidRDefault="00193A7D" w:rsidP="0046528D">
      <w:pPr>
        <w:spacing w:line="360" w:lineRule="auto"/>
        <w:jc w:val="both"/>
      </w:pPr>
      <w:r w:rsidRPr="0046528D">
        <w:lastRenderedPageBreak/>
        <w:t>L'ulcerazione è molto più comune nei pazienti con fattori di rischio predisponenti, infatti il tasso annuale di incidenza di ulcerazioni in pazienti con neuropatia perifer</w:t>
      </w:r>
      <w:r w:rsidRPr="0046528D">
        <w:t>i</w:t>
      </w:r>
      <w:r w:rsidRPr="0046528D">
        <w:t>ca varia tra il 5 e il 7 %</w:t>
      </w:r>
      <w:r w:rsidRPr="0046528D">
        <w:rPr>
          <w:vertAlign w:val="superscript"/>
        </w:rPr>
        <w:t>11</w:t>
      </w:r>
      <w:r w:rsidRPr="0046528D">
        <w:t xml:space="preserve"> </w:t>
      </w:r>
      <w:r w:rsidRPr="0046528D">
        <w:rPr>
          <w:vertAlign w:val="superscript"/>
        </w:rPr>
        <w:t>20</w:t>
      </w:r>
      <w:r w:rsidRPr="0046528D">
        <w:t>.</w:t>
      </w:r>
    </w:p>
    <w:p w14:paraId="1746BAEA" w14:textId="77777777" w:rsidR="00193A7D" w:rsidRPr="0046528D" w:rsidRDefault="00193A7D" w:rsidP="0046528D">
      <w:pPr>
        <w:spacing w:line="360" w:lineRule="auto"/>
        <w:jc w:val="both"/>
      </w:pPr>
      <w:r w:rsidRPr="0046528D">
        <w:t>Si pensa che, probabilmente, più del 5% dei pazienti diabetici abbia una storia di u</w:t>
      </w:r>
      <w:r w:rsidRPr="0046528D">
        <w:t>l</w:t>
      </w:r>
      <w:r w:rsidRPr="0046528D">
        <w:t>cere al piede, mentre l'incidenza cumulativa di vita potrebbe essere un po' più alta del 15%.</w:t>
      </w:r>
    </w:p>
    <w:p w14:paraId="0F7D6985" w14:textId="77777777" w:rsidR="00193A7D" w:rsidRPr="0046528D" w:rsidRDefault="00193A7D" w:rsidP="0046528D">
      <w:pPr>
        <w:spacing w:line="360" w:lineRule="auto"/>
        <w:jc w:val="both"/>
      </w:pPr>
      <w:r w:rsidRPr="0046528D">
        <w:t xml:space="preserve">Più del 60% delle amputazioni non traumatiche nel mondo occidentale sono eseguite nei pazienti diabetici, con un’incidenza di amputazioni maggiori che si aggira tra 0,5 e i 5 per mille abitanti. </w:t>
      </w:r>
      <w:r w:rsidRPr="0046528D">
        <w:rPr>
          <w:vertAlign w:val="superscript"/>
        </w:rPr>
        <w:endnoteReference w:id="33"/>
      </w:r>
      <w:r w:rsidRPr="0046528D">
        <w:t xml:space="preserve"> </w:t>
      </w:r>
      <w:r w:rsidRPr="0046528D">
        <w:rPr>
          <w:vertAlign w:val="superscript"/>
        </w:rPr>
        <w:endnoteReference w:id="34"/>
      </w:r>
    </w:p>
    <w:p w14:paraId="5945C3DE" w14:textId="77777777" w:rsidR="00193A7D" w:rsidRPr="0046528D" w:rsidRDefault="00193A7D" w:rsidP="0046528D">
      <w:pPr>
        <w:spacing w:line="360" w:lineRule="auto"/>
        <w:jc w:val="both"/>
      </w:pPr>
      <w:r w:rsidRPr="0046528D">
        <w:t xml:space="preserve">I tassi di amputazione variano da nazione in nazione, in base ai gruppi etnici e anche all'interno di uno stesso Paese, superando i 20 casi per 100000 abitanti </w:t>
      </w:r>
      <w:r w:rsidRPr="0046528D">
        <w:rPr>
          <w:vertAlign w:val="superscript"/>
        </w:rPr>
        <w:endnoteReference w:id="35"/>
      </w:r>
      <w:r w:rsidRPr="0046528D">
        <w:t xml:space="preserve"> </w:t>
      </w:r>
      <w:r w:rsidRPr="0046528D">
        <w:rPr>
          <w:vertAlign w:val="superscript"/>
        </w:rPr>
        <w:endnoteReference w:id="36"/>
      </w:r>
      <w:r w:rsidRPr="0046528D">
        <w:t xml:space="preserve"> .</w:t>
      </w:r>
    </w:p>
    <w:p w14:paraId="64781076" w14:textId="77777777" w:rsidR="00193A7D" w:rsidRPr="0046528D" w:rsidRDefault="00193A7D" w:rsidP="0046528D">
      <w:pPr>
        <w:spacing w:line="360" w:lineRule="auto"/>
        <w:jc w:val="both"/>
      </w:pPr>
      <w:r w:rsidRPr="0046528D">
        <w:t>I tassi di morbilità e mortalità sono molto elevati nei pazienti con piede diabetico, b</w:t>
      </w:r>
      <w:r w:rsidRPr="0046528D">
        <w:t>a</w:t>
      </w:r>
      <w:r w:rsidRPr="0046528D">
        <w:t>sti pensare che nel Regno Unito la mortalità pre-operatoria è di circa 10-15 %.</w:t>
      </w:r>
      <w:r w:rsidRPr="0046528D">
        <w:rPr>
          <w:vertAlign w:val="superscript"/>
        </w:rPr>
        <w:endnoteReference w:id="37"/>
      </w:r>
    </w:p>
    <w:p w14:paraId="6D1C5F86" w14:textId="77777777" w:rsidR="00193A7D" w:rsidRPr="0046528D" w:rsidRDefault="00193A7D" w:rsidP="0046528D">
      <w:pPr>
        <w:spacing w:line="360" w:lineRule="auto"/>
        <w:jc w:val="both"/>
      </w:pPr>
      <w:r w:rsidRPr="0046528D">
        <w:t>Un recente studio retrospettivo svolto da Aulivola et al ha mostrato che nei pazienti che hanno subito un’amputazione maggiore (sotto o al livello del ginocchio) il</w:t>
      </w:r>
    </w:p>
    <w:p w14:paraId="74897DA7" w14:textId="77777777" w:rsidR="00193A7D" w:rsidRPr="0046528D" w:rsidRDefault="00193A7D" w:rsidP="0046528D">
      <w:pPr>
        <w:spacing w:line="360" w:lineRule="auto"/>
        <w:jc w:val="both"/>
      </w:pPr>
      <w:r w:rsidRPr="0046528D">
        <w:t>tasso di mortalità entro i 30 giorni si aggiri intorno al 10 %.</w:t>
      </w:r>
      <w:r w:rsidRPr="0046528D">
        <w:rPr>
          <w:vertAlign w:val="superscript"/>
        </w:rPr>
        <w:endnoteReference w:id="38"/>
      </w:r>
    </w:p>
    <w:p w14:paraId="59A6781C" w14:textId="77777777" w:rsidR="00193A7D" w:rsidRPr="0046528D" w:rsidRDefault="00193A7D" w:rsidP="0046528D">
      <w:pPr>
        <w:spacing w:line="360" w:lineRule="auto"/>
        <w:jc w:val="both"/>
      </w:pPr>
      <w:r w:rsidRPr="0046528D">
        <w:t>In uno studio di follow-up di pazienti che hanno subito un’amputazione è stato m</w:t>
      </w:r>
      <w:r w:rsidRPr="0046528D">
        <w:t>o</w:t>
      </w:r>
      <w:r w:rsidRPr="0046528D">
        <w:t>strato un tasso di sopravvivenza a 5 anni del 50%.</w:t>
      </w:r>
      <w:r w:rsidRPr="0046528D">
        <w:rPr>
          <w:vertAlign w:val="superscript"/>
        </w:rPr>
        <w:endnoteReference w:id="39"/>
      </w:r>
    </w:p>
    <w:p w14:paraId="625AC188" w14:textId="77777777" w:rsidR="00193A7D" w:rsidRPr="0046528D" w:rsidRDefault="00193A7D" w:rsidP="0046528D">
      <w:pPr>
        <w:spacing w:line="360" w:lineRule="auto"/>
        <w:jc w:val="both"/>
      </w:pPr>
      <w:r w:rsidRPr="0046528D">
        <w:t>La dichiarazione di St Vincent nel 1989 pose tra gli obiettivi la riduzione del numero delle amputazioni maggiori in 5 anni di almeno il 50%, al fine di incrementare la qualità di cura globale dei pazienti con diabete mellito. Sebbene in alcune popolazi</w:t>
      </w:r>
      <w:r w:rsidRPr="0046528D">
        <w:t>o</w:t>
      </w:r>
      <w:r w:rsidRPr="0046528D">
        <w:t>ni alcune forme di amputazione non abbiano subito un decremento nei pazienti di</w:t>
      </w:r>
      <w:r w:rsidRPr="0046528D">
        <w:t>a</w:t>
      </w:r>
      <w:r w:rsidRPr="0046528D">
        <w:t xml:space="preserve">betici </w:t>
      </w:r>
      <w:r w:rsidRPr="0046528D">
        <w:rPr>
          <w:vertAlign w:val="superscript"/>
        </w:rPr>
        <w:endnoteReference w:id="40"/>
      </w:r>
      <w:r w:rsidRPr="0046528D">
        <w:t xml:space="preserve">, alcuni reports provenienti da Svezia </w:t>
      </w:r>
      <w:r w:rsidRPr="0046528D">
        <w:rPr>
          <w:vertAlign w:val="superscript"/>
        </w:rPr>
        <w:endnoteReference w:id="41"/>
      </w:r>
      <w:r w:rsidRPr="0046528D">
        <w:t>, Danimarca</w:t>
      </w:r>
      <w:r w:rsidRPr="0046528D">
        <w:rPr>
          <w:vertAlign w:val="superscript"/>
        </w:rPr>
        <w:endnoteReference w:id="42"/>
      </w:r>
      <w:r w:rsidRPr="0046528D">
        <w:t xml:space="preserve"> , Italia </w:t>
      </w:r>
      <w:r w:rsidRPr="0046528D">
        <w:rPr>
          <w:vertAlign w:val="superscript"/>
        </w:rPr>
        <w:endnoteReference w:id="43"/>
      </w:r>
      <w:r w:rsidRPr="0046528D">
        <w:t xml:space="preserve"> </w:t>
      </w:r>
      <w:r w:rsidRPr="0046528D">
        <w:rPr>
          <w:vertAlign w:val="superscript"/>
        </w:rPr>
        <w:endnoteReference w:id="44"/>
      </w:r>
      <w:r w:rsidRPr="0046528D">
        <w:t xml:space="preserve"> e Regno Unito </w:t>
      </w:r>
      <w:r w:rsidRPr="0046528D">
        <w:rPr>
          <w:vertAlign w:val="superscript"/>
        </w:rPr>
        <w:endnoteReference w:id="45"/>
      </w:r>
      <w:r w:rsidRPr="0046528D">
        <w:t xml:space="preserve"> hanno rivelato una riduzione del numero delle amputazioni maggiori. Si p</w:t>
      </w:r>
      <w:r w:rsidRPr="0046528D">
        <w:t>o</w:t>
      </w:r>
      <w:r w:rsidRPr="0046528D">
        <w:t>trebbe presumere che qualunque successo volto alla riduzione dell'ulcera possa port</w:t>
      </w:r>
      <w:r w:rsidRPr="0046528D">
        <w:t>a</w:t>
      </w:r>
      <w:r w:rsidRPr="0046528D">
        <w:t>re a una conseguente riduzione del numero di amputazioni. Finora, però, molti studi in Europa sono in disaccordo con tale considerazione; studi tedeschi hanno mostrato che non c'è un’evidenza di decremento del numero delle amputazioni nell'ultimo d</w:t>
      </w:r>
      <w:r w:rsidRPr="0046528D">
        <w:t>e</w:t>
      </w:r>
      <w:r w:rsidRPr="0046528D">
        <w:t>cennio</w:t>
      </w:r>
      <w:r w:rsidR="002E196D" w:rsidRPr="0046528D">
        <w:rPr>
          <w:rStyle w:val="Rimandonotadichiusura"/>
        </w:rPr>
        <w:endnoteReference w:id="46"/>
      </w:r>
      <w:r w:rsidR="002E196D" w:rsidRPr="0046528D">
        <w:rPr>
          <w:vertAlign w:val="superscript"/>
        </w:rPr>
        <w:t xml:space="preserve"> </w:t>
      </w:r>
      <w:r w:rsidRPr="0046528D">
        <w:rPr>
          <w:vertAlign w:val="superscript"/>
        </w:rPr>
        <w:endnoteReference w:id="47"/>
      </w:r>
      <w:r w:rsidRPr="0046528D">
        <w:t>, mentre addirittura un case-report inglese ha costatato un aumento di tale numero.</w:t>
      </w:r>
    </w:p>
    <w:p w14:paraId="4EBF65CF" w14:textId="77777777" w:rsidR="00193A7D" w:rsidRPr="0046528D" w:rsidRDefault="00193A7D" w:rsidP="0046528D">
      <w:pPr>
        <w:spacing w:line="360" w:lineRule="auto"/>
        <w:jc w:val="both"/>
      </w:pPr>
      <w:r w:rsidRPr="0046528D">
        <w:t>Durante gli ultimi 20 anni, si sono ampliate le conoscenze fisiopatologiche e migli</w:t>
      </w:r>
      <w:r w:rsidRPr="0046528D">
        <w:t>o</w:t>
      </w:r>
      <w:r w:rsidRPr="0046528D">
        <w:t>rati i metodi di trattamento terapeutico per il piede diabetico e questo ha consentito di osservare un incremento percentuale del salvataggio degli arti inferiori, dovuto pri</w:t>
      </w:r>
      <w:r w:rsidRPr="0046528D">
        <w:t>n</w:t>
      </w:r>
      <w:r w:rsidRPr="0046528D">
        <w:lastRenderedPageBreak/>
        <w:t>cipalmente all'introduzione di unità multidisciplinari finalizzate al trattamento di u</w:t>
      </w:r>
      <w:r w:rsidRPr="0046528D">
        <w:t>l</w:t>
      </w:r>
      <w:r w:rsidRPr="0046528D">
        <w:t>cere infette acute, neuropatia periferiche e ischemie critiche dell'arto inferiore.</w:t>
      </w:r>
    </w:p>
    <w:p w14:paraId="1FB18327" w14:textId="77777777" w:rsidR="00193A7D" w:rsidRPr="0046528D" w:rsidRDefault="00193A7D" w:rsidP="0046528D">
      <w:pPr>
        <w:spacing w:line="360" w:lineRule="auto"/>
        <w:jc w:val="both"/>
      </w:pPr>
      <w:r w:rsidRPr="0046528D">
        <w:t>Sono stati identificati da studi analitici e sperimentali i fattori di rischio indipendenti per il piede diabetico; questi hanno permesso di definire l'outcome del paziente usa</w:t>
      </w:r>
      <w:r w:rsidRPr="0046528D">
        <w:t>n</w:t>
      </w:r>
      <w:r w:rsidRPr="0046528D">
        <w:t xml:space="preserve">do svariati modelli e tecniche. </w:t>
      </w:r>
    </w:p>
    <w:p w14:paraId="61BCE188" w14:textId="77777777" w:rsidR="00C447E5" w:rsidRPr="0046528D" w:rsidRDefault="00C447E5" w:rsidP="0046528D">
      <w:pPr>
        <w:spacing w:line="360" w:lineRule="auto"/>
        <w:jc w:val="both"/>
      </w:pPr>
    </w:p>
    <w:p w14:paraId="2624F8FF" w14:textId="77777777" w:rsidR="00193A7D" w:rsidRPr="0046528D" w:rsidRDefault="00193A7D" w:rsidP="0046528D">
      <w:pPr>
        <w:spacing w:line="360" w:lineRule="auto"/>
        <w:jc w:val="both"/>
      </w:pPr>
      <w:r w:rsidRPr="0046528D">
        <w:t xml:space="preserve">I risultati dei suddetti studi hanno dimostrato che i fattori di rischio indipendenti del piede diabetico sono: </w:t>
      </w:r>
    </w:p>
    <w:p w14:paraId="73711943" w14:textId="77777777" w:rsidR="00193A7D" w:rsidRPr="0046528D" w:rsidRDefault="00193A7D" w:rsidP="0046528D">
      <w:pPr>
        <w:spacing w:line="360" w:lineRule="auto"/>
        <w:jc w:val="both"/>
      </w:pPr>
      <w:r w:rsidRPr="0046528D">
        <w:t>-la durata del diabete</w:t>
      </w:r>
    </w:p>
    <w:p w14:paraId="54E31C3F" w14:textId="77777777" w:rsidR="00193A7D" w:rsidRPr="0046528D" w:rsidRDefault="00193A7D" w:rsidP="0046528D">
      <w:pPr>
        <w:spacing w:line="360" w:lineRule="auto"/>
        <w:jc w:val="both"/>
      </w:pPr>
      <w:r w:rsidRPr="0046528D">
        <w:t>-la neuropatia periferica</w:t>
      </w:r>
    </w:p>
    <w:p w14:paraId="27BF6EEF" w14:textId="77777777" w:rsidR="00193A7D" w:rsidRPr="0046528D" w:rsidRDefault="00193A7D" w:rsidP="0046528D">
      <w:pPr>
        <w:spacing w:line="360" w:lineRule="auto"/>
        <w:jc w:val="both"/>
      </w:pPr>
      <w:r w:rsidRPr="0046528D">
        <w:t xml:space="preserve">-la microangiopatia diabetica </w:t>
      </w:r>
    </w:p>
    <w:p w14:paraId="760F9CB0" w14:textId="77777777" w:rsidR="00193A7D" w:rsidRPr="0046528D" w:rsidRDefault="00193A7D" w:rsidP="0046528D">
      <w:pPr>
        <w:spacing w:line="360" w:lineRule="auto"/>
        <w:jc w:val="both"/>
      </w:pPr>
      <w:r w:rsidRPr="0046528D">
        <w:t xml:space="preserve">-la macroangiopatia diabetica </w:t>
      </w:r>
    </w:p>
    <w:p w14:paraId="4FFB1249" w14:textId="77777777" w:rsidR="00193A7D" w:rsidRPr="0046528D" w:rsidRDefault="00193A7D" w:rsidP="0046528D">
      <w:pPr>
        <w:spacing w:line="360" w:lineRule="auto"/>
        <w:jc w:val="both"/>
      </w:pPr>
      <w:r w:rsidRPr="0046528D">
        <w:t xml:space="preserve">-la comparsa della prima ulcera </w:t>
      </w:r>
    </w:p>
    <w:p w14:paraId="6DF94838" w14:textId="77777777" w:rsidR="00193A7D" w:rsidRPr="0046528D" w:rsidRDefault="00193A7D" w:rsidP="0046528D">
      <w:pPr>
        <w:spacing w:line="360" w:lineRule="auto"/>
        <w:jc w:val="both"/>
      </w:pPr>
      <w:r w:rsidRPr="0046528D">
        <w:t>-l'amputazione della prima ulcera.</w:t>
      </w:r>
    </w:p>
    <w:p w14:paraId="0F54740C" w14:textId="77777777" w:rsidR="00193A7D" w:rsidRPr="0046528D" w:rsidRDefault="00193A7D" w:rsidP="0046528D">
      <w:pPr>
        <w:spacing w:line="360" w:lineRule="auto"/>
        <w:jc w:val="both"/>
      </w:pPr>
      <w:r w:rsidRPr="0046528D">
        <w:t>Rimane, invece, ancora incerto il ruolo della pressione plantare come fattore di r</w:t>
      </w:r>
      <w:r w:rsidRPr="0046528D">
        <w:t>i</w:t>
      </w:r>
      <w:r w:rsidRPr="0046528D">
        <w:t>schio indipendente.</w:t>
      </w:r>
    </w:p>
    <w:p w14:paraId="35F4B2D2" w14:textId="77777777" w:rsidR="00193A7D" w:rsidRPr="0046528D" w:rsidRDefault="00193A7D" w:rsidP="0046528D">
      <w:pPr>
        <w:spacing w:line="360" w:lineRule="auto"/>
        <w:jc w:val="both"/>
        <w:rPr>
          <w:b/>
          <w:bCs/>
        </w:rPr>
      </w:pPr>
    </w:p>
    <w:p w14:paraId="077D008D" w14:textId="77777777" w:rsidR="00193A7D" w:rsidRPr="0046528D" w:rsidRDefault="00193A7D" w:rsidP="0046528D">
      <w:pPr>
        <w:spacing w:line="360" w:lineRule="auto"/>
        <w:jc w:val="both"/>
        <w:rPr>
          <w:b/>
          <w:bCs/>
        </w:rPr>
      </w:pPr>
      <w:r w:rsidRPr="0046528D">
        <w:rPr>
          <w:b/>
          <w:bCs/>
        </w:rPr>
        <w:t>1.3 Definizione e Classificazione del Piede Diabetico</w:t>
      </w:r>
    </w:p>
    <w:p w14:paraId="618AE807" w14:textId="77777777" w:rsidR="00193A7D" w:rsidRPr="0046528D" w:rsidRDefault="00193A7D" w:rsidP="0046528D">
      <w:pPr>
        <w:spacing w:line="360" w:lineRule="auto"/>
        <w:jc w:val="both"/>
      </w:pPr>
      <w:r w:rsidRPr="0046528D">
        <w:t xml:space="preserve">Il piede diabetico deve essere considerato come un’entità patologica complessa. </w:t>
      </w:r>
    </w:p>
    <w:p w14:paraId="28F44756" w14:textId="77777777" w:rsidR="00193A7D" w:rsidRPr="0046528D" w:rsidRDefault="00193A7D" w:rsidP="0046528D">
      <w:pPr>
        <w:spacing w:line="360" w:lineRule="auto"/>
        <w:jc w:val="both"/>
      </w:pPr>
      <w:r w:rsidRPr="0046528D">
        <w:t>Il consiglio internazionale sul piede diabetico definisce l'ulcera al piede come una f</w:t>
      </w:r>
      <w:r w:rsidRPr="0046528D">
        <w:t>e</w:t>
      </w:r>
      <w:r w:rsidRPr="0046528D">
        <w:t>rita a tutto spessore sotto la caviglia in pazienti affetti da diabete, indipendentemente dalla durata della malattia.</w:t>
      </w:r>
      <w:r w:rsidRPr="0046528D">
        <w:rPr>
          <w:vertAlign w:val="superscript"/>
        </w:rPr>
        <w:endnoteReference w:id="48"/>
      </w:r>
      <w:r w:rsidRPr="0046528D">
        <w:t xml:space="preserve"> </w:t>
      </w:r>
    </w:p>
    <w:p w14:paraId="3E616C35" w14:textId="77777777" w:rsidR="00193A7D" w:rsidRPr="0046528D" w:rsidRDefault="00193A7D" w:rsidP="0046528D">
      <w:pPr>
        <w:spacing w:line="360" w:lineRule="auto"/>
        <w:jc w:val="both"/>
      </w:pPr>
      <w:r w:rsidRPr="0046528D">
        <w:t>Due aspetti devono essere considerati: la neuropatia periferica e l'ulcera neuro-ischemica</w:t>
      </w:r>
      <w:r w:rsidRPr="0046528D">
        <w:rPr>
          <w:vertAlign w:val="superscript"/>
        </w:rPr>
        <w:endnoteReference w:id="49"/>
      </w:r>
      <w:r w:rsidRPr="0046528D">
        <w:t>. Entrambe le entità hanno differente fisiopatologia, trattamento e pr</w:t>
      </w:r>
      <w:r w:rsidRPr="0046528D">
        <w:t>o</w:t>
      </w:r>
      <w:r w:rsidRPr="0046528D">
        <w:t>gnosi.</w:t>
      </w:r>
    </w:p>
    <w:p w14:paraId="3A810F69" w14:textId="77777777" w:rsidR="00193A7D" w:rsidRPr="0046528D" w:rsidRDefault="00193A7D" w:rsidP="0046528D">
      <w:pPr>
        <w:spacing w:line="360" w:lineRule="auto"/>
        <w:jc w:val="both"/>
      </w:pPr>
      <w:r w:rsidRPr="0046528D">
        <w:t>Pecoraro nel 1990 delineò i pathways alla base della progressione, in un paziente diabetico con neuropatia periferica e complicanze ischemiche, verso lo sviluppo dell’infezione e, conseguentemente, dell'effettuazione di un’amputazione</w:t>
      </w:r>
      <w:r w:rsidR="002E196D" w:rsidRPr="0046528D">
        <w:rPr>
          <w:rStyle w:val="Rimandonotadichiusura"/>
        </w:rPr>
        <w:endnoteReference w:id="50"/>
      </w:r>
      <w:r w:rsidRPr="0046528D">
        <w:t>. Indiv</w:t>
      </w:r>
      <w:r w:rsidRPr="0046528D">
        <w:t>i</w:t>
      </w:r>
      <w:r w:rsidRPr="0046528D">
        <w:t>duando i fattori di rischio che influenzavano negativamente la prognosi e corregge</w:t>
      </w:r>
      <w:r w:rsidRPr="0046528D">
        <w:t>n</w:t>
      </w:r>
      <w:r w:rsidRPr="0046528D">
        <w:t>doli, è stato possibile ridurre il numero di amputazioni nella popolazione diabetica.</w:t>
      </w:r>
    </w:p>
    <w:p w14:paraId="0439070A" w14:textId="77777777" w:rsidR="00193A7D" w:rsidRPr="0046528D" w:rsidRDefault="00193A7D" w:rsidP="0046528D">
      <w:pPr>
        <w:spacing w:line="360" w:lineRule="auto"/>
        <w:jc w:val="both"/>
      </w:pPr>
      <w:r w:rsidRPr="0046528D">
        <w:t>Diversi sistemi classificativi hanno proposto una classificazione dell'ulcera diabetica, ma, sicuramente, quella che ha riscosso maggior successo nella comunità scientifica è la classificazione di Wagner</w:t>
      </w:r>
      <w:r w:rsidRPr="0046528D">
        <w:rPr>
          <w:vertAlign w:val="superscript"/>
        </w:rPr>
        <w:endnoteReference w:id="51"/>
      </w:r>
      <w:r w:rsidRPr="0046528D">
        <w:t>.</w:t>
      </w:r>
    </w:p>
    <w:p w14:paraId="1ACFC095" w14:textId="77777777" w:rsidR="00193A7D" w:rsidRPr="0046528D" w:rsidRDefault="00193A7D" w:rsidP="0046528D">
      <w:pPr>
        <w:spacing w:line="360" w:lineRule="auto"/>
        <w:jc w:val="both"/>
      </w:pPr>
      <w:r w:rsidRPr="0046528D">
        <w:rPr>
          <w:noProof/>
        </w:rPr>
        <w:lastRenderedPageBreak/>
        <w:drawing>
          <wp:inline distT="0" distB="0" distL="0" distR="0" wp14:anchorId="477C380F" wp14:editId="037F83F3">
            <wp:extent cx="5122843" cy="3080871"/>
            <wp:effectExtent l="0" t="0" r="0" b="571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lassificazione+sec.+Wagner.jpg"/>
                    <pic:cNvPicPr/>
                  </pic:nvPicPr>
                  <pic:blipFill>
                    <a:blip r:embed="rId13">
                      <a:extLst>
                        <a:ext uri="{BEBA8EAE-BF5A-486C-A8C5-ECC9F3942E4B}">
                          <a14:imgProps xmlns:a14="http://schemas.microsoft.com/office/drawing/2010/main">
                            <a14:imgLayer r:embed="rId14">
                              <a14:imgEffect>
                                <a14:sharpenSoften amount="70000"/>
                              </a14:imgEffect>
                              <a14:imgEffect>
                                <a14:saturation sat="0"/>
                              </a14:imgEffect>
                              <a14:imgEffect>
                                <a14:brightnessContrast bright="14000"/>
                              </a14:imgEffect>
                            </a14:imgLayer>
                          </a14:imgProps>
                        </a:ext>
                        <a:ext uri="{28A0092B-C50C-407E-A947-70E740481C1C}">
                          <a14:useLocalDpi xmlns:a14="http://schemas.microsoft.com/office/drawing/2010/main" val="0"/>
                        </a:ext>
                      </a:extLst>
                    </a:blip>
                    <a:stretch>
                      <a:fillRect/>
                    </a:stretch>
                  </pic:blipFill>
                  <pic:spPr>
                    <a:xfrm>
                      <a:off x="0" y="0"/>
                      <a:ext cx="5142392" cy="3092628"/>
                    </a:xfrm>
                    <a:prstGeom prst="rect">
                      <a:avLst/>
                    </a:prstGeom>
                  </pic:spPr>
                </pic:pic>
              </a:graphicData>
            </a:graphic>
          </wp:inline>
        </w:drawing>
      </w:r>
    </w:p>
    <w:p w14:paraId="2F1BE594" w14:textId="77777777" w:rsidR="00193A7D" w:rsidRPr="0046528D" w:rsidRDefault="00193A7D" w:rsidP="0046528D">
      <w:pPr>
        <w:spacing w:line="360" w:lineRule="auto"/>
        <w:jc w:val="both"/>
      </w:pPr>
      <w:r w:rsidRPr="0046528D">
        <w:t>Esistono ulteriori classificazioni come quella della Texas University</w:t>
      </w:r>
      <w:r w:rsidRPr="0046528D">
        <w:rPr>
          <w:vertAlign w:val="superscript"/>
        </w:rPr>
        <w:endnoteReference w:id="52"/>
      </w:r>
      <w:r w:rsidRPr="0046528D">
        <w:t xml:space="preserve"> o la PEDIS classification System</w:t>
      </w:r>
      <w:r w:rsidRPr="0046528D">
        <w:rPr>
          <w:vertAlign w:val="superscript"/>
        </w:rPr>
        <w:endnoteReference w:id="53"/>
      </w:r>
      <w:r w:rsidRPr="0046528D">
        <w:t>.</w:t>
      </w:r>
    </w:p>
    <w:p w14:paraId="5C432340" w14:textId="77777777" w:rsidR="00193A7D" w:rsidRPr="0046528D" w:rsidRDefault="00193A7D" w:rsidP="0046528D">
      <w:pPr>
        <w:jc w:val="both"/>
      </w:pPr>
    </w:p>
    <w:p w14:paraId="16AC28D7" w14:textId="77777777" w:rsidR="00193A7D" w:rsidRPr="0046528D" w:rsidRDefault="00193A7D" w:rsidP="0046528D">
      <w:pPr>
        <w:spacing w:line="360" w:lineRule="auto"/>
        <w:jc w:val="both"/>
      </w:pPr>
      <w:r w:rsidRPr="0046528D">
        <w:rPr>
          <w:noProof/>
        </w:rPr>
        <w:drawing>
          <wp:inline distT="0" distB="0" distL="0" distR="0" wp14:anchorId="4DF5B55A" wp14:editId="663B20C0">
            <wp:extent cx="5078776" cy="3767453"/>
            <wp:effectExtent l="0" t="0" r="1270" b="508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lassificazione PEDIS.jpg"/>
                    <pic:cNvPicPr/>
                  </pic:nvPicPr>
                  <pic:blipFill>
                    <a:blip r:embed="rId15">
                      <a:extLst>
                        <a:ext uri="{BEBA8EAE-BF5A-486C-A8C5-ECC9F3942E4B}">
                          <a14:imgProps xmlns:a14="http://schemas.microsoft.com/office/drawing/2010/main">
                            <a14:imgLayer r:embed="rId16">
                              <a14:imgEffect>
                                <a14:sharpenSoften amount="26000"/>
                              </a14:imgEffect>
                              <a14:imgEffect>
                                <a14:saturation sat="0"/>
                              </a14:imgEffect>
                              <a14:imgEffect>
                                <a14:brightnessContrast bright="16000"/>
                              </a14:imgEffect>
                            </a14:imgLayer>
                          </a14:imgProps>
                        </a:ext>
                        <a:ext uri="{28A0092B-C50C-407E-A947-70E740481C1C}">
                          <a14:useLocalDpi xmlns:a14="http://schemas.microsoft.com/office/drawing/2010/main" val="0"/>
                        </a:ext>
                      </a:extLst>
                    </a:blip>
                    <a:stretch>
                      <a:fillRect/>
                    </a:stretch>
                  </pic:blipFill>
                  <pic:spPr>
                    <a:xfrm>
                      <a:off x="0" y="0"/>
                      <a:ext cx="5088985" cy="3775026"/>
                    </a:xfrm>
                    <a:prstGeom prst="rect">
                      <a:avLst/>
                    </a:prstGeom>
                  </pic:spPr>
                </pic:pic>
              </a:graphicData>
            </a:graphic>
          </wp:inline>
        </w:drawing>
      </w:r>
    </w:p>
    <w:p w14:paraId="65A78ABB" w14:textId="77777777" w:rsidR="00193A7D" w:rsidRPr="0046528D" w:rsidRDefault="00193A7D" w:rsidP="0046528D">
      <w:pPr>
        <w:spacing w:line="360" w:lineRule="auto"/>
        <w:jc w:val="both"/>
        <w:rPr>
          <w:b/>
          <w:bCs/>
        </w:rPr>
      </w:pPr>
    </w:p>
    <w:p w14:paraId="678224D6" w14:textId="77777777" w:rsidR="00C447E5" w:rsidRPr="0046528D" w:rsidRDefault="00C447E5" w:rsidP="0046528D">
      <w:pPr>
        <w:spacing w:line="360" w:lineRule="auto"/>
        <w:jc w:val="both"/>
        <w:rPr>
          <w:b/>
          <w:bCs/>
        </w:rPr>
      </w:pPr>
    </w:p>
    <w:p w14:paraId="06CC1E15" w14:textId="77777777" w:rsidR="00C447E5" w:rsidRPr="0046528D" w:rsidRDefault="00C447E5" w:rsidP="0046528D">
      <w:pPr>
        <w:spacing w:line="360" w:lineRule="auto"/>
        <w:jc w:val="both"/>
        <w:rPr>
          <w:b/>
          <w:bCs/>
        </w:rPr>
      </w:pPr>
    </w:p>
    <w:p w14:paraId="5FAAB42A" w14:textId="77777777" w:rsidR="00C447E5" w:rsidRPr="0046528D" w:rsidRDefault="00C447E5" w:rsidP="0046528D">
      <w:pPr>
        <w:spacing w:line="360" w:lineRule="auto"/>
        <w:jc w:val="both"/>
        <w:rPr>
          <w:b/>
          <w:bCs/>
        </w:rPr>
      </w:pPr>
    </w:p>
    <w:p w14:paraId="32CE935D" w14:textId="77777777" w:rsidR="00193A7D" w:rsidRPr="0046528D" w:rsidRDefault="005727AD" w:rsidP="0046528D">
      <w:pPr>
        <w:spacing w:line="360" w:lineRule="auto"/>
        <w:jc w:val="both"/>
        <w:rPr>
          <w:b/>
          <w:bCs/>
        </w:rPr>
      </w:pPr>
      <w:r w:rsidRPr="0046528D">
        <w:rPr>
          <w:b/>
          <w:bCs/>
        </w:rPr>
        <w:lastRenderedPageBreak/>
        <w:t>1.4 Fattori di rischio e F</w:t>
      </w:r>
      <w:r w:rsidR="00193A7D" w:rsidRPr="0046528D">
        <w:rPr>
          <w:b/>
          <w:bCs/>
        </w:rPr>
        <w:t>isiopatologia del</w:t>
      </w:r>
      <w:r w:rsidRPr="0046528D">
        <w:rPr>
          <w:b/>
          <w:bCs/>
        </w:rPr>
        <w:t xml:space="preserve"> Piede D</w:t>
      </w:r>
      <w:r w:rsidR="00193A7D" w:rsidRPr="0046528D">
        <w:rPr>
          <w:b/>
          <w:bCs/>
        </w:rPr>
        <w:t>iabetico</w:t>
      </w:r>
    </w:p>
    <w:p w14:paraId="39F82409" w14:textId="77777777" w:rsidR="00193A7D" w:rsidRPr="0046528D" w:rsidRDefault="00193A7D" w:rsidP="0046528D">
      <w:pPr>
        <w:spacing w:line="360" w:lineRule="auto"/>
        <w:jc w:val="both"/>
      </w:pPr>
      <w:r w:rsidRPr="0046528D">
        <w:t>La natura multifattoriale del piede diabetico è stata chiarita da innumerevoli studi</w:t>
      </w:r>
      <w:r w:rsidRPr="0046528D">
        <w:rPr>
          <w:vertAlign w:val="superscript"/>
        </w:rPr>
        <w:endnoteReference w:id="54"/>
      </w:r>
      <w:r w:rsidR="002E196D" w:rsidRPr="0046528D">
        <w:t xml:space="preserve"> </w:t>
      </w:r>
      <w:r w:rsidR="002E196D" w:rsidRPr="0046528D">
        <w:rPr>
          <w:rStyle w:val="Rimandonotadichiusura"/>
        </w:rPr>
        <w:endnoteReference w:id="55"/>
      </w:r>
      <w:r w:rsidRPr="0046528D">
        <w:t>.</w:t>
      </w:r>
    </w:p>
    <w:p w14:paraId="7F8B5185" w14:textId="77777777" w:rsidR="00193A7D" w:rsidRPr="0046528D" w:rsidRDefault="00193A7D" w:rsidP="0046528D">
      <w:pPr>
        <w:spacing w:line="360" w:lineRule="auto"/>
        <w:jc w:val="both"/>
      </w:pPr>
      <w:r w:rsidRPr="0046528D">
        <w:t>I fattori di rischio identificati nel corso del tempo da tali studi sono</w:t>
      </w:r>
      <w:r w:rsidRPr="0046528D">
        <w:rPr>
          <w:vertAlign w:val="superscript"/>
        </w:rPr>
        <w:endnoteReference w:id="56"/>
      </w:r>
      <w:r w:rsidRPr="0046528D">
        <w:t>:</w:t>
      </w:r>
    </w:p>
    <w:p w14:paraId="1EC35CDF" w14:textId="77777777" w:rsidR="00193A7D" w:rsidRPr="0046528D" w:rsidRDefault="00193A7D" w:rsidP="0046528D">
      <w:pPr>
        <w:numPr>
          <w:ilvl w:val="0"/>
          <w:numId w:val="7"/>
        </w:numPr>
        <w:spacing w:line="360" w:lineRule="auto"/>
        <w:jc w:val="both"/>
      </w:pPr>
      <w:r w:rsidRPr="0046528D">
        <w:t>la neuropatia periferica</w:t>
      </w:r>
    </w:p>
    <w:p w14:paraId="47CE8CBC" w14:textId="77777777" w:rsidR="00193A7D" w:rsidRPr="0046528D" w:rsidRDefault="00193A7D" w:rsidP="0046528D">
      <w:pPr>
        <w:numPr>
          <w:ilvl w:val="0"/>
          <w:numId w:val="7"/>
        </w:numPr>
        <w:spacing w:line="360" w:lineRule="auto"/>
        <w:jc w:val="both"/>
      </w:pPr>
      <w:r w:rsidRPr="0046528D">
        <w:t>la deformità al piede</w:t>
      </w:r>
    </w:p>
    <w:p w14:paraId="59F9EB33" w14:textId="77777777" w:rsidR="00193A7D" w:rsidRPr="0046528D" w:rsidRDefault="00193A7D" w:rsidP="0046528D">
      <w:pPr>
        <w:numPr>
          <w:ilvl w:val="0"/>
          <w:numId w:val="7"/>
        </w:numPr>
        <w:spacing w:line="360" w:lineRule="auto"/>
        <w:jc w:val="both"/>
      </w:pPr>
      <w:r w:rsidRPr="0046528D">
        <w:t>la patologica pressione plantare</w:t>
      </w:r>
    </w:p>
    <w:p w14:paraId="63C0FABD" w14:textId="77777777" w:rsidR="00193A7D" w:rsidRPr="0046528D" w:rsidRDefault="00193A7D" w:rsidP="0046528D">
      <w:pPr>
        <w:numPr>
          <w:ilvl w:val="0"/>
          <w:numId w:val="7"/>
        </w:numPr>
        <w:spacing w:line="360" w:lineRule="auto"/>
        <w:jc w:val="both"/>
      </w:pPr>
      <w:r w:rsidRPr="0046528D">
        <w:t xml:space="preserve">i costanti traumi </w:t>
      </w:r>
    </w:p>
    <w:p w14:paraId="7D5FFE1F" w14:textId="77777777" w:rsidR="00193A7D" w:rsidRPr="0046528D" w:rsidRDefault="00193A7D" w:rsidP="0046528D">
      <w:pPr>
        <w:numPr>
          <w:ilvl w:val="0"/>
          <w:numId w:val="7"/>
        </w:numPr>
        <w:spacing w:line="360" w:lineRule="auto"/>
        <w:jc w:val="both"/>
      </w:pPr>
      <w:r w:rsidRPr="0046528D">
        <w:t>la malattia vascolare periferica</w:t>
      </w:r>
    </w:p>
    <w:p w14:paraId="66A4E6D1" w14:textId="77777777" w:rsidR="00193A7D" w:rsidRPr="0046528D" w:rsidRDefault="00193A7D" w:rsidP="0046528D">
      <w:pPr>
        <w:numPr>
          <w:ilvl w:val="0"/>
          <w:numId w:val="7"/>
        </w:numPr>
        <w:spacing w:line="360" w:lineRule="auto"/>
        <w:jc w:val="both"/>
      </w:pPr>
      <w:r w:rsidRPr="0046528D">
        <w:t>la storia di ulcerazione e amputazione</w:t>
      </w:r>
    </w:p>
    <w:p w14:paraId="5F37CDFE" w14:textId="77777777" w:rsidR="00193A7D" w:rsidRPr="0046528D" w:rsidRDefault="00193A7D" w:rsidP="0046528D">
      <w:pPr>
        <w:spacing w:line="360" w:lineRule="auto"/>
        <w:jc w:val="both"/>
      </w:pPr>
    </w:p>
    <w:p w14:paraId="7AE682F4" w14:textId="77777777" w:rsidR="00193A7D" w:rsidRPr="0046528D" w:rsidRDefault="00193A7D" w:rsidP="0046528D">
      <w:pPr>
        <w:spacing w:line="360" w:lineRule="auto"/>
        <w:jc w:val="both"/>
      </w:pPr>
      <w:r w:rsidRPr="0046528D">
        <w:t xml:space="preserve">I fattori di rischio del piede diabetico aumentano la loro opera in base all'età e alla durata della patologia di base, ma sono meno potenzialmente attivi se si ha un buon controllo dei valori glicemici e dei valori pressori. </w:t>
      </w:r>
    </w:p>
    <w:p w14:paraId="783ACA3E" w14:textId="77777777" w:rsidR="00193A7D" w:rsidRPr="0046528D" w:rsidRDefault="00193A7D" w:rsidP="0046528D">
      <w:pPr>
        <w:spacing w:line="360" w:lineRule="auto"/>
        <w:jc w:val="both"/>
      </w:pPr>
      <w:r w:rsidRPr="0046528D">
        <w:t>Va considerato, inoltre, che in pazienti affetti da piede diabetico vengono frequent</w:t>
      </w:r>
      <w:r w:rsidRPr="0046528D">
        <w:t>e</w:t>
      </w:r>
      <w:r w:rsidRPr="0046528D">
        <w:t>mente riscontrati fattori di rischio modificabili come ipercheratosi e micosi.</w:t>
      </w:r>
    </w:p>
    <w:p w14:paraId="026D9341" w14:textId="77777777" w:rsidR="00193A7D" w:rsidRPr="0046528D" w:rsidRDefault="00193A7D" w:rsidP="0046528D">
      <w:pPr>
        <w:spacing w:line="360" w:lineRule="auto"/>
        <w:jc w:val="both"/>
      </w:pPr>
      <w:r w:rsidRPr="0046528D">
        <w:t>Le ulcere al piede raramente sono manifestazioni di una singola eziologia; anzi spe</w:t>
      </w:r>
      <w:r w:rsidRPr="0046528D">
        <w:t>s</w:t>
      </w:r>
      <w:r w:rsidRPr="0046528D">
        <w:t xml:space="preserve">so sono date dall'interazione tra due o più cause </w:t>
      </w:r>
      <w:r w:rsidRPr="0046528D">
        <w:rPr>
          <w:vertAlign w:val="superscript"/>
        </w:rPr>
        <w:endnoteReference w:id="57"/>
      </w:r>
      <w:r w:rsidRPr="0046528D">
        <w:t xml:space="preserve"> . Nonostante i grandi numeri di questa patologia e la sua pericolosità, pochi studi hanno affrontato il ruolo indipe</w:t>
      </w:r>
      <w:r w:rsidRPr="0046528D">
        <w:t>n</w:t>
      </w:r>
      <w:r w:rsidRPr="0046528D">
        <w:t>dente dei singoli fattori di rischio nella patogenesi del piede diabetico.</w:t>
      </w:r>
    </w:p>
    <w:p w14:paraId="40B6D94A" w14:textId="77777777" w:rsidR="00193A7D" w:rsidRPr="0046528D" w:rsidRDefault="00193A7D" w:rsidP="0046528D">
      <w:pPr>
        <w:spacing w:line="360" w:lineRule="auto"/>
        <w:jc w:val="both"/>
      </w:pPr>
      <w:r w:rsidRPr="0046528D">
        <w:t>Il piede diabetico è la risultante di multipli meccanismi fisiopatologici:</w:t>
      </w:r>
    </w:p>
    <w:p w14:paraId="41BAB9F6" w14:textId="77777777" w:rsidR="00193A7D" w:rsidRPr="0046528D" w:rsidRDefault="00193A7D" w:rsidP="0046528D">
      <w:pPr>
        <w:spacing w:line="360" w:lineRule="auto"/>
        <w:jc w:val="both"/>
      </w:pPr>
      <w:r w:rsidRPr="0046528D">
        <w:rPr>
          <w:noProof/>
        </w:rPr>
        <w:drawing>
          <wp:inline distT="0" distB="0" distL="0" distR="0" wp14:anchorId="0564448A" wp14:editId="60BE23AB">
            <wp:extent cx="4379905" cy="3044190"/>
            <wp:effectExtent l="0" t="0" r="0" b="3810"/>
            <wp:docPr id="39" name="Picture 8" descr="C:\Users\Alessandro Del Cuore\Desktop\fisiopatolog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essandro Del Cuore\Desktop\fisiopatologia.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56810" cy="3097642"/>
                    </a:xfrm>
                    <a:prstGeom prst="rect">
                      <a:avLst/>
                    </a:prstGeom>
                    <a:noFill/>
                    <a:ln>
                      <a:noFill/>
                    </a:ln>
                  </pic:spPr>
                </pic:pic>
              </a:graphicData>
            </a:graphic>
          </wp:inline>
        </w:drawing>
      </w:r>
    </w:p>
    <w:p w14:paraId="4D4050E5" w14:textId="77777777" w:rsidR="00C05520" w:rsidRDefault="00C05520" w:rsidP="0046528D">
      <w:pPr>
        <w:spacing w:line="360" w:lineRule="auto"/>
        <w:jc w:val="both"/>
        <w:rPr>
          <w:b/>
          <w:bCs/>
        </w:rPr>
      </w:pPr>
    </w:p>
    <w:p w14:paraId="337CE730" w14:textId="77777777" w:rsidR="00193A7D" w:rsidRPr="0046528D" w:rsidRDefault="0068562E" w:rsidP="0046528D">
      <w:pPr>
        <w:spacing w:line="360" w:lineRule="auto"/>
        <w:jc w:val="both"/>
        <w:rPr>
          <w:b/>
          <w:bCs/>
        </w:rPr>
      </w:pPr>
      <w:r w:rsidRPr="0046528D">
        <w:rPr>
          <w:b/>
          <w:bCs/>
        </w:rPr>
        <w:t>1.4.1 La Neuropatia P</w:t>
      </w:r>
      <w:r w:rsidR="00193A7D" w:rsidRPr="0046528D">
        <w:rPr>
          <w:b/>
          <w:bCs/>
        </w:rPr>
        <w:t>eriferica</w:t>
      </w:r>
    </w:p>
    <w:p w14:paraId="59BDE797" w14:textId="77777777" w:rsidR="00193A7D" w:rsidRPr="0046528D" w:rsidRDefault="00193A7D" w:rsidP="0046528D">
      <w:pPr>
        <w:spacing w:line="360" w:lineRule="auto"/>
        <w:jc w:val="both"/>
      </w:pPr>
      <w:r w:rsidRPr="0046528D">
        <w:t>Il fattore che contribuisce maggiormente alla genesi dell'ulcera al piede è la neurop</w:t>
      </w:r>
      <w:r w:rsidRPr="0046528D">
        <w:t>a</w:t>
      </w:r>
      <w:r w:rsidRPr="0046528D">
        <w:t>tia diabetica (sia essa autonomica, che somatica)</w:t>
      </w:r>
      <w:r w:rsidRPr="0046528D">
        <w:rPr>
          <w:vertAlign w:val="superscript"/>
        </w:rPr>
        <w:endnoteReference w:id="58"/>
      </w:r>
      <w:r w:rsidRPr="0046528D">
        <w:t>, la cui associazione con l'ulcera è ormai nota da anni.</w:t>
      </w:r>
      <w:r w:rsidRPr="0046528D">
        <w:rPr>
          <w:vertAlign w:val="superscript"/>
        </w:rPr>
        <w:endnoteReference w:id="59"/>
      </w:r>
    </w:p>
    <w:p w14:paraId="656A6CD0" w14:textId="77777777" w:rsidR="00193A7D" w:rsidRPr="0046528D" w:rsidRDefault="00193A7D" w:rsidP="0046528D">
      <w:pPr>
        <w:spacing w:line="360" w:lineRule="auto"/>
        <w:jc w:val="both"/>
      </w:pPr>
      <w:r w:rsidRPr="0046528D">
        <w:t>La neuropatia è associata con un rischio di 8-18 volte maggiore di sviluppare un'u</w:t>
      </w:r>
      <w:r w:rsidRPr="0046528D">
        <w:t>l</w:t>
      </w:r>
      <w:r w:rsidRPr="0046528D">
        <w:t>cera e di 2-15 volte maggiore di andare in contro ad un’amputazione. É stato diff</w:t>
      </w:r>
      <w:r w:rsidRPr="0046528D">
        <w:t>u</w:t>
      </w:r>
      <w:r w:rsidRPr="0046528D">
        <w:t>samente dimostrato che le alterazioni biomeccaniche (comprendenti un aumento de</w:t>
      </w:r>
      <w:r w:rsidRPr="0046528D">
        <w:t>l</w:t>
      </w:r>
      <w:r w:rsidRPr="0046528D">
        <w:t>la pressione plantare, alterazioni ossee, limitazioni alla deambulazione e il piede equino) sono tutte strettamente correlate ad un aumento significativo del</w:t>
      </w:r>
    </w:p>
    <w:p w14:paraId="3EDD430D" w14:textId="77777777" w:rsidR="00193A7D" w:rsidRPr="0046528D" w:rsidRDefault="00193A7D" w:rsidP="0046528D">
      <w:pPr>
        <w:spacing w:line="360" w:lineRule="auto"/>
        <w:jc w:val="both"/>
      </w:pPr>
      <w:r w:rsidRPr="0046528D">
        <w:t>rischio di sviluppare l'ulcera diabetica</w:t>
      </w:r>
      <w:r w:rsidR="002E196D" w:rsidRPr="0046528D">
        <w:rPr>
          <w:rStyle w:val="Rimandonotadichiusura"/>
        </w:rPr>
        <w:endnoteReference w:id="60"/>
      </w:r>
      <w:r w:rsidRPr="0046528D">
        <w:t>.</w:t>
      </w:r>
    </w:p>
    <w:p w14:paraId="49621B3F" w14:textId="77777777" w:rsidR="00193A7D" w:rsidRPr="0046528D" w:rsidRDefault="00193A7D" w:rsidP="0046528D">
      <w:pPr>
        <w:spacing w:line="360" w:lineRule="auto"/>
        <w:jc w:val="both"/>
      </w:pPr>
      <w:r w:rsidRPr="0046528D">
        <w:t>La neuropatia periferica sensoriale provoca l'incapacità di percepire traumi e risulta, quindi, essere uno dei fattori principali che porta alla formazione dell'ulcera</w:t>
      </w:r>
      <w:r w:rsidR="008F2FD8" w:rsidRPr="0046528D">
        <w:rPr>
          <w:rStyle w:val="Rimandonotadichiusura"/>
        </w:rPr>
        <w:endnoteReference w:id="61"/>
      </w:r>
      <w:r w:rsidRPr="0046528D">
        <w:t>.</w:t>
      </w:r>
    </w:p>
    <w:p w14:paraId="53BC0B57" w14:textId="77777777" w:rsidR="00193A7D" w:rsidRPr="0046528D" w:rsidRDefault="00193A7D" w:rsidP="0046528D">
      <w:pPr>
        <w:spacing w:line="360" w:lineRule="auto"/>
        <w:jc w:val="both"/>
      </w:pPr>
      <w:r w:rsidRPr="0046528D">
        <w:t>Circa il 45-60% di tutte le ulcerazioni nei diabetici sono esclusivamente neuropat</w:t>
      </w:r>
      <w:r w:rsidRPr="0046528D">
        <w:t>i</w:t>
      </w:r>
      <w:r w:rsidRPr="0046528D">
        <w:t xml:space="preserve">che, mentre più del 45% sono dovute alla doppia componente neuropatica-ischemica. </w:t>
      </w:r>
      <w:r w:rsidRPr="0046528D">
        <w:rPr>
          <w:vertAlign w:val="superscript"/>
        </w:rPr>
        <w:endnoteReference w:id="62"/>
      </w:r>
    </w:p>
    <w:p w14:paraId="700BDF12" w14:textId="77777777" w:rsidR="00193A7D" w:rsidRPr="0046528D" w:rsidRDefault="00193A7D" w:rsidP="0046528D">
      <w:pPr>
        <w:spacing w:line="360" w:lineRule="auto"/>
        <w:jc w:val="both"/>
      </w:pPr>
      <w:r w:rsidRPr="0046528D">
        <w:t>I meccanismi tramite i quali la neuropatia agisce come evento patogenetico dell'ulc</w:t>
      </w:r>
      <w:r w:rsidRPr="0046528D">
        <w:t>e</w:t>
      </w:r>
      <w:r w:rsidRPr="0046528D">
        <w:t xml:space="preserve">ra e della conseguente amputazione sono svariati. </w:t>
      </w:r>
    </w:p>
    <w:p w14:paraId="1279A6E9" w14:textId="77777777" w:rsidR="00193A7D" w:rsidRPr="0046528D" w:rsidRDefault="00193A7D" w:rsidP="0046528D">
      <w:pPr>
        <w:spacing w:line="360" w:lineRule="auto"/>
        <w:jc w:val="both"/>
      </w:pPr>
      <w:r w:rsidRPr="0046528D">
        <w:t>Innanzitutto, è di principale importanza discernere le tre componenti della neurop</w:t>
      </w:r>
      <w:r w:rsidRPr="0046528D">
        <w:t>a</w:t>
      </w:r>
      <w:r w:rsidRPr="0046528D">
        <w:t>tia:</w:t>
      </w:r>
    </w:p>
    <w:p w14:paraId="6004E560" w14:textId="77777777" w:rsidR="00193A7D" w:rsidRPr="0046528D" w:rsidRDefault="00193A7D" w:rsidP="0046528D">
      <w:pPr>
        <w:spacing w:line="360" w:lineRule="auto"/>
        <w:jc w:val="both"/>
      </w:pPr>
      <w:r w:rsidRPr="0046528D">
        <w:t xml:space="preserve">- la neuropatia sensitiva </w:t>
      </w:r>
    </w:p>
    <w:p w14:paraId="36E07E93" w14:textId="77777777" w:rsidR="00193A7D" w:rsidRPr="0046528D" w:rsidRDefault="00193A7D" w:rsidP="0046528D">
      <w:pPr>
        <w:spacing w:line="360" w:lineRule="auto"/>
        <w:jc w:val="both"/>
      </w:pPr>
      <w:r w:rsidRPr="0046528D">
        <w:t xml:space="preserve">- la neuropatia motoria </w:t>
      </w:r>
    </w:p>
    <w:p w14:paraId="5D649A0D" w14:textId="77777777" w:rsidR="00193A7D" w:rsidRPr="0046528D" w:rsidRDefault="00193A7D" w:rsidP="0046528D">
      <w:pPr>
        <w:spacing w:line="360" w:lineRule="auto"/>
        <w:jc w:val="both"/>
      </w:pPr>
      <w:r w:rsidRPr="0046528D">
        <w:t>- la neuropatia autonomica.</w:t>
      </w:r>
    </w:p>
    <w:p w14:paraId="7776DDF4" w14:textId="77777777" w:rsidR="00193A7D" w:rsidRPr="0046528D" w:rsidRDefault="00193A7D" w:rsidP="0046528D">
      <w:pPr>
        <w:spacing w:line="360" w:lineRule="auto"/>
        <w:jc w:val="both"/>
      </w:pPr>
      <w:r w:rsidRPr="0046528D">
        <w:t>La neuropatia sensitiva conduce all’aumento della soglia sensitiva, incluso la sensib</w:t>
      </w:r>
      <w:r w:rsidRPr="0046528D">
        <w:t>i</w:t>
      </w:r>
      <w:r w:rsidRPr="0046528D">
        <w:t>lità nocicettiva e termica e, dunque, alla riduzione della percezione degli stimoli d</w:t>
      </w:r>
      <w:r w:rsidRPr="0046528D">
        <w:t>o</w:t>
      </w:r>
      <w:r w:rsidRPr="0046528D">
        <w:t xml:space="preserve">lorifici e alla conseguente incapacità ad allontanarsi da essi. </w:t>
      </w:r>
    </w:p>
    <w:p w14:paraId="262DD5CC" w14:textId="77777777" w:rsidR="00193A7D" w:rsidRPr="0046528D" w:rsidRDefault="00193A7D" w:rsidP="0046528D">
      <w:pPr>
        <w:spacing w:line="360" w:lineRule="auto"/>
        <w:jc w:val="both"/>
      </w:pPr>
      <w:r w:rsidRPr="0046528D">
        <w:t>Secondo un importante studio prospettico multicentrico, la neuropatia sensoriale r</w:t>
      </w:r>
      <w:r w:rsidRPr="0046528D">
        <w:t>i</w:t>
      </w:r>
      <w:r w:rsidRPr="0046528D">
        <w:t xml:space="preserve">sulta la più frequente causa di ulcerazione nel paziente diabetico </w:t>
      </w:r>
      <w:r w:rsidRPr="0046528D">
        <w:rPr>
          <w:vertAlign w:val="superscript"/>
        </w:rPr>
        <w:endnoteReference w:id="63"/>
      </w:r>
      <w:r w:rsidRPr="0046528D">
        <w:t xml:space="preserve">.  </w:t>
      </w:r>
    </w:p>
    <w:p w14:paraId="476FCC33" w14:textId="77777777" w:rsidR="00193A7D" w:rsidRPr="0046528D" w:rsidRDefault="00193A7D" w:rsidP="0046528D">
      <w:pPr>
        <w:spacing w:line="360" w:lineRule="auto"/>
        <w:jc w:val="both"/>
      </w:pPr>
      <w:r w:rsidRPr="0046528D">
        <w:t>Esistono alcuni test di screening che hanno lo scopo di rilevare la perdita della sens</w:t>
      </w:r>
      <w:r w:rsidRPr="0046528D">
        <w:t>i</w:t>
      </w:r>
      <w:r w:rsidRPr="0046528D">
        <w:t xml:space="preserve">bilità protettiva (LOPS), per identificare il gruppo dei diabetici a rischio più elevato. </w:t>
      </w:r>
    </w:p>
    <w:p w14:paraId="26F9993F" w14:textId="77777777" w:rsidR="00193A7D" w:rsidRPr="0046528D" w:rsidRDefault="00193A7D" w:rsidP="0046528D">
      <w:pPr>
        <w:spacing w:line="360" w:lineRule="auto"/>
        <w:jc w:val="both"/>
      </w:pPr>
      <w:r w:rsidRPr="0046528D">
        <w:t>La sensibilità pressoria può essere valutata mediante un semplice test non invasivo denominato Semmens-Weinstein; esso si esegue mediante monofilamenti di nylon che si piegano alla pressione di 10 grammi, consentendo così di identificare la soglia protettiva nella maggior parte dei pazienti diabetici.</w:t>
      </w:r>
      <w:r w:rsidRPr="0046528D">
        <w:rPr>
          <w:vertAlign w:val="superscript"/>
        </w:rPr>
        <w:endnoteReference w:id="64"/>
      </w:r>
    </w:p>
    <w:p w14:paraId="5078BBC2" w14:textId="77777777" w:rsidR="00193A7D" w:rsidRPr="0046528D" w:rsidRDefault="00193A7D" w:rsidP="0046528D">
      <w:pPr>
        <w:spacing w:line="360" w:lineRule="auto"/>
        <w:jc w:val="both"/>
      </w:pPr>
      <w:r w:rsidRPr="0046528D">
        <w:lastRenderedPageBreak/>
        <w:t>In uno studio condotto su 314 pazienti diabetici, quelli con ulcere al piede avevano una soglia pressoria più alta rispetto a quelli senza ulcere.</w:t>
      </w:r>
      <w:r w:rsidRPr="0046528D">
        <w:rPr>
          <w:vertAlign w:val="superscript"/>
        </w:rPr>
        <w:endnoteReference w:id="65"/>
      </w:r>
      <w:r w:rsidRPr="0046528D">
        <w:t xml:space="preserve"> Una soglia pressoria c</w:t>
      </w:r>
      <w:r w:rsidRPr="0046528D">
        <w:t>u</w:t>
      </w:r>
      <w:r w:rsidRPr="0046528D">
        <w:t xml:space="preserve">tanea di 4,21 U o superiore aveva una sensibilità dell'84%, una specificità del 96% e un valore predittivo positivo per lo sviluppo di ulcera al piede del 76%. </w:t>
      </w:r>
    </w:p>
    <w:p w14:paraId="42C7F252" w14:textId="77777777" w:rsidR="00193A7D" w:rsidRPr="0046528D" w:rsidRDefault="00193A7D" w:rsidP="0046528D">
      <w:pPr>
        <w:spacing w:line="360" w:lineRule="auto"/>
        <w:jc w:val="both"/>
      </w:pPr>
      <w:r w:rsidRPr="0046528D">
        <w:t>Studi prospettici hanno dimostrato che l'assenza di sensibilità al test mediante mon</w:t>
      </w:r>
      <w:r w:rsidRPr="0046528D">
        <w:t>o</w:t>
      </w:r>
      <w:r w:rsidRPr="0046528D">
        <w:t>filamento di Semmens-Weinstein si correla ad un'aumentata probabilità di sviluppare in futuro ulcere plantari o amputazioni delle estremità inferiori.</w:t>
      </w:r>
      <w:r w:rsidRPr="0046528D">
        <w:rPr>
          <w:vertAlign w:val="superscript"/>
        </w:rPr>
        <w:endnoteReference w:id="66"/>
      </w:r>
      <w:r w:rsidRPr="0046528D">
        <w:t xml:space="preserve"> </w:t>
      </w:r>
    </w:p>
    <w:p w14:paraId="0BA7FC66" w14:textId="77777777" w:rsidR="00193A7D" w:rsidRPr="0046528D" w:rsidRDefault="00193A7D" w:rsidP="0046528D">
      <w:pPr>
        <w:spacing w:line="360" w:lineRule="auto"/>
        <w:jc w:val="both"/>
      </w:pPr>
      <w:r w:rsidRPr="0046528D">
        <w:t xml:space="preserve">La sensibilità vibratoria viene misurata mediante il diapason e il bioestensimetro che trasmettono sul piede una vibrazione di intensità variabile. Se il soggetto non avverte la vibrazione o l'avverte solo a una soglia elevata (superiore a 25 V) ciò è indice di un deficit della sensibilità vibratoria. </w:t>
      </w:r>
    </w:p>
    <w:p w14:paraId="468A88E8" w14:textId="77777777" w:rsidR="00193A7D" w:rsidRPr="0046528D" w:rsidRDefault="00193A7D" w:rsidP="0046528D">
      <w:pPr>
        <w:spacing w:line="360" w:lineRule="auto"/>
        <w:jc w:val="both"/>
      </w:pPr>
      <w:r w:rsidRPr="0046528D">
        <w:t>In uno studio prospettico condotto su 469 pazienti diabetici senza storia clinica di u</w:t>
      </w:r>
      <w:r w:rsidRPr="0046528D">
        <w:t>l</w:t>
      </w:r>
      <w:r w:rsidRPr="0046528D">
        <w:t>cera al piede, la soglia di sensibilità vibratoria (VPT) si è dimostrata essere un ecce</w:t>
      </w:r>
      <w:r w:rsidRPr="0046528D">
        <w:t>l</w:t>
      </w:r>
      <w:r w:rsidRPr="0046528D">
        <w:t>lente fattore predittivo del futuro sviluppo di ulcerazione del piede.</w:t>
      </w:r>
      <w:r w:rsidRPr="0046528D">
        <w:rPr>
          <w:vertAlign w:val="superscript"/>
        </w:rPr>
        <w:endnoteReference w:id="67"/>
      </w:r>
      <w:r w:rsidRPr="0046528D">
        <w:t xml:space="preserve"> Meno del 4% dei pazienti con una VPT inferiore a 25V ha sviluppato nuove ulcere, a differenza del 20% di pazienti con un VPT maggiore di 25 V.</w:t>
      </w:r>
    </w:p>
    <w:p w14:paraId="4BB2FA6E" w14:textId="77777777" w:rsidR="00193A7D" w:rsidRPr="0046528D" w:rsidRDefault="00193A7D" w:rsidP="0046528D">
      <w:pPr>
        <w:spacing w:line="360" w:lineRule="auto"/>
        <w:jc w:val="both"/>
      </w:pPr>
      <w:r w:rsidRPr="0046528D">
        <w:t xml:space="preserve">Dunque, l'alterata sensibilità pressoria e vibratoria predicono un maggiore rischio di ulcerazione del piede e richiedono un più accurato follow-up del paziente. </w:t>
      </w:r>
    </w:p>
    <w:p w14:paraId="2C3E391C" w14:textId="77777777" w:rsidR="00193A7D" w:rsidRPr="0046528D" w:rsidRDefault="00193A7D" w:rsidP="0046528D">
      <w:pPr>
        <w:spacing w:line="360" w:lineRule="auto"/>
        <w:jc w:val="both"/>
      </w:pPr>
      <w:r w:rsidRPr="0046528D">
        <w:t>Inoltre, va anche valutata l’elicitabilità del riflesso achilleo.</w:t>
      </w:r>
    </w:p>
    <w:p w14:paraId="6A21B745" w14:textId="77777777" w:rsidR="00193A7D" w:rsidRPr="0046528D" w:rsidRDefault="00193A7D" w:rsidP="0046528D">
      <w:pPr>
        <w:spacing w:line="360" w:lineRule="auto"/>
        <w:jc w:val="both"/>
      </w:pPr>
      <w:r w:rsidRPr="0046528D">
        <w:t>Diversi studi caso-controllo e studi prospettici hanno dimostrato che c'è un maggior rischio di sviluppare ulcerazioni se c'è una insensibilità di 5,07 al test del monofil</w:t>
      </w:r>
      <w:r w:rsidRPr="0046528D">
        <w:t>a</w:t>
      </w:r>
      <w:r w:rsidRPr="0046528D">
        <w:t>mento, se c'è assenza del riflesso achilleo e se c'è una riduzione della sensibilità pr</w:t>
      </w:r>
      <w:r w:rsidRPr="0046528D">
        <w:t>o</w:t>
      </w:r>
      <w:r w:rsidRPr="0046528D">
        <w:t>priocettiva al test con il diapason.</w:t>
      </w:r>
      <w:r w:rsidRPr="0046528D">
        <w:rPr>
          <w:vertAlign w:val="superscript"/>
        </w:rPr>
        <w:endnoteReference w:id="68"/>
      </w:r>
    </w:p>
    <w:p w14:paraId="2A80B293" w14:textId="77777777" w:rsidR="00193A7D" w:rsidRPr="0046528D" w:rsidRDefault="00193A7D" w:rsidP="0046528D">
      <w:pPr>
        <w:spacing w:line="360" w:lineRule="auto"/>
        <w:jc w:val="both"/>
      </w:pPr>
      <w:r w:rsidRPr="0046528D">
        <w:t>La neuropatia motoria porta a una progressiva debolezza della componente muscol</w:t>
      </w:r>
      <w:r w:rsidRPr="0046528D">
        <w:t>a</w:t>
      </w:r>
      <w:r w:rsidRPr="0046528D">
        <w:t xml:space="preserve">re intrinseca, costituita dai muscoli interossei e lombricali. Tutto questo si traduce in una deformazione del piede in flessione e determina il sovraccarico di aree plantari a livello delle teste metatarsali. Inoltre, la riduzione della motilità della caviglia che conferisce un'anormale pressione plantare a livello del tallone è stata implicata come una delle cause fondamentali della formazione e della ricorrenza dell'ulcera al piede </w:t>
      </w:r>
      <w:r w:rsidRPr="0046528D">
        <w:rPr>
          <w:vertAlign w:val="superscript"/>
        </w:rPr>
        <w:endnoteReference w:id="69"/>
      </w:r>
      <w:r w:rsidRPr="0046528D">
        <w:t>.</w:t>
      </w:r>
    </w:p>
    <w:p w14:paraId="264F8972" w14:textId="77777777" w:rsidR="00193A7D" w:rsidRPr="0046528D" w:rsidRDefault="00193A7D" w:rsidP="0046528D">
      <w:pPr>
        <w:spacing w:line="360" w:lineRule="auto"/>
        <w:jc w:val="both"/>
      </w:pPr>
      <w:r w:rsidRPr="0046528D">
        <w:t>La neuropatia autonomica comporta un aumento degli shunts artero-venosi che ca</w:t>
      </w:r>
      <w:r w:rsidRPr="0046528D">
        <w:t>u</w:t>
      </w:r>
      <w:r w:rsidRPr="0046528D">
        <w:t>sano ad una riduzione dell'irrorazione della cute e dell'osso; si viene a manifestare, dunque, la xerosi cutanea con fissurazioni e soluzioni di continuo che risultano essere la porta di ingresso dei batteri</w:t>
      </w:r>
      <w:r w:rsidRPr="0046528D">
        <w:rPr>
          <w:vertAlign w:val="superscript"/>
        </w:rPr>
        <w:endnoteReference w:id="70"/>
      </w:r>
      <w:r w:rsidRPr="0046528D">
        <w:t>;</w:t>
      </w:r>
    </w:p>
    <w:p w14:paraId="54589E4C" w14:textId="77777777" w:rsidR="00193A7D" w:rsidRPr="0046528D" w:rsidRDefault="00193A7D" w:rsidP="0046528D">
      <w:pPr>
        <w:spacing w:line="360" w:lineRule="auto"/>
        <w:jc w:val="both"/>
      </w:pPr>
      <w:r w:rsidRPr="0046528D">
        <w:lastRenderedPageBreak/>
        <w:t>La disfunzione autonomica del simpatico comporta anche una dilatazione dei vasi venosi del dorso del piede a cui consegue la comparsa del cosiddetto piede caldo. Il piede caldo, ma senza dolore, risulta quindi essere un fattore di rischio per la form</w:t>
      </w:r>
      <w:r w:rsidRPr="0046528D">
        <w:t>a</w:t>
      </w:r>
      <w:r w:rsidRPr="0046528D">
        <w:t xml:space="preserve">zione dell'ulcera perché è responsabile dell’incapacità nel percepire i microtraumi ambientali </w:t>
      </w:r>
      <w:r w:rsidRPr="0046528D">
        <w:rPr>
          <w:vertAlign w:val="superscript"/>
        </w:rPr>
        <w:endnoteReference w:id="71"/>
      </w:r>
      <w:r w:rsidRPr="0046528D">
        <w:t xml:space="preserve">. </w:t>
      </w:r>
    </w:p>
    <w:p w14:paraId="66BDB92D" w14:textId="77777777" w:rsidR="00193A7D" w:rsidRPr="0046528D" w:rsidRDefault="00193A7D" w:rsidP="0046528D">
      <w:pPr>
        <w:spacing w:line="360" w:lineRule="auto"/>
        <w:jc w:val="both"/>
      </w:pPr>
      <w:r w:rsidRPr="0046528D">
        <w:t>La stima della neuropatia autonomica mediante misurazione della caduta pressoria in ortostatismo riflette la disfunzione simpatica, ed è stata presa in considerazione come fattore di rischio isolato correlato alla genesi dell'ulcera.</w:t>
      </w:r>
      <w:r w:rsidRPr="0046528D">
        <w:rPr>
          <w:vertAlign w:val="superscript"/>
        </w:rPr>
        <w:endnoteReference w:id="72"/>
      </w:r>
      <w:r w:rsidRPr="0046528D">
        <w:t xml:space="preserve"> </w:t>
      </w:r>
    </w:p>
    <w:p w14:paraId="1775DEF3" w14:textId="77777777" w:rsidR="00193A7D" w:rsidRPr="0046528D" w:rsidRDefault="00193A7D" w:rsidP="0046528D">
      <w:pPr>
        <w:spacing w:line="360" w:lineRule="auto"/>
        <w:jc w:val="both"/>
      </w:pPr>
      <w:r w:rsidRPr="0046528D">
        <w:t>La neuropatia autonomica potrebbe in relazione ai disordini microvascolari determ</w:t>
      </w:r>
      <w:r w:rsidRPr="0046528D">
        <w:t>i</w:t>
      </w:r>
      <w:r w:rsidRPr="0046528D">
        <w:t>nare l'aumento degli shunting artero-venosi, l'inapproropriata risposta iperemica c</w:t>
      </w:r>
      <w:r w:rsidRPr="0046528D">
        <w:t>u</w:t>
      </w:r>
      <w:r w:rsidRPr="0046528D">
        <w:t>tanea a un trauma e l'inappropriata vasoregolazione in riposta agli stimoli dettati da</w:t>
      </w:r>
      <w:r w:rsidRPr="0046528D">
        <w:t>l</w:t>
      </w:r>
      <w:r w:rsidRPr="0046528D">
        <w:t>la temperatura. Inoltre, la disfunzione autonomica a causa di una ridotta produzione di sudore, può portare alla xerosi della cute, che causa, a sua volta, fessurazioni a l</w:t>
      </w:r>
      <w:r w:rsidRPr="0046528D">
        <w:t>i</w:t>
      </w:r>
      <w:r w:rsidRPr="0046528D">
        <w:t>vello cutaneo, eventuali porte d'ingresso di batteri e l’esordio dell'ulcera.</w:t>
      </w:r>
    </w:p>
    <w:p w14:paraId="1FF6BD76" w14:textId="77777777" w:rsidR="00193A7D" w:rsidRPr="0046528D" w:rsidRDefault="00193A7D" w:rsidP="0046528D">
      <w:pPr>
        <w:spacing w:line="360" w:lineRule="auto"/>
        <w:jc w:val="both"/>
      </w:pPr>
      <w:r w:rsidRPr="0046528D">
        <w:t>Soltanto negli ultimi dieci anni uno studio di follow-up ha confermato il ruolo fisi</w:t>
      </w:r>
      <w:r w:rsidRPr="0046528D">
        <w:t>o</w:t>
      </w:r>
      <w:r w:rsidRPr="0046528D">
        <w:t>patologico della neuropatia somatica.</w:t>
      </w:r>
      <w:r w:rsidRPr="0046528D">
        <w:rPr>
          <w:vertAlign w:val="superscript"/>
        </w:rPr>
        <w:endnoteReference w:id="73"/>
      </w:r>
      <w:r w:rsidRPr="0046528D">
        <w:t xml:space="preserve"> </w:t>
      </w:r>
    </w:p>
    <w:p w14:paraId="57CF1FA6" w14:textId="77777777" w:rsidR="00193A7D" w:rsidRPr="0046528D" w:rsidRDefault="00193A7D" w:rsidP="0046528D">
      <w:pPr>
        <w:spacing w:line="360" w:lineRule="auto"/>
        <w:jc w:val="both"/>
      </w:pPr>
      <w:r w:rsidRPr="0046528D">
        <w:t>I pazienti che hanno subito una perdita della sensibilità sembra che mostrino un a</w:t>
      </w:r>
      <w:r w:rsidRPr="0046528D">
        <w:t>u</w:t>
      </w:r>
      <w:r w:rsidRPr="0046528D">
        <w:t xml:space="preserve">mento di circa 7 volte del rischio di sviluppare l'ulcera al piede, rispetto a soggetti diabetici senza neuropatia. </w:t>
      </w:r>
    </w:p>
    <w:p w14:paraId="3FFDFD98" w14:textId="77777777" w:rsidR="00193A7D" w:rsidRPr="0046528D" w:rsidRDefault="00193A7D" w:rsidP="0046528D">
      <w:pPr>
        <w:spacing w:line="360" w:lineRule="auto"/>
        <w:jc w:val="both"/>
      </w:pPr>
      <w:r w:rsidRPr="0046528D">
        <w:t>Il deficit di equilibrio e l'instabilità posturale possono essere considerati sintomi i</w:t>
      </w:r>
      <w:r w:rsidRPr="0046528D">
        <w:t>m</w:t>
      </w:r>
      <w:r w:rsidRPr="0046528D">
        <w:t>portanti della neuropatia periferica, presumibilmente secondari alla perdita della se</w:t>
      </w:r>
      <w:r w:rsidRPr="0046528D">
        <w:t>n</w:t>
      </w:r>
      <w:r w:rsidRPr="0046528D">
        <w:t xml:space="preserve">sibilità propriocettiva. La relazione tra l'instabilità posturale e l'ulcera al piede è stata confermata </w:t>
      </w:r>
      <w:r w:rsidRPr="0046528D">
        <w:rPr>
          <w:vertAlign w:val="superscript"/>
        </w:rPr>
        <w:endnoteReference w:id="74"/>
      </w:r>
      <w:r w:rsidRPr="0046528D">
        <w:t>.</w:t>
      </w:r>
    </w:p>
    <w:p w14:paraId="0DF68557" w14:textId="77777777" w:rsidR="00193A7D" w:rsidRPr="0046528D" w:rsidRDefault="00193A7D" w:rsidP="0046528D">
      <w:pPr>
        <w:spacing w:line="360" w:lineRule="auto"/>
        <w:jc w:val="both"/>
      </w:pPr>
      <w:r w:rsidRPr="0046528D">
        <w:t>Un paziente sviluppa una lesione neuropatica a causa dell’anormala pressione plant</w:t>
      </w:r>
      <w:r w:rsidRPr="0046528D">
        <w:t>a</w:t>
      </w:r>
      <w:r w:rsidRPr="0046528D">
        <w:t xml:space="preserve">re e dei ripetuti microtraumi che rimangono misconosciuti e non percepiti durante il movimento. </w:t>
      </w:r>
    </w:p>
    <w:p w14:paraId="45661B45" w14:textId="77777777" w:rsidR="00193A7D" w:rsidRPr="0046528D" w:rsidRDefault="00193A7D" w:rsidP="0046528D">
      <w:pPr>
        <w:spacing w:line="360" w:lineRule="auto"/>
        <w:jc w:val="both"/>
      </w:pPr>
      <w:r w:rsidRPr="0046528D">
        <w:t>Le lesioni neuropatiche sono caratterizzate per formarsi a livello delle aree sottoposte al sovraccarico pressorio, per la presenza di calli prima dello sviluppo della lesione stessa e per l'asintomaticità.</w:t>
      </w:r>
    </w:p>
    <w:p w14:paraId="666EE91E" w14:textId="796B384D" w:rsidR="00193A7D" w:rsidRPr="0046528D" w:rsidRDefault="00193A7D" w:rsidP="0046528D">
      <w:pPr>
        <w:spacing w:line="360" w:lineRule="auto"/>
        <w:jc w:val="both"/>
      </w:pPr>
      <w:r w:rsidRPr="0046528D">
        <w:t>La lesione neuropatica plantare tende a essere profonda con una piccola lesione a l</w:t>
      </w:r>
      <w:r w:rsidRPr="0046528D">
        <w:t>i</w:t>
      </w:r>
      <w:r w:rsidRPr="0046528D">
        <w:t>vello cutaneo ma con un contemporaneo interessamento dei tessuti sottostanti. Il r</w:t>
      </w:r>
      <w:r w:rsidRPr="0046528D">
        <w:t>i</w:t>
      </w:r>
      <w:r w:rsidRPr="0046528D">
        <w:t>schio che la lesione peggiori sia in termini di ulteriore interessamento dei tessuti pr</w:t>
      </w:r>
      <w:r w:rsidRPr="0046528D">
        <w:t>o</w:t>
      </w:r>
      <w:r w:rsidRPr="0046528D">
        <w:t>fondi, sia in termini infettivi è correlato alla coesistenza di una componente ischem</w:t>
      </w:r>
      <w:r w:rsidRPr="0046528D">
        <w:t>i</w:t>
      </w:r>
      <w:r w:rsidRPr="0046528D">
        <w:t>ca.</w:t>
      </w:r>
      <w:r w:rsidR="008F2FD8" w:rsidRPr="0046528D">
        <w:rPr>
          <w:rStyle w:val="Rimandonotadichiusura"/>
        </w:rPr>
        <w:endnoteReference w:id="75"/>
      </w:r>
    </w:p>
    <w:p w14:paraId="47F20DC6" w14:textId="77777777" w:rsidR="00B77014" w:rsidRPr="0046528D" w:rsidRDefault="00B77014" w:rsidP="0046528D">
      <w:pPr>
        <w:spacing w:line="360" w:lineRule="auto"/>
        <w:jc w:val="both"/>
      </w:pPr>
    </w:p>
    <w:p w14:paraId="2C0731A8" w14:textId="77777777" w:rsidR="00193A7D" w:rsidRPr="0046528D" w:rsidRDefault="00193A7D" w:rsidP="0046528D">
      <w:pPr>
        <w:spacing w:line="360" w:lineRule="auto"/>
        <w:jc w:val="both"/>
        <w:rPr>
          <w:b/>
        </w:rPr>
      </w:pPr>
      <w:r w:rsidRPr="0046528D">
        <w:rPr>
          <w:b/>
        </w:rPr>
        <w:t xml:space="preserve">1.4.2 La </w:t>
      </w:r>
      <w:r w:rsidRPr="0046528D">
        <w:rPr>
          <w:b/>
          <w:bCs/>
        </w:rPr>
        <w:t>Macroangiopatia</w:t>
      </w:r>
    </w:p>
    <w:p w14:paraId="2B08D3DF" w14:textId="77777777" w:rsidR="00193A7D" w:rsidRPr="0046528D" w:rsidRDefault="00193A7D" w:rsidP="0046528D">
      <w:pPr>
        <w:spacing w:line="360" w:lineRule="auto"/>
        <w:jc w:val="both"/>
      </w:pPr>
      <w:r w:rsidRPr="0046528D">
        <w:t>La prevalenza e l'incidenza dell'arteropatia periferica aumentano con l'età e in base alla durata del diabete; è abbastanza frequente che il paziente diabetico scopra questa complicanza proprio al momento della diagnosi.</w:t>
      </w:r>
    </w:p>
    <w:p w14:paraId="0CB4E3B0" w14:textId="77777777" w:rsidR="00193A7D" w:rsidRPr="0046528D" w:rsidRDefault="00193A7D" w:rsidP="0046528D">
      <w:pPr>
        <w:spacing w:line="360" w:lineRule="auto"/>
        <w:jc w:val="both"/>
      </w:pPr>
      <w:r w:rsidRPr="0046528D">
        <w:t>Altri fattori di rischio piuttosto importanti nella genesi dell'arteropatia periferica sono sicuramente l'ipertensione, il fumo e la dislipidemia.</w:t>
      </w:r>
    </w:p>
    <w:p w14:paraId="128F89F7" w14:textId="77777777" w:rsidR="00193A7D" w:rsidRPr="0046528D" w:rsidRDefault="00193A7D" w:rsidP="0046528D">
      <w:pPr>
        <w:spacing w:line="360" w:lineRule="auto"/>
        <w:jc w:val="both"/>
      </w:pPr>
      <w:r w:rsidRPr="0046528D">
        <w:t xml:space="preserve">Nel paziente diabetico l'arteropatia periferica combinata alla neuropatia periferica e all’elevata suscettibilità alle infezioni, conducono alla comparsa dell'ulcera al piede, alla gangrena e, infine, all'amputazione dell'arto. </w:t>
      </w:r>
    </w:p>
    <w:p w14:paraId="27AC96F5" w14:textId="77777777" w:rsidR="00193A7D" w:rsidRPr="0046528D" w:rsidRDefault="00193A7D" w:rsidP="0046528D">
      <w:pPr>
        <w:spacing w:line="360" w:lineRule="auto"/>
        <w:jc w:val="both"/>
      </w:pPr>
      <w:r w:rsidRPr="0046528D">
        <w:t>L'ABI (Ankle-Brachial Index), ovvero il rapporto tra la pressione misurata alla cav</w:t>
      </w:r>
      <w:r w:rsidRPr="0046528D">
        <w:t>i</w:t>
      </w:r>
      <w:r w:rsidRPr="0046528D">
        <w:t>glia e quella misurata al braccio, può essere usato per la valutazione clinica dell'art</w:t>
      </w:r>
      <w:r w:rsidRPr="0046528D">
        <w:t>e</w:t>
      </w:r>
      <w:r w:rsidRPr="0046528D">
        <w:t>ropatia periferica. Un ABI &lt; 0,9 è suggestivo di arteropatia obliterante periferica, specie se sono presenti altri segni clinici come asfigmia o iposfigmia dei polsi perif</w:t>
      </w:r>
      <w:r w:rsidRPr="0046528D">
        <w:t>e</w:t>
      </w:r>
      <w:r w:rsidRPr="0046528D">
        <w:t>rici o presenza di soffi, ma addirittura un ABI &lt; 0,8 indica una arteropatia periferica anche in assenza di sintomi. Ovviamente più è basso l'ABI maggiore sarà l'occlusi</w:t>
      </w:r>
      <w:r w:rsidRPr="0046528D">
        <w:t>o</w:t>
      </w:r>
      <w:r w:rsidRPr="0046528D">
        <w:t>ne vascolare; con un ABI &lt; 0,5 si parla di ischemia critica dell'arto inferiore. L'</w:t>
      </w:r>
      <w:r w:rsidRPr="0046528D">
        <w:t>i</w:t>
      </w:r>
      <w:r w:rsidRPr="0046528D">
        <w:t>schemia periferica risultante da un arteropatia dell'arteria a monte è stata considerata nel 35% dei casi come un fattore contribuente alla formazione dell'ulcera in almeno due grossi studi.</w:t>
      </w:r>
      <w:r w:rsidRPr="0046528D">
        <w:rPr>
          <w:vertAlign w:val="superscript"/>
        </w:rPr>
        <w:endnoteReference w:id="76"/>
      </w:r>
      <w:r w:rsidRPr="0046528D">
        <w:t xml:space="preserve"> </w:t>
      </w:r>
    </w:p>
    <w:p w14:paraId="232800C2" w14:textId="77777777" w:rsidR="00193A7D" w:rsidRPr="0046528D" w:rsidRDefault="00193A7D" w:rsidP="0046528D">
      <w:pPr>
        <w:spacing w:line="360" w:lineRule="auto"/>
        <w:jc w:val="both"/>
      </w:pPr>
      <w:r w:rsidRPr="0046528D">
        <w:t>Un recente studio che comparava l'arteropatia periferica in pazienti diabetici e non diabetici ha mostrato che nei pazienti diabetici vi è una malattia vascolare periferica più distale ed anche una peggiore prognosi, considerando la mortalità e il rischio di amputazione</w:t>
      </w:r>
      <w:r w:rsidR="003C7302" w:rsidRPr="0046528D">
        <w:rPr>
          <w:rStyle w:val="Rimandonotadichiusura"/>
        </w:rPr>
        <w:endnoteReference w:id="77"/>
      </w:r>
      <w:r w:rsidRPr="0046528D">
        <w:t>. Le ulcere diabetiche potrebbero svilupparsi non solo a causa dell'art</w:t>
      </w:r>
      <w:r w:rsidRPr="0046528D">
        <w:t>e</w:t>
      </w:r>
      <w:r w:rsidRPr="0046528D">
        <w:t xml:space="preserve">ropatia periferica, ma potrebbero anche essere associate alla neuropatia periferica, all'insufficienza venosa, ai traumi e alle infezioni. </w:t>
      </w:r>
    </w:p>
    <w:p w14:paraId="50B1DE74" w14:textId="77777777" w:rsidR="00193A7D" w:rsidRPr="0046528D" w:rsidRDefault="00193A7D" w:rsidP="0046528D">
      <w:pPr>
        <w:spacing w:line="360" w:lineRule="auto"/>
        <w:jc w:val="both"/>
      </w:pPr>
      <w:r w:rsidRPr="0046528D">
        <w:t xml:space="preserve">L'arteropatia periferica contribuisce a queste altre condizioni nella genesi o nella progressione dell'ulcera al piede. </w:t>
      </w:r>
    </w:p>
    <w:p w14:paraId="52AFE906" w14:textId="77777777" w:rsidR="00193A7D" w:rsidRPr="0046528D" w:rsidRDefault="00193A7D" w:rsidP="0046528D">
      <w:pPr>
        <w:spacing w:line="360" w:lineRule="auto"/>
        <w:jc w:val="both"/>
      </w:pPr>
      <w:r w:rsidRPr="0046528D">
        <w:t>La prevalenza di una storia di ulcerazione o di una piaga al piede o alla caviglia era del 15% in tutti i pazienti diabetici di uno studio di popolazione nel Sud del Wi</w:t>
      </w:r>
      <w:r w:rsidRPr="0046528D">
        <w:t>n</w:t>
      </w:r>
      <w:r w:rsidRPr="0046528D">
        <w:t>sconsin.</w:t>
      </w:r>
      <w:r w:rsidRPr="0046528D">
        <w:rPr>
          <w:vertAlign w:val="superscript"/>
        </w:rPr>
        <w:endnoteReference w:id="78"/>
      </w:r>
      <w:r w:rsidRPr="0046528D">
        <w:t xml:space="preserve"> </w:t>
      </w:r>
    </w:p>
    <w:p w14:paraId="418B5FB3" w14:textId="77777777" w:rsidR="00193A7D" w:rsidRPr="0046528D" w:rsidRDefault="00193A7D" w:rsidP="0046528D">
      <w:pPr>
        <w:spacing w:line="360" w:lineRule="auto"/>
        <w:jc w:val="both"/>
      </w:pPr>
      <w:r w:rsidRPr="0046528D">
        <w:t>La prevalenza era più alta nei pazienti diabetici, la cui diagnosi era stata posta ad un età inferiore ai 30 anni, era sensibilmente più alta negli uomini (16%) che nelle do</w:t>
      </w:r>
      <w:r w:rsidRPr="0046528D">
        <w:t>n</w:t>
      </w:r>
      <w:r w:rsidRPr="0046528D">
        <w:t xml:space="preserve">ne (13%) ed era più elevata nei pazienti insulino-dipendenti (17%), rispetto ai non </w:t>
      </w:r>
      <w:r w:rsidRPr="0046528D">
        <w:lastRenderedPageBreak/>
        <w:t>insulino-dipendenti (10%). La prevalenza di un’ulcera nei diabetici aumenta con l'</w:t>
      </w:r>
      <w:r w:rsidRPr="0046528D">
        <w:t>e</w:t>
      </w:r>
      <w:r w:rsidRPr="0046528D">
        <w:t>tà; infatti è stato visto in uno studio europeo che essa era del 3% in pazienti con età inferiore a 50 anni, del 7% in pazienti con età di 60 anni e del 14% in pazienti con età di 80 anni, inoltre era maggiore nei maschi rispetto alle femmine in pazienti con età di 70 anni.</w:t>
      </w:r>
      <w:r w:rsidRPr="0046528D">
        <w:rPr>
          <w:vertAlign w:val="superscript"/>
        </w:rPr>
        <w:endnoteReference w:id="79"/>
      </w:r>
    </w:p>
    <w:p w14:paraId="1AE32BAC" w14:textId="77777777" w:rsidR="00193A7D" w:rsidRPr="0046528D" w:rsidRDefault="00193A7D" w:rsidP="0046528D">
      <w:pPr>
        <w:spacing w:line="360" w:lineRule="auto"/>
        <w:jc w:val="both"/>
      </w:pPr>
    </w:p>
    <w:p w14:paraId="180F3091" w14:textId="77777777" w:rsidR="00193A7D" w:rsidRPr="0046528D" w:rsidRDefault="00193A7D" w:rsidP="0046528D">
      <w:pPr>
        <w:spacing w:line="360" w:lineRule="auto"/>
        <w:jc w:val="both"/>
        <w:rPr>
          <w:b/>
          <w:bCs/>
        </w:rPr>
      </w:pPr>
      <w:r w:rsidRPr="0046528D">
        <w:rPr>
          <w:b/>
          <w:bCs/>
        </w:rPr>
        <w:t xml:space="preserve">1.4.3 </w:t>
      </w:r>
      <w:r w:rsidR="0068562E" w:rsidRPr="0046528D">
        <w:rPr>
          <w:b/>
          <w:bCs/>
        </w:rPr>
        <w:t>Le Deformità del P</w:t>
      </w:r>
      <w:r w:rsidRPr="0046528D">
        <w:rPr>
          <w:b/>
          <w:bCs/>
        </w:rPr>
        <w:t>iede</w:t>
      </w:r>
    </w:p>
    <w:p w14:paraId="19C6DE4E" w14:textId="77777777" w:rsidR="00193A7D" w:rsidRPr="0046528D" w:rsidRDefault="00193A7D" w:rsidP="0046528D">
      <w:pPr>
        <w:spacing w:line="360" w:lineRule="auto"/>
        <w:jc w:val="both"/>
      </w:pPr>
      <w:r w:rsidRPr="0046528D">
        <w:t>La presenza di deformità del piede, in particolare teste metatarsali prominenti e dita ad artiglio, sono uniformemente considerate fattori di rischio per ulcere al piede.</w:t>
      </w:r>
      <w:r w:rsidRPr="0046528D">
        <w:rPr>
          <w:vertAlign w:val="superscript"/>
        </w:rPr>
        <w:endnoteReference w:id="80"/>
      </w:r>
    </w:p>
    <w:p w14:paraId="7D4B0F94" w14:textId="77777777" w:rsidR="00193A7D" w:rsidRPr="0046528D" w:rsidRDefault="00193A7D" w:rsidP="0046528D">
      <w:pPr>
        <w:spacing w:line="360" w:lineRule="auto"/>
        <w:jc w:val="both"/>
      </w:pPr>
      <w:r w:rsidRPr="0046528D">
        <w:t>In uno studio crociato è stato comprovato che le callosità plantari accumulate erano associate ad un rischio di 77 volte maggiore di sviluppare l'ulcerazione. Nel follow-up di questi stessi pazienti è stato osservato che le ulcere plantari sviluppatesi nei siti dove era presente la callosità, in piedi neuropatici, rappresentavano un infinito a</w:t>
      </w:r>
      <w:r w:rsidRPr="0046528D">
        <w:t>u</w:t>
      </w:r>
      <w:r w:rsidRPr="0046528D">
        <w:t>mento del rischio.</w:t>
      </w:r>
      <w:r w:rsidRPr="0046528D">
        <w:rPr>
          <w:vertAlign w:val="superscript"/>
        </w:rPr>
        <w:endnoteReference w:id="81"/>
      </w:r>
      <w:r w:rsidR="003C7302" w:rsidRPr="0046528D">
        <w:t xml:space="preserve"> </w:t>
      </w:r>
    </w:p>
    <w:p w14:paraId="43A19847" w14:textId="77777777" w:rsidR="00193A7D" w:rsidRPr="0046528D" w:rsidRDefault="00193A7D" w:rsidP="0046528D">
      <w:pPr>
        <w:spacing w:line="360" w:lineRule="auto"/>
        <w:jc w:val="both"/>
      </w:pPr>
      <w:r w:rsidRPr="0046528D">
        <w:t>Nonostante una rivalutazione degli studi abbia dimostrato che le cure per la preve</w:t>
      </w:r>
      <w:r w:rsidRPr="0046528D">
        <w:t>n</w:t>
      </w:r>
      <w:r w:rsidRPr="0046528D">
        <w:t>zione dell'ulcera non sono in grado di ridurre l'incidenza delle amputazioni, esiste comunque la suggestione che l'educazione a misure igieniche appropriate e alle cure podiatriche contribuisca a scongiurare lo sviluppo dell'ulcera stessa.</w:t>
      </w:r>
      <w:r w:rsidRPr="0046528D">
        <w:rPr>
          <w:vertAlign w:val="superscript"/>
        </w:rPr>
        <w:endnoteReference w:id="82"/>
      </w:r>
    </w:p>
    <w:p w14:paraId="295BAAD8" w14:textId="77777777" w:rsidR="00193A7D" w:rsidRPr="0046528D" w:rsidRDefault="00193A7D" w:rsidP="0046528D">
      <w:pPr>
        <w:spacing w:line="360" w:lineRule="auto"/>
        <w:jc w:val="both"/>
      </w:pPr>
      <w:r w:rsidRPr="0046528D">
        <w:t>Un numero clinicamente significativo di deformità al piede è stato considerato come un potenziale fattore di rischio allo sviluppo dell'ulcera, ma tra queste soltanto la neuroartropatia di Charcot e le dita ad artiglio nei soggetti senza storia di ulcera sono state considerate come fattori indipendenti correlati alla prognosi del paziente.</w:t>
      </w:r>
    </w:p>
    <w:p w14:paraId="3CB5EC26" w14:textId="77777777" w:rsidR="00193A7D" w:rsidRPr="0046528D" w:rsidRDefault="00193A7D" w:rsidP="0046528D">
      <w:pPr>
        <w:spacing w:line="360" w:lineRule="auto"/>
        <w:jc w:val="both"/>
      </w:pPr>
    </w:p>
    <w:p w14:paraId="2A3132D1" w14:textId="77777777" w:rsidR="00193A7D" w:rsidRPr="0046528D" w:rsidRDefault="00193A7D" w:rsidP="0046528D">
      <w:pPr>
        <w:spacing w:line="360" w:lineRule="auto"/>
        <w:jc w:val="both"/>
        <w:rPr>
          <w:b/>
          <w:bCs/>
        </w:rPr>
      </w:pPr>
      <w:r w:rsidRPr="0046528D">
        <w:rPr>
          <w:b/>
          <w:bCs/>
        </w:rPr>
        <w:t>1.4.4 La Neuroartropatia di Charcot</w:t>
      </w:r>
    </w:p>
    <w:p w14:paraId="3C773A91" w14:textId="77777777" w:rsidR="00193A7D" w:rsidRPr="0046528D" w:rsidRDefault="00193A7D" w:rsidP="0046528D">
      <w:pPr>
        <w:spacing w:line="360" w:lineRule="auto"/>
        <w:jc w:val="both"/>
      </w:pPr>
      <w:r w:rsidRPr="0046528D">
        <w:t xml:space="preserve">Nel 1883 Charcot descrisse per la prima volta i cambiamenti caratteristici del piede nella sifilide terziaria, ma soltanto nel 1936 il piede di Charcot fu considerato una complicanza del diabete </w:t>
      </w:r>
      <w:r w:rsidRPr="0046528D">
        <w:rPr>
          <w:vertAlign w:val="superscript"/>
        </w:rPr>
        <w:endnoteReference w:id="83"/>
      </w:r>
      <w:r w:rsidRPr="0046528D">
        <w:t>.</w:t>
      </w:r>
    </w:p>
    <w:p w14:paraId="450EA0D2" w14:textId="77777777" w:rsidR="00193A7D" w:rsidRPr="0046528D" w:rsidRDefault="00193A7D" w:rsidP="0046528D">
      <w:pPr>
        <w:spacing w:line="360" w:lineRule="auto"/>
        <w:jc w:val="both"/>
      </w:pPr>
      <w:r w:rsidRPr="0046528D">
        <w:t xml:space="preserve"> La Neuroartropatia di Charcot (NC) è di certo la più evidente dimostrazione di qua</w:t>
      </w:r>
      <w:r w:rsidRPr="0046528D">
        <w:t>n</w:t>
      </w:r>
      <w:r w:rsidRPr="0046528D">
        <w:t xml:space="preserve">to la neuropatia abbia un ruolo dominante nella fisiopatologia del piede diabetico. </w:t>
      </w:r>
    </w:p>
    <w:p w14:paraId="5D3C7174" w14:textId="77777777" w:rsidR="00193A7D" w:rsidRPr="0046528D" w:rsidRDefault="00193A7D" w:rsidP="0046528D">
      <w:pPr>
        <w:spacing w:line="360" w:lineRule="auto"/>
        <w:jc w:val="both"/>
      </w:pPr>
      <w:r w:rsidRPr="0046528D">
        <w:t>La malattia di Charcot è una delle più destruenti complicanze del diabete e, in part</w:t>
      </w:r>
      <w:r w:rsidRPr="0046528D">
        <w:t>i</w:t>
      </w:r>
      <w:r w:rsidRPr="0046528D">
        <w:t>colare, esistono due forme:</w:t>
      </w:r>
    </w:p>
    <w:p w14:paraId="72D94ED2" w14:textId="77777777" w:rsidR="00193A7D" w:rsidRPr="0046528D" w:rsidRDefault="00193A7D" w:rsidP="0046528D">
      <w:pPr>
        <w:spacing w:line="360" w:lineRule="auto"/>
        <w:jc w:val="both"/>
      </w:pPr>
      <w:r w:rsidRPr="0046528D">
        <w:t xml:space="preserve">-  la forma severa (che porta ad ulcerazioni, infezioni e conseguenti amputazioni) </w:t>
      </w:r>
    </w:p>
    <w:p w14:paraId="15B1CCC5" w14:textId="77777777" w:rsidR="00193A7D" w:rsidRPr="0046528D" w:rsidRDefault="00193A7D" w:rsidP="0046528D">
      <w:pPr>
        <w:spacing w:line="360" w:lineRule="auto"/>
        <w:jc w:val="both"/>
      </w:pPr>
      <w:r w:rsidRPr="0046528D">
        <w:t>- la forma lieve (che causa un rigonfiamento del piede tale da compromettere la deambulazione</w:t>
      </w:r>
      <w:r w:rsidRPr="0046528D">
        <w:rPr>
          <w:vertAlign w:val="superscript"/>
        </w:rPr>
        <w:endnoteReference w:id="84"/>
      </w:r>
      <w:r w:rsidRPr="0046528D">
        <w:t>).</w:t>
      </w:r>
    </w:p>
    <w:p w14:paraId="61096C6B" w14:textId="77777777" w:rsidR="00193A7D" w:rsidRPr="0046528D" w:rsidRDefault="00193A7D" w:rsidP="0046528D">
      <w:pPr>
        <w:spacing w:line="360" w:lineRule="auto"/>
        <w:jc w:val="both"/>
      </w:pPr>
      <w:r w:rsidRPr="0046528D">
        <w:lastRenderedPageBreak/>
        <w:t>La NC è viene definita come una malattia in cui coesiste la simultanea presenza di distruzione, rimodellamento e frantumazione di ossa e articolazioni</w:t>
      </w:r>
      <w:r w:rsidRPr="0046528D">
        <w:rPr>
          <w:vertAlign w:val="superscript"/>
        </w:rPr>
        <w:endnoteReference w:id="85"/>
      </w:r>
      <w:r w:rsidRPr="0046528D">
        <w:t xml:space="preserve">. </w:t>
      </w:r>
    </w:p>
    <w:p w14:paraId="41913052" w14:textId="77777777" w:rsidR="00193A7D" w:rsidRPr="0046528D" w:rsidRDefault="00193A7D" w:rsidP="0046528D">
      <w:pPr>
        <w:spacing w:line="360" w:lineRule="auto"/>
        <w:jc w:val="both"/>
      </w:pPr>
      <w:r w:rsidRPr="0046528D">
        <w:t>La prevalenza del piede di Charcot varia dallo 0,15 al 6,8 % tra i pazienti diabetici con maggiore età.</w:t>
      </w:r>
      <w:r w:rsidRPr="0046528D">
        <w:rPr>
          <w:vertAlign w:val="superscript"/>
        </w:rPr>
        <w:endnoteReference w:id="86"/>
      </w:r>
      <w:r w:rsidRPr="0046528D">
        <w:t xml:space="preserve"> In uno studio di Manchester, la prevalenza del piede di Charcot in una popolazione selezionata di pazienti diabetici con neuropatia, valutata tramite metodiche radiologiche, è del 9%</w:t>
      </w:r>
      <w:r w:rsidRPr="0046528D">
        <w:rPr>
          <w:vertAlign w:val="superscript"/>
        </w:rPr>
        <w:endnoteReference w:id="87"/>
      </w:r>
      <w:r w:rsidRPr="0046528D">
        <w:t xml:space="preserve">. </w:t>
      </w:r>
    </w:p>
    <w:p w14:paraId="79F77F65" w14:textId="77777777" w:rsidR="00193A7D" w:rsidRPr="0046528D" w:rsidRDefault="00193A7D" w:rsidP="0046528D">
      <w:pPr>
        <w:spacing w:line="360" w:lineRule="auto"/>
        <w:jc w:val="both"/>
      </w:pPr>
      <w:r w:rsidRPr="0046528D">
        <w:t>Il primum movens del processo patogenetico che porta alla malattia di Charcot è s</w:t>
      </w:r>
      <w:r w:rsidRPr="0046528D">
        <w:t>o</w:t>
      </w:r>
      <w:r w:rsidRPr="0046528D">
        <w:t>vente un trauma superficiale o poco rilevante che determina un danno periarticolare o una frattura ossea maggiore in un paziente diabetico con piede suscettibile</w:t>
      </w:r>
      <w:r w:rsidR="003C7302" w:rsidRPr="0046528D">
        <w:rPr>
          <w:rStyle w:val="Rimandonotadichiusura"/>
        </w:rPr>
        <w:endnoteReference w:id="88"/>
      </w:r>
      <w:r w:rsidRPr="0046528D">
        <w:t>.</w:t>
      </w:r>
    </w:p>
    <w:p w14:paraId="26DF3C14" w14:textId="77777777" w:rsidR="00193A7D" w:rsidRPr="0046528D" w:rsidRDefault="00193A7D" w:rsidP="0046528D">
      <w:pPr>
        <w:spacing w:line="360" w:lineRule="auto"/>
        <w:jc w:val="both"/>
      </w:pPr>
      <w:r w:rsidRPr="0046528D">
        <w:t>La neuropatia periferica e autonomica, coniugata a un inadeguato apporto di sangue sembrano essere i prerequisiti di tale suscettibilità</w:t>
      </w:r>
      <w:r w:rsidRPr="0046528D">
        <w:rPr>
          <w:vertAlign w:val="superscript"/>
        </w:rPr>
        <w:endnoteReference w:id="89"/>
      </w:r>
      <w:r w:rsidRPr="0046528D">
        <w:t>. Non è stata ancora chiarita la ragione per cui i traumi, apparentemente di poco conto, possano portare ad una cat</w:t>
      </w:r>
      <w:r w:rsidRPr="0046528D">
        <w:t>a</w:t>
      </w:r>
      <w:r w:rsidRPr="0046528D">
        <w:t>strofica distruzione del piede, sebbene sia stata dimostrata nei pazienti con piede di Charcot la presenza di una riduzione della densità ossea, probabilmente dovuta ai meccanismi suddetti</w:t>
      </w:r>
      <w:r w:rsidR="003C7302" w:rsidRPr="0046528D">
        <w:rPr>
          <w:rStyle w:val="Rimandonotadichiusura"/>
        </w:rPr>
        <w:endnoteReference w:id="90"/>
      </w:r>
      <w:r w:rsidRPr="0046528D">
        <w:t>.</w:t>
      </w:r>
      <w:r w:rsidRPr="0046528D">
        <w:rPr>
          <w:vertAlign w:val="superscript"/>
        </w:rPr>
        <w:t xml:space="preserve"> </w:t>
      </w:r>
    </w:p>
    <w:p w14:paraId="5D10A4CE" w14:textId="77777777" w:rsidR="00193A7D" w:rsidRPr="0046528D" w:rsidRDefault="00193A7D" w:rsidP="0046528D">
      <w:pPr>
        <w:spacing w:line="360" w:lineRule="auto"/>
        <w:jc w:val="both"/>
      </w:pPr>
      <w:r w:rsidRPr="0046528D">
        <w:t>É di comune opinione che l'aumentato flusso sanguigno e gli aumentati shunts artero-venosi conseguenti alla neuropatia autonomica comportino un aumento dell'attività osteoclastica responsabile di un maggiore riassorbimento osseo</w:t>
      </w:r>
      <w:r w:rsidR="003C7302" w:rsidRPr="0046528D">
        <w:rPr>
          <w:rStyle w:val="Rimandonotadichiusura"/>
        </w:rPr>
        <w:endnoteReference w:id="91"/>
      </w:r>
      <w:r w:rsidRPr="0046528D">
        <w:t>. Tutto ciò, insieme all'aumentato rischio di cadute e ai ripetuti traumi dovuti all'alta pressione plantare nei pazienti diabetici neuropatici, potrebbe predisporre alla genesi del piede di Cha</w:t>
      </w:r>
      <w:r w:rsidRPr="0046528D">
        <w:t>r</w:t>
      </w:r>
      <w:r w:rsidRPr="0046528D">
        <w:t xml:space="preserve">cot. </w:t>
      </w:r>
    </w:p>
    <w:p w14:paraId="628F4EFF" w14:textId="77777777" w:rsidR="00193A7D" w:rsidRPr="0046528D" w:rsidRDefault="00193A7D" w:rsidP="0046528D">
      <w:pPr>
        <w:spacing w:line="360" w:lineRule="auto"/>
        <w:jc w:val="both"/>
      </w:pPr>
      <w:r w:rsidRPr="0046528D">
        <w:t>La relazione tra aumentato riassorbimento osseo e malattia di Charcot fu dimostrata da Edelson et al, i quali scoprirono che vi erano elevati livelli di markers urinari di riassorbimento osseo come l'N-Telopeptide del Collagene di tipo I (NTX) nei sogge</w:t>
      </w:r>
      <w:r w:rsidRPr="0046528D">
        <w:t>t</w:t>
      </w:r>
      <w:r w:rsidRPr="0046528D">
        <w:t>ti con piede di Charcot</w:t>
      </w:r>
      <w:r w:rsidRPr="0046528D">
        <w:rPr>
          <w:vertAlign w:val="superscript"/>
        </w:rPr>
        <w:endnoteReference w:id="92"/>
      </w:r>
      <w:r w:rsidRPr="0046528D">
        <w:t>. Inoltre, Gough ha analizzato recentemente sia i markers di attività osteoclastica e sia quelli di attività osteoblastica in soggetti con malattia di Charcot e ha notato come la Piridolina legata alla porzione C terminale del NTX e la fosfatasi alcalina fossero significativamente più elevati in questi soggetti rispetto ai controlli.</w:t>
      </w:r>
      <w:r w:rsidRPr="0046528D">
        <w:rPr>
          <w:vertAlign w:val="superscript"/>
        </w:rPr>
        <w:endnoteReference w:id="93"/>
      </w:r>
      <w:r w:rsidRPr="0046528D">
        <w:t xml:space="preserve"> Questi risultati indicano come nella neuroartropatia di Charcot vi sia un eccessiva attività degli osteoclasti, con possibile aumento dell'attività osteoblastica in un osso in continuo rimodellamento. Dati recenti hanno suggerito che potrebbero e</w:t>
      </w:r>
      <w:r w:rsidRPr="0046528D">
        <w:t>s</w:t>
      </w:r>
      <w:r w:rsidRPr="0046528D">
        <w:t>serci altre cause patogenetiche nel processo di attivazione della malattia di Charcot come ad esempio l'attività di TNF-α, IL-6, NOS e CGRP.</w:t>
      </w:r>
      <w:r w:rsidRPr="0046528D">
        <w:rPr>
          <w:vertAlign w:val="superscript"/>
        </w:rPr>
        <w:endnoteReference w:id="94"/>
      </w:r>
    </w:p>
    <w:p w14:paraId="2ED67683" w14:textId="77777777" w:rsidR="00193A7D" w:rsidRPr="0046528D" w:rsidRDefault="00193A7D" w:rsidP="0046528D">
      <w:pPr>
        <w:spacing w:line="360" w:lineRule="auto"/>
        <w:jc w:val="both"/>
      </w:pPr>
      <w:r w:rsidRPr="0046528D">
        <w:lastRenderedPageBreak/>
        <w:t>Baumhauer dimostrò la presenza di TNF-</w:t>
      </w:r>
      <w:r w:rsidRPr="0046528D">
        <w:sym w:font="Symbol" w:char="F061"/>
      </w:r>
      <w:r w:rsidRPr="0046528D">
        <w:t xml:space="preserve"> e IL-6 in più del 90% degli osteoclasti, inoltre queste citochine hanno un ruolo fondamentale nel mediare la risposta infia</w:t>
      </w:r>
      <w:r w:rsidRPr="0046528D">
        <w:t>m</w:t>
      </w:r>
      <w:r w:rsidRPr="0046528D">
        <w:t>matoria acuta, successiva alle fratture ossee</w:t>
      </w:r>
      <w:r w:rsidRPr="0046528D">
        <w:rPr>
          <w:vertAlign w:val="superscript"/>
        </w:rPr>
        <w:endnoteReference w:id="95"/>
      </w:r>
      <w:r w:rsidRPr="0046528D">
        <w:t>. Tutto questo suggerisce che la costit</w:t>
      </w:r>
      <w:r w:rsidRPr="0046528D">
        <w:t>u</w:t>
      </w:r>
      <w:r w:rsidRPr="0046528D">
        <w:t>tiva espressione di queste molecole a opera degli osteoclasti durante il rimodellame</w:t>
      </w:r>
      <w:r w:rsidRPr="0046528D">
        <w:t>n</w:t>
      </w:r>
      <w:r w:rsidRPr="0046528D">
        <w:t xml:space="preserve">to osseo sia associato alla malattia di Charcot. </w:t>
      </w:r>
    </w:p>
    <w:p w14:paraId="748D4C50" w14:textId="77777777" w:rsidR="00193A7D" w:rsidRPr="0046528D" w:rsidRDefault="00193A7D" w:rsidP="0046528D">
      <w:pPr>
        <w:spacing w:line="360" w:lineRule="auto"/>
        <w:jc w:val="both"/>
      </w:pPr>
      <w:r w:rsidRPr="0046528D">
        <w:t>La Fountaine et al hanno dimostrato che nell'osso di un paziente con piede di Charcot vi è una riduzione dell’espressione di NOS e CGRP, ciò determina rispettivamente la mancata inibizione dell'attività osteoclastica e una riduzione del processo di osteog</w:t>
      </w:r>
      <w:r w:rsidRPr="0046528D">
        <w:t>e</w:t>
      </w:r>
      <w:r w:rsidRPr="0046528D">
        <w:t xml:space="preserve">nesi con conseguente osteopenia. </w:t>
      </w:r>
    </w:p>
    <w:p w14:paraId="6BB59943" w14:textId="77777777" w:rsidR="00193A7D" w:rsidRPr="0046528D" w:rsidRDefault="00193A7D" w:rsidP="0046528D">
      <w:pPr>
        <w:spacing w:line="360" w:lineRule="auto"/>
        <w:jc w:val="both"/>
      </w:pPr>
      <w:r w:rsidRPr="0046528D">
        <w:t>IL-6 e TNF-α sono citochine prodotte nel midollo osseo dagli osteoclasti che giocano un ruolo importante sul reclutamento, proliferazione e differenziazione degli stessi osteoclasti e agiscono direttamente sulla regolazione della NOS, diminuendone l'</w:t>
      </w:r>
      <w:r w:rsidRPr="0046528D">
        <w:t>e</w:t>
      </w:r>
      <w:r w:rsidRPr="0046528D">
        <w:t>spressione</w:t>
      </w:r>
      <w:r w:rsidRPr="0046528D">
        <w:rPr>
          <w:vertAlign w:val="superscript"/>
        </w:rPr>
        <w:endnoteReference w:id="96"/>
      </w:r>
      <w:r w:rsidRPr="0046528D">
        <w:t>. Il TNF-</w:t>
      </w:r>
      <w:r w:rsidRPr="0046528D">
        <w:sym w:font="Symbol" w:char="F061"/>
      </w:r>
      <w:r w:rsidRPr="0046528D">
        <w:t>, in particolare, promuove la differenziazione e l'attivazione degli osteoclasti, tramite l'interazione tra  RANK-L e il suo recettore osteoprogestin</w:t>
      </w:r>
      <w:r w:rsidRPr="0046528D">
        <w:t>i</w:t>
      </w:r>
      <w:r w:rsidRPr="0046528D">
        <w:t>co OPG, aumentando il riassorbimento osseo e riducendo pertanto la densità ossea nella malattia di Charcot</w:t>
      </w:r>
      <w:r w:rsidRPr="0046528D">
        <w:rPr>
          <w:vertAlign w:val="superscript"/>
        </w:rPr>
        <w:endnoteReference w:id="97"/>
      </w:r>
      <w:r w:rsidRPr="0046528D">
        <w:t>. Questo pathway è stato dimostrato essere disregolato ne</w:t>
      </w:r>
      <w:r w:rsidRPr="0046528D">
        <w:t>l</w:t>
      </w:r>
      <w:r w:rsidRPr="0046528D">
        <w:t xml:space="preserve">le malattie infiammatorie articolari </w:t>
      </w:r>
      <w:r w:rsidRPr="0046528D">
        <w:rPr>
          <w:vertAlign w:val="superscript"/>
        </w:rPr>
        <w:endnoteReference w:id="98"/>
      </w:r>
      <w:r w:rsidRPr="0046528D">
        <w:t xml:space="preserve"> come quella presente nella Charcot ed è stato ipotizzato che RANK-L e OPG giochino un ruolo fondamentale nella patogenesi de</w:t>
      </w:r>
      <w:r w:rsidRPr="0046528D">
        <w:t>l</w:t>
      </w:r>
      <w:r w:rsidRPr="0046528D">
        <w:t>la stessa.</w:t>
      </w:r>
      <w:r w:rsidRPr="0046528D">
        <w:rPr>
          <w:vertAlign w:val="superscript"/>
        </w:rPr>
        <w:endnoteReference w:id="99"/>
      </w:r>
      <w:r w:rsidRPr="0046528D">
        <w:t xml:space="preserve"> É stato, quindi,  ipotizzato che un iniziale frattura ossea o un microtrauma potrebbero innescare un’esagerata riposta infiammatoria, dovuta a un eccessivo ril</w:t>
      </w:r>
      <w:r w:rsidRPr="0046528D">
        <w:t>a</w:t>
      </w:r>
      <w:r w:rsidRPr="0046528D">
        <w:t>scio di citochine pro-infiammatorie come TNF</w:t>
      </w:r>
      <w:r w:rsidRPr="0046528D">
        <w:sym w:font="Symbol" w:char="F061"/>
      </w:r>
      <w:r w:rsidRPr="0046528D">
        <w:t xml:space="preserve"> e IL-1</w:t>
      </w:r>
      <w:r w:rsidRPr="0046528D">
        <w:sym w:font="Symbol" w:char="F062"/>
      </w:r>
      <w:r w:rsidRPr="0046528D">
        <w:t>, le quali stimolano la s</w:t>
      </w:r>
      <w:r w:rsidRPr="0046528D">
        <w:t>o</w:t>
      </w:r>
      <w:r w:rsidRPr="0046528D">
        <w:t xml:space="preserve">vraespressione di RANK-L che causa la maturazione degli osteoclasti e la successiva formazione di lesioni osteolitiche tipiche del piede di Charcot. </w:t>
      </w:r>
    </w:p>
    <w:p w14:paraId="30C59773" w14:textId="77777777" w:rsidR="00193A7D" w:rsidRPr="0046528D" w:rsidRDefault="00193A7D" w:rsidP="0046528D">
      <w:pPr>
        <w:spacing w:line="360" w:lineRule="auto"/>
        <w:jc w:val="both"/>
      </w:pPr>
      <w:r w:rsidRPr="0046528D">
        <w:t>Un esame clinico risulta essere necessario per iniziare un trattamento al fine di pr</w:t>
      </w:r>
      <w:r w:rsidRPr="0046528D">
        <w:t>e</w:t>
      </w:r>
      <w:r w:rsidRPr="0046528D">
        <w:t xml:space="preserve">venire le severe deformità del piede che questa malattia comporta. </w:t>
      </w:r>
    </w:p>
    <w:p w14:paraId="274FF736" w14:textId="77777777" w:rsidR="00193A7D" w:rsidRPr="0046528D" w:rsidRDefault="00193A7D" w:rsidP="0046528D">
      <w:pPr>
        <w:spacing w:line="360" w:lineRule="auto"/>
        <w:jc w:val="both"/>
      </w:pPr>
      <w:r w:rsidRPr="0046528D">
        <w:t>Le prime manifestazioni cliniche della neuroartropatia di Charcot sono il tumor, il calor, il rubor e il dolor all'arto inferiore. Una volta terminata la fase acuta, si procede con lo stadio cronico caratterizzato da assenza di dolore e da una differenza di te</w:t>
      </w:r>
      <w:r w:rsidRPr="0046528D">
        <w:t>m</w:t>
      </w:r>
      <w:r w:rsidRPr="0046528D">
        <w:t>peratura tra la porzione prossimale dell'arto e quella distale deformata. Lo stadio cr</w:t>
      </w:r>
      <w:r w:rsidRPr="0046528D">
        <w:t>o</w:t>
      </w:r>
      <w:r w:rsidRPr="0046528D">
        <w:t>nico può frequentemente andare incontro a riacutizzazioni se subentrano traumi al piede; a ciò consegue la difficile diagnosi differenziale con l'osteomielite. In questi pazienti è necessario iniziare un lungo follow-up, soprattutto in coloro che hanno un alto rischio di riacutizzazione, ulcerazione e amputazione.</w:t>
      </w:r>
      <w:r w:rsidRPr="0046528D">
        <w:rPr>
          <w:vertAlign w:val="superscript"/>
        </w:rPr>
        <w:endnoteReference w:id="100"/>
      </w:r>
      <w:r w:rsidRPr="0046528D">
        <w:t xml:space="preserve">La neuroartropatia di </w:t>
      </w:r>
      <w:r w:rsidRPr="0046528D">
        <w:lastRenderedPageBreak/>
        <w:t>Charcot si caratterizza utilizzando la radiodiagnostica al fine di mostrare la raref</w:t>
      </w:r>
      <w:r w:rsidRPr="0046528D">
        <w:t>a</w:t>
      </w:r>
      <w:r w:rsidRPr="0046528D">
        <w:t>zione delle ossa e delle articolazioni e il rimodellamento osseo nei casi più avanzati, anche se raramente riesce a mostrare segni precoci della malattia.</w:t>
      </w:r>
    </w:p>
    <w:p w14:paraId="41CBA3B1" w14:textId="77777777" w:rsidR="00193A7D" w:rsidRPr="0046528D" w:rsidRDefault="00193A7D" w:rsidP="0046528D">
      <w:pPr>
        <w:spacing w:line="360" w:lineRule="auto"/>
        <w:jc w:val="both"/>
      </w:pPr>
      <w:r w:rsidRPr="0046528D">
        <w:t>La classificazione di Einchenholtz viene utilizzata per descrivere i vari stadi dalla malattia di Charcot.</w:t>
      </w:r>
    </w:p>
    <w:tbl>
      <w:tblPr>
        <w:tblStyle w:val="Grigliatabella"/>
        <w:tblW w:w="0" w:type="auto"/>
        <w:tblLook w:val="04A0" w:firstRow="1" w:lastRow="0" w:firstColumn="1" w:lastColumn="0" w:noHBand="0" w:noVBand="1"/>
      </w:tblPr>
      <w:tblGrid>
        <w:gridCol w:w="1413"/>
        <w:gridCol w:w="6508"/>
      </w:tblGrid>
      <w:tr w:rsidR="00193A7D" w:rsidRPr="0046528D" w14:paraId="5C715A29" w14:textId="77777777" w:rsidTr="00374499">
        <w:tc>
          <w:tcPr>
            <w:tcW w:w="1413" w:type="dxa"/>
          </w:tcPr>
          <w:p w14:paraId="3C53854F" w14:textId="77777777" w:rsidR="00193A7D" w:rsidRPr="0046528D" w:rsidRDefault="00193A7D" w:rsidP="0046528D">
            <w:pPr>
              <w:spacing w:line="360" w:lineRule="auto"/>
              <w:jc w:val="both"/>
            </w:pPr>
            <w:r w:rsidRPr="0046528D">
              <w:rPr>
                <w:b/>
              </w:rPr>
              <w:t>Stadio 0</w:t>
            </w:r>
          </w:p>
        </w:tc>
        <w:tc>
          <w:tcPr>
            <w:tcW w:w="6508" w:type="dxa"/>
          </w:tcPr>
          <w:p w14:paraId="6B2DF087" w14:textId="77777777" w:rsidR="00193A7D" w:rsidRPr="0046528D" w:rsidRDefault="00193A7D" w:rsidP="0046528D">
            <w:pPr>
              <w:spacing w:line="360" w:lineRule="auto"/>
              <w:jc w:val="both"/>
            </w:pPr>
            <w:r w:rsidRPr="0046528D">
              <w:t>Piede a rischio. Paziente con diabete e neuropatia periferica che subisce un trauma acuto o frattura</w:t>
            </w:r>
          </w:p>
        </w:tc>
      </w:tr>
      <w:tr w:rsidR="00193A7D" w:rsidRPr="0046528D" w14:paraId="1769877E" w14:textId="77777777" w:rsidTr="00374499">
        <w:tc>
          <w:tcPr>
            <w:tcW w:w="1413" w:type="dxa"/>
          </w:tcPr>
          <w:p w14:paraId="039CBF20" w14:textId="77777777" w:rsidR="00193A7D" w:rsidRPr="0046528D" w:rsidRDefault="00193A7D" w:rsidP="0046528D">
            <w:pPr>
              <w:spacing w:line="360" w:lineRule="auto"/>
              <w:jc w:val="both"/>
            </w:pPr>
            <w:r w:rsidRPr="0046528D">
              <w:rPr>
                <w:b/>
              </w:rPr>
              <w:t>Stadio 1</w:t>
            </w:r>
          </w:p>
        </w:tc>
        <w:tc>
          <w:tcPr>
            <w:tcW w:w="6508" w:type="dxa"/>
          </w:tcPr>
          <w:p w14:paraId="2F5CD524" w14:textId="77777777" w:rsidR="00193A7D" w:rsidRPr="0046528D" w:rsidRDefault="00193A7D" w:rsidP="0046528D">
            <w:pPr>
              <w:spacing w:line="360" w:lineRule="auto"/>
              <w:jc w:val="both"/>
            </w:pPr>
            <w:r w:rsidRPr="0046528D">
              <w:t>Sviluppo della patologia. Paziente che presenta uno stato i</w:t>
            </w:r>
            <w:r w:rsidRPr="0046528D">
              <w:t>n</w:t>
            </w:r>
            <w:r w:rsidRPr="0046528D">
              <w:t>fiammatorio acuto dell'arto inferiore e segni radiografici di frammentazione ossea con la presenza di detriti e occasionale d</w:t>
            </w:r>
            <w:r w:rsidRPr="0046528D">
              <w:t>i</w:t>
            </w:r>
            <w:r w:rsidRPr="0046528D">
              <w:t>struzione e dislocazione delle articolazioni</w:t>
            </w:r>
          </w:p>
        </w:tc>
      </w:tr>
      <w:tr w:rsidR="00193A7D" w:rsidRPr="0046528D" w14:paraId="6FAFD116" w14:textId="77777777" w:rsidTr="00374499">
        <w:tc>
          <w:tcPr>
            <w:tcW w:w="1413" w:type="dxa"/>
          </w:tcPr>
          <w:p w14:paraId="467FB634" w14:textId="77777777" w:rsidR="00193A7D" w:rsidRPr="0046528D" w:rsidRDefault="00193A7D" w:rsidP="0046528D">
            <w:pPr>
              <w:spacing w:line="360" w:lineRule="auto"/>
              <w:jc w:val="both"/>
            </w:pPr>
            <w:r w:rsidRPr="0046528D">
              <w:rPr>
                <w:b/>
              </w:rPr>
              <w:t>Stadio 2</w:t>
            </w:r>
          </w:p>
        </w:tc>
        <w:tc>
          <w:tcPr>
            <w:tcW w:w="6508" w:type="dxa"/>
          </w:tcPr>
          <w:p w14:paraId="2C7DC308" w14:textId="77777777" w:rsidR="00193A7D" w:rsidRPr="0046528D" w:rsidRDefault="00193A7D" w:rsidP="0046528D">
            <w:pPr>
              <w:spacing w:line="360" w:lineRule="auto"/>
              <w:jc w:val="both"/>
            </w:pPr>
            <w:r w:rsidRPr="0046528D">
              <w:t>Convalescenza: I segni della flogosi diminuiscono, ma i segni radiografici mostrano una sclerosi dell'articolazione intorno le ossa e assorbimento detriti formatesi precedentemente e fusione dei vari frammenti.</w:t>
            </w:r>
          </w:p>
        </w:tc>
      </w:tr>
      <w:tr w:rsidR="00193A7D" w:rsidRPr="0046528D" w14:paraId="63BFC3B6" w14:textId="77777777" w:rsidTr="00374499">
        <w:tc>
          <w:tcPr>
            <w:tcW w:w="1413" w:type="dxa"/>
          </w:tcPr>
          <w:p w14:paraId="46F52843" w14:textId="77777777" w:rsidR="00193A7D" w:rsidRPr="0046528D" w:rsidRDefault="00193A7D" w:rsidP="0046528D">
            <w:pPr>
              <w:spacing w:line="360" w:lineRule="auto"/>
              <w:jc w:val="both"/>
            </w:pPr>
            <w:r w:rsidRPr="0046528D">
              <w:rPr>
                <w:b/>
              </w:rPr>
              <w:t>Stadio 3</w:t>
            </w:r>
          </w:p>
        </w:tc>
        <w:tc>
          <w:tcPr>
            <w:tcW w:w="6508" w:type="dxa"/>
          </w:tcPr>
          <w:p w14:paraId="46166223" w14:textId="77777777" w:rsidR="00193A7D" w:rsidRPr="0046528D" w:rsidRDefault="00193A7D" w:rsidP="0046528D">
            <w:pPr>
              <w:spacing w:line="360" w:lineRule="auto"/>
              <w:jc w:val="both"/>
            </w:pPr>
            <w:r w:rsidRPr="0046528D">
              <w:t>Ricostituzione: Continua la risoluzione della flogosi, ma pers</w:t>
            </w:r>
            <w:r w:rsidRPr="0046528D">
              <w:t>i</w:t>
            </w:r>
            <w:r w:rsidRPr="0046528D">
              <w:t>stono segni radiografici di rimodellamento osseo con deform</w:t>
            </w:r>
            <w:r w:rsidRPr="0046528D">
              <w:t>a</w:t>
            </w:r>
            <w:r w:rsidRPr="0046528D">
              <w:t>zione di alcune articolazioni.</w:t>
            </w:r>
          </w:p>
        </w:tc>
      </w:tr>
    </w:tbl>
    <w:p w14:paraId="4EC405A4" w14:textId="77777777" w:rsidR="00193A7D" w:rsidRPr="0046528D" w:rsidRDefault="00193A7D" w:rsidP="0046528D">
      <w:pPr>
        <w:spacing w:line="360" w:lineRule="auto"/>
        <w:jc w:val="both"/>
      </w:pPr>
    </w:p>
    <w:p w14:paraId="51194D54" w14:textId="77777777" w:rsidR="00193A7D" w:rsidRPr="0046528D" w:rsidRDefault="00193A7D" w:rsidP="0046528D">
      <w:pPr>
        <w:spacing w:line="360" w:lineRule="auto"/>
        <w:jc w:val="both"/>
      </w:pPr>
      <w:r w:rsidRPr="0046528D">
        <w:t>Gli scopi del trattamento della neuroartropatia di Charcot sono quelli di mantenere una stabilità plantare del piede, guarire le ulcere e le fratture e di prevenire le defo</w:t>
      </w:r>
      <w:r w:rsidRPr="0046528D">
        <w:t>r</w:t>
      </w:r>
      <w:r w:rsidRPr="0046528D">
        <w:t>mità ossee.</w:t>
      </w:r>
    </w:p>
    <w:p w14:paraId="52B866CE" w14:textId="77777777" w:rsidR="00E76FED" w:rsidRPr="0046528D" w:rsidRDefault="00E76FED" w:rsidP="0046528D">
      <w:pPr>
        <w:spacing w:line="360" w:lineRule="auto"/>
        <w:jc w:val="both"/>
      </w:pPr>
    </w:p>
    <w:p w14:paraId="074CDE22" w14:textId="77777777" w:rsidR="00193A7D" w:rsidRPr="0046528D" w:rsidRDefault="00193A7D" w:rsidP="0046528D">
      <w:pPr>
        <w:spacing w:line="360" w:lineRule="auto"/>
        <w:jc w:val="both"/>
        <w:rPr>
          <w:b/>
          <w:bCs/>
        </w:rPr>
      </w:pPr>
      <w:r w:rsidRPr="0046528D">
        <w:rPr>
          <w:b/>
          <w:bCs/>
        </w:rPr>
        <w:t>1.4.5</w:t>
      </w:r>
      <w:r w:rsidR="0068562E" w:rsidRPr="0046528D">
        <w:rPr>
          <w:b/>
          <w:bCs/>
        </w:rPr>
        <w:t xml:space="preserve"> La </w:t>
      </w:r>
      <w:r w:rsidRPr="0046528D">
        <w:rPr>
          <w:b/>
          <w:bCs/>
        </w:rPr>
        <w:t>Microangiopatia</w:t>
      </w:r>
    </w:p>
    <w:p w14:paraId="2AF2640B" w14:textId="77777777" w:rsidR="00193A7D" w:rsidRPr="0046528D" w:rsidRDefault="00193A7D" w:rsidP="0046528D">
      <w:pPr>
        <w:spacing w:line="360" w:lineRule="auto"/>
        <w:jc w:val="both"/>
      </w:pPr>
      <w:r w:rsidRPr="0046528D">
        <w:t>Le anomalie del microcircolo hanno un ruolo nodale nelle complicanze del diabete, in particolare nella neuropatia diabetica. Recentemente è stata focalizzata l'attenzione sull'importante ruolo dell'endotelio nella regolazione del tono della micro e macr</w:t>
      </w:r>
      <w:r w:rsidRPr="0046528D">
        <w:t>o</w:t>
      </w:r>
      <w:r w:rsidRPr="0046528D">
        <w:t>circolazione.</w:t>
      </w:r>
      <w:r w:rsidRPr="0046528D">
        <w:rPr>
          <w:vertAlign w:val="superscript"/>
        </w:rPr>
        <w:endnoteReference w:id="101"/>
      </w:r>
      <w:r w:rsidRPr="0046528D">
        <w:t xml:space="preserve"> </w:t>
      </w:r>
      <w:r w:rsidRPr="0046528D">
        <w:rPr>
          <w:vertAlign w:val="superscript"/>
        </w:rPr>
        <w:endnoteReference w:id="102"/>
      </w:r>
      <w:r w:rsidRPr="0046528D">
        <w:t xml:space="preserve"> Infatti, quest'ultimo secerne sia fattori vasodilatatori come l'ossido nitrico (NO) e le prostacicline, sia fattori vasocostrittori come le prostaglandine e l'endotelina.</w:t>
      </w:r>
      <w:r w:rsidRPr="0046528D">
        <w:rPr>
          <w:vertAlign w:val="superscript"/>
        </w:rPr>
        <w:endnoteReference w:id="103"/>
      </w:r>
      <w:r w:rsidRPr="0046528D">
        <w:t>. Nel diabete, la disfunzione endoteliale, non solo è presente in sogge</w:t>
      </w:r>
      <w:r w:rsidRPr="0046528D">
        <w:t>t</w:t>
      </w:r>
      <w:r w:rsidRPr="0046528D">
        <w:t>ti che hanno complicanze, ma addirittura può predire la possibilità di svilupparle.</w:t>
      </w:r>
      <w:r w:rsidRPr="0046528D">
        <w:rPr>
          <w:vertAlign w:val="superscript"/>
        </w:rPr>
        <w:endnoteReference w:id="104"/>
      </w:r>
      <w:r w:rsidRPr="0046528D">
        <w:t xml:space="preserve"> I ricercatori purtroppo non sono stati in grado di identificare considerevoli anormalità della micro e macrocircolazione nei pazienti diabetici con neuropatia autonomica.</w:t>
      </w:r>
      <w:r w:rsidRPr="0046528D">
        <w:rPr>
          <w:vertAlign w:val="superscript"/>
        </w:rPr>
        <w:endnoteReference w:id="105"/>
      </w:r>
      <w:r w:rsidRPr="0046528D">
        <w:t xml:space="preserve"> La diminuita perfusione vasale e l'ossigenazione cutanea, valutate rispettivamente </w:t>
      </w:r>
      <w:r w:rsidRPr="0046528D">
        <w:lastRenderedPageBreak/>
        <w:t>con l'ABI e con la pressione di ossigeno transcutanea continua (Tc PO</w:t>
      </w:r>
      <w:r w:rsidRPr="0046528D">
        <w:rPr>
          <w:vertAlign w:val="subscript"/>
        </w:rPr>
        <w:t>2</w:t>
      </w:r>
      <w:r w:rsidRPr="0046528D">
        <w:t>), sono state correlate con un aumento del rischio di sviluppare ulcerazioni, confermando quindi, un importante ruolo del rilascio dell'ossigeno nello sviluppo di questa complicanza. Pregressi studi caso-controllo hanno dimostrato l'associazione tra la ridotta Tc PO</w:t>
      </w:r>
      <w:r w:rsidRPr="0046528D">
        <w:rPr>
          <w:vertAlign w:val="subscript"/>
        </w:rPr>
        <w:t>2</w:t>
      </w:r>
      <w:r w:rsidRPr="0046528D">
        <w:t xml:space="preserve"> dell'arto inferiore e il rischio di sviluppare ulcera e amputazione, ma non è stato po</w:t>
      </w:r>
      <w:r w:rsidRPr="0046528D">
        <w:t>s</w:t>
      </w:r>
      <w:r w:rsidRPr="0046528D">
        <w:t>sibile concludere che la ridotta ossigenazione cutanea preceda la comparsa di qu</w:t>
      </w:r>
      <w:r w:rsidRPr="0046528D">
        <w:t>a</w:t>
      </w:r>
      <w:r w:rsidRPr="0046528D">
        <w:t>lunque tipo di evento, perché la Tc PO</w:t>
      </w:r>
      <w:r w:rsidRPr="0046528D">
        <w:rPr>
          <w:vertAlign w:val="subscript"/>
        </w:rPr>
        <w:t>2</w:t>
      </w:r>
      <w:r w:rsidRPr="0046528D">
        <w:t xml:space="preserve"> presa in esame era stata misurata solo dopo la comparsa dell'ulcerazione o dopo la decisione di amputare l'arto al paziente</w:t>
      </w:r>
      <w:r w:rsidR="003C7302" w:rsidRPr="0046528D">
        <w:rPr>
          <w:rStyle w:val="Rimandonotadichiusura"/>
        </w:rPr>
        <w:endnoteReference w:id="106"/>
      </w:r>
      <w:r w:rsidRPr="0046528D">
        <w:rPr>
          <w:vertAlign w:val="superscript"/>
        </w:rPr>
        <w:t xml:space="preserve"> </w:t>
      </w:r>
      <w:r w:rsidRPr="0046528D">
        <w:rPr>
          <w:vertAlign w:val="superscript"/>
        </w:rPr>
        <w:endnoteReference w:id="107"/>
      </w:r>
      <w:r w:rsidRPr="0046528D">
        <w:t>. L'ABI ha aggiunto alla Tc PO</w:t>
      </w:r>
      <w:r w:rsidRPr="0046528D">
        <w:rPr>
          <w:vertAlign w:val="subscript"/>
        </w:rPr>
        <w:t>2</w:t>
      </w:r>
      <w:r w:rsidRPr="0046528D">
        <w:t xml:space="preserve"> ulteriori informazioni riguardanti il rischio di ulcer</w:t>
      </w:r>
      <w:r w:rsidRPr="0046528D">
        <w:t>a</w:t>
      </w:r>
      <w:r w:rsidRPr="0046528D">
        <w:t>zione. L'indipendente contributo della Tc PO</w:t>
      </w:r>
      <w:r w:rsidRPr="0046528D">
        <w:rPr>
          <w:vertAlign w:val="subscript"/>
        </w:rPr>
        <w:t>2</w:t>
      </w:r>
      <w:r w:rsidRPr="0046528D">
        <w:t xml:space="preserve"> e dell'ABI non devono sorprendere, vista la debole correlazione tra queste due misurazioni, in quanto potrebbero riflett</w:t>
      </w:r>
      <w:r w:rsidRPr="0046528D">
        <w:t>e</w:t>
      </w:r>
      <w:r w:rsidRPr="0046528D">
        <w:t>re la presenza di due differenti processi patologici che influenzano il rischio di sv</w:t>
      </w:r>
      <w:r w:rsidRPr="0046528D">
        <w:t>i</w:t>
      </w:r>
      <w:r w:rsidRPr="0046528D">
        <w:t>luppare l'ulcera al piede. L'interazione tra la neuropatia e le anormalità della micr</w:t>
      </w:r>
      <w:r w:rsidRPr="0046528D">
        <w:t>o</w:t>
      </w:r>
      <w:r w:rsidRPr="0046528D">
        <w:t>circolazione è molto complessa, ma va considerato che una disfunzione endoteliale risulta essere presente anche in neuropatie di lieve entità.</w:t>
      </w:r>
    </w:p>
    <w:p w14:paraId="2FF4BB7C" w14:textId="77777777" w:rsidR="00193A7D" w:rsidRPr="0046528D" w:rsidRDefault="00193A7D" w:rsidP="0046528D">
      <w:pPr>
        <w:spacing w:line="360" w:lineRule="auto"/>
        <w:jc w:val="both"/>
      </w:pPr>
      <w:r w:rsidRPr="0046528D">
        <w:t>I maggiori risultati di uno studio di Zimny et al sottolineavano che la Tc PO</w:t>
      </w:r>
      <w:r w:rsidRPr="0046528D">
        <w:rPr>
          <w:vertAlign w:val="subscript"/>
        </w:rPr>
        <w:t>2</w:t>
      </w:r>
      <w:r w:rsidRPr="0046528D">
        <w:t xml:space="preserve"> era s</w:t>
      </w:r>
      <w:r w:rsidRPr="0046528D">
        <w:t>i</w:t>
      </w:r>
      <w:r w:rsidRPr="0046528D">
        <w:t>gnificativamente ridotta in pazienti con diabete di tipo 2 con piede a rischio, ma se</w:t>
      </w:r>
      <w:r w:rsidRPr="0046528D">
        <w:t>n</w:t>
      </w:r>
      <w:r w:rsidRPr="0046528D">
        <w:t>za arteriopatia periferica, rispetto a pazienti non diabetici e a pazienti diabetici senza fattori di rischio per piede diabetico.</w:t>
      </w:r>
      <w:r w:rsidRPr="0046528D">
        <w:rPr>
          <w:vertAlign w:val="superscript"/>
        </w:rPr>
        <w:endnoteReference w:id="108"/>
      </w:r>
      <w:r w:rsidRPr="0046528D">
        <w:t xml:space="preserve"> Considerando il mancato aumento di Tc PO</w:t>
      </w:r>
      <w:r w:rsidRPr="0046528D">
        <w:rPr>
          <w:vertAlign w:val="subscript"/>
        </w:rPr>
        <w:t>2</w:t>
      </w:r>
      <w:r w:rsidRPr="0046528D">
        <w:t xml:space="preserve"> nella posizione seduta, questi risultati sono correlati ad un'inappropriata autoregol</w:t>
      </w:r>
      <w:r w:rsidRPr="0046528D">
        <w:t>a</w:t>
      </w:r>
      <w:r w:rsidRPr="0046528D">
        <w:t xml:space="preserve">zione vasale nei pazienti a rischio di sviluppare il piede diabetico. </w:t>
      </w:r>
    </w:p>
    <w:p w14:paraId="5AC95472" w14:textId="77777777" w:rsidR="00193A7D" w:rsidRPr="0046528D" w:rsidRDefault="00193A7D" w:rsidP="0046528D">
      <w:pPr>
        <w:spacing w:line="360" w:lineRule="auto"/>
        <w:jc w:val="both"/>
      </w:pPr>
      <w:r w:rsidRPr="0046528D">
        <w:t>É stato dimostrato precedentemente che un’alterata autoregolazione vasale possa e</w:t>
      </w:r>
      <w:r w:rsidRPr="0046528D">
        <w:t>s</w:t>
      </w:r>
      <w:r w:rsidRPr="0046528D">
        <w:t xml:space="preserve">sere trovata in pazienti diabetici con una storia di ulcera al piede </w:t>
      </w:r>
      <w:r w:rsidRPr="0046528D">
        <w:rPr>
          <w:vertAlign w:val="superscript"/>
        </w:rPr>
        <w:endnoteReference w:id="109"/>
      </w:r>
      <w:r w:rsidRPr="0046528D">
        <w:t xml:space="preserve"> e che essa sia la maggiore causa patogenetica del piede diabetico. É interessante notare che l'anomala ossigenazione cutanea in pazienti diabetici di tipo 2 non è correlata all'estensione de</w:t>
      </w:r>
      <w:r w:rsidRPr="0046528D">
        <w:t>l</w:t>
      </w:r>
      <w:r w:rsidRPr="0046528D">
        <w:t>la neuropatia periferica, anche se di contro alcuni autori hanno dimostrato una chiara correlazione inversa tra il rapporto di TcPO2 in posizione seduta e supina e la vari</w:t>
      </w:r>
      <w:r w:rsidRPr="0046528D">
        <w:t>a</w:t>
      </w:r>
      <w:r w:rsidRPr="0046528D">
        <w:t>zione di frequenza cardiaca a riposo e durante un’inspirazione profonda. Questo i</w:t>
      </w:r>
      <w:r w:rsidRPr="0046528D">
        <w:t>n</w:t>
      </w:r>
      <w:r w:rsidRPr="0046528D">
        <w:t>dica che la patologica vasoregolazione possa essere una conseguenza della neurop</w:t>
      </w:r>
      <w:r w:rsidRPr="0046528D">
        <w:t>a</w:t>
      </w:r>
      <w:r w:rsidRPr="0046528D">
        <w:t>tia autonomica data dal diabete.</w:t>
      </w:r>
    </w:p>
    <w:p w14:paraId="78B96F6E" w14:textId="77777777" w:rsidR="00193A7D" w:rsidRPr="0046528D" w:rsidRDefault="00193A7D" w:rsidP="0046528D">
      <w:pPr>
        <w:spacing w:line="360" w:lineRule="auto"/>
        <w:jc w:val="both"/>
      </w:pPr>
      <w:r w:rsidRPr="0046528D">
        <w:t>Il meccanismo più probabile che porta dall'alterata vasoregolazione allo sviluppo dell'ulcera diabetica è l'aumento del flusso negli shunts artero-venosi, che è a sua vo</w:t>
      </w:r>
      <w:r w:rsidRPr="0046528D">
        <w:t>l</w:t>
      </w:r>
      <w:r w:rsidRPr="0046528D">
        <w:t>ta causato dalla periferica autosimpatectomia. Tutto questo porta a una più alta te</w:t>
      </w:r>
      <w:r w:rsidRPr="0046528D">
        <w:t>m</w:t>
      </w:r>
      <w:r w:rsidRPr="0046528D">
        <w:t>peratura tissutale e una maggiore richiesta metabolica, che predispone alla formazi</w:t>
      </w:r>
      <w:r w:rsidRPr="0046528D">
        <w:t>o</w:t>
      </w:r>
      <w:r w:rsidRPr="0046528D">
        <w:lastRenderedPageBreak/>
        <w:t>ne dell'edema che causa una conseguente alterazione del flusso capillare e, quindi, una conseguente riduzione della Tc PO</w:t>
      </w:r>
      <w:r w:rsidRPr="0046528D">
        <w:rPr>
          <w:vertAlign w:val="subscript"/>
        </w:rPr>
        <w:t>2</w:t>
      </w:r>
      <w:r w:rsidRPr="0046528D">
        <w:t xml:space="preserve"> in posizione supina.</w:t>
      </w:r>
      <w:r w:rsidRPr="0046528D">
        <w:rPr>
          <w:vertAlign w:val="superscript"/>
        </w:rPr>
        <w:endnoteReference w:id="110"/>
      </w:r>
      <w:r w:rsidRPr="0046528D">
        <w:t xml:space="preserve"> Il mancato aumento della Tc PO</w:t>
      </w:r>
      <w:r w:rsidRPr="0046528D">
        <w:rPr>
          <w:vertAlign w:val="subscript"/>
        </w:rPr>
        <w:t>2</w:t>
      </w:r>
      <w:r w:rsidRPr="0046528D">
        <w:t xml:space="preserve"> potrebbe essere spiegato da un'inadeguata vasocostrizione posturale nei diabetici con neuropatia autonomica, che, a differenza dei soggetti normali, causa un aumento della pressione idrostatica, seguito dalla formazione dell'edema. Questi dati indicano che nei pazienti diabetici di tipo 2 con un piede a rischio, l'ossigenazione cutanea è ridotta e che l'autoregolazione vasale risulta inappropriata. Dunque, è f</w:t>
      </w:r>
      <w:r w:rsidRPr="0046528D">
        <w:t>a</w:t>
      </w:r>
      <w:r w:rsidRPr="0046528D">
        <w:t>cilmente deducibile come la ridotta ossigenazione cutanea risulti essere un fattore di rischio indipendente per la formazione dell'ulcera diabetica</w:t>
      </w:r>
      <w:r w:rsidRPr="0046528D">
        <w:rPr>
          <w:vertAlign w:val="superscript"/>
        </w:rPr>
        <w:endnoteReference w:id="111"/>
      </w:r>
      <w:r w:rsidRPr="0046528D">
        <w:t>, dunque la Tc PO</w:t>
      </w:r>
      <w:r w:rsidRPr="0046528D">
        <w:rPr>
          <w:vertAlign w:val="subscript"/>
        </w:rPr>
        <w:t>2</w:t>
      </w:r>
      <w:r w:rsidRPr="0046528D">
        <w:t xml:space="preserve"> può essere molto utile a individuare pazienti diabetici con piedi a rischio.</w:t>
      </w:r>
    </w:p>
    <w:p w14:paraId="7CF4BCE1" w14:textId="77777777" w:rsidR="00193A7D" w:rsidRPr="0046528D" w:rsidRDefault="00193A7D" w:rsidP="0046528D">
      <w:pPr>
        <w:spacing w:line="360" w:lineRule="auto"/>
        <w:jc w:val="both"/>
        <w:rPr>
          <w:b/>
          <w:bCs/>
        </w:rPr>
      </w:pPr>
    </w:p>
    <w:p w14:paraId="53FEEF8F" w14:textId="77777777" w:rsidR="00193A7D" w:rsidRPr="0046528D" w:rsidRDefault="0068562E" w:rsidP="0046528D">
      <w:pPr>
        <w:spacing w:line="360" w:lineRule="auto"/>
        <w:jc w:val="both"/>
        <w:rPr>
          <w:b/>
          <w:bCs/>
        </w:rPr>
      </w:pPr>
      <w:r w:rsidRPr="0046528D">
        <w:rPr>
          <w:b/>
          <w:bCs/>
        </w:rPr>
        <w:t>1.4.6 Altri Fattori di R</w:t>
      </w:r>
      <w:r w:rsidR="00193A7D" w:rsidRPr="0046528D">
        <w:rPr>
          <w:b/>
          <w:bCs/>
        </w:rPr>
        <w:t>ischio</w:t>
      </w:r>
    </w:p>
    <w:p w14:paraId="76392979" w14:textId="77777777" w:rsidR="00193A7D" w:rsidRPr="0046528D" w:rsidRDefault="00193A7D" w:rsidP="0046528D">
      <w:pPr>
        <w:spacing w:line="360" w:lineRule="auto"/>
        <w:jc w:val="both"/>
      </w:pPr>
      <w:r w:rsidRPr="0046528D">
        <w:t>L'incremento ponderale è risultato come un fattore di rischio indipendente nello sv</w:t>
      </w:r>
      <w:r w:rsidRPr="0046528D">
        <w:t>i</w:t>
      </w:r>
      <w:r w:rsidRPr="0046528D">
        <w:t>luppo del piede diabetico. Uno dei possibili meccanismi fisiopatologici che spiega questa associazione è l'aumentata pressione plantare in pazienti obesi. Uno studio ha riportato che il peso corporeo è il più basso predittore del picco di pressione plantare, sebbene il coefficiente di correlazione tra questi due parametri fosse dello 0,37.</w:t>
      </w:r>
      <w:r w:rsidRPr="0046528D">
        <w:rPr>
          <w:vertAlign w:val="superscript"/>
        </w:rPr>
        <w:endnoteReference w:id="112"/>
      </w:r>
    </w:p>
    <w:p w14:paraId="09F8EFB6" w14:textId="77777777" w:rsidR="00193A7D" w:rsidRPr="0046528D" w:rsidRDefault="00193A7D" w:rsidP="0046528D">
      <w:pPr>
        <w:spacing w:line="360" w:lineRule="auto"/>
        <w:jc w:val="both"/>
      </w:pPr>
      <w:r w:rsidRPr="0046528D">
        <w:t>Una storia di retinopatia diabetica e l’utilizzo di insulina sono stati considerati fattori di rischio indipendentemente correlati al maggiore rischio di sviluppare ulcera al pi</w:t>
      </w:r>
      <w:r w:rsidRPr="0046528D">
        <w:t>e</w:t>
      </w:r>
      <w:r w:rsidRPr="0046528D">
        <w:t>de, in quanto entrambi questi fattori riflettono la severità del diabete. L’ipovisione conseguente alla retinopatia potrebbe interferire con la capacità di cogliere precoc</w:t>
      </w:r>
      <w:r w:rsidRPr="0046528D">
        <w:t>e</w:t>
      </w:r>
      <w:r w:rsidRPr="0046528D">
        <w:t>mente le lacerazioni cutanee, le quali senza le giuste attenzioni potrebbero progredire verso ulcere vere e proprie. Inoltre, è possibile che i meccanismi sottostanti alla ret</w:t>
      </w:r>
      <w:r w:rsidRPr="0046528D">
        <w:t>i</w:t>
      </w:r>
      <w:r w:rsidRPr="0046528D">
        <w:t>nopatia diabetica siano implicati nella patogenesi dell'ulcera al piede; questo è stato dimostrato in passato da alcuni studi crociati.</w:t>
      </w:r>
    </w:p>
    <w:p w14:paraId="2E10CA32" w14:textId="77777777" w:rsidR="00193A7D" w:rsidRPr="0046528D" w:rsidRDefault="00193A7D" w:rsidP="0046528D">
      <w:pPr>
        <w:spacing w:line="360" w:lineRule="auto"/>
        <w:jc w:val="both"/>
      </w:pPr>
      <w:r w:rsidRPr="0046528D">
        <w:t>L'HbA</w:t>
      </w:r>
      <w:r w:rsidRPr="0046528D">
        <w:rPr>
          <w:vertAlign w:val="subscript"/>
        </w:rPr>
        <w:t>1c</w:t>
      </w:r>
      <w:r w:rsidRPr="0046528D">
        <w:t xml:space="preserve"> e la misurazione casuale della glicemia sono state associate alla comparsa dell'ulcera al piede; difatti vi è un rischio più elevato di ulcerazione se vi è una severa iperglicemia.</w:t>
      </w:r>
    </w:p>
    <w:p w14:paraId="2FC919E5" w14:textId="77777777" w:rsidR="008077DE" w:rsidRPr="0046528D" w:rsidRDefault="008077DE" w:rsidP="0046528D">
      <w:pPr>
        <w:spacing w:line="360" w:lineRule="auto"/>
        <w:jc w:val="both"/>
        <w:rPr>
          <w:b/>
        </w:rPr>
      </w:pPr>
    </w:p>
    <w:p w14:paraId="3CAC2BB8" w14:textId="100BCD21" w:rsidR="00193A7D" w:rsidRPr="0046528D" w:rsidRDefault="00193A7D" w:rsidP="0046528D">
      <w:pPr>
        <w:spacing w:line="360" w:lineRule="auto"/>
        <w:jc w:val="both"/>
        <w:rPr>
          <w:b/>
        </w:rPr>
      </w:pPr>
      <w:r w:rsidRPr="0046528D">
        <w:rPr>
          <w:b/>
        </w:rPr>
        <w:t xml:space="preserve">1.4.7 </w:t>
      </w:r>
      <w:r w:rsidR="0068562E" w:rsidRPr="0046528D">
        <w:rPr>
          <w:b/>
          <w:bCs/>
        </w:rPr>
        <w:t>Profilo di Rischio Cardiovascolare associato al Piede D</w:t>
      </w:r>
      <w:r w:rsidRPr="0046528D">
        <w:rPr>
          <w:b/>
          <w:bCs/>
        </w:rPr>
        <w:t>iabetico</w:t>
      </w:r>
    </w:p>
    <w:p w14:paraId="3415F415" w14:textId="77777777" w:rsidR="00193A7D" w:rsidRPr="0046528D" w:rsidRDefault="00193A7D" w:rsidP="0046528D">
      <w:pPr>
        <w:spacing w:line="360" w:lineRule="auto"/>
        <w:jc w:val="both"/>
      </w:pPr>
      <w:r w:rsidRPr="0046528D">
        <w:t>È stato dimostrato che i pazienti affetti da diabete mellito hanno una mortalità più elevata rispetto ai non diabetici, anche se questa varia a seconda della sede geograf</w:t>
      </w:r>
      <w:r w:rsidRPr="0046528D">
        <w:t>i</w:t>
      </w:r>
      <w:r w:rsidRPr="0046528D">
        <w:t>ca e dello specifico gruppo studiato</w:t>
      </w:r>
      <w:r w:rsidRPr="0046528D">
        <w:rPr>
          <w:vertAlign w:val="superscript"/>
        </w:rPr>
        <w:endnoteReference w:id="113"/>
      </w:r>
      <w:r w:rsidRPr="0046528D">
        <w:t xml:space="preserve"> </w:t>
      </w:r>
      <w:r w:rsidRPr="0046528D">
        <w:rPr>
          <w:vertAlign w:val="superscript"/>
        </w:rPr>
        <w:endnoteReference w:id="114"/>
      </w:r>
      <w:r w:rsidRPr="0046528D">
        <w:t>.</w:t>
      </w:r>
    </w:p>
    <w:p w14:paraId="494192FC" w14:textId="77777777" w:rsidR="00193A7D" w:rsidRPr="0046528D" w:rsidRDefault="00193A7D" w:rsidP="0046528D">
      <w:pPr>
        <w:spacing w:line="360" w:lineRule="auto"/>
        <w:jc w:val="both"/>
      </w:pPr>
      <w:r w:rsidRPr="0046528D">
        <w:lastRenderedPageBreak/>
        <w:t>Precedenti studi hanno verificato un incremento della mortalità in seguito ad amput</w:t>
      </w:r>
      <w:r w:rsidRPr="0046528D">
        <w:t>a</w:t>
      </w:r>
      <w:r w:rsidRPr="0046528D">
        <w:t>zione sia nei pazienti diabetici, che in quelli non diabetici</w:t>
      </w:r>
      <w:r w:rsidRPr="0046528D">
        <w:rPr>
          <w:vertAlign w:val="superscript"/>
        </w:rPr>
        <w:endnoteReference w:id="115"/>
      </w:r>
      <w:r w:rsidRPr="0046528D">
        <w:t>. Tuttavia, non esistono dati recenti riguardanti il confronto in termini di sopravvivenza dopo amputazione tra i pazienti diabetici e non diabetici.</w:t>
      </w:r>
    </w:p>
    <w:p w14:paraId="73B0A0B7" w14:textId="77777777" w:rsidR="00193A7D" w:rsidRPr="0046528D" w:rsidRDefault="00193A7D" w:rsidP="0046528D">
      <w:pPr>
        <w:spacing w:line="360" w:lineRule="auto"/>
        <w:jc w:val="both"/>
      </w:pPr>
      <w:r w:rsidRPr="0046528D">
        <w:t>Tentolouris et al.</w:t>
      </w:r>
      <w:r w:rsidRPr="0046528D">
        <w:rPr>
          <w:vertAlign w:val="superscript"/>
        </w:rPr>
        <w:endnoteReference w:id="116"/>
      </w:r>
      <w:r w:rsidRPr="0046528D">
        <w:t xml:space="preserve"> hanno diretto uno studio con l’obiettivo primario di valutare l’outcome dei pazienti sottoposti ad amputazione, comparandolo tra i pazienti diab</w:t>
      </w:r>
      <w:r w:rsidRPr="0046528D">
        <w:t>e</w:t>
      </w:r>
      <w:r w:rsidRPr="0046528D">
        <w:t>tici e non diabetici, per valutare la presenza di eventuali fattori di rischio modificabili di aumentata mortalità nel gruppo di diabetici. I risultati di questo studio hanno m</w:t>
      </w:r>
      <w:r w:rsidRPr="0046528D">
        <w:t>o</w:t>
      </w:r>
      <w:r w:rsidRPr="0046528D">
        <w:t>strato che delle 257 amputazioni eseguite tra il 1990 e il 1995, il 39,7% sono state e</w:t>
      </w:r>
      <w:r w:rsidRPr="0046528D">
        <w:t>f</w:t>
      </w:r>
      <w:r w:rsidRPr="0046528D">
        <w:t>fettuate in pazienti diabetici. I pazienti non diabetici avevano un’età più avanzata r</w:t>
      </w:r>
      <w:r w:rsidRPr="0046528D">
        <w:t>i</w:t>
      </w:r>
      <w:r w:rsidRPr="0046528D">
        <w:t>spetto ai diabetici, mentre la percentuale di donne era più alta tra i diabetici, così c</w:t>
      </w:r>
      <w:r w:rsidRPr="0046528D">
        <w:t>o</w:t>
      </w:r>
      <w:r w:rsidRPr="0046528D">
        <w:t>me i tassi di prevalenza di cardiopatia ischemica, ipertensione e nefropatia. Comple</w:t>
      </w:r>
      <w:r w:rsidRPr="0046528D">
        <w:t>s</w:t>
      </w:r>
      <w:r w:rsidRPr="0046528D">
        <w:t>sivamente il 61% dei pazienti diabetici e il 54% dei non diabetici sono morti durante il follow-up. I pazienti diabetici deceduti avevano un diabete di più lunga durata, più elevati livelli sierici di creatinina e una più alta probabilità di avere subito interventi di rivascolarizzazione a carico delle arterie degli arti inferiori. I pazienti non diabetici deceduti avevano un’età più avanzata e presentavano una maggiore prevalenza di cardiopatia ischemica, asfigmia di polsi podalici e amputazioni maggiori. Questi u</w:t>
      </w:r>
      <w:r w:rsidRPr="0046528D">
        <w:t>l</w:t>
      </w:r>
      <w:r w:rsidRPr="0046528D">
        <w:t xml:space="preserve">timi avevano, inoltre, una maggiore conta leucocitaria e più alti valori di creatinina sierica al momento del ricovero. La mortalità perioperatoria era del 5,9% nei pazienti diabetici e del 9,1% nei pazienti non diabetici. I risultati di questo studio concordano con i dati precedenti </w:t>
      </w:r>
      <w:r w:rsidRPr="0046528D">
        <w:rPr>
          <w:vertAlign w:val="superscript"/>
        </w:rPr>
        <w:endnoteReference w:id="117"/>
      </w:r>
      <w:r w:rsidR="003C7302" w:rsidRPr="0046528D">
        <w:t xml:space="preserve"> </w:t>
      </w:r>
      <w:r w:rsidR="003C7302" w:rsidRPr="0046528D">
        <w:rPr>
          <w:rStyle w:val="Rimandonotadichiusura"/>
        </w:rPr>
        <w:endnoteReference w:id="118"/>
      </w:r>
      <w:r w:rsidRPr="0046528D">
        <w:t xml:space="preserve"> che dimostrano che le amputazioni nei soggetti diabetici sono eseguite in età più giovane e sono più distali. L’ischemia è una causa comune di amputazione in entrambi i gruppi di studio, mentre l’infezione era quasi 3,5 volte maggiore nei diabetici rispetto ai pazienti non diabetici. D'altra parte, questo studio mostra che i tassi di mortalità sono più elevati nei soggetti con amputazione maggi</w:t>
      </w:r>
      <w:r w:rsidRPr="0046528D">
        <w:t>o</w:t>
      </w:r>
      <w:r w:rsidRPr="0046528D">
        <w:t>re</w:t>
      </w:r>
      <w:r w:rsidRPr="0046528D">
        <w:rPr>
          <w:vertAlign w:val="superscript"/>
        </w:rPr>
        <w:endnoteReference w:id="119"/>
      </w:r>
      <w:r w:rsidRPr="0046528D">
        <w:t xml:space="preserve"> e malattie vascolari periferiche </w:t>
      </w:r>
      <w:r w:rsidRPr="0046528D">
        <w:rPr>
          <w:vertAlign w:val="superscript"/>
        </w:rPr>
        <w:endnoteReference w:id="120"/>
      </w:r>
      <w:r w:rsidRPr="0046528D">
        <w:t xml:space="preserve"> o nei soggetti diabetici anziani. I dati pubbl</w:t>
      </w:r>
      <w:r w:rsidRPr="0046528D">
        <w:t>i</w:t>
      </w:r>
      <w:r w:rsidRPr="0046528D">
        <w:t>cati relativi al confronto di sopravvivenza e di degenza ospedaliera tra pazienti diab</w:t>
      </w:r>
      <w:r w:rsidRPr="0046528D">
        <w:t>e</w:t>
      </w:r>
      <w:r w:rsidRPr="0046528D">
        <w:t>tici e non diabetici sono limitati. Alcuni studi</w:t>
      </w:r>
      <w:r w:rsidR="00553BBE" w:rsidRPr="0046528D">
        <w:rPr>
          <w:rStyle w:val="Rimandonotadichiusura"/>
        </w:rPr>
        <w:endnoteReference w:id="121"/>
      </w:r>
      <w:r w:rsidRPr="0046528D">
        <w:t xml:space="preserve"> hanno evidenziato tassi di sopravv</w:t>
      </w:r>
      <w:r w:rsidRPr="0046528D">
        <w:t>i</w:t>
      </w:r>
      <w:r w:rsidRPr="0046528D">
        <w:t>venza migliori in un periodo di 5 anni dopo la prima amputazione nei diabetici sott</w:t>
      </w:r>
      <w:r w:rsidRPr="0046528D">
        <w:t>o</w:t>
      </w:r>
      <w:r w:rsidRPr="0046528D">
        <w:t>posti ad amputazione. In sintesi, questo studio ha confermato gli elevati tassi di mo</w:t>
      </w:r>
      <w:r w:rsidRPr="0046528D">
        <w:t>r</w:t>
      </w:r>
      <w:r w:rsidRPr="0046528D">
        <w:t>talità dopo un'amputazione in entrambi i gruppi di pazienti con o senza diabete. Ino</w:t>
      </w:r>
      <w:r w:rsidRPr="0046528D">
        <w:t>l</w:t>
      </w:r>
      <w:r w:rsidRPr="0046528D">
        <w:t xml:space="preserve">tre, hanno dimostrato che nel decennio precedente, il tasso di mortalità, la degenza </w:t>
      </w:r>
      <w:r w:rsidRPr="0046528D">
        <w:lastRenderedPageBreak/>
        <w:t>ospedaliera e le complicanze post-operatorie non erano differenti tra i soggetti con e senza diabete.</w:t>
      </w:r>
    </w:p>
    <w:p w14:paraId="5A127E25" w14:textId="77777777" w:rsidR="00193A7D" w:rsidRPr="0046528D" w:rsidRDefault="00193A7D" w:rsidP="0046528D">
      <w:pPr>
        <w:spacing w:line="360" w:lineRule="auto"/>
        <w:jc w:val="both"/>
      </w:pPr>
      <w:r w:rsidRPr="0046528D">
        <w:t xml:space="preserve">Non sono stati trovati fattori di rischio modificabili, ad eccezione della prevenzione della neuropatia, per migliorare la sopravvivenza nei soggetti amputati. </w:t>
      </w:r>
    </w:p>
    <w:p w14:paraId="127E406A" w14:textId="77777777" w:rsidR="004C1535" w:rsidRPr="0046528D" w:rsidRDefault="00193A7D" w:rsidP="0046528D">
      <w:pPr>
        <w:spacing w:line="360" w:lineRule="auto"/>
        <w:jc w:val="both"/>
      </w:pPr>
      <w:r w:rsidRPr="0046528D">
        <w:t>La malattia vascolare periferica e la neuropatia sono le principali cause di amput</w:t>
      </w:r>
      <w:r w:rsidRPr="0046528D">
        <w:t>a</w:t>
      </w:r>
      <w:r w:rsidRPr="0046528D">
        <w:t>zione nei pazienti diabetici e non diabetici, quindi la prevenzione di queste compl</w:t>
      </w:r>
      <w:r w:rsidRPr="0046528D">
        <w:t>i</w:t>
      </w:r>
      <w:r w:rsidRPr="0046528D">
        <w:t>canze è necessaria per ridurre il rischio di amputazione e il conseguente aumento de</w:t>
      </w:r>
      <w:r w:rsidRPr="0046528D">
        <w:t>l</w:t>
      </w:r>
      <w:r w:rsidRPr="0046528D">
        <w:t xml:space="preserve">la mortalità. Reiber </w:t>
      </w:r>
      <w:r w:rsidRPr="0046528D">
        <w:rPr>
          <w:vertAlign w:val="superscript"/>
        </w:rPr>
        <w:endnoteReference w:id="122"/>
      </w:r>
      <w:r w:rsidRPr="0046528D">
        <w:t xml:space="preserve"> ha riportato un tasso di mortalità del 39-68% a 5 anni. Inoltre, Frykberg et al.</w:t>
      </w:r>
      <w:r w:rsidRPr="0046528D">
        <w:rPr>
          <w:vertAlign w:val="superscript"/>
        </w:rPr>
        <w:endnoteReference w:id="123"/>
      </w:r>
      <w:r w:rsidRPr="0046528D">
        <w:t xml:space="preserve"> hanno riportato un tasso di mortalità più elevato, ma i loro i sogge</w:t>
      </w:r>
      <w:r w:rsidRPr="0046528D">
        <w:t>t</w:t>
      </w:r>
      <w:r w:rsidRPr="0046528D">
        <w:t xml:space="preserve">ti erano molto più anziani. I dati riportati da Rosemblum et al </w:t>
      </w:r>
      <w:r w:rsidRPr="0046528D">
        <w:rPr>
          <w:vertAlign w:val="superscript"/>
        </w:rPr>
        <w:endnoteReference w:id="124"/>
      </w:r>
      <w:r w:rsidRPr="0046528D">
        <w:t xml:space="preserve"> hanno presentato un outcome migliore rispetto ai dati precedentemente riferiti, ma Rosemblum et al ha</w:t>
      </w:r>
      <w:r w:rsidRPr="0046528D">
        <w:t>n</w:t>
      </w:r>
      <w:r w:rsidRPr="0046528D">
        <w:t>no scelto una popolazione che era stata sottoposta a procedure vascolari in anestesia generale, presumibilmente con una bassa ricorrenza di cardiopatia ischemica. I tassi di sopravvivenza dei soggetti non amputati presentano un outcome peggiore rispetto a quelli riportati in un recente studio di Ramsey et al</w:t>
      </w:r>
      <w:r w:rsidR="00553BBE" w:rsidRPr="0046528D">
        <w:rPr>
          <w:rStyle w:val="Rimandonotadichiusura"/>
        </w:rPr>
        <w:endnoteReference w:id="125"/>
      </w:r>
      <w:r w:rsidRPr="0046528D">
        <w:t xml:space="preserve"> che ha analizzato la sopra</w:t>
      </w:r>
      <w:r w:rsidRPr="0046528D">
        <w:t>v</w:t>
      </w:r>
      <w:r w:rsidRPr="0046528D">
        <w:t>vivenza dei pazienti diabetici dopo episodi ulcerativi, ma durante un periodo di o</w:t>
      </w:r>
      <w:r w:rsidRPr="0046528D">
        <w:t>s</w:t>
      </w:r>
      <w:r w:rsidRPr="0046528D">
        <w:t xml:space="preserve">servazione molto breve. </w:t>
      </w:r>
    </w:p>
    <w:p w14:paraId="1079D65D" w14:textId="77777777" w:rsidR="00193A7D" w:rsidRPr="0046528D" w:rsidRDefault="00193A7D" w:rsidP="0046528D">
      <w:pPr>
        <w:spacing w:line="360" w:lineRule="auto"/>
        <w:jc w:val="both"/>
      </w:pPr>
      <w:r w:rsidRPr="0046528D">
        <w:t>In conclusione, la cardiopatia ischemica è la causa di morte più frequente tra i so</w:t>
      </w:r>
      <w:r w:rsidRPr="0046528D">
        <w:t>g</w:t>
      </w:r>
      <w:r w:rsidRPr="0046528D">
        <w:t>getti diabetici con ulcere del piede. Questi dati sono ben documentati nei soggetti non diabetici e diabetici con malattia vascolare periferica</w:t>
      </w:r>
      <w:r w:rsidRPr="0046528D">
        <w:rPr>
          <w:vertAlign w:val="superscript"/>
        </w:rPr>
        <w:endnoteReference w:id="126"/>
      </w:r>
      <w:r w:rsidRPr="0046528D">
        <w:t xml:space="preserve"> , ma poco si sa circa i soggetti diabetici con ulcere del piede che si presentano con cardiopatia ischemica. Diversi studi hanno indicato che i tassi di mortalità e morbilità delle malattie cardi</w:t>
      </w:r>
      <w:r w:rsidRPr="0046528D">
        <w:t>o</w:t>
      </w:r>
      <w:r w:rsidRPr="0046528D">
        <w:t>vascolari (CVD) sono da 2 a 4 volte superiori tra i pazienti con diabete mellito tipo 2 rispetto ai soggetti non diabetici.</w:t>
      </w:r>
    </w:p>
    <w:p w14:paraId="2D215593" w14:textId="77777777" w:rsidR="00193A7D" w:rsidRPr="0046528D" w:rsidRDefault="00193A7D" w:rsidP="0046528D">
      <w:pPr>
        <w:spacing w:line="360" w:lineRule="auto"/>
        <w:jc w:val="both"/>
      </w:pPr>
      <w:r w:rsidRPr="0046528D">
        <w:t xml:space="preserve">Boyko et al </w:t>
      </w:r>
      <w:r w:rsidRPr="0046528D">
        <w:rPr>
          <w:vertAlign w:val="superscript"/>
        </w:rPr>
        <w:endnoteReference w:id="127"/>
      </w:r>
      <w:r w:rsidRPr="0046528D">
        <w:t xml:space="preserve"> hanno affermato che l'ulcera del piede e la malattia vascolare degli a</w:t>
      </w:r>
      <w:r w:rsidRPr="0046528D">
        <w:t>r</w:t>
      </w:r>
      <w:r w:rsidRPr="0046528D">
        <w:t xml:space="preserve">ti inferiori sono correlati ad un maggiore rischio di morte nei soggetti diabetici, ma le ragioni di questa maggiore mortalità richiedono ulteriori indagini. </w:t>
      </w:r>
    </w:p>
    <w:p w14:paraId="72DCAD2F" w14:textId="77777777" w:rsidR="00193A7D" w:rsidRPr="0046528D" w:rsidRDefault="00193A7D" w:rsidP="0046528D">
      <w:pPr>
        <w:spacing w:line="360" w:lineRule="auto"/>
        <w:jc w:val="both"/>
      </w:pPr>
      <w:r w:rsidRPr="0046528D">
        <w:t xml:space="preserve">Il piede diabetico rappresenta una causa importante di morbilità nei pazienti diabetici </w:t>
      </w:r>
      <w:r w:rsidRPr="0046528D">
        <w:rPr>
          <w:vertAlign w:val="superscript"/>
        </w:rPr>
        <w:endnoteReference w:id="128"/>
      </w:r>
      <w:r w:rsidRPr="0046528D">
        <w:t xml:space="preserve"> e il tasso di mortalità è circa doppio rispetto a quello dei pazienti senza ulcere del piede.</w:t>
      </w:r>
    </w:p>
    <w:p w14:paraId="16ECDA8A" w14:textId="77777777" w:rsidR="00193A7D" w:rsidRPr="0046528D" w:rsidRDefault="00193A7D" w:rsidP="0046528D">
      <w:pPr>
        <w:spacing w:line="360" w:lineRule="auto"/>
        <w:jc w:val="both"/>
      </w:pPr>
      <w:r w:rsidRPr="0046528D">
        <w:t>Nonostante l'entità del problema delle ulcere del piede diabetico e delle sue cons</w:t>
      </w:r>
      <w:r w:rsidRPr="0046528D">
        <w:t>e</w:t>
      </w:r>
      <w:r w:rsidRPr="0046528D">
        <w:t>guenze, finora sono state condotte poche ricerche per indagare il pattern epidemiol</w:t>
      </w:r>
      <w:r w:rsidRPr="0046528D">
        <w:t>o</w:t>
      </w:r>
      <w:r w:rsidRPr="0046528D">
        <w:t>gico e prognostico dei soggetti con diabete mellito tipo 2 complicato da piede diab</w:t>
      </w:r>
      <w:r w:rsidRPr="0046528D">
        <w:t>e</w:t>
      </w:r>
      <w:r w:rsidRPr="0046528D">
        <w:t>tico, rispetto ai pazienti diabetici senza ulcere del piede.</w:t>
      </w:r>
    </w:p>
    <w:p w14:paraId="17889A5B" w14:textId="77777777" w:rsidR="00193A7D" w:rsidRPr="0046528D" w:rsidRDefault="00193A7D" w:rsidP="0046528D">
      <w:pPr>
        <w:spacing w:line="360" w:lineRule="auto"/>
        <w:jc w:val="both"/>
        <w:rPr>
          <w:b/>
          <w:bCs/>
        </w:rPr>
      </w:pPr>
    </w:p>
    <w:p w14:paraId="6E964DB4" w14:textId="77777777" w:rsidR="00193A7D" w:rsidRPr="0046528D" w:rsidRDefault="00193A7D" w:rsidP="0046528D">
      <w:pPr>
        <w:spacing w:line="360" w:lineRule="auto"/>
        <w:jc w:val="both"/>
        <w:rPr>
          <w:b/>
          <w:bCs/>
        </w:rPr>
      </w:pPr>
      <w:r w:rsidRPr="0046528D">
        <w:rPr>
          <w:b/>
          <w:bCs/>
        </w:rPr>
        <w:t>1.4.8 Esperienze scientifiche personali</w:t>
      </w:r>
    </w:p>
    <w:p w14:paraId="172FD885" w14:textId="77777777" w:rsidR="00193A7D" w:rsidRPr="0046528D" w:rsidRDefault="00193A7D" w:rsidP="0046528D">
      <w:pPr>
        <w:spacing w:line="360" w:lineRule="auto"/>
        <w:jc w:val="both"/>
      </w:pPr>
      <w:r w:rsidRPr="0046528D">
        <w:t xml:space="preserve">In uno studio condotto dal nostro gruppo </w:t>
      </w:r>
      <w:r w:rsidRPr="0046528D">
        <w:rPr>
          <w:vertAlign w:val="superscript"/>
        </w:rPr>
        <w:endnoteReference w:id="129"/>
      </w:r>
      <w:r w:rsidRPr="0046528D">
        <w:t xml:space="preserve">, </w:t>
      </w:r>
      <w:r w:rsidR="004C1535" w:rsidRPr="0046528D">
        <w:t xml:space="preserve">è stato </w:t>
      </w:r>
      <w:r w:rsidRPr="0046528D">
        <w:t>ipotizzato che i pazienti con di</w:t>
      </w:r>
      <w:r w:rsidRPr="0046528D">
        <w:t>a</w:t>
      </w:r>
      <w:r w:rsidRPr="0046528D">
        <w:t xml:space="preserve">bete mellito di tipo 2 e piede diabetico </w:t>
      </w:r>
      <w:r w:rsidR="004C1535" w:rsidRPr="0046528D">
        <w:t xml:space="preserve">possano </w:t>
      </w:r>
      <w:r w:rsidRPr="0046528D">
        <w:t>avere una prognosi peggiore in te</w:t>
      </w:r>
      <w:r w:rsidRPr="0046528D">
        <w:t>r</w:t>
      </w:r>
      <w:r w:rsidRPr="0046528D">
        <w:t>mini di una più rapida progressione del nocumento cardiovascolare e di una maggi</w:t>
      </w:r>
      <w:r w:rsidRPr="0046528D">
        <w:t>o</w:t>
      </w:r>
      <w:r w:rsidRPr="0046528D">
        <w:t>re morbilità card</w:t>
      </w:r>
      <w:r w:rsidR="004C1535" w:rsidRPr="0046528D">
        <w:t xml:space="preserve">iovascolare. Su questa base, lo </w:t>
      </w:r>
      <w:r w:rsidRPr="0046528D">
        <w:t>studio è stato disegnato con l'obiett</w:t>
      </w:r>
      <w:r w:rsidRPr="0046528D">
        <w:t>i</w:t>
      </w:r>
      <w:r w:rsidRPr="0046528D">
        <w:t xml:space="preserve">vo di valutare i seguenti punti nei soggetti con diabete mellito di tipo 2 con o senza piede diabetico: </w:t>
      </w:r>
    </w:p>
    <w:p w14:paraId="21922FF9" w14:textId="77777777" w:rsidR="00193A7D" w:rsidRPr="0046528D" w:rsidRDefault="00193A7D" w:rsidP="0046528D">
      <w:pPr>
        <w:pStyle w:val="Paragrafoelenco"/>
        <w:numPr>
          <w:ilvl w:val="0"/>
          <w:numId w:val="12"/>
        </w:numPr>
        <w:spacing w:line="360" w:lineRule="auto"/>
        <w:jc w:val="both"/>
        <w:rPr>
          <w:szCs w:val="24"/>
        </w:rPr>
      </w:pPr>
      <w:r w:rsidRPr="0046528D">
        <w:rPr>
          <w:szCs w:val="24"/>
        </w:rPr>
        <w:t>distribuzione dei fattori di rischio cardiovascolare</w:t>
      </w:r>
    </w:p>
    <w:p w14:paraId="00472C24" w14:textId="77777777" w:rsidR="00193A7D" w:rsidRPr="0046528D" w:rsidRDefault="00193A7D" w:rsidP="0046528D">
      <w:pPr>
        <w:pStyle w:val="Paragrafoelenco"/>
        <w:numPr>
          <w:ilvl w:val="0"/>
          <w:numId w:val="12"/>
        </w:numPr>
        <w:spacing w:line="360" w:lineRule="auto"/>
        <w:jc w:val="both"/>
        <w:rPr>
          <w:szCs w:val="24"/>
        </w:rPr>
      </w:pPr>
      <w:r w:rsidRPr="0046528D">
        <w:rPr>
          <w:szCs w:val="24"/>
        </w:rPr>
        <w:t>prevalenza della morbilità cardiovascolare in una valutazione retrospettiva</w:t>
      </w:r>
    </w:p>
    <w:p w14:paraId="45751BE6" w14:textId="77777777" w:rsidR="00193A7D" w:rsidRPr="0046528D" w:rsidRDefault="00193A7D" w:rsidP="0046528D">
      <w:pPr>
        <w:pStyle w:val="Paragrafoelenco"/>
        <w:numPr>
          <w:ilvl w:val="0"/>
          <w:numId w:val="12"/>
        </w:numPr>
        <w:spacing w:line="360" w:lineRule="auto"/>
        <w:jc w:val="both"/>
        <w:rPr>
          <w:szCs w:val="24"/>
        </w:rPr>
      </w:pPr>
      <w:r w:rsidRPr="0046528D">
        <w:rPr>
          <w:szCs w:val="24"/>
        </w:rPr>
        <w:t>prevalenza dei marcatori di danno cardiovascolare subclinico al momento del reclutamento</w:t>
      </w:r>
    </w:p>
    <w:p w14:paraId="38BC1096" w14:textId="77777777" w:rsidR="00193A7D" w:rsidRPr="0046528D" w:rsidRDefault="00193A7D" w:rsidP="0046528D">
      <w:pPr>
        <w:pStyle w:val="Paragrafoelenco"/>
        <w:numPr>
          <w:ilvl w:val="0"/>
          <w:numId w:val="12"/>
        </w:numPr>
        <w:spacing w:line="360" w:lineRule="auto"/>
        <w:jc w:val="both"/>
        <w:rPr>
          <w:szCs w:val="24"/>
        </w:rPr>
      </w:pPr>
      <w:r w:rsidRPr="0046528D">
        <w:rPr>
          <w:szCs w:val="24"/>
        </w:rPr>
        <w:t xml:space="preserve">incidenza di eventi cardiovascolari di nuova insorgenza in una valutazione prospettica. </w:t>
      </w:r>
    </w:p>
    <w:p w14:paraId="21D51E0A" w14:textId="77777777" w:rsidR="00193A7D" w:rsidRPr="0046528D" w:rsidRDefault="00193A7D" w:rsidP="0046528D">
      <w:pPr>
        <w:spacing w:line="360" w:lineRule="auto"/>
        <w:jc w:val="both"/>
      </w:pPr>
      <w:r w:rsidRPr="0046528D">
        <w:t>Tra il 1995 e il 2002, sono stati reclutati nel Dipartimento di Medicina Interna e Sp</w:t>
      </w:r>
      <w:r w:rsidRPr="0046528D">
        <w:t>e</w:t>
      </w:r>
      <w:r w:rsidRPr="0046528D">
        <w:t>cialistica dell’Ospedale Policlinico P. Giaccone di Palermo, 123 soggetti con diabete mellito di tipo 2 e ulcere al piede, ricoverati per tutte le condizioni legate alla mala</w:t>
      </w:r>
      <w:r w:rsidRPr="0046528D">
        <w:t>t</w:t>
      </w:r>
      <w:r w:rsidRPr="0046528D">
        <w:t>tia diabetica (diabete scompensato, ipoglicemia, rivalutazione clinica delle ulcere del piede), ma non per i nuovi eventi vascolari. Tutti i pazienti arruolati sono stati sott</w:t>
      </w:r>
      <w:r w:rsidRPr="0046528D">
        <w:t>o</w:t>
      </w:r>
      <w:r w:rsidRPr="0046528D">
        <w:t xml:space="preserve">posti a 5 anni di follow-up e sono stati monitorati dopo la dimissione fino all'Aprile del 2006. </w:t>
      </w:r>
      <w:r w:rsidR="004C1535" w:rsidRPr="0046528D">
        <w:t>Sono stati anche reclutati</w:t>
      </w:r>
      <w:r w:rsidRPr="0046528D">
        <w:t xml:space="preserve">, tra il 1995 e il 2001, pazienti con diabete mellito di tipo 2 senza </w:t>
      </w:r>
      <w:r w:rsidR="004C1535" w:rsidRPr="0046528D">
        <w:t xml:space="preserve">ulcere al piede, ricoverati in </w:t>
      </w:r>
      <w:r w:rsidRPr="0046528D">
        <w:t>reparto per altre cause. Tutti i soggetti a</w:t>
      </w:r>
      <w:r w:rsidRPr="0046528D">
        <w:t>r</w:t>
      </w:r>
      <w:r w:rsidRPr="0046528D">
        <w:t xml:space="preserve">ruolati sono stati divisi in due gruppi in relazione alla presenza/assenza di ulcerazioni del piede al momento del reclutamento e in entrambi i gruppi </w:t>
      </w:r>
      <w:r w:rsidR="004C1535" w:rsidRPr="0046528D">
        <w:t>sono stati valutati</w:t>
      </w:r>
      <w:r w:rsidRPr="0046528D">
        <w:t xml:space="preserve"> i s</w:t>
      </w:r>
      <w:r w:rsidRPr="0046528D">
        <w:t>e</w:t>
      </w:r>
      <w:r w:rsidRPr="0046528D">
        <w:t xml:space="preserve">guenti end points: </w:t>
      </w:r>
    </w:p>
    <w:p w14:paraId="07EE2D6B" w14:textId="77777777" w:rsidR="00193A7D" w:rsidRPr="0046528D" w:rsidRDefault="00193A7D" w:rsidP="0046528D">
      <w:pPr>
        <w:pStyle w:val="Paragrafoelenco"/>
        <w:numPr>
          <w:ilvl w:val="0"/>
          <w:numId w:val="13"/>
        </w:numPr>
        <w:spacing w:line="360" w:lineRule="auto"/>
        <w:jc w:val="both"/>
        <w:rPr>
          <w:szCs w:val="24"/>
        </w:rPr>
      </w:pPr>
      <w:r w:rsidRPr="0046528D">
        <w:rPr>
          <w:szCs w:val="24"/>
        </w:rPr>
        <w:t>Prevalenza dei principali fattori di rischio cardiovascolare</w:t>
      </w:r>
    </w:p>
    <w:p w14:paraId="575115CC" w14:textId="77777777" w:rsidR="00193A7D" w:rsidRPr="0046528D" w:rsidRDefault="00193A7D" w:rsidP="0046528D">
      <w:pPr>
        <w:pStyle w:val="Paragrafoelenco"/>
        <w:numPr>
          <w:ilvl w:val="0"/>
          <w:numId w:val="13"/>
        </w:numPr>
        <w:spacing w:line="360" w:lineRule="auto"/>
        <w:jc w:val="both"/>
        <w:rPr>
          <w:szCs w:val="24"/>
        </w:rPr>
      </w:pPr>
      <w:r w:rsidRPr="0046528D">
        <w:rPr>
          <w:szCs w:val="24"/>
        </w:rPr>
        <w:t>Prevalenza, ad una valutazione retrospettiva, della pregressa malattia coron</w:t>
      </w:r>
      <w:r w:rsidRPr="0046528D">
        <w:rPr>
          <w:szCs w:val="24"/>
        </w:rPr>
        <w:t>a</w:t>
      </w:r>
      <w:r w:rsidRPr="0046528D">
        <w:rPr>
          <w:szCs w:val="24"/>
        </w:rPr>
        <w:t>rica (CAD), attacco ischemico transitorio (TIA), ictus ischemico, arteriopatia periferica (PAD), retinopatia diabetica e insufficienza renale</w:t>
      </w:r>
    </w:p>
    <w:p w14:paraId="5CBE083A" w14:textId="4FDDECA6" w:rsidR="00193A7D" w:rsidRPr="0046528D" w:rsidRDefault="00193A7D" w:rsidP="0046528D">
      <w:pPr>
        <w:pStyle w:val="Paragrafoelenco"/>
        <w:numPr>
          <w:ilvl w:val="0"/>
          <w:numId w:val="13"/>
        </w:numPr>
        <w:spacing w:line="360" w:lineRule="auto"/>
        <w:jc w:val="both"/>
        <w:rPr>
          <w:szCs w:val="24"/>
        </w:rPr>
      </w:pPr>
      <w:r w:rsidRPr="0046528D">
        <w:rPr>
          <w:szCs w:val="24"/>
        </w:rPr>
        <w:t>Prevalenza, al momento del reclutamento, di malattia cardiovascolare subcl</w:t>
      </w:r>
      <w:r w:rsidRPr="0046528D">
        <w:rPr>
          <w:szCs w:val="24"/>
        </w:rPr>
        <w:t>i</w:t>
      </w:r>
      <w:r w:rsidRPr="0046528D">
        <w:rPr>
          <w:szCs w:val="24"/>
        </w:rPr>
        <w:t xml:space="preserve">nica (CVD) (principali anomalie elettrocardiografiche </w:t>
      </w:r>
      <w:r w:rsidR="00E95F7B" w:rsidRPr="0046528D">
        <w:rPr>
          <w:szCs w:val="24"/>
        </w:rPr>
        <w:t>(</w:t>
      </w:r>
      <w:r w:rsidRPr="0046528D">
        <w:rPr>
          <w:szCs w:val="24"/>
        </w:rPr>
        <w:t>ECG], anomalie ec</w:t>
      </w:r>
      <w:r w:rsidRPr="0046528D">
        <w:rPr>
          <w:szCs w:val="24"/>
        </w:rPr>
        <w:t>o</w:t>
      </w:r>
      <w:r w:rsidRPr="0046528D">
        <w:rPr>
          <w:szCs w:val="24"/>
        </w:rPr>
        <w:t xml:space="preserve">cardiografiche </w:t>
      </w:r>
      <w:r w:rsidR="00E95F7B" w:rsidRPr="0046528D">
        <w:rPr>
          <w:szCs w:val="24"/>
        </w:rPr>
        <w:t>(</w:t>
      </w:r>
      <w:r w:rsidRPr="0046528D">
        <w:rPr>
          <w:szCs w:val="24"/>
        </w:rPr>
        <w:t>ipertrofia del ventricolo sinistro (LVH) e/o anomalie della c</w:t>
      </w:r>
      <w:r w:rsidRPr="0046528D">
        <w:rPr>
          <w:szCs w:val="24"/>
        </w:rPr>
        <w:t>i</w:t>
      </w:r>
      <w:r w:rsidRPr="0046528D">
        <w:rPr>
          <w:szCs w:val="24"/>
        </w:rPr>
        <w:t>netica parietale], anomalie dello spessore delle tonache intima e media [IMT], e/o placca carotidea alla valutazione eco-color doppler)</w:t>
      </w:r>
    </w:p>
    <w:p w14:paraId="014E801A" w14:textId="77777777" w:rsidR="00193A7D" w:rsidRPr="0046528D" w:rsidRDefault="00193A7D" w:rsidP="0046528D">
      <w:pPr>
        <w:pStyle w:val="Paragrafoelenco"/>
        <w:numPr>
          <w:ilvl w:val="0"/>
          <w:numId w:val="13"/>
        </w:numPr>
        <w:spacing w:line="360" w:lineRule="auto"/>
        <w:jc w:val="both"/>
        <w:rPr>
          <w:szCs w:val="24"/>
        </w:rPr>
      </w:pPr>
      <w:r w:rsidRPr="0046528D">
        <w:rPr>
          <w:szCs w:val="24"/>
        </w:rPr>
        <w:lastRenderedPageBreak/>
        <w:t>Incidenza, in 5 anni di follow-up, di nuova diagnosi di CAD, TIA, ictus, ret</w:t>
      </w:r>
      <w:r w:rsidRPr="0046528D">
        <w:rPr>
          <w:szCs w:val="24"/>
        </w:rPr>
        <w:t>i</w:t>
      </w:r>
      <w:r w:rsidRPr="0046528D">
        <w:rPr>
          <w:szCs w:val="24"/>
        </w:rPr>
        <w:t>nopatia diabetica e insufficienza renale.</w:t>
      </w:r>
    </w:p>
    <w:p w14:paraId="3B950F8E" w14:textId="77777777" w:rsidR="00193A7D" w:rsidRPr="0046528D" w:rsidRDefault="004C1535" w:rsidP="0046528D">
      <w:pPr>
        <w:spacing w:line="360" w:lineRule="auto"/>
        <w:jc w:val="both"/>
      </w:pPr>
      <w:r w:rsidRPr="0046528D">
        <w:t xml:space="preserve">Lo </w:t>
      </w:r>
      <w:r w:rsidR="00193A7D" w:rsidRPr="0046528D">
        <w:t>studio è stato disegnato per valutare la presenza di eventuali differenze, tra le s</w:t>
      </w:r>
      <w:r w:rsidR="00193A7D" w:rsidRPr="0046528D">
        <w:t>e</w:t>
      </w:r>
      <w:r w:rsidR="00193A7D" w:rsidRPr="0046528D">
        <w:t>guenti caratteristiche, nei soggetti con diabete mellito di tipo 2 con e senza piede di</w:t>
      </w:r>
      <w:r w:rsidR="00193A7D" w:rsidRPr="0046528D">
        <w:t>a</w:t>
      </w:r>
      <w:r w:rsidR="00193A7D" w:rsidRPr="0046528D">
        <w:t>betico:</w:t>
      </w:r>
    </w:p>
    <w:p w14:paraId="60829792" w14:textId="77777777" w:rsidR="00193A7D" w:rsidRPr="0046528D" w:rsidRDefault="00193A7D" w:rsidP="0046528D">
      <w:pPr>
        <w:pStyle w:val="Paragrafoelenco"/>
        <w:numPr>
          <w:ilvl w:val="0"/>
          <w:numId w:val="14"/>
        </w:numPr>
        <w:spacing w:line="360" w:lineRule="auto"/>
        <w:jc w:val="both"/>
        <w:rPr>
          <w:szCs w:val="24"/>
        </w:rPr>
      </w:pPr>
      <w:r w:rsidRPr="0046528D">
        <w:rPr>
          <w:szCs w:val="24"/>
        </w:rPr>
        <w:t>profilo dei fattori di rischio cardiovascolare</w:t>
      </w:r>
    </w:p>
    <w:p w14:paraId="0CFDB14E" w14:textId="77777777" w:rsidR="00193A7D" w:rsidRPr="0046528D" w:rsidRDefault="00193A7D" w:rsidP="0046528D">
      <w:pPr>
        <w:pStyle w:val="Paragrafoelenco"/>
        <w:numPr>
          <w:ilvl w:val="0"/>
          <w:numId w:val="14"/>
        </w:numPr>
        <w:spacing w:line="360" w:lineRule="auto"/>
        <w:jc w:val="both"/>
        <w:rPr>
          <w:szCs w:val="24"/>
        </w:rPr>
      </w:pPr>
      <w:r w:rsidRPr="0046528D">
        <w:rPr>
          <w:szCs w:val="24"/>
        </w:rPr>
        <w:t>prevalenza della morbilità cardiovascolare in una valutazione retrospettiva</w:t>
      </w:r>
    </w:p>
    <w:p w14:paraId="7B87BB13" w14:textId="77777777" w:rsidR="00193A7D" w:rsidRPr="0046528D" w:rsidRDefault="00193A7D" w:rsidP="0046528D">
      <w:pPr>
        <w:pStyle w:val="Paragrafoelenco"/>
        <w:numPr>
          <w:ilvl w:val="0"/>
          <w:numId w:val="14"/>
        </w:numPr>
        <w:spacing w:line="360" w:lineRule="auto"/>
        <w:jc w:val="both"/>
        <w:rPr>
          <w:szCs w:val="24"/>
        </w:rPr>
      </w:pPr>
      <w:r w:rsidRPr="0046528D">
        <w:rPr>
          <w:szCs w:val="24"/>
        </w:rPr>
        <w:t>prevalenza dei marcatori di danno cardiovascolare subclinico al momento del reclutamento</w:t>
      </w:r>
    </w:p>
    <w:p w14:paraId="2120BB85" w14:textId="77777777" w:rsidR="00193A7D" w:rsidRPr="0046528D" w:rsidRDefault="00193A7D" w:rsidP="0046528D">
      <w:pPr>
        <w:pStyle w:val="Paragrafoelenco"/>
        <w:numPr>
          <w:ilvl w:val="0"/>
          <w:numId w:val="14"/>
        </w:numPr>
        <w:spacing w:line="360" w:lineRule="auto"/>
        <w:jc w:val="both"/>
        <w:rPr>
          <w:szCs w:val="24"/>
        </w:rPr>
      </w:pPr>
      <w:r w:rsidRPr="0046528D">
        <w:rPr>
          <w:szCs w:val="24"/>
        </w:rPr>
        <w:t>incidenza di eventi cardiovascolari di nuova insorgenza ad un'analisi prospe</w:t>
      </w:r>
      <w:r w:rsidRPr="0046528D">
        <w:rPr>
          <w:szCs w:val="24"/>
        </w:rPr>
        <w:t>t</w:t>
      </w:r>
      <w:r w:rsidRPr="0046528D">
        <w:rPr>
          <w:szCs w:val="24"/>
        </w:rPr>
        <w:t>tica.</w:t>
      </w:r>
    </w:p>
    <w:p w14:paraId="7FC69B47" w14:textId="77777777" w:rsidR="00193A7D" w:rsidRPr="0046528D" w:rsidRDefault="00193A7D" w:rsidP="0046528D">
      <w:pPr>
        <w:spacing w:line="360" w:lineRule="auto"/>
        <w:jc w:val="both"/>
      </w:pPr>
      <w:r w:rsidRPr="0046528D">
        <w:t xml:space="preserve">I risultati </w:t>
      </w:r>
      <w:r w:rsidR="004C1535" w:rsidRPr="0046528D">
        <w:t>hanno mostrat</w:t>
      </w:r>
      <w:r w:rsidRPr="0046528D">
        <w:t>o una maggiore prevalenza dei principali fattori di rischio cardiovascolari, di marcatori di malattia cardiovascolare subclinica e di eventi ca</w:t>
      </w:r>
      <w:r w:rsidRPr="0046528D">
        <w:t>r</w:t>
      </w:r>
      <w:r w:rsidRPr="0046528D">
        <w:t>diovascolari e cerebrovascolari pregressi e di nuova insorgenza, nei pazienti diabetici con complicanze del piede. Questi risultati potrebbero spiegare gli alti tassi di morb</w:t>
      </w:r>
      <w:r w:rsidRPr="0046528D">
        <w:t>i</w:t>
      </w:r>
      <w:r w:rsidRPr="0046528D">
        <w:t xml:space="preserve">lità e mortalità precedentemente riportati nei pazienti diabetici con amputazioni </w:t>
      </w:r>
      <w:r w:rsidRPr="0046528D">
        <w:rPr>
          <w:vertAlign w:val="superscript"/>
        </w:rPr>
        <w:endnoteReference w:id="130"/>
      </w:r>
      <w:r w:rsidRPr="0046528D">
        <w:t xml:space="preserve">. La principale causa di morte nei pazienti diabetici era la malattia coronarica (CAD) </w:t>
      </w:r>
      <w:r w:rsidRPr="0046528D">
        <w:rPr>
          <w:vertAlign w:val="superscript"/>
        </w:rPr>
        <w:endnoteReference w:id="131"/>
      </w:r>
      <w:r w:rsidRPr="0046528D">
        <w:t xml:space="preserve">. </w:t>
      </w:r>
    </w:p>
    <w:p w14:paraId="013FFB51" w14:textId="77777777" w:rsidR="00193A7D" w:rsidRPr="0046528D" w:rsidRDefault="00193A7D" w:rsidP="0046528D">
      <w:pPr>
        <w:spacing w:line="360" w:lineRule="auto"/>
        <w:jc w:val="both"/>
      </w:pPr>
      <w:r w:rsidRPr="0046528D">
        <w:t>Il pattern dei fattori di rischio nei soggetti con diabete è complesso</w:t>
      </w:r>
      <w:r w:rsidRPr="0046528D">
        <w:rPr>
          <w:vertAlign w:val="superscript"/>
        </w:rPr>
        <w:endnoteReference w:id="132"/>
      </w:r>
      <w:r w:rsidRPr="0046528D">
        <w:t>. La base per un aumento del rischio di malattia coronarica tra i pazienti diabetici non è stata compl</w:t>
      </w:r>
      <w:r w:rsidRPr="0046528D">
        <w:t>e</w:t>
      </w:r>
      <w:r w:rsidRPr="0046528D">
        <w:t xml:space="preserve">tamente determinata. In primo luogo, vi è un'elevata prevalenza di aterosclerosi tra i soggetti diabetici rispetto ai non diabetici. Inoltre, i pazienti diabetici presentano un maggiore rischio di trombosi, diminuzione della fibrinolisi, e un’accentuata risposta infiammatoria </w:t>
      </w:r>
      <w:r w:rsidRPr="0046528D">
        <w:rPr>
          <w:vertAlign w:val="superscript"/>
        </w:rPr>
        <w:endnoteReference w:id="133"/>
      </w:r>
      <w:r w:rsidRPr="0046528D">
        <w:t>. Ancora, la glicosilazione delle proteine ​​può anche influenzare la fisiologia della parete arteriosa e il rischio di malattia. Oltre a ciò, vi è una maggiore prevalenza di aterosclerosi subclinica tra i pazienti diabetici e non diabetici più a</w:t>
      </w:r>
      <w:r w:rsidRPr="0046528D">
        <w:t>n</w:t>
      </w:r>
      <w:r w:rsidRPr="0046528D">
        <w:t xml:space="preserve">ziani </w:t>
      </w:r>
      <w:r w:rsidRPr="0046528D">
        <w:rPr>
          <w:vertAlign w:val="superscript"/>
        </w:rPr>
        <w:endnoteReference w:id="134"/>
      </w:r>
      <w:r w:rsidRPr="0046528D">
        <w:t xml:space="preserve">. Nei nostri pazienti con piede diabetico, </w:t>
      </w:r>
      <w:r w:rsidR="004C1535" w:rsidRPr="0046528D">
        <w:t>è stata riporta</w:t>
      </w:r>
      <w:r w:rsidRPr="0046528D">
        <w:t xml:space="preserve"> una più alta prevale</w:t>
      </w:r>
      <w:r w:rsidRPr="0046528D">
        <w:t>n</w:t>
      </w:r>
      <w:r w:rsidRPr="0046528D">
        <w:t>za delle misure di malattia cardiovascolare subclinica (come anomalie elettrocardi</w:t>
      </w:r>
      <w:r w:rsidRPr="0046528D">
        <w:t>o</w:t>
      </w:r>
      <w:r w:rsidRPr="0046528D">
        <w:t>grafiche maggiori, anomalie ecocardiografiche e/o alterazioni della cinetica parietale regionale), anomalie dello spessore delle tonache intima e media [IMT], e/o placca carotidea alla valutazione eco-color doppler; ed è noto che l’aterosclerosi subclinica rappresenta un marker di rischio di morbilità cardiovascolare e cerebrovascolare</w:t>
      </w:r>
      <w:r w:rsidR="00633064" w:rsidRPr="0046528D">
        <w:rPr>
          <w:rStyle w:val="Rimandonotadichiusura"/>
        </w:rPr>
        <w:endnoteReference w:id="135"/>
      </w:r>
      <w:r w:rsidRPr="0046528D">
        <w:t xml:space="preserve"> </w:t>
      </w:r>
      <w:r w:rsidRPr="0046528D">
        <w:rPr>
          <w:vertAlign w:val="superscript"/>
        </w:rPr>
        <w:endnoteReference w:id="136"/>
      </w:r>
      <w:r w:rsidR="004C1535" w:rsidRPr="0046528D">
        <w:t xml:space="preserve">. Nello </w:t>
      </w:r>
      <w:r w:rsidRPr="0046528D">
        <w:rPr>
          <w:color w:val="000000" w:themeColor="text1"/>
        </w:rPr>
        <w:t>studio</w:t>
      </w:r>
      <w:r w:rsidR="00E9058D" w:rsidRPr="0046528D">
        <w:rPr>
          <w:color w:val="000000" w:themeColor="text1"/>
        </w:rPr>
        <w:t xml:space="preserve"> </w:t>
      </w:r>
      <w:r w:rsidR="00FC5204" w:rsidRPr="0046528D">
        <w:t xml:space="preserve">del mio gruppo </w:t>
      </w:r>
      <w:r w:rsidR="004C1535" w:rsidRPr="0046528D">
        <w:t>è stata anche riporta</w:t>
      </w:r>
      <w:r w:rsidRPr="0046528D">
        <w:t xml:space="preserve"> una più alta prevalenza dei principali fattori di rischio cardiovascolare come ipercolesterolemia, ipertriglicer</w:t>
      </w:r>
      <w:r w:rsidRPr="0046528D">
        <w:t>i</w:t>
      </w:r>
      <w:r w:rsidRPr="0046528D">
        <w:lastRenderedPageBreak/>
        <w:t>demia, livelli plasmatici di LDL ≥ 130mg/dl, e microalbuminuria/ proteinuria nei p</w:t>
      </w:r>
      <w:r w:rsidRPr="0046528D">
        <w:t>a</w:t>
      </w:r>
      <w:r w:rsidRPr="0046528D">
        <w:t>zienti con piede diabetico rispetto ai pazienti diabetici senza complicanze del piede. Questi risultati, probabilmente, potrebbero rafforzare l'ipotesi secondo cui la sindr</w:t>
      </w:r>
      <w:r w:rsidRPr="0046528D">
        <w:t>o</w:t>
      </w:r>
      <w:r w:rsidRPr="0046528D">
        <w:t>me del piede diabetico (DFS) possa rappresentare un possibile marker di rischio ca</w:t>
      </w:r>
      <w:r w:rsidRPr="0046528D">
        <w:t>r</w:t>
      </w:r>
      <w:r w:rsidRPr="0046528D">
        <w:t>diovascolare come la malattia cardiovascolare subclinica (CVD), l’ipertrofia del ve</w:t>
      </w:r>
      <w:r w:rsidRPr="0046528D">
        <w:t>n</w:t>
      </w:r>
      <w:r w:rsidRPr="0046528D">
        <w:t>tricolo sinistro (LVH), e l’arteriopatia periferica (PAD).</w:t>
      </w:r>
    </w:p>
    <w:p w14:paraId="0E99041B" w14:textId="77777777" w:rsidR="00193A7D" w:rsidRPr="0046528D" w:rsidRDefault="00193A7D" w:rsidP="0046528D">
      <w:pPr>
        <w:spacing w:line="360" w:lineRule="auto"/>
        <w:jc w:val="both"/>
      </w:pPr>
      <w:r w:rsidRPr="0046528D">
        <w:t>Tuttavia, i più elevati livelli di colesterolo dovrebbero anche contribuire alla patog</w:t>
      </w:r>
      <w:r w:rsidRPr="0046528D">
        <w:t>e</w:t>
      </w:r>
      <w:r w:rsidRPr="0046528D">
        <w:t>nesi aterosclerotica della sindrome del piede diabetico (DFS).</w:t>
      </w:r>
    </w:p>
    <w:p w14:paraId="1F3F43B2" w14:textId="77777777" w:rsidR="00193A7D" w:rsidRPr="0046528D" w:rsidRDefault="00193A7D" w:rsidP="0046528D">
      <w:pPr>
        <w:spacing w:line="360" w:lineRule="auto"/>
        <w:jc w:val="both"/>
      </w:pPr>
      <w:r w:rsidRPr="0046528D">
        <w:t>Infatti, l’ischemia che risulta dall’arteriopatia prossimale era considerata, nel 35% dei casi, una componente causale nel percorso che conduce all’ulcerazione; i pazienti diabetici con piede diabetico sembrano avere, inoltre, una più alta incidenza di mala</w:t>
      </w:r>
      <w:r w:rsidRPr="0046528D">
        <w:t>t</w:t>
      </w:r>
      <w:r w:rsidRPr="0046528D">
        <w:t xml:space="preserve">tia distale rispetto ai pazienti senza ulcerazione del piede </w:t>
      </w:r>
      <w:r w:rsidRPr="0046528D">
        <w:rPr>
          <w:vertAlign w:val="superscript"/>
        </w:rPr>
        <w:endnoteReference w:id="137"/>
      </w:r>
      <w:r w:rsidRPr="0046528D">
        <w:t>, la quale può rapprese</w:t>
      </w:r>
      <w:r w:rsidRPr="0046528D">
        <w:t>n</w:t>
      </w:r>
      <w:r w:rsidRPr="0046528D">
        <w:t>tare sia una complicanza macrovascolare che microvascolare del diabete.</w:t>
      </w:r>
      <w:r w:rsidR="00FC5204" w:rsidRPr="0046528D">
        <w:t xml:space="preserve"> È intere</w:t>
      </w:r>
      <w:r w:rsidR="00FC5204" w:rsidRPr="0046528D">
        <w:t>s</w:t>
      </w:r>
      <w:r w:rsidR="00FC5204" w:rsidRPr="0046528D">
        <w:t>sante notare come non si segnali</w:t>
      </w:r>
      <w:r w:rsidRPr="0046528D">
        <w:t xml:space="preserve"> una più alta prevalenza di ipertensione nei soggetti con piede diabetico rispetto ai pazienti diabetici di controllo, o un ruolo predittivo dell’ipertensione per la morbilità cardiovascolare. Questo risultato risulta difficile da spiegare, ma probabilmente è correlato alla alta prevalenza di ipertensione nella p</w:t>
      </w:r>
      <w:r w:rsidRPr="0046528D">
        <w:t>o</w:t>
      </w:r>
      <w:r w:rsidRPr="0046528D">
        <w:t>polazione diabetica indipendentemente dalla presenza di ulcere del piede. Nei p</w:t>
      </w:r>
      <w:r w:rsidRPr="0046528D">
        <w:t>a</w:t>
      </w:r>
      <w:r w:rsidRPr="0046528D">
        <w:t>zienti diabetici con piede diabetico, l'analisi retrospettiva della prevalenza di pregre</w:t>
      </w:r>
      <w:r w:rsidRPr="0046528D">
        <w:t>s</w:t>
      </w:r>
      <w:r w:rsidRPr="0046528D">
        <w:t>sa morbilità vascolare (CAD, TIA/stroke, retinopatia) ha dimostrato che i pazienti con ulcere del piede hanno maggiori probabilità di avere una pregressa morbilità ca</w:t>
      </w:r>
      <w:r w:rsidRPr="0046528D">
        <w:t>r</w:t>
      </w:r>
      <w:r w:rsidRPr="0046528D">
        <w:t xml:space="preserve">diovascolare. Sulla base di ciò, </w:t>
      </w:r>
      <w:r w:rsidR="00FC5204" w:rsidRPr="0046528D">
        <w:t xml:space="preserve">è stato </w:t>
      </w:r>
      <w:r w:rsidRPr="0046528D">
        <w:t>esaminato se la DFS ha aggiunto significative informazioni sul rischio in aggiunta ai normali fattori di rischio, che non erano bila</w:t>
      </w:r>
      <w:r w:rsidRPr="0046528D">
        <w:t>n</w:t>
      </w:r>
      <w:r w:rsidRPr="0046528D">
        <w:t>ciati tra i due gruppi. In un’analisi multivariata dopo correzione dei fattori predittivi di malattia cardiovascolare come i livelli plasmatici di colesterolo, i livelli plasmatici di LDL &gt; o uguali a 130mg/dl, l’ipertensione, e l’HbA1c, la sindrome del piede di</w:t>
      </w:r>
      <w:r w:rsidRPr="0046528D">
        <w:t>a</w:t>
      </w:r>
      <w:r w:rsidRPr="0046528D">
        <w:t xml:space="preserve">betico ha mantenuto il più alto tasso di rischio (HR) verso l’end-point composto dalla morbilità cardiovascolare pregressa, subclinica e di nuova insorgenza; quindi </w:t>
      </w:r>
      <w:r w:rsidR="00FC5204" w:rsidRPr="0046528D">
        <w:t xml:space="preserve">si può </w:t>
      </w:r>
      <w:r w:rsidRPr="0046528D">
        <w:t>sottolineare il ruolo della sindrome del piede diabetico nel predire la morbilità ca</w:t>
      </w:r>
      <w:r w:rsidRPr="0046528D">
        <w:t>r</w:t>
      </w:r>
      <w:r w:rsidRPr="0046528D">
        <w:t>diovascolare nei pazienti diabetici, anche dopo la correzione di altri noti fattori di r</w:t>
      </w:r>
      <w:r w:rsidRPr="0046528D">
        <w:t>i</w:t>
      </w:r>
      <w:r w:rsidRPr="0046528D">
        <w:t>schio cardiovascolare. La microangiopatia, la polineuropatia diabetica, e le infezioni sono fattori in grado di innescare la sindrome del piede diabetico. Risultati recenti suggeriscono un ruolo patogenetico dei cambiamenti strutturali e funzionali del m</w:t>
      </w:r>
      <w:r w:rsidRPr="0046528D">
        <w:t>i</w:t>
      </w:r>
      <w:r w:rsidRPr="0046528D">
        <w:t xml:space="preserve">crocircolo </w:t>
      </w:r>
      <w:r w:rsidRPr="0046528D">
        <w:rPr>
          <w:vertAlign w:val="superscript"/>
        </w:rPr>
        <w:endnoteReference w:id="138"/>
      </w:r>
      <w:r w:rsidRPr="0046528D">
        <w:t xml:space="preserve"> , ma il ruolo esatto della microangiopatia e il valore delle indagini m</w:t>
      </w:r>
      <w:r w:rsidRPr="0046528D">
        <w:t>i</w:t>
      </w:r>
      <w:r w:rsidRPr="0046528D">
        <w:lastRenderedPageBreak/>
        <w:t xml:space="preserve">crovascolari diagnostiche non sono ancora stati definiti. I nostri risultati concernenti una maggiore prevalenza di end-point microvascolari come la retinopatia diabetica, l’ictus lacunare e la microalbuminuria nei pazienti con piede diabetico appaiono di particolare interesse. Una più alta prevalenza di ictus lacunare nei pazienti diabetici rispetto ai non diabetici è stata precedentemente riportata dal nostro gruppo </w:t>
      </w:r>
      <w:r w:rsidRPr="0046528D">
        <w:rPr>
          <w:vertAlign w:val="superscript"/>
        </w:rPr>
        <w:endnoteReference w:id="139"/>
      </w:r>
      <w:r w:rsidRPr="0046528D">
        <w:t xml:space="preserve"> </w:t>
      </w:r>
      <w:r w:rsidRPr="0046528D">
        <w:rPr>
          <w:vertAlign w:val="superscript"/>
        </w:rPr>
        <w:endnoteReference w:id="140"/>
      </w:r>
      <w:r w:rsidRPr="0046528D">
        <w:t>. Tuttavia, in questo studio, i pazienti con ulcere del piede hanno mostrato un’alta pr</w:t>
      </w:r>
      <w:r w:rsidRPr="0046528D">
        <w:t>e</w:t>
      </w:r>
      <w:r w:rsidRPr="0046528D">
        <w:t>valenza sia di infarti lacunari che aterosclerotici e questi risultati possono suggerire un ruolo sia della patologia del microcircolo che della macroangiopatia su base at</w:t>
      </w:r>
      <w:r w:rsidRPr="0046528D">
        <w:t>e</w:t>
      </w:r>
      <w:r w:rsidRPr="0046528D">
        <w:t>rosclerotica come fattori determinanti di mortalità cardiovascolare nei pazienti con piede diabetico. Molteplici meccanismi contribuiscono allo sviluppo delle ulcere del piede diabetico, che rappresentano una complicanza del diabete insieme alla neur</w:t>
      </w:r>
      <w:r w:rsidRPr="0046528D">
        <w:t>o</w:t>
      </w:r>
      <w:r w:rsidRPr="0046528D">
        <w:t xml:space="preserve">patia, alla macroangiopatia aterosclerotica e alla microangiopatia diabetica. A causa della interdipendenza delle molteplici complicanze del diabete e dei fattori associati, può essere fuorviante considerare i singoli potenziali fattori di rischio per lo sviluppo delle ulcere del piede poiché, all'analisi univariata, molti fattori predittivi non hanno dimostrato di avere effetti indipendenti sul rischio di ulcere. I risultati </w:t>
      </w:r>
      <w:r w:rsidR="00FC5204" w:rsidRPr="0046528D">
        <w:t xml:space="preserve">del nostro gruppo </w:t>
      </w:r>
      <w:r w:rsidRPr="0046528D">
        <w:t>mostrano il peggiore profilo di rischio cardiovascolare dei pazienti diabetici con piede diabetico rispetto ai pazienti diabetici senza ulcere del piede, con una più alta prevalenza di fattori di rischio cardiovascolare e una maggiore prevalenza di morbilità cardiovascolare clinica e subclinica.</w:t>
      </w:r>
    </w:p>
    <w:p w14:paraId="5914D85F" w14:textId="77777777" w:rsidR="00193A7D" w:rsidRPr="0046528D" w:rsidRDefault="00193A7D" w:rsidP="0046528D">
      <w:pPr>
        <w:spacing w:line="360" w:lineRule="auto"/>
        <w:jc w:val="both"/>
      </w:pPr>
      <w:r w:rsidRPr="0046528D">
        <w:t>Il più alto rischio cardiovascolare associato al piede diabetico può essere correlato ad un effetto cumulativo dei fattori di rischio rappresentati dalla neuropatia e dalla art</w:t>
      </w:r>
      <w:r w:rsidRPr="0046528D">
        <w:t>e</w:t>
      </w:r>
      <w:r w:rsidRPr="0046528D">
        <w:t xml:space="preserve">riopatia periferica, che costituiscono due condizioni cliniche recentemente associate ad una maggiore morbilità cardiovascolare </w:t>
      </w:r>
      <w:r w:rsidRPr="0046528D">
        <w:rPr>
          <w:vertAlign w:val="superscript"/>
        </w:rPr>
        <w:endnoteReference w:id="141"/>
      </w:r>
      <w:r w:rsidRPr="0046528D">
        <w:t>, ma un’altra spiegazione può essere riconosciuta nel ruolo della microangiopatia come fattore determinante del rischio vascolare globale.</w:t>
      </w:r>
    </w:p>
    <w:p w14:paraId="0FBD8866" w14:textId="77777777" w:rsidR="00193A7D" w:rsidRPr="0046528D" w:rsidRDefault="00193A7D" w:rsidP="0046528D">
      <w:pPr>
        <w:spacing w:line="360" w:lineRule="auto"/>
        <w:jc w:val="both"/>
      </w:pPr>
      <w:r w:rsidRPr="0046528D">
        <w:t>Tuttavia poiché i gruppi valutati nel nostro studio non erano inizialmente stratificati per fattori di rischio e malattie cardiovascolari, l’analisi non può essere corretta esa</w:t>
      </w:r>
      <w:r w:rsidRPr="0046528D">
        <w:t>t</w:t>
      </w:r>
      <w:r w:rsidRPr="0046528D">
        <w:t>tamente per altri potenziali indicatori specialmente in considerazione del piccolo numero dei pazienti in esame e del numero relativamente basso di eventi; per</w:t>
      </w:r>
      <w:r w:rsidR="00FC5204" w:rsidRPr="0046528D">
        <w:t xml:space="preserve"> questo motivo, i risultati dello </w:t>
      </w:r>
      <w:r w:rsidRPr="0046528D">
        <w:t xml:space="preserve">studio </w:t>
      </w:r>
      <w:r w:rsidR="00FC5204" w:rsidRPr="0046528D">
        <w:t xml:space="preserve">del nostro gruppo </w:t>
      </w:r>
      <w:r w:rsidRPr="0046528D">
        <w:t>possono solamente mettere in gua</w:t>
      </w:r>
      <w:r w:rsidRPr="0046528D">
        <w:t>r</w:t>
      </w:r>
      <w:r w:rsidRPr="0046528D">
        <w:t>dia i clinici riguardo il fatto che la diagnosi di piede diabetico deve avviare un’importante ricerca delle malattie e dei fattori di rischio cardiovascolare modific</w:t>
      </w:r>
      <w:r w:rsidRPr="0046528D">
        <w:t>a</w:t>
      </w:r>
      <w:r w:rsidRPr="0046528D">
        <w:t xml:space="preserve">bili. Sulla base di ciò, sarebbe particolarmente interessante progettare ulteriori studi </w:t>
      </w:r>
      <w:r w:rsidRPr="0046528D">
        <w:lastRenderedPageBreak/>
        <w:t>più ampi che analizzino il ruolo della sindrome del piede diabetico come fattore pr</w:t>
      </w:r>
      <w:r w:rsidRPr="0046528D">
        <w:t>e</w:t>
      </w:r>
      <w:r w:rsidRPr="0046528D">
        <w:t>dittivo della morbilità e mortalità cardiovascolare indipendentemente da altri fattori predittivi classici.</w:t>
      </w:r>
    </w:p>
    <w:p w14:paraId="75265E9C" w14:textId="77777777" w:rsidR="00193A7D" w:rsidRPr="0046528D" w:rsidRDefault="00193A7D" w:rsidP="0046528D">
      <w:pPr>
        <w:spacing w:line="360" w:lineRule="auto"/>
        <w:jc w:val="both"/>
      </w:pPr>
      <w:r w:rsidRPr="0046528D">
        <w:t>Quindi, il piede diabetico potrebbe rappresentare un’importante causa di morbilità e mortalità nei pazienti diabetici, mentre il tasso di mortalità è circa il doppio rispetto a quello dei pazienti senza ulcere dei piedi. Tuttavia, nonostante l’ampiezza del pr</w:t>
      </w:r>
      <w:r w:rsidRPr="0046528D">
        <w:t>o</w:t>
      </w:r>
      <w:r w:rsidRPr="0046528D">
        <w:t xml:space="preserve">blema delle ulcere del piede diabetico, sono state effettuate poche ricerche al fine di valutare la morbilità cardiovascolare e cerebrovascolare nei pazienti con ulcere del piede rispetto ai pazienti diabetici senza queste complicanze. Sebbene la relazione tra il diabete e lo stroke è stata chiaramente stabilita </w:t>
      </w:r>
      <w:r w:rsidRPr="0046528D">
        <w:rPr>
          <w:vertAlign w:val="superscript"/>
        </w:rPr>
        <w:endnoteReference w:id="142"/>
      </w:r>
      <w:r w:rsidRPr="0046528D">
        <w:t xml:space="preserve"> nessuno studio di nostra con</w:t>
      </w:r>
      <w:r w:rsidRPr="0046528D">
        <w:t>o</w:t>
      </w:r>
      <w:r w:rsidRPr="0046528D">
        <w:t>scenza ha valutato la morbilità cerebrovascolare nei pazienti con piede diabetico r</w:t>
      </w:r>
      <w:r w:rsidRPr="0046528D">
        <w:t>i</w:t>
      </w:r>
      <w:r w:rsidRPr="0046528D">
        <w:t xml:space="preserve">spetto a quelli senza complicanze del piede. Abbiamo condotto un altro studio con lo scopo di analizzare la morbilità cerebrovascolare con una valutazione prospettica sia retrospettiva nei pazienti con piede diabetico rispetto a quelli senza complicanze del piede. Abbiamo utilizzato la classificazione TOAST (Trial of Org 10172 in Acute Stroke Treatment) </w:t>
      </w:r>
      <w:r w:rsidRPr="0046528D">
        <w:rPr>
          <w:vertAlign w:val="superscript"/>
        </w:rPr>
        <w:endnoteReference w:id="143"/>
      </w:r>
      <w:r w:rsidRPr="0046528D">
        <w:t xml:space="preserve"> che suddivide gli stroke ischemici in cinque sottogruppi: (1) ictus aterotrombotico dei grossi vasi, (2) infarto cardioembolico, (3) infarto lacunare, (4) stroke riconducibile ad altra eziologia stabilita, e (5) stroke ad eziologia indete</w:t>
      </w:r>
      <w:r w:rsidRPr="0046528D">
        <w:t>r</w:t>
      </w:r>
      <w:r w:rsidRPr="0046528D">
        <w:t xml:space="preserve">minata. Abbiamo riportato come i pazienti con piede diabetico erano maggiormente predisposti a sviluppare eventi cerebrovascolari (TIA e stroke ischemico) sia in una valutazione retrospettiva (pregressi TIA e stroke ischemici) che prospettica (TIA e stroke di nuova insorgenza in 5 anni di follow-up). I sottotipi di stroke a maggiore prevalenza sia nella valutazione prospettica che in quella retrospettiva erano quello lacunare e aterotrombotico con una prevalenza lievemente superiore per il sottotipo lacunare. Questo è il primo studio che ha confrontato i pazienti diabetici con e senza piede diabetico con lo scopo di valutare le differenze per quanto riguarda la morbilità e il profilo del rischio cerebrovascolare. Gazis et al </w:t>
      </w:r>
      <w:r w:rsidRPr="0046528D">
        <w:rPr>
          <w:vertAlign w:val="superscript"/>
        </w:rPr>
        <w:endnoteReference w:id="144"/>
      </w:r>
      <w:r w:rsidRPr="0046528D">
        <w:t xml:space="preserve"> hanno dimostrato che la mo</w:t>
      </w:r>
      <w:r w:rsidRPr="0046528D">
        <w:t>r</w:t>
      </w:r>
      <w:r w:rsidRPr="0046528D">
        <w:t>talità nei pazienti con piede di Charcot era superiore rispetto alle attese. Più recent</w:t>
      </w:r>
      <w:r w:rsidRPr="0046528D">
        <w:t>e</w:t>
      </w:r>
      <w:r w:rsidRPr="0046528D">
        <w:t>mente, uno studio prospettico</w:t>
      </w:r>
      <w:r w:rsidR="00633064" w:rsidRPr="0046528D">
        <w:rPr>
          <w:rStyle w:val="Rimandonotadichiusura"/>
        </w:rPr>
        <w:endnoteReference w:id="145"/>
      </w:r>
      <w:r w:rsidRPr="0046528D">
        <w:t xml:space="preserve"> suggerisce che, oltre al controllo glicemico, l’incidenza della neuropatia è associata a fattori di rischio cardiovascolare pote</w:t>
      </w:r>
      <w:r w:rsidRPr="0046528D">
        <w:t>n</w:t>
      </w:r>
      <w:r w:rsidRPr="0046528D">
        <w:t>zialmente modificabili, tra cui un elevato livello di trigliceridi, l’indice di massa co</w:t>
      </w:r>
      <w:r w:rsidRPr="0046528D">
        <w:t>r</w:t>
      </w:r>
      <w:r w:rsidRPr="0046528D">
        <w:t xml:space="preserve">porea, il fumo e l’ipertensione. Moulik et al hanno riportato che tutti i tipi di ulcere del piede diabetico erano associate ad un’alta morbilità e mortalità, e che l’aumento della mortalità sembrava essere indipendente dai fattori che aumentano il rischio di </w:t>
      </w:r>
      <w:r w:rsidRPr="0046528D">
        <w:lastRenderedPageBreak/>
        <w:t>ulcere nei pazienti già affetti da ulcere del piede. La base di un eccessivo rischio di malattia cardiovascolare nei pazienti diabetici non è stata ancora completamente d</w:t>
      </w:r>
      <w:r w:rsidRPr="0046528D">
        <w:t>e</w:t>
      </w:r>
      <w:r w:rsidRPr="0046528D">
        <w:t xml:space="preserve">finita. Innanzitutto, c’è un’alta prevalenza di aterosclerosi clinica e subclinica tra i pazienti diabetici rispetto ai non diabetici </w:t>
      </w:r>
      <w:r w:rsidRPr="0046528D">
        <w:rPr>
          <w:vertAlign w:val="superscript"/>
        </w:rPr>
        <w:endnoteReference w:id="146"/>
      </w:r>
      <w:r w:rsidRPr="0046528D">
        <w:t xml:space="preserve"> </w:t>
      </w:r>
      <w:r w:rsidRPr="0046528D">
        <w:rPr>
          <w:vertAlign w:val="superscript"/>
        </w:rPr>
        <w:endnoteReference w:id="147"/>
      </w:r>
      <w:r w:rsidRPr="0046528D">
        <w:t xml:space="preserve">. Inoltre, i soggetti diabetici hanno un maggiore rischio di trombosi, ridotta fibrinolisi ed esaltata risposta infiammatoria </w:t>
      </w:r>
      <w:r w:rsidRPr="0046528D">
        <w:rPr>
          <w:vertAlign w:val="superscript"/>
        </w:rPr>
        <w:endnoteReference w:id="148"/>
      </w:r>
      <w:r w:rsidRPr="0046528D">
        <w:t>. Infine, la glicosilazione delle proteine può influenzare la fisiologia della parete dei vasi arteriosi e il rischio di malattia. Nei nostri pazienti diabetici con piede diabetico, la prevalenza di pregressa patologia cerebrovascolare (TIA e/o stroke) era signific</w:t>
      </w:r>
      <w:r w:rsidRPr="0046528D">
        <w:t>a</w:t>
      </w:r>
      <w:r w:rsidRPr="0046528D">
        <w:t xml:space="preserve">tivamente maggiore rispetto al gruppo di controllo senza ulcere del piede. </w:t>
      </w:r>
    </w:p>
    <w:p w14:paraId="5C08714B" w14:textId="77777777" w:rsidR="00193A7D" w:rsidRPr="0046528D" w:rsidRDefault="00193A7D" w:rsidP="0046528D">
      <w:pPr>
        <w:spacing w:line="360" w:lineRule="auto"/>
        <w:jc w:val="both"/>
      </w:pPr>
      <w:r w:rsidRPr="0046528D">
        <w:t>È interessante notare, inoltre, come la prevalenza dei fattori di rischio cardiovascol</w:t>
      </w:r>
      <w:r w:rsidRPr="0046528D">
        <w:t>a</w:t>
      </w:r>
      <w:r w:rsidRPr="0046528D">
        <w:t>re (ipercolesterolemia, ipertrigliceridemia, microalbuminuria o proteinuria, iperur</w:t>
      </w:r>
      <w:r w:rsidRPr="0046528D">
        <w:t>i</w:t>
      </w:r>
      <w:r w:rsidRPr="0046528D">
        <w:t>cemia) con la sola eccezione dell’ipertensione, era maggiore nei pazienti con piede diabetico. Più di 30 anni fa, Keen aveva individuato i “cattivi compagni” nel diabete e nell’ipertensione, sottolineando il maggiore rischio cardiovascolare correlato a qu</w:t>
      </w:r>
      <w:r w:rsidRPr="0046528D">
        <w:t>e</w:t>
      </w:r>
      <w:r w:rsidRPr="0046528D">
        <w:t>sta associazione. Tuttavia, nei nostri pazienti con piede diabetico c’era una più alta prevalenza di ipertensione rispetto al gruppo di controllo senza ulcere del piede. Questo risultato è difficile da spiegare, ma probabilmente correlato alla maggiore prevalenza di ipertensione nella popolazione diabetica indipendentemente dalla pr</w:t>
      </w:r>
      <w:r w:rsidRPr="0046528D">
        <w:t>e</w:t>
      </w:r>
      <w:r w:rsidRPr="0046528D">
        <w:t>senza di ulcere del piede. Il nostro gruppo ha precedentemente riportato una più alta prevalenza di infarto lacunare nei pazienti diabetici rispetto a quelli non diabetici</w:t>
      </w:r>
      <w:r w:rsidR="00633064" w:rsidRPr="0046528D">
        <w:rPr>
          <w:rStyle w:val="Rimandonotadichiusura"/>
        </w:rPr>
        <w:endnoteReference w:id="149"/>
      </w:r>
      <w:r w:rsidRPr="0046528D">
        <w:t xml:space="preserve"> e questo risultato è stato successivamente confermato da Megherbi et al </w:t>
      </w:r>
      <w:r w:rsidRPr="0046528D">
        <w:rPr>
          <w:vertAlign w:val="superscript"/>
        </w:rPr>
        <w:endnoteReference w:id="150"/>
      </w:r>
      <w:r w:rsidRPr="0046528D">
        <w:t xml:space="preserve"> e da Kar</w:t>
      </w:r>
      <w:r w:rsidRPr="0046528D">
        <w:t>a</w:t>
      </w:r>
      <w:r w:rsidRPr="0046528D">
        <w:t xml:space="preserve">panayiotides et al </w:t>
      </w:r>
      <w:r w:rsidRPr="0046528D">
        <w:rPr>
          <w:vertAlign w:val="superscript"/>
        </w:rPr>
        <w:endnoteReference w:id="151"/>
      </w:r>
      <w:r w:rsidRPr="0046528D">
        <w:t>. Infatti, nel nostro studio i pazienti diabetici con ulcere del pi</w:t>
      </w:r>
      <w:r w:rsidRPr="0046528D">
        <w:t>e</w:t>
      </w:r>
      <w:r w:rsidRPr="0046528D">
        <w:t>de mostrano una maggiore prevalenza e incidenza (durante un follow-up di 5 anni) di ictus lacunare e aterotrombotico rispetto ai pazienti diabetici senza piede diabetico, con una prevalenza lievemente maggiore per il sottotipo lacunare rispetto a quello aterotrombotico. Questo risultato potrebbe sottolineare il presunto ruolo della mala</w:t>
      </w:r>
      <w:r w:rsidRPr="0046528D">
        <w:t>t</w:t>
      </w:r>
      <w:r w:rsidRPr="0046528D">
        <w:t>tia micro e macrovascolare nel determinare la morbilità cerebrovascolare nei pazienti con piede diabetico.</w:t>
      </w:r>
    </w:p>
    <w:p w14:paraId="4AEF365E" w14:textId="77777777" w:rsidR="00193A7D" w:rsidRPr="0046528D" w:rsidRDefault="00193A7D" w:rsidP="0046528D">
      <w:pPr>
        <w:spacing w:line="360" w:lineRule="auto"/>
        <w:jc w:val="both"/>
      </w:pPr>
      <w:r w:rsidRPr="0046528D">
        <w:t>Sebbene il preciso ruolo di un’alterazione del microcircolo nella genesi delle ulcere del piede diabetico rimane ancora approfondire con ulteriori valutazioni, il piede di</w:t>
      </w:r>
      <w:r w:rsidRPr="0046528D">
        <w:t>a</w:t>
      </w:r>
      <w:r w:rsidRPr="0046528D">
        <w:t>betico rappresenta una complicanza del diabete che raggruppa diversi aspetti clinici e patogenetici, come l’aterosclerosi, la microangiopatia e la neuropatia che sono ben rappresentati nella duplice natura clinica e fisiopatologica degli eventi cerebrovasc</w:t>
      </w:r>
      <w:r w:rsidRPr="0046528D">
        <w:t>o</w:t>
      </w:r>
      <w:r w:rsidRPr="0046528D">
        <w:lastRenderedPageBreak/>
        <w:t>lari più frequenti nei nostri pazienti, microvascolari da un lato (ictus lacunare) e at</w:t>
      </w:r>
      <w:r w:rsidRPr="0046528D">
        <w:t>e</w:t>
      </w:r>
      <w:r w:rsidRPr="0046528D">
        <w:t>rosclerotici dall’altro (ictus aterotrombotico).</w:t>
      </w:r>
    </w:p>
    <w:p w14:paraId="5605921C" w14:textId="77777777" w:rsidR="00193A7D" w:rsidRPr="0046528D" w:rsidRDefault="00193A7D" w:rsidP="0046528D">
      <w:pPr>
        <w:spacing w:line="360" w:lineRule="auto"/>
        <w:jc w:val="both"/>
      </w:pPr>
    </w:p>
    <w:p w14:paraId="2EC30D78" w14:textId="77777777" w:rsidR="00193A7D" w:rsidRPr="0046528D" w:rsidRDefault="0068562E" w:rsidP="0046528D">
      <w:pPr>
        <w:spacing w:line="360" w:lineRule="auto"/>
        <w:jc w:val="both"/>
        <w:rPr>
          <w:b/>
          <w:bCs/>
        </w:rPr>
      </w:pPr>
      <w:r w:rsidRPr="0046528D">
        <w:rPr>
          <w:b/>
          <w:bCs/>
        </w:rPr>
        <w:t>1.5</w:t>
      </w:r>
      <w:r w:rsidR="00193A7D" w:rsidRPr="0046528D">
        <w:rPr>
          <w:b/>
          <w:bCs/>
        </w:rPr>
        <w:t xml:space="preserve"> Conclusioni</w:t>
      </w:r>
    </w:p>
    <w:p w14:paraId="0BE89182" w14:textId="77777777" w:rsidR="00193A7D" w:rsidRPr="0046528D" w:rsidRDefault="00193A7D" w:rsidP="0046528D">
      <w:pPr>
        <w:spacing w:line="360" w:lineRule="auto"/>
        <w:jc w:val="both"/>
      </w:pPr>
      <w:r w:rsidRPr="0046528D">
        <w:t>Molteplici meccanismi contribuiscono allo sviluppo delle ulcere del piede diabetico, che rappresentano una complicanza del diabete in aggiunta alla neuropatia, alla art</w:t>
      </w:r>
      <w:r w:rsidRPr="0046528D">
        <w:t>e</w:t>
      </w:r>
      <w:r w:rsidRPr="0046528D">
        <w:t>riopatia e alla microangiopatia. A causa della interdipendenza delle molteplici co</w:t>
      </w:r>
      <w:r w:rsidRPr="0046528D">
        <w:t>m</w:t>
      </w:r>
      <w:r w:rsidRPr="0046528D">
        <w:t>plicanze del diabete e dei fattori associati, può essere fuorviante considerare i singoli potenziali fattori di rischio per lo sviluppo delle ulcere del piede poiché, all'analisi univariata, molti fattori predittivi non hanno dimostrato di avere effetti indipendenti sul rischio di ulcere. Diversi studi mostrano un peggiore profilo di rischio cardiov</w:t>
      </w:r>
      <w:r w:rsidRPr="0046528D">
        <w:t>a</w:t>
      </w:r>
      <w:r w:rsidRPr="0046528D">
        <w:t>scolare nei pazienti diabetici con piede diabetico rispetto ai pazienti diabetici senza ulcere del piede, con una maggiore prevalenza dei fattori di rischio cardiovascolari e una più alta prevalenza clinica e subclinica di mortalità cardiovascolare. Il più alto rischio cardiovascolare associato al piede diabetico può essere correlato ad un effetto cumulativo dei fattori di rischio rappresentati dalla neuropatia e dalla arteriopatia p</w:t>
      </w:r>
      <w:r w:rsidRPr="0046528D">
        <w:t>e</w:t>
      </w:r>
      <w:r w:rsidRPr="0046528D">
        <w:t>riferica, che costituiscono due condizioni cliniche recentemente associate ad una maggiore morbilità cardiovascolare, ma un’altra spiegazione può essere riconosciuta nel ruolo della microangiopatia come fattore determinante del rischio vascolare gl</w:t>
      </w:r>
      <w:r w:rsidRPr="0046528D">
        <w:t>o</w:t>
      </w:r>
      <w:r w:rsidRPr="0046528D">
        <w:t>bale. Tuttavia, poiché i gruppi valutati nel nostro studio non erano inizialmente strat</w:t>
      </w:r>
      <w:r w:rsidRPr="0046528D">
        <w:t>i</w:t>
      </w:r>
      <w:r w:rsidRPr="0046528D">
        <w:t xml:space="preserve">ficati per fattori di rischio e malattie cardiovascolari, l’analisi non può essere corretta esattamente per altri potenziali indicatori, specialmente in considerazione del piccolo numero dei pazienti in esame, </w:t>
      </w:r>
      <w:r w:rsidRPr="0046528D">
        <w:rPr>
          <w:color w:val="000000" w:themeColor="text1"/>
        </w:rPr>
        <w:t>e del numero relativamente basso di eventi; per questo motivo, i risultati del nostro studio possono solamente richiamare l’attenzione dei clinici riguardo il fatto che, la diagnosi di piede diabetico deve avviare un’importante ricerca delle malattie e dei fattori di rischio cardiovascolare modificabili.</w:t>
      </w:r>
    </w:p>
    <w:p w14:paraId="7422E4B1" w14:textId="77777777" w:rsidR="00193A7D" w:rsidRPr="0046528D" w:rsidRDefault="00193A7D" w:rsidP="0046528D">
      <w:pPr>
        <w:spacing w:line="360" w:lineRule="auto"/>
        <w:jc w:val="both"/>
      </w:pPr>
      <w:r w:rsidRPr="0046528D">
        <w:t>Sulla base di ciò, sarebbe particolarmente interessante progettare ulteriori studi più ampi che analizzino il ruolo della sindrome del piede diabetico come fattore preditt</w:t>
      </w:r>
      <w:r w:rsidRPr="0046528D">
        <w:t>i</w:t>
      </w:r>
      <w:r w:rsidRPr="0046528D">
        <w:t>vo della morbilità e mortalità cardiovascolare indipendentemente da altri fattori pr</w:t>
      </w:r>
      <w:r w:rsidRPr="0046528D">
        <w:t>e</w:t>
      </w:r>
      <w:r w:rsidRPr="0046528D">
        <w:t>dittivi classici. Poiché il diabete è una patologia sistemica multiorgano, tutte le c</w:t>
      </w:r>
      <w:r w:rsidRPr="0046528D">
        <w:t>o</w:t>
      </w:r>
      <w:r w:rsidRPr="0046528D">
        <w:t>morbilità che influenzano la guarigione delle ferite devono essere valutate e gestite da un team multidisciplinare al fine di migliorare l’outcome nelle ulcere del piede diabetico</w:t>
      </w:r>
      <w:r w:rsidR="00633064" w:rsidRPr="0046528D">
        <w:rPr>
          <w:rStyle w:val="Rimandonotadichiusura"/>
        </w:rPr>
        <w:endnoteReference w:id="152"/>
      </w:r>
      <w:r w:rsidR="00633064" w:rsidRPr="0046528D">
        <w:rPr>
          <w:vertAlign w:val="superscript"/>
        </w:rPr>
        <w:t xml:space="preserve"> </w:t>
      </w:r>
      <w:r w:rsidRPr="0046528D">
        <w:rPr>
          <w:vertAlign w:val="superscript"/>
        </w:rPr>
        <w:endnoteReference w:id="153"/>
      </w:r>
      <w:r w:rsidRPr="0046528D">
        <w:t xml:space="preserve">. Molteplici manifestazioni sistemiche influenzano la guarigione delle ferite. </w:t>
      </w:r>
    </w:p>
    <w:p w14:paraId="79AC4A8A" w14:textId="77777777" w:rsidR="00193A7D" w:rsidRPr="0046528D" w:rsidRDefault="00193A7D" w:rsidP="0046528D">
      <w:pPr>
        <w:spacing w:line="360" w:lineRule="auto"/>
        <w:jc w:val="both"/>
      </w:pPr>
      <w:r w:rsidRPr="0046528D">
        <w:lastRenderedPageBreak/>
        <w:t>Le comorbilità più comuni sono l’iperglicemia, la malattia vascolare, gli eventi cer</w:t>
      </w:r>
      <w:r w:rsidRPr="0046528D">
        <w:t>e</w:t>
      </w:r>
      <w:r w:rsidRPr="0046528D">
        <w:t>brovascolari, gli attacchi ischemici transitori, l’infarto miocardico, l’angina, le valv</w:t>
      </w:r>
      <w:r w:rsidRPr="0046528D">
        <w:t>u</w:t>
      </w:r>
      <w:r w:rsidRPr="0046528D">
        <w:t>lopatie, la fibrillazione atriale, gli aneurismi, l’insufficienza renale, l’ipertensione, l’ipercolesterolemia e l’iperlipidemia</w:t>
      </w:r>
      <w:r w:rsidRPr="0046528D">
        <w:rPr>
          <w:vertAlign w:val="superscript"/>
        </w:rPr>
        <w:endnoteReference w:id="154"/>
      </w:r>
      <w:r w:rsidRPr="0046528D">
        <w:t xml:space="preserve"> </w:t>
      </w:r>
      <w:r w:rsidRPr="0046528D">
        <w:rPr>
          <w:vertAlign w:val="superscript"/>
        </w:rPr>
        <w:endnoteReference w:id="155"/>
      </w:r>
      <w:r w:rsidRPr="0046528D">
        <w:t xml:space="preserve">. </w:t>
      </w:r>
    </w:p>
    <w:p w14:paraId="61B4943B" w14:textId="77777777" w:rsidR="00193A7D" w:rsidRPr="0046528D" w:rsidRDefault="00193A7D" w:rsidP="0046528D">
      <w:pPr>
        <w:spacing w:line="360" w:lineRule="auto"/>
        <w:jc w:val="both"/>
      </w:pPr>
      <w:r w:rsidRPr="0046528D">
        <w:t>La perfusione arteriosa è una componente essenziale nella guarigione delle ferite e deve essere accuratamente valutata nei pazienti con ulcerazioni, in quanto un circolo disvascolare contribuisce in maniera significativa alla mancata guarigione delle ulc</w:t>
      </w:r>
      <w:r w:rsidRPr="0046528D">
        <w:t>e</w:t>
      </w:r>
      <w:r w:rsidRPr="0046528D">
        <w:t>re e al successivo rischio di amputazione. Pertanto, risulta di imprescindibile impo</w:t>
      </w:r>
      <w:r w:rsidRPr="0046528D">
        <w:t>r</w:t>
      </w:r>
      <w:r w:rsidRPr="0046528D">
        <w:t>tanza una precoce valutazione clinica.</w:t>
      </w:r>
    </w:p>
    <w:p w14:paraId="67A77E43" w14:textId="77777777" w:rsidR="00193A7D" w:rsidRPr="0046528D" w:rsidRDefault="00193A7D" w:rsidP="0046528D">
      <w:pPr>
        <w:spacing w:line="360" w:lineRule="auto"/>
        <w:jc w:val="both"/>
      </w:pPr>
      <w:r w:rsidRPr="0046528D">
        <w:t>L’insufficienza vascolare può manifestarsi con diversi segni e sintomi tra cui l’edema, le alterazioni cutanee, la lenta guarigione delle ferite, la presenza di estrem</w:t>
      </w:r>
      <w:r w:rsidRPr="0046528D">
        <w:t>i</w:t>
      </w:r>
      <w:r w:rsidRPr="0046528D">
        <w:t>tà calde o fredde e un’alterazione dei polsi arteriosi.</w:t>
      </w:r>
    </w:p>
    <w:p w14:paraId="1C0E00E8" w14:textId="4586F8DC" w:rsidR="00783145" w:rsidRPr="0046528D" w:rsidRDefault="00193A7D" w:rsidP="0046528D">
      <w:pPr>
        <w:spacing w:line="360" w:lineRule="auto"/>
        <w:jc w:val="both"/>
      </w:pPr>
      <w:r w:rsidRPr="0046528D">
        <w:t>La chirurgia vascolare ricostruttiva degli arti inferiori è in grado di migliorare la pr</w:t>
      </w:r>
      <w:r w:rsidRPr="0046528D">
        <w:t>o</w:t>
      </w:r>
      <w:r w:rsidRPr="0046528D">
        <w:t>gnosi e può risultare necessaria prima del debridement, della chirurgia conservativa del piede e delle amputazioni parziali. Lo stile di vita e i fattori psicosociali possono influenzare la guarigione delle ferite. Ad esempio, il fumo di tabacco condiziona n</w:t>
      </w:r>
      <w:r w:rsidRPr="0046528D">
        <w:t>e</w:t>
      </w:r>
      <w:r w:rsidRPr="0046528D">
        <w:t>gativamente il processo di guarigione delle ferite, in quanto si associa a vasocostr</w:t>
      </w:r>
      <w:r w:rsidRPr="0046528D">
        <w:t>i</w:t>
      </w:r>
      <w:r w:rsidRPr="0046528D">
        <w:t>zione e ad una ridotta ossigenazione del sangue. Altri fattori che devono essere me</w:t>
      </w:r>
      <w:r w:rsidRPr="0046528D">
        <w:t>n</w:t>
      </w:r>
      <w:r w:rsidRPr="0046528D">
        <w:t>zionati sono: l’alcool, l’abuso di droghe, l’obesità, la malnutrizione e l’esercizio fis</w:t>
      </w:r>
      <w:r w:rsidRPr="0046528D">
        <w:t>i</w:t>
      </w:r>
      <w:r w:rsidRPr="0046528D">
        <w:t>co. Anche la depressione e le malattie mentali possono influenzare i risultati della t</w:t>
      </w:r>
      <w:r w:rsidRPr="0046528D">
        <w:t>e</w:t>
      </w:r>
      <w:r w:rsidRPr="0046528D">
        <w:t>rapia, in quanto queste condizioni possono ridurre la compliance del paziente nei confronti del trattamento e di conseguenza le possibilità di guarigione. Non è possib</w:t>
      </w:r>
      <w:r w:rsidRPr="0046528D">
        <w:t>i</w:t>
      </w:r>
      <w:r w:rsidRPr="0046528D">
        <w:t>le prevenire tutte le complicanze del piede diabetico, tuttavia è possibile ridurre s</w:t>
      </w:r>
      <w:r w:rsidRPr="0046528D">
        <w:t>i</w:t>
      </w:r>
      <w:r w:rsidRPr="0046528D">
        <w:t>gnificativamente la loro incidenza mediante un’accurata gestione e mediante pr</w:t>
      </w:r>
      <w:r w:rsidRPr="0046528D">
        <w:t>o</w:t>
      </w:r>
      <w:r w:rsidRPr="0046528D">
        <w:t>grammi di prevenzione. I programmi per una corretta gestione del piede possono r</w:t>
      </w:r>
      <w:r w:rsidRPr="0046528D">
        <w:t>i</w:t>
      </w:r>
      <w:r w:rsidRPr="0046528D">
        <w:t>durre l’incidenza delle ulcere mediante una correzione delle pratiche di auto-medicazione, un’accurata valutazione dei fattori di rischio e la prevenzione di nuove lesioni. In questo programma, inoltre, la chirurgia dovrebbe svolgere un ruolo fo</w:t>
      </w:r>
      <w:r w:rsidRPr="0046528D">
        <w:t>n</w:t>
      </w:r>
      <w:r w:rsidRPr="0046528D">
        <w:t>damentale di sorveglianza continua, educazione e gestione delle lesioni di nuova i</w:t>
      </w:r>
      <w:r w:rsidRPr="0046528D">
        <w:t>n</w:t>
      </w:r>
      <w:r w:rsidRPr="0046528D">
        <w:t>sorgenza o incombenti. Pertanto, è possibile ottenere una considerevole riduzione delle amputazioni, minori e maggiori, nei pazienti diabetici qualora i medici condiv</w:t>
      </w:r>
      <w:r w:rsidRPr="0046528D">
        <w:t>i</w:t>
      </w:r>
      <w:r w:rsidRPr="0046528D">
        <w:t>dano queste nozioni incorporandole nella gestione quotidiana dei pazienti.</w:t>
      </w:r>
    </w:p>
    <w:p w14:paraId="215BD25E" w14:textId="77777777" w:rsidR="00C05520" w:rsidRDefault="00C05520" w:rsidP="0046528D">
      <w:pPr>
        <w:spacing w:line="360" w:lineRule="auto"/>
        <w:jc w:val="both"/>
        <w:rPr>
          <w:b/>
        </w:rPr>
      </w:pPr>
    </w:p>
    <w:p w14:paraId="5AA2254E" w14:textId="77777777" w:rsidR="00C05520" w:rsidRDefault="00C05520" w:rsidP="0046528D">
      <w:pPr>
        <w:spacing w:line="360" w:lineRule="auto"/>
        <w:jc w:val="both"/>
        <w:rPr>
          <w:b/>
        </w:rPr>
      </w:pPr>
    </w:p>
    <w:p w14:paraId="60458F48" w14:textId="77777777" w:rsidR="00193A7D" w:rsidRPr="0046528D" w:rsidRDefault="00C447E5" w:rsidP="0046528D">
      <w:pPr>
        <w:spacing w:line="360" w:lineRule="auto"/>
        <w:jc w:val="both"/>
        <w:rPr>
          <w:b/>
        </w:rPr>
      </w:pPr>
      <w:r w:rsidRPr="0046528D">
        <w:rPr>
          <w:b/>
        </w:rPr>
        <w:lastRenderedPageBreak/>
        <w:t>Capitolo 2</w:t>
      </w:r>
      <w:r w:rsidR="00193A7D" w:rsidRPr="0046528D">
        <w:rPr>
          <w:b/>
        </w:rPr>
        <w:t xml:space="preserve"> – La Disfunzione Endoteliale</w:t>
      </w:r>
    </w:p>
    <w:p w14:paraId="6796B68A" w14:textId="77777777" w:rsidR="00193A7D" w:rsidRPr="0046528D" w:rsidRDefault="00193A7D" w:rsidP="0046528D">
      <w:pPr>
        <w:spacing w:line="360" w:lineRule="auto"/>
        <w:jc w:val="both"/>
      </w:pPr>
    </w:p>
    <w:p w14:paraId="1BE5AFDD" w14:textId="77777777" w:rsidR="00193A7D" w:rsidRPr="0046528D" w:rsidRDefault="00C447E5" w:rsidP="0046528D">
      <w:pPr>
        <w:spacing w:line="360" w:lineRule="auto"/>
        <w:jc w:val="both"/>
        <w:rPr>
          <w:b/>
        </w:rPr>
      </w:pPr>
      <w:r w:rsidRPr="0046528D">
        <w:rPr>
          <w:b/>
        </w:rPr>
        <w:t>2</w:t>
      </w:r>
      <w:r w:rsidR="0068562E" w:rsidRPr="0046528D">
        <w:rPr>
          <w:b/>
        </w:rPr>
        <w:t>.1 La Fisiologia dell’e</w:t>
      </w:r>
      <w:r w:rsidR="00193A7D" w:rsidRPr="0046528D">
        <w:rPr>
          <w:b/>
        </w:rPr>
        <w:t>ndotelio</w:t>
      </w:r>
    </w:p>
    <w:p w14:paraId="5598820F" w14:textId="77777777" w:rsidR="00193A7D" w:rsidRPr="0046528D" w:rsidRDefault="00193A7D" w:rsidP="0046528D">
      <w:pPr>
        <w:spacing w:line="360" w:lineRule="auto"/>
        <w:jc w:val="both"/>
      </w:pPr>
      <w:r w:rsidRPr="0046528D">
        <w:t>L’endotelio, fino a non molti anni fa, era considerato una semplice tonaca di rivest</w:t>
      </w:r>
      <w:r w:rsidRPr="0046528D">
        <w:t>i</w:t>
      </w:r>
      <w:r w:rsidRPr="0046528D">
        <w:t>mento monocellulare della parete vascolare in grado di separare il sangue circolante dalle altre tonache.</w:t>
      </w:r>
    </w:p>
    <w:p w14:paraId="56C24BF2" w14:textId="77777777" w:rsidR="00193A7D" w:rsidRPr="0046528D" w:rsidRDefault="00193A7D" w:rsidP="0046528D">
      <w:pPr>
        <w:spacing w:line="360" w:lineRule="auto"/>
        <w:jc w:val="both"/>
      </w:pPr>
      <w:r w:rsidRPr="0046528D">
        <w:t>Oggi, in realtà, la ricerca scientifica ha dimostrato che le cellule endoteliali svolgono importanti funzioni tra cui la regolazione del tono, della struttura e della permeabilità vascolare, la mitogenesi, l’angiogenesi, il bilancio della fluidità ematica, la regol</w:t>
      </w:r>
      <w:r w:rsidRPr="0046528D">
        <w:t>a</w:t>
      </w:r>
      <w:r w:rsidRPr="0046528D">
        <w:t>zione dell’infiammazione e l’attivazione piastrinica; tali evidenze hanno permesso, dunque, di considerare l’endotelio un organo autocrino-paracrino; esso, infatti, in condizioni fisiologiche agisce in risposta a stimoli umorali, nervosi e meccanici ese</w:t>
      </w:r>
      <w:r w:rsidRPr="0046528D">
        <w:t>r</w:t>
      </w:r>
      <w:r w:rsidRPr="0046528D">
        <w:t>citando un ruolo attivo nell’interscambio cellulare con capacità di adattarsi funzi</w:t>
      </w:r>
      <w:r w:rsidRPr="0046528D">
        <w:t>o</w:t>
      </w:r>
      <w:r w:rsidRPr="0046528D">
        <w:t>nalmente e strutturalmente alle variazioni del microambiente</w:t>
      </w:r>
      <w:r w:rsidR="00AD5FF9" w:rsidRPr="0046528D">
        <w:rPr>
          <w:rStyle w:val="Rimandonotadichiusura"/>
        </w:rPr>
        <w:endnoteReference w:id="156"/>
      </w:r>
      <w:r w:rsidRPr="0046528D">
        <w:t>.</w:t>
      </w:r>
    </w:p>
    <w:p w14:paraId="76E85C3A" w14:textId="77777777" w:rsidR="00193A7D" w:rsidRPr="0046528D" w:rsidRDefault="00193A7D" w:rsidP="0046528D">
      <w:pPr>
        <w:spacing w:line="360" w:lineRule="auto"/>
        <w:jc w:val="both"/>
      </w:pPr>
      <w:r w:rsidRPr="0046528D">
        <w:t>La più importante sostanza vasodilatatrice prodotta dalle cellule endoteliali è l’ossido nitrico (NO) che origina dal catabolismo della L-arginina ad opera di un enzima c</w:t>
      </w:r>
      <w:r w:rsidRPr="0046528D">
        <w:t>o</w:t>
      </w:r>
      <w:r w:rsidRPr="0046528D">
        <w:t>stitutivo chiamato NO-sintetasi (eNOS)</w:t>
      </w:r>
      <w:r w:rsidR="00C93C38" w:rsidRPr="0046528D">
        <w:rPr>
          <w:rStyle w:val="Rimandonotadichiusura"/>
        </w:rPr>
        <w:endnoteReference w:id="157"/>
      </w:r>
      <w:r w:rsidRPr="0046528D">
        <w:t xml:space="preserve">. </w:t>
      </w:r>
    </w:p>
    <w:p w14:paraId="4B270AB1" w14:textId="77777777" w:rsidR="00193A7D" w:rsidRPr="0046528D" w:rsidRDefault="00193A7D" w:rsidP="0046528D">
      <w:pPr>
        <w:spacing w:line="360" w:lineRule="auto"/>
        <w:jc w:val="both"/>
      </w:pPr>
      <w:r w:rsidRPr="0046528D">
        <w:t>Oltre ad essere un potente vasodilatatore, l’ossido nitrico svolge le funzioni di inib</w:t>
      </w:r>
      <w:r w:rsidRPr="0046528D">
        <w:t>i</w:t>
      </w:r>
      <w:r w:rsidRPr="0046528D">
        <w:t>zione della crescita cellulare, inibizione dell’infiammazione e antiaggregazione, a</w:t>
      </w:r>
      <w:r w:rsidRPr="0046528D">
        <w:t>s</w:t>
      </w:r>
      <w:r w:rsidRPr="0046528D">
        <w:t>sumendo il ruolo di molecola chiave della funzione endoteliale.</w:t>
      </w:r>
    </w:p>
    <w:p w14:paraId="33D1F840" w14:textId="77777777" w:rsidR="00193A7D" w:rsidRPr="0046528D" w:rsidRDefault="00193A7D" w:rsidP="0046528D">
      <w:pPr>
        <w:spacing w:line="360" w:lineRule="auto"/>
        <w:jc w:val="both"/>
      </w:pPr>
      <w:r w:rsidRPr="0046528D">
        <w:t>La eNOS è in grado di sintetizzare grandi quantità di NO in pochi secondi, in risp</w:t>
      </w:r>
      <w:r w:rsidRPr="0046528D">
        <w:t>o</w:t>
      </w:r>
      <w:r w:rsidRPr="0046528D">
        <w:t>sta ad agonisti recettoriali quali l’acetilcolina, la bradichinina, la sostanza P, la ser</w:t>
      </w:r>
      <w:r w:rsidRPr="0046528D">
        <w:t>o</w:t>
      </w:r>
      <w:r w:rsidRPr="0046528D">
        <w:t>tonina e altre sostanze che agiscono su recettori specifici, oppure in risposta allo shear stress di parete che attiva rapidamente i canali ionici del potassio calcio-dipendenti presenti sulla superficie endoteliale e sensibili alla forza tangenziale del flusso ematico sulla parete vasale ad azione agonista sull’endotelio. Il NO diffonde quindi rapidamente verso le sottostanti cellule muscolari lisce determinando ril</w:t>
      </w:r>
      <w:r w:rsidRPr="0046528D">
        <w:t>a</w:t>
      </w:r>
      <w:r w:rsidRPr="0046528D">
        <w:t>sciamento attraverso l’aumento intracellulare di cGMP e la conseguente riduzione del calcio intracellulare.</w:t>
      </w:r>
    </w:p>
    <w:p w14:paraId="192D81D3" w14:textId="77777777" w:rsidR="00193A7D" w:rsidRPr="0046528D" w:rsidRDefault="00193A7D" w:rsidP="0046528D">
      <w:pPr>
        <w:spacing w:line="360" w:lineRule="auto"/>
        <w:jc w:val="both"/>
      </w:pPr>
      <w:r w:rsidRPr="0046528D">
        <w:t>Il NO e le molecole d’adesione dell’endotelio quali ICAM-1, VCAM-1 ed E-selectin sono, inoltre, considerati anche modulatori dell’infiammazione.</w:t>
      </w:r>
    </w:p>
    <w:p w14:paraId="01DA3593" w14:textId="77777777" w:rsidR="00193A7D" w:rsidRPr="0046528D" w:rsidRDefault="00193A7D" w:rsidP="0046528D">
      <w:pPr>
        <w:spacing w:line="360" w:lineRule="auto"/>
        <w:jc w:val="both"/>
      </w:pPr>
      <w:r w:rsidRPr="0046528D">
        <w:t>Altre sostanze vasodilatatrici che contribuiscono allo svolgimento della funzione omeostatica dell’endotelio sono la prostaciclina, il peptide natriuretico di tipo C e il fattore iperpolarizzante endoteliale (EDHF); quest’ultima sostanza sembra rapprese</w:t>
      </w:r>
      <w:r w:rsidRPr="0046528D">
        <w:t>n</w:t>
      </w:r>
      <w:r w:rsidRPr="0046528D">
        <w:lastRenderedPageBreak/>
        <w:t>tare un meccanismo vasodilatante di compenso ad una ridotta biodisponibilità di NO</w:t>
      </w:r>
      <w:r w:rsidRPr="0046528D">
        <w:rPr>
          <w:vertAlign w:val="superscript"/>
        </w:rPr>
        <w:endnoteReference w:id="158"/>
      </w:r>
      <w:r w:rsidRPr="0046528D">
        <w:t>.</w:t>
      </w:r>
    </w:p>
    <w:p w14:paraId="2B460B8A" w14:textId="77777777" w:rsidR="00193A7D" w:rsidRPr="0046528D" w:rsidRDefault="00193A7D" w:rsidP="0046528D">
      <w:pPr>
        <w:spacing w:line="360" w:lineRule="auto"/>
        <w:jc w:val="both"/>
      </w:pPr>
      <w:r w:rsidRPr="0046528D">
        <w:t>La prostaciclina (PGI2) è una prostaglandina prodotta dall’endotelio vascolare tram</w:t>
      </w:r>
      <w:r w:rsidRPr="0046528D">
        <w:t>i</w:t>
      </w:r>
      <w:r w:rsidRPr="0046528D">
        <w:t>te la ciclossigenasi 2 (COX2) a partire dall’acido arachidonico; essa risulta essere il più potente antiaggregante naturale e provoca, altresì, vasodilatazione in tutti i d</w:t>
      </w:r>
      <w:r w:rsidRPr="0046528D">
        <w:t>i</w:t>
      </w:r>
      <w:r w:rsidRPr="0046528D">
        <w:t>stretti vascolari, compresi quelli coronarico e polmonare.</w:t>
      </w:r>
    </w:p>
    <w:p w14:paraId="39357D62" w14:textId="77777777" w:rsidR="00193A7D" w:rsidRPr="0046528D" w:rsidRDefault="00193A7D" w:rsidP="0046528D">
      <w:pPr>
        <w:spacing w:line="360" w:lineRule="auto"/>
        <w:jc w:val="both"/>
      </w:pPr>
      <w:r w:rsidRPr="0046528D">
        <w:t>L’endotelio è in grado di produrre sostanze vasocostrittrici tra cui l’endotelina-1 (ET-1), l’angiotensina II (AngII), il trombossano A2 (TXA2) e le specie reattive dell’ossigeno (ROS)</w:t>
      </w:r>
      <w:r w:rsidRPr="0046528D">
        <w:rPr>
          <w:vertAlign w:val="superscript"/>
        </w:rPr>
        <w:endnoteReference w:id="159"/>
      </w:r>
      <w:r w:rsidR="00A64DE1" w:rsidRPr="0046528D">
        <w:t xml:space="preserve"> </w:t>
      </w:r>
      <w:r w:rsidRPr="0046528D">
        <w:rPr>
          <w:vertAlign w:val="superscript"/>
        </w:rPr>
        <w:endnoteReference w:id="160"/>
      </w:r>
      <w:r w:rsidRPr="0046528D">
        <w:t xml:space="preserve"> .</w:t>
      </w:r>
    </w:p>
    <w:p w14:paraId="5417F7AF" w14:textId="77777777" w:rsidR="00193A7D" w:rsidRPr="0046528D" w:rsidRDefault="00193A7D" w:rsidP="0046528D">
      <w:pPr>
        <w:spacing w:line="360" w:lineRule="auto"/>
        <w:jc w:val="both"/>
      </w:pPr>
      <w:r w:rsidRPr="0046528D">
        <w:t>L’endotelina-1 è la più potente sostanza vasocostrittrice di produzione endoteliale ed agisce su recettori specifici denominati ETA ed ETB. I recettori ETA sono presenti solo sulle cellule muscolari lisce e causano vasocostrizione e crescita cellulare, me</w:t>
      </w:r>
      <w:r w:rsidRPr="0046528D">
        <w:t>n</w:t>
      </w:r>
      <w:r w:rsidRPr="0046528D">
        <w:t>tre i recettori ETB sono presenti sia sulle cellule muscolari lisce, dove inducono v</w:t>
      </w:r>
      <w:r w:rsidRPr="0046528D">
        <w:t>a</w:t>
      </w:r>
      <w:r w:rsidRPr="0046528D">
        <w:t>socostrizione, che sull’endotelio, dove determinano dilatazione stimolando la prod</w:t>
      </w:r>
      <w:r w:rsidRPr="0046528D">
        <w:t>u</w:t>
      </w:r>
      <w:r w:rsidRPr="0046528D">
        <w:t>zione di NO, che agisce da feedback negativo inibendo l’ulteriore produzione di ET-1.</w:t>
      </w:r>
    </w:p>
    <w:p w14:paraId="3685E1AC" w14:textId="77777777" w:rsidR="00193A7D" w:rsidRPr="0046528D" w:rsidRDefault="00193A7D" w:rsidP="0046528D">
      <w:pPr>
        <w:spacing w:line="360" w:lineRule="auto"/>
        <w:jc w:val="both"/>
      </w:pPr>
      <w:r w:rsidRPr="0046528D">
        <w:t>Altri fattori di produzione endoteliale implicati nel controllo dell’equilibrio omeost</w:t>
      </w:r>
      <w:r w:rsidRPr="0046528D">
        <w:t>a</w:t>
      </w:r>
      <w:r w:rsidRPr="0046528D">
        <w:t>tico vasale sono i regolatori dell’emostasi tra cui l’attivatore tissutale del plasmin</w:t>
      </w:r>
      <w:r w:rsidRPr="0046528D">
        <w:t>o</w:t>
      </w:r>
      <w:r w:rsidRPr="0046528D">
        <w:t>geno (tPA), il tissue factor pathway inhibitor (TFPI), il fattore di Von Willebrand (vWF), l’inibitore dell’attivatore del plasminogeno-1 (PAI-1) e il fibrinogeno.</w:t>
      </w:r>
    </w:p>
    <w:p w14:paraId="492F48F1" w14:textId="77777777" w:rsidR="00193A7D" w:rsidRPr="0046528D" w:rsidRDefault="00193A7D" w:rsidP="0046528D">
      <w:pPr>
        <w:spacing w:line="360" w:lineRule="auto"/>
        <w:jc w:val="both"/>
      </w:pPr>
      <w:r w:rsidRPr="0046528D">
        <w:t xml:space="preserve">La normale funzione fisiologica di regolatore omeostatico dell’endotelio dipende sia dalla continuità anatomica del monostrato cellulare ma soprattutto dalla sua integrità funzionale. </w:t>
      </w:r>
    </w:p>
    <w:p w14:paraId="360E2E00" w14:textId="77777777" w:rsidR="00193A7D" w:rsidRPr="0046528D" w:rsidRDefault="00193A7D" w:rsidP="0046528D">
      <w:pPr>
        <w:spacing w:line="360" w:lineRule="auto"/>
        <w:jc w:val="both"/>
      </w:pPr>
      <w:r w:rsidRPr="0046528D">
        <w:t>La disfunzione endoteliale è stata descritta per la prima volta nell’uomo nel 1990 a livello dell’arteria brachiale di soggetti ipertesi</w:t>
      </w:r>
      <w:r w:rsidRPr="0046528D">
        <w:rPr>
          <w:vertAlign w:val="superscript"/>
        </w:rPr>
        <w:endnoteReference w:id="161"/>
      </w:r>
      <w:r w:rsidR="00A64DE1" w:rsidRPr="0046528D">
        <w:t xml:space="preserve"> </w:t>
      </w:r>
      <w:r w:rsidRPr="0046528D">
        <w:rPr>
          <w:vertAlign w:val="superscript"/>
        </w:rPr>
        <w:endnoteReference w:id="162"/>
      </w:r>
      <w:r w:rsidRPr="0046528D">
        <w:t xml:space="preserve"> ed è stata successivamente a</w:t>
      </w:r>
      <w:r w:rsidRPr="0046528D">
        <w:t>s</w:t>
      </w:r>
      <w:r w:rsidRPr="0046528D">
        <w:t>sociata al diabete di tipo 1</w:t>
      </w:r>
      <w:r w:rsidRPr="0046528D">
        <w:rPr>
          <w:vertAlign w:val="superscript"/>
        </w:rPr>
        <w:endnoteReference w:id="163"/>
      </w:r>
      <w:r w:rsidR="00A64DE1" w:rsidRPr="0046528D">
        <w:t xml:space="preserve"> </w:t>
      </w:r>
      <w:r w:rsidRPr="0046528D">
        <w:rPr>
          <w:vertAlign w:val="superscript"/>
        </w:rPr>
        <w:endnoteReference w:id="164"/>
      </w:r>
      <w:r w:rsidRPr="0046528D">
        <w:t>, alla presenza di malattia coronarica</w:t>
      </w:r>
      <w:r w:rsidRPr="0046528D">
        <w:rPr>
          <w:vertAlign w:val="superscript"/>
        </w:rPr>
        <w:endnoteReference w:id="165"/>
      </w:r>
      <w:r w:rsidRPr="0046528D">
        <w:t xml:space="preserve"> ed allo sco</w:t>
      </w:r>
      <w:r w:rsidRPr="0046528D">
        <w:t>m</w:t>
      </w:r>
      <w:r w:rsidRPr="0046528D">
        <w:t>penso cardiaco</w:t>
      </w:r>
      <w:r w:rsidRPr="0046528D">
        <w:rPr>
          <w:vertAlign w:val="superscript"/>
        </w:rPr>
        <w:endnoteReference w:id="166"/>
      </w:r>
      <w:r w:rsidRPr="0046528D">
        <w:t>, in particolare si è visto che la disfunzione endoteliale può preced</w:t>
      </w:r>
      <w:r w:rsidRPr="0046528D">
        <w:t>e</w:t>
      </w:r>
      <w:r w:rsidRPr="0046528D">
        <w:t>re nel tempo le manifestazioni cliniche dell’aterosclerosi coronarica</w:t>
      </w:r>
      <w:r w:rsidRPr="0046528D">
        <w:rPr>
          <w:vertAlign w:val="superscript"/>
        </w:rPr>
        <w:endnoteReference w:id="167"/>
      </w:r>
      <w:r w:rsidRPr="0046528D">
        <w:t>.</w:t>
      </w:r>
    </w:p>
    <w:p w14:paraId="590797C8" w14:textId="77777777" w:rsidR="00193A7D" w:rsidRPr="0046528D" w:rsidRDefault="00193A7D" w:rsidP="0046528D">
      <w:pPr>
        <w:spacing w:line="360" w:lineRule="auto"/>
        <w:jc w:val="both"/>
      </w:pPr>
    </w:p>
    <w:p w14:paraId="1356AF12" w14:textId="77777777" w:rsidR="00193A7D" w:rsidRPr="0046528D" w:rsidRDefault="00193A7D" w:rsidP="0046528D">
      <w:pPr>
        <w:spacing w:line="360" w:lineRule="auto"/>
        <w:jc w:val="both"/>
        <w:rPr>
          <w:b/>
        </w:rPr>
      </w:pPr>
      <w:r w:rsidRPr="0046528D">
        <w:rPr>
          <w:noProof/>
        </w:rPr>
        <w:lastRenderedPageBreak/>
        <w:drawing>
          <wp:anchor distT="0" distB="0" distL="114300" distR="114300" simplePos="0" relativeHeight="251668480" behindDoc="0" locked="0" layoutInCell="1" allowOverlap="1" wp14:anchorId="674D4237" wp14:editId="19F21F02">
            <wp:simplePos x="0" y="0"/>
            <wp:positionH relativeFrom="column">
              <wp:posOffset>48030</wp:posOffset>
            </wp:positionH>
            <wp:positionV relativeFrom="paragraph">
              <wp:posOffset>162</wp:posOffset>
            </wp:positionV>
            <wp:extent cx="4947285" cy="4530725"/>
            <wp:effectExtent l="0" t="0" r="5715" b="3175"/>
            <wp:wrapSquare wrapText="bothSides"/>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chermata 2020-08-25 alle 12.45.16.png"/>
                    <pic:cNvPicPr/>
                  </pic:nvPicPr>
                  <pic:blipFill>
                    <a:blip r:embed="rId18">
                      <a:extLst>
                        <a:ext uri="{BEBA8EAE-BF5A-486C-A8C5-ECC9F3942E4B}">
                          <a14:imgProps xmlns:a14="http://schemas.microsoft.com/office/drawing/2010/main">
                            <a14:imgLayer r:embed="rId19">
                              <a14:imgEffect>
                                <a14:sharpenSoften amount="61000"/>
                              </a14:imgEffect>
                            </a14:imgLayer>
                          </a14:imgProps>
                        </a:ext>
                        <a:ext uri="{28A0092B-C50C-407E-A947-70E740481C1C}">
                          <a14:useLocalDpi xmlns:a14="http://schemas.microsoft.com/office/drawing/2010/main" val="0"/>
                        </a:ext>
                      </a:extLst>
                    </a:blip>
                    <a:stretch>
                      <a:fillRect/>
                    </a:stretch>
                  </pic:blipFill>
                  <pic:spPr>
                    <a:xfrm>
                      <a:off x="0" y="0"/>
                      <a:ext cx="4947285" cy="4530725"/>
                    </a:xfrm>
                    <a:prstGeom prst="rect">
                      <a:avLst/>
                    </a:prstGeom>
                  </pic:spPr>
                </pic:pic>
              </a:graphicData>
            </a:graphic>
            <wp14:sizeRelH relativeFrom="page">
              <wp14:pctWidth>0</wp14:pctWidth>
            </wp14:sizeRelH>
            <wp14:sizeRelV relativeFrom="page">
              <wp14:pctHeight>0</wp14:pctHeight>
            </wp14:sizeRelV>
          </wp:anchor>
        </w:drawing>
      </w:r>
    </w:p>
    <w:p w14:paraId="7F871017" w14:textId="77777777" w:rsidR="00193A7D" w:rsidRPr="0046528D" w:rsidRDefault="00C447E5" w:rsidP="0046528D">
      <w:pPr>
        <w:spacing w:line="360" w:lineRule="auto"/>
        <w:jc w:val="both"/>
        <w:rPr>
          <w:b/>
        </w:rPr>
      </w:pPr>
      <w:r w:rsidRPr="0046528D">
        <w:rPr>
          <w:b/>
        </w:rPr>
        <w:t>2</w:t>
      </w:r>
      <w:r w:rsidR="00193A7D" w:rsidRPr="0046528D">
        <w:rPr>
          <w:b/>
        </w:rPr>
        <w:t>.2 La patogenesi della disfunzione endoteliale</w:t>
      </w:r>
    </w:p>
    <w:p w14:paraId="7B81384A" w14:textId="77777777" w:rsidR="00193A7D" w:rsidRPr="0046528D" w:rsidRDefault="00193A7D" w:rsidP="0046528D">
      <w:pPr>
        <w:spacing w:line="360" w:lineRule="auto"/>
        <w:jc w:val="both"/>
      </w:pPr>
      <w:r w:rsidRPr="0046528D">
        <w:t>La disfunzione endoteliale è una condizione caratterizzata da una compromissione della risposta vasomotoria ai principali stimoli vasodilatatori endotelio-dipendenti e da un’attività pro-infiammatoria e pro-coagulante dell’endotelio.</w:t>
      </w:r>
    </w:p>
    <w:p w14:paraId="27596B7E" w14:textId="77777777" w:rsidR="00193A7D" w:rsidRPr="0046528D" w:rsidRDefault="00193A7D" w:rsidP="0046528D">
      <w:pPr>
        <w:spacing w:line="360" w:lineRule="auto"/>
        <w:jc w:val="both"/>
      </w:pPr>
      <w:r w:rsidRPr="0046528D">
        <w:t>La patogenesi della disfunzione endoteliale si esplica in fenomeni complessi ed art</w:t>
      </w:r>
      <w:r w:rsidRPr="0046528D">
        <w:t>i</w:t>
      </w:r>
      <w:r w:rsidRPr="0046528D">
        <w:t>colati, che coinvolgono diversi meccanismi il cui effetto è la promozione dell’aterosclerosi mediante l’up regolation delle molecole di adesione dei leucociti, l’aumentata secrezione di chemochine come MCP-1(macrophage chemoattractant peptide-1), l’aumento della permeabilità vasale, l’eccessiva ossidazione a carico delle LDL, l’accumulo di dimetilarginina asimmetrica; vengono promosse, altresì, la vas</w:t>
      </w:r>
      <w:r w:rsidRPr="0046528D">
        <w:t>o</w:t>
      </w:r>
      <w:r w:rsidRPr="0046528D">
        <w:t>costrizione, l’iperaggregazione piastrinica, la proliferazione e migrazione delle cell</w:t>
      </w:r>
      <w:r w:rsidRPr="0046528D">
        <w:t>u</w:t>
      </w:r>
      <w:r w:rsidRPr="0046528D">
        <w:t>le muscolari lisce.</w:t>
      </w:r>
    </w:p>
    <w:p w14:paraId="2C7D76F3" w14:textId="77777777" w:rsidR="00193A7D" w:rsidRPr="0046528D" w:rsidRDefault="00193A7D" w:rsidP="0046528D">
      <w:pPr>
        <w:spacing w:line="360" w:lineRule="auto"/>
        <w:jc w:val="both"/>
      </w:pPr>
      <w:r w:rsidRPr="0046528D">
        <w:t xml:space="preserve">I meccanismi alla base della disfunzione endoteliale hanno come epicentro la ridotta produzione e/o biodisponibilità di NO che determina uno squilibrio fra sostanze con </w:t>
      </w:r>
      <w:r w:rsidRPr="0046528D">
        <w:lastRenderedPageBreak/>
        <w:t>azione vasodilatante e vasocostrittrice secrete dall’endotelio, che conduce a un ecce</w:t>
      </w:r>
      <w:r w:rsidRPr="0046528D">
        <w:t>s</w:t>
      </w:r>
      <w:r w:rsidRPr="0046528D">
        <w:t xml:space="preserve">so ossidativo e un’aumentata azione svolta dall’ET-1 </w:t>
      </w:r>
      <w:r w:rsidRPr="0046528D">
        <w:rPr>
          <w:vertAlign w:val="superscript"/>
        </w:rPr>
        <w:endnoteReference w:id="168"/>
      </w:r>
      <w:r w:rsidRPr="0046528D">
        <w:t>;</w:t>
      </w:r>
    </w:p>
    <w:p w14:paraId="64490844" w14:textId="77777777" w:rsidR="00193A7D" w:rsidRPr="0046528D" w:rsidRDefault="00193A7D" w:rsidP="0046528D">
      <w:pPr>
        <w:spacing w:line="360" w:lineRule="auto"/>
        <w:jc w:val="both"/>
      </w:pPr>
      <w:r w:rsidRPr="0046528D">
        <w:t>In presenza di fattori di rischio cardiovascolare, il ruolo protettivo dell’endotelio sembra alterarsi, configurando il quadro della cosiddetta disfunzione endoteliale.</w:t>
      </w:r>
    </w:p>
    <w:p w14:paraId="60CEF730" w14:textId="34D23F68" w:rsidR="00193A7D" w:rsidRPr="0046528D" w:rsidRDefault="00193A7D" w:rsidP="0046528D">
      <w:pPr>
        <w:spacing w:line="360" w:lineRule="auto"/>
        <w:jc w:val="both"/>
      </w:pPr>
      <w:r w:rsidRPr="0046528D">
        <w:t>Sia i fattori di rischio</w:t>
      </w:r>
      <w:r w:rsidR="007D14DC">
        <w:t>,</w:t>
      </w:r>
      <w:r w:rsidRPr="0046528D">
        <w:t xml:space="preserve"> scoperti più recentemente</w:t>
      </w:r>
      <w:r w:rsidR="007D14DC">
        <w:t>,</w:t>
      </w:r>
      <w:r w:rsidRPr="0046528D">
        <w:t xml:space="preserve"> ma anche quelli più tradizionali tra cui fumo, età, ipercolesterolemia, ipertensione, iperglicemia e un storia familiare di precoce malattia aterosclerotica sono tutti associati ad alterazione della funzione e</w:t>
      </w:r>
      <w:r w:rsidRPr="0046528D">
        <w:t>n</w:t>
      </w:r>
      <w:r w:rsidRPr="0046528D">
        <w:t xml:space="preserve">doteliale </w:t>
      </w:r>
      <w:r w:rsidRPr="0046528D">
        <w:rPr>
          <w:vertAlign w:val="superscript"/>
        </w:rPr>
        <w:endnoteReference w:id="169"/>
      </w:r>
      <w:r w:rsidR="00B20E44" w:rsidRPr="0046528D">
        <w:t xml:space="preserve"> </w:t>
      </w:r>
      <w:r w:rsidRPr="0046528D">
        <w:rPr>
          <w:vertAlign w:val="superscript"/>
        </w:rPr>
        <w:endnoteReference w:id="170"/>
      </w:r>
      <w:r w:rsidR="00B20E44" w:rsidRPr="0046528D">
        <w:t xml:space="preserve"> </w:t>
      </w:r>
      <w:r w:rsidRPr="0046528D">
        <w:rPr>
          <w:vertAlign w:val="superscript"/>
        </w:rPr>
        <w:endnoteReference w:id="171"/>
      </w:r>
      <w:r w:rsidRPr="0046528D">
        <w:t>.</w:t>
      </w:r>
    </w:p>
    <w:p w14:paraId="7EEDC825" w14:textId="77777777" w:rsidR="00193A7D" w:rsidRPr="0046528D" w:rsidRDefault="00193A7D" w:rsidP="0046528D">
      <w:pPr>
        <w:spacing w:line="360" w:lineRule="auto"/>
        <w:jc w:val="both"/>
      </w:pPr>
      <w:r w:rsidRPr="0046528D">
        <w:t>Quando i fattori di rischio sono trattati la disfunzione endoteliale regredisce ed essa rappresenta un fattore indipendente predittivo di eventi cardiovascolari.</w:t>
      </w:r>
    </w:p>
    <w:p w14:paraId="0324403C" w14:textId="77777777" w:rsidR="00193A7D" w:rsidRPr="0046528D" w:rsidRDefault="00193A7D" w:rsidP="0046528D">
      <w:pPr>
        <w:spacing w:line="360" w:lineRule="auto"/>
        <w:jc w:val="both"/>
      </w:pPr>
      <w:r w:rsidRPr="0046528D">
        <w:t>Un ruolo preminente nella disfunzione endoteliale va assegnato all’inattivazione dell’NO da parte dei radicali liberi dell’ossigeno. Le specie reattive dell’ossigeno reagiscono con l’NO producendo perossinitriti, molecole cito-ossidanti che, tramite la nitrazione delle proteine cellulari endoteliali, ne alterano la funzione; i perossinitr</w:t>
      </w:r>
      <w:r w:rsidRPr="0046528D">
        <w:t>i</w:t>
      </w:r>
      <w:r w:rsidRPr="0046528D">
        <w:t xml:space="preserve">ti sono anche coinvolti nell’ossidazione delle LDL, che aumentano così il loro effetto pro-aterogeno </w:t>
      </w:r>
      <w:r w:rsidRPr="0046528D">
        <w:rPr>
          <w:vertAlign w:val="superscript"/>
        </w:rPr>
        <w:endnoteReference w:id="172"/>
      </w:r>
      <w:r w:rsidRPr="0046528D">
        <w:t xml:space="preserve"> e riducono a loro volta la biodisponibilità di NO inibendone la via biosintetica tramite una alterazione della conformazione dei recettori Gi-dipendenti, con conseguente mancata attivazione della eNOS, oppure inattivando direttamente lo NO per un eccesso di anione superossido. In modelli animali di ipertensione, un e</w:t>
      </w:r>
      <w:r w:rsidRPr="0046528D">
        <w:t>c</w:t>
      </w:r>
      <w:r w:rsidRPr="0046528D">
        <w:t>cesso ossidativo caratterizzato da produzione di elevate quantità di radicali liberi so</w:t>
      </w:r>
      <w:r w:rsidRPr="0046528D">
        <w:t>t</w:t>
      </w:r>
      <w:r w:rsidRPr="0046528D">
        <w:t>to forma di anione superossido, perossido di idrogeno e radicale ossidrilico, è ass</w:t>
      </w:r>
      <w:r w:rsidRPr="0046528D">
        <w:t>o</w:t>
      </w:r>
      <w:r w:rsidRPr="0046528D">
        <w:t>ciato a disfunzione endoteliale, come dimostrato da un miglioramento della vasodil</w:t>
      </w:r>
      <w:r w:rsidRPr="0046528D">
        <w:t>a</w:t>
      </w:r>
      <w:r w:rsidRPr="0046528D">
        <w:t xml:space="preserve">tazione endotelio-dipendente dopo l’uso di antiossidanti </w:t>
      </w:r>
      <w:r w:rsidRPr="0046528D">
        <w:rPr>
          <w:vertAlign w:val="superscript"/>
        </w:rPr>
        <w:endnoteReference w:id="173"/>
      </w:r>
      <w:r w:rsidRPr="0046528D">
        <w:t>.</w:t>
      </w:r>
    </w:p>
    <w:p w14:paraId="20C0FCF7" w14:textId="77777777" w:rsidR="00193A7D" w:rsidRPr="0046528D" w:rsidRDefault="00193A7D" w:rsidP="0046528D">
      <w:pPr>
        <w:spacing w:line="360" w:lineRule="auto"/>
        <w:jc w:val="both"/>
      </w:pPr>
      <w:r w:rsidRPr="0046528D">
        <w:t>L’eccesso ossidativo si associa inoltre ad aumento dei processi infiammatori e della formazione di trombi e la sua entità correla con il grado di riduzione della vasodil</w:t>
      </w:r>
      <w:r w:rsidRPr="0046528D">
        <w:t>a</w:t>
      </w:r>
      <w:r w:rsidRPr="0046528D">
        <w:t xml:space="preserve">tazione endotelio-dipendente e con lo sviluppo di eventi cardiovascolari </w:t>
      </w:r>
      <w:r w:rsidRPr="0046528D">
        <w:rPr>
          <w:vertAlign w:val="superscript"/>
        </w:rPr>
        <w:endnoteReference w:id="174"/>
      </w:r>
      <w:r w:rsidRPr="0046528D">
        <w:t>.</w:t>
      </w:r>
    </w:p>
    <w:p w14:paraId="26B547EE" w14:textId="77777777" w:rsidR="00193A7D" w:rsidRPr="0046528D" w:rsidRDefault="00193A7D" w:rsidP="0046528D">
      <w:pPr>
        <w:spacing w:line="360" w:lineRule="auto"/>
        <w:jc w:val="both"/>
      </w:pPr>
      <w:r w:rsidRPr="0046528D">
        <w:t>Lo stress ossidativo aumenta la permeabilità vascolare e promuove l’adesione leuc</w:t>
      </w:r>
      <w:r w:rsidRPr="0046528D">
        <w:t>o</w:t>
      </w:r>
      <w:r w:rsidRPr="0046528D">
        <w:t xml:space="preserve">citaria, che è associata ad alterazioni nella trasduzione del segnale endoteliale e dei fattori che regolano la trascrizione </w:t>
      </w:r>
      <w:r w:rsidRPr="0046528D">
        <w:rPr>
          <w:vertAlign w:val="superscript"/>
        </w:rPr>
        <w:endnoteReference w:id="175"/>
      </w:r>
      <w:r w:rsidRPr="0046528D">
        <w:t>.</w:t>
      </w:r>
    </w:p>
    <w:p w14:paraId="139548C9" w14:textId="77777777" w:rsidR="00193A7D" w:rsidRPr="0046528D" w:rsidRDefault="00193A7D" w:rsidP="0046528D">
      <w:pPr>
        <w:spacing w:line="360" w:lineRule="auto"/>
        <w:jc w:val="both"/>
      </w:pPr>
      <w:r w:rsidRPr="0046528D">
        <w:t>Un nuovo e affascinante meccanismo che potrebbe spiegare la riduzione di NO è l’accumulo di dimetilarginina asimmetrica (ADMA), un inibitore endogeno compet</w:t>
      </w:r>
      <w:r w:rsidRPr="0046528D">
        <w:t>i</w:t>
      </w:r>
      <w:r w:rsidRPr="0046528D">
        <w:t>tivo di eNOS che è stato recentemente collegato alla disfunzione endoteliale. È stato constatato che l’accumulo di questo inibitore endogeno porta a una riduzione effett</w:t>
      </w:r>
      <w:r w:rsidRPr="0046528D">
        <w:t>i</w:t>
      </w:r>
      <w:r w:rsidRPr="0046528D">
        <w:t xml:space="preserve">va del flusso glomerulare e  ad  un’aumentata resistenza renovascolare con aumento </w:t>
      </w:r>
      <w:r w:rsidRPr="0046528D">
        <w:lastRenderedPageBreak/>
        <w:t xml:space="preserve">dei valori tensivi </w:t>
      </w:r>
      <w:r w:rsidRPr="0046528D">
        <w:rPr>
          <w:vertAlign w:val="superscript"/>
        </w:rPr>
        <w:endnoteReference w:id="176"/>
      </w:r>
      <w:r w:rsidRPr="0046528D">
        <w:t>. L’ADMA è un prodotto che deriva dal turnover proteico ed è eliminata attraverso l’escrezione renale o il metabolismo della citrullina, mediante l‘enzima dimentilarginina dimetilaminoidrolasi (DDAH). Recentemente, l’overespressione di DDAH in topi transgenici ha mostrato che esso diminuiva i l</w:t>
      </w:r>
      <w:r w:rsidRPr="0046528D">
        <w:t>i</w:t>
      </w:r>
      <w:r w:rsidRPr="0046528D">
        <w:t xml:space="preserve">velli sierici di ADMA, aumentava l’attività eNOS, e riduceva la pressione sanguigna </w:t>
      </w:r>
      <w:r w:rsidRPr="0046528D">
        <w:rPr>
          <w:vertAlign w:val="superscript"/>
        </w:rPr>
        <w:endnoteReference w:id="177"/>
      </w:r>
      <w:r w:rsidRPr="0046528D">
        <w:t>. L’attenzione si sta focalizzando non soltanto sulla eliminazione, ma anche sulla produzione di ADMA, infatti si è osservato che la proteina arginina metiltransferasi 1, che produce arginine metilate, ha dimostrato essere up regolata dallo shear stress, e questa upregolation è stata associata a una marcata produzione di ADMA</w:t>
      </w:r>
      <w:r w:rsidRPr="0046528D">
        <w:rPr>
          <w:vertAlign w:val="superscript"/>
        </w:rPr>
        <w:endnoteReference w:id="178"/>
      </w:r>
      <w:r w:rsidRPr="0046528D">
        <w:t>. Altri studi sono concordi nel dimostrare che l’omocisteina riduce la biodisponibilità di NO, infatti ci sono numerose evidenze che l’omocisteina può causare un accumulo di ADMA attraverso l’inibizione dell’enzima DDAH</w:t>
      </w:r>
      <w:r w:rsidR="00C93C38" w:rsidRPr="0046528D">
        <w:rPr>
          <w:rStyle w:val="Rimandonotadichiusura"/>
        </w:rPr>
        <w:endnoteReference w:id="179"/>
      </w:r>
      <w:r w:rsidRPr="0046528D">
        <w:t>. Queste alterazioni potrebbero spiegare la presenza di disfunzione endoteliale e di un aumento del rischio cardiov</w:t>
      </w:r>
      <w:r w:rsidRPr="0046528D">
        <w:t>a</w:t>
      </w:r>
      <w:r w:rsidRPr="0046528D">
        <w:t>scolare  nei pazienti con iperomocistinemia.</w:t>
      </w:r>
    </w:p>
    <w:p w14:paraId="6115F9E5" w14:textId="77777777" w:rsidR="00193A7D" w:rsidRPr="0046528D" w:rsidRDefault="00193A7D" w:rsidP="0046528D">
      <w:pPr>
        <w:spacing w:line="360" w:lineRule="auto"/>
        <w:jc w:val="both"/>
      </w:pPr>
    </w:p>
    <w:p w14:paraId="2320ACD8" w14:textId="77777777" w:rsidR="00193A7D" w:rsidRDefault="00C447E5" w:rsidP="0046528D">
      <w:pPr>
        <w:spacing w:line="360" w:lineRule="auto"/>
        <w:jc w:val="both"/>
        <w:rPr>
          <w:b/>
        </w:rPr>
      </w:pPr>
      <w:r w:rsidRPr="0046528D">
        <w:rPr>
          <w:b/>
        </w:rPr>
        <w:t>2</w:t>
      </w:r>
      <w:r w:rsidR="0068562E" w:rsidRPr="0046528D">
        <w:rPr>
          <w:b/>
        </w:rPr>
        <w:t>.3 La Disfunzione Endoteliale e i Fattori di Rischio C</w:t>
      </w:r>
      <w:r w:rsidR="00193A7D" w:rsidRPr="0046528D">
        <w:rPr>
          <w:b/>
        </w:rPr>
        <w:t>ardiovascolari</w:t>
      </w:r>
    </w:p>
    <w:p w14:paraId="00D74E21" w14:textId="77777777" w:rsidR="007D14DC" w:rsidRPr="0046528D" w:rsidRDefault="007D14DC" w:rsidP="0046528D">
      <w:pPr>
        <w:spacing w:line="360" w:lineRule="auto"/>
        <w:jc w:val="both"/>
        <w:rPr>
          <w:b/>
        </w:rPr>
      </w:pPr>
    </w:p>
    <w:p w14:paraId="3793AE77" w14:textId="77777777" w:rsidR="00193A7D" w:rsidRPr="0046528D" w:rsidRDefault="00C447E5" w:rsidP="0046528D">
      <w:pPr>
        <w:spacing w:line="360" w:lineRule="auto"/>
        <w:jc w:val="both"/>
        <w:rPr>
          <w:b/>
        </w:rPr>
      </w:pPr>
      <w:r w:rsidRPr="0046528D">
        <w:rPr>
          <w:b/>
        </w:rPr>
        <w:t>2</w:t>
      </w:r>
      <w:r w:rsidR="0068562E" w:rsidRPr="0046528D">
        <w:rPr>
          <w:b/>
        </w:rPr>
        <w:t>.3.1 Le basi molecolari della P</w:t>
      </w:r>
      <w:r w:rsidR="00193A7D" w:rsidRPr="0046528D">
        <w:rPr>
          <w:b/>
        </w:rPr>
        <w:t xml:space="preserve">atogenesi </w:t>
      </w:r>
      <w:r w:rsidR="0068562E" w:rsidRPr="0046528D">
        <w:rPr>
          <w:b/>
        </w:rPr>
        <w:t>della Disfunzione E</w:t>
      </w:r>
      <w:r w:rsidR="004050E4" w:rsidRPr="0046528D">
        <w:rPr>
          <w:b/>
        </w:rPr>
        <w:t xml:space="preserve">ndoteliale </w:t>
      </w:r>
      <w:r w:rsidR="0068562E" w:rsidRPr="0046528D">
        <w:rPr>
          <w:b/>
        </w:rPr>
        <w:t>nel d</w:t>
      </w:r>
      <w:r w:rsidR="00193A7D" w:rsidRPr="0046528D">
        <w:rPr>
          <w:b/>
        </w:rPr>
        <w:t>i</w:t>
      </w:r>
      <w:r w:rsidR="00193A7D" w:rsidRPr="0046528D">
        <w:rPr>
          <w:b/>
        </w:rPr>
        <w:t>a</w:t>
      </w:r>
      <w:r w:rsidR="00193A7D" w:rsidRPr="0046528D">
        <w:rPr>
          <w:b/>
        </w:rPr>
        <w:t>bete</w:t>
      </w:r>
    </w:p>
    <w:p w14:paraId="3798D676" w14:textId="77777777" w:rsidR="00193A7D" w:rsidRPr="0046528D" w:rsidRDefault="00193A7D" w:rsidP="0046528D">
      <w:pPr>
        <w:spacing w:line="360" w:lineRule="auto"/>
        <w:jc w:val="both"/>
      </w:pPr>
      <w:r w:rsidRPr="0046528D">
        <w:t xml:space="preserve">L'iperglicemia può causare cambiamenti nello stato redox intracellulare </w:t>
      </w:r>
      <w:r w:rsidR="004050E4" w:rsidRPr="0046528D">
        <w:t xml:space="preserve">mediante </w:t>
      </w:r>
      <w:r w:rsidRPr="0046528D">
        <w:t xml:space="preserve">l’esaurimento del pool di NADPH cellulare. </w:t>
      </w:r>
      <w:r w:rsidR="004050E4" w:rsidRPr="0046528D">
        <w:t xml:space="preserve">La </w:t>
      </w:r>
      <w:r w:rsidRPr="0046528D">
        <w:t>glicazione non enzimatica delle pr</w:t>
      </w:r>
      <w:r w:rsidRPr="0046528D">
        <w:t>o</w:t>
      </w:r>
      <w:r w:rsidRPr="0046528D">
        <w:t>teine e delle macromolecole</w:t>
      </w:r>
      <w:r w:rsidR="004050E4" w:rsidRPr="0046528D">
        <w:t xml:space="preserve"> secondaria all’iperglicemia cronica</w:t>
      </w:r>
      <w:r w:rsidRPr="0046528D">
        <w:t xml:space="preserve"> </w:t>
      </w:r>
      <w:r w:rsidR="008C2220" w:rsidRPr="0046528D">
        <w:t>è caratteristica nel diabete; essa causa una</w:t>
      </w:r>
      <w:r w:rsidRPr="0046528D">
        <w:t xml:space="preserve"> maggiore tendenza allo stress ossidativo e ad alti livelli di l</w:t>
      </w:r>
      <w:r w:rsidRPr="0046528D">
        <w:t>i</w:t>
      </w:r>
      <w:r w:rsidRPr="0046528D">
        <w:t>poproteine ossidate (</w:t>
      </w:r>
      <w:r w:rsidR="004050E4" w:rsidRPr="0046528D">
        <w:t xml:space="preserve">le LDL </w:t>
      </w:r>
      <w:r w:rsidRPr="0046528D">
        <w:t>in particolare). Gli a</w:t>
      </w:r>
      <w:r w:rsidR="008C2220" w:rsidRPr="0046528D">
        <w:t>lti livelli di acidi grassi e l’</w:t>
      </w:r>
      <w:r w:rsidRPr="0046528D">
        <w:t>iperglicemia hanno entrambe mostrato provocare un aumento del livello di ossid</w:t>
      </w:r>
      <w:r w:rsidRPr="0046528D">
        <w:t>a</w:t>
      </w:r>
      <w:r w:rsidRPr="0046528D">
        <w:t xml:space="preserve">zione dei fosfolipidi e delle proteine, </w:t>
      </w:r>
      <w:r w:rsidR="008C2220" w:rsidRPr="0046528D">
        <w:t>a ciò consegue</w:t>
      </w:r>
      <w:r w:rsidRPr="0046528D">
        <w:t xml:space="preserve"> un’aumentata  tendenza pr</w:t>
      </w:r>
      <w:r w:rsidRPr="0046528D">
        <w:t>o</w:t>
      </w:r>
      <w:r w:rsidRPr="0046528D">
        <w:t>trombotica nonché un’aumentata aggregabilità piastrinica. Numerosi studi prospett</w:t>
      </w:r>
      <w:r w:rsidRPr="0046528D">
        <w:t>i</w:t>
      </w:r>
      <w:r w:rsidRPr="0046528D">
        <w:t xml:space="preserve">ci, che hanno valutato la disfunzione endoteliale nei pazienti diabetici indicano che essa è strettamente associata alla microangiopatia e alla </w:t>
      </w:r>
      <w:r w:rsidR="008C2220" w:rsidRPr="0046528D">
        <w:t>macroangiopatia</w:t>
      </w:r>
      <w:r w:rsidRPr="0046528D">
        <w:rPr>
          <w:vertAlign w:val="superscript"/>
        </w:rPr>
        <w:endnoteReference w:id="180"/>
      </w:r>
      <w:r w:rsidRPr="0046528D">
        <w:t>.</w:t>
      </w:r>
    </w:p>
    <w:p w14:paraId="7D682E6D" w14:textId="77777777" w:rsidR="00193A7D" w:rsidRPr="0046528D" w:rsidRDefault="00193A7D" w:rsidP="0046528D">
      <w:pPr>
        <w:spacing w:line="360" w:lineRule="auto"/>
        <w:jc w:val="both"/>
      </w:pPr>
    </w:p>
    <w:p w14:paraId="20CA0954" w14:textId="77777777" w:rsidR="00193A7D" w:rsidRPr="0046528D" w:rsidRDefault="00C447E5" w:rsidP="0046528D">
      <w:pPr>
        <w:spacing w:line="360" w:lineRule="auto"/>
        <w:jc w:val="both"/>
        <w:rPr>
          <w:b/>
        </w:rPr>
      </w:pPr>
      <w:r w:rsidRPr="0046528D">
        <w:rPr>
          <w:b/>
        </w:rPr>
        <w:t>2</w:t>
      </w:r>
      <w:r w:rsidR="0068562E" w:rsidRPr="0046528D">
        <w:rPr>
          <w:b/>
        </w:rPr>
        <w:t>.3.2 La Disfunzione Endoteliale nel paziente con Diabete M</w:t>
      </w:r>
      <w:r w:rsidR="00193A7D" w:rsidRPr="0046528D">
        <w:rPr>
          <w:b/>
        </w:rPr>
        <w:t>ellito di tipo 1</w:t>
      </w:r>
    </w:p>
    <w:p w14:paraId="01D4AD91" w14:textId="77777777" w:rsidR="00193A7D" w:rsidRPr="0046528D" w:rsidRDefault="00193A7D" w:rsidP="0046528D">
      <w:pPr>
        <w:spacing w:line="360" w:lineRule="auto"/>
        <w:jc w:val="both"/>
      </w:pPr>
      <w:r w:rsidRPr="0046528D">
        <w:t xml:space="preserve">L'associazione tra </w:t>
      </w:r>
      <w:r w:rsidR="008C2220" w:rsidRPr="0046528D">
        <w:t>disfunzione endoteliale e il diabete</w:t>
      </w:r>
      <w:r w:rsidRPr="0046528D">
        <w:t xml:space="preserve"> è particolarmente evidente nei pazienti con diabete di tipo 1 che hanno nefropatia di lieve entità (microalbuminuria) o modesta-severa (macroalbuminuria). Una grande </w:t>
      </w:r>
      <w:r w:rsidR="008C2220" w:rsidRPr="0046528D">
        <w:t>moltitudine</w:t>
      </w:r>
      <w:r w:rsidRPr="0046528D">
        <w:t xml:space="preserve"> di marcatori </w:t>
      </w:r>
      <w:r w:rsidR="008C2220" w:rsidRPr="0046528D">
        <w:t xml:space="preserve">che </w:t>
      </w:r>
      <w:r w:rsidRPr="0046528D">
        <w:t>ind</w:t>
      </w:r>
      <w:r w:rsidRPr="0046528D">
        <w:t>i</w:t>
      </w:r>
      <w:r w:rsidRPr="0046528D">
        <w:lastRenderedPageBreak/>
        <w:t>cano disfunzione endoteliale</w:t>
      </w:r>
      <w:r w:rsidR="008C2220" w:rsidRPr="0046528D">
        <w:t xml:space="preserve"> sono stati evidenziati in questa popolazione di pazienti</w:t>
      </w:r>
      <w:r w:rsidRPr="0046528D">
        <w:t>: scarsa vasodilatazione dipendente dalle cellule endoteliali e aumento dei livelli em</w:t>
      </w:r>
      <w:r w:rsidRPr="0046528D">
        <w:t>a</w:t>
      </w:r>
      <w:r w:rsidRPr="0046528D">
        <w:t>tici di fattore di von Willebrand (vWF), trombomodulina, selectina, inibitore dell'a</w:t>
      </w:r>
      <w:r w:rsidRPr="0046528D">
        <w:t>t</w:t>
      </w:r>
      <w:r w:rsidRPr="0046528D">
        <w:t>tivatore del plasminogeno, collagene di tipo IV, e attivatore tissutale del plasminog</w:t>
      </w:r>
      <w:r w:rsidRPr="0046528D">
        <w:t>e</w:t>
      </w:r>
      <w:r w:rsidRPr="0046528D">
        <w:t>no (t-PA).</w:t>
      </w:r>
      <w:r w:rsidRPr="0046528D">
        <w:rPr>
          <w:vertAlign w:val="superscript"/>
        </w:rPr>
        <w:endnoteReference w:id="181"/>
      </w:r>
      <w:r w:rsidR="00B20E44" w:rsidRPr="0046528D">
        <w:t xml:space="preserve"> </w:t>
      </w:r>
      <w:r w:rsidRPr="0046528D">
        <w:rPr>
          <w:vertAlign w:val="superscript"/>
        </w:rPr>
        <w:endnoteReference w:id="182"/>
      </w:r>
      <w:r w:rsidR="00B20E44" w:rsidRPr="0046528D">
        <w:t xml:space="preserve"> </w:t>
      </w:r>
      <w:r w:rsidRPr="0046528D">
        <w:rPr>
          <w:vertAlign w:val="superscript"/>
        </w:rPr>
        <w:endnoteReference w:id="183"/>
      </w:r>
    </w:p>
    <w:p w14:paraId="5713432E" w14:textId="77777777" w:rsidR="00193A7D" w:rsidRPr="0046528D" w:rsidRDefault="00193A7D" w:rsidP="0046528D">
      <w:pPr>
        <w:spacing w:line="360" w:lineRule="auto"/>
        <w:jc w:val="both"/>
      </w:pPr>
    </w:p>
    <w:p w14:paraId="19051BB3" w14:textId="77777777" w:rsidR="00193A7D" w:rsidRPr="0046528D" w:rsidRDefault="00C447E5" w:rsidP="0046528D">
      <w:pPr>
        <w:spacing w:line="360" w:lineRule="auto"/>
        <w:jc w:val="both"/>
        <w:rPr>
          <w:b/>
        </w:rPr>
      </w:pPr>
      <w:r w:rsidRPr="0046528D">
        <w:rPr>
          <w:b/>
        </w:rPr>
        <w:t>2</w:t>
      </w:r>
      <w:r w:rsidR="0068562E" w:rsidRPr="0046528D">
        <w:rPr>
          <w:b/>
        </w:rPr>
        <w:t>.3.3 La Disfunzione Endoteliale nel paziente con Diabete M</w:t>
      </w:r>
      <w:r w:rsidR="00193A7D" w:rsidRPr="0046528D">
        <w:rPr>
          <w:b/>
        </w:rPr>
        <w:t>ellito di tipo 2</w:t>
      </w:r>
    </w:p>
    <w:p w14:paraId="7404604A" w14:textId="77777777" w:rsidR="009F5EA8" w:rsidRPr="0046528D" w:rsidRDefault="009F5EA8" w:rsidP="0046528D">
      <w:pPr>
        <w:spacing w:line="360" w:lineRule="auto"/>
        <w:jc w:val="both"/>
      </w:pPr>
      <w:r w:rsidRPr="0046528D">
        <w:t>Nel diabete di tipo 2 i</w:t>
      </w:r>
      <w:r w:rsidR="00193A7D" w:rsidRPr="0046528D">
        <w:t>l ruolo della disfunzione endoteliale è più complicato rispetto a quell</w:t>
      </w:r>
      <w:r w:rsidRPr="0046528D">
        <w:t>o svolto nel diabete di tipo 1; infatti, ad aumentare la complessità del problema sono g</w:t>
      </w:r>
      <w:r w:rsidR="00193A7D" w:rsidRPr="0046528D">
        <w:t xml:space="preserve">li effetti dell'invecchiamento, la dislipidemia, l’ipertensione, ed altri fattori. </w:t>
      </w:r>
    </w:p>
    <w:p w14:paraId="66EEF4E9" w14:textId="77777777" w:rsidR="00193A7D" w:rsidRPr="0046528D" w:rsidRDefault="009F5EA8" w:rsidP="0046528D">
      <w:pPr>
        <w:spacing w:line="360" w:lineRule="auto"/>
        <w:jc w:val="both"/>
      </w:pPr>
      <w:r w:rsidRPr="0046528D">
        <w:t>La disfunzione endoteliale, c</w:t>
      </w:r>
      <w:r w:rsidR="00193A7D" w:rsidRPr="0046528D">
        <w:t xml:space="preserve">ontrariamente al diabete di tipo 1, può verificarsi anche quando i pazienti hanno normale escrezione urinaria di albumina </w:t>
      </w:r>
      <w:r w:rsidR="00193A7D" w:rsidRPr="0046528D">
        <w:rPr>
          <w:vertAlign w:val="superscript"/>
        </w:rPr>
        <w:endnoteReference w:id="184"/>
      </w:r>
      <w:r w:rsidR="00B20E44" w:rsidRPr="0046528D">
        <w:t xml:space="preserve"> </w:t>
      </w:r>
      <w:r w:rsidR="00193A7D" w:rsidRPr="0046528D">
        <w:rPr>
          <w:vertAlign w:val="superscript"/>
        </w:rPr>
        <w:endnoteReference w:id="185"/>
      </w:r>
      <w:r w:rsidR="00193A7D" w:rsidRPr="0046528D">
        <w:t>.</w:t>
      </w:r>
    </w:p>
    <w:p w14:paraId="78367C90" w14:textId="77777777" w:rsidR="00193A7D" w:rsidRPr="0046528D" w:rsidRDefault="009F5EA8" w:rsidP="0046528D">
      <w:pPr>
        <w:spacing w:line="360" w:lineRule="auto"/>
        <w:jc w:val="both"/>
      </w:pPr>
      <w:r w:rsidRPr="0046528D">
        <w:t>S</w:t>
      </w:r>
      <w:r w:rsidR="00193A7D" w:rsidRPr="0046528D">
        <w:t xml:space="preserve">empre più evidenze suggeriscono la coesistenza di insulino-resistenza e disfunzione endoteliale. La vasodilatazione indotta dall’insulina, che è parzialmente mediata dal rilascio di NO, è ridotta in individui obesi che non hanno il diabete di tipo 2, ma che mostrano resistenza all'insulina </w:t>
      </w:r>
      <w:r w:rsidR="00193A7D" w:rsidRPr="0046528D">
        <w:rPr>
          <w:vertAlign w:val="superscript"/>
        </w:rPr>
        <w:endnoteReference w:id="186"/>
      </w:r>
      <w:r w:rsidR="00B20E44" w:rsidRPr="0046528D">
        <w:t xml:space="preserve"> </w:t>
      </w:r>
      <w:r w:rsidR="00193A7D" w:rsidRPr="0046528D">
        <w:rPr>
          <w:vertAlign w:val="superscript"/>
        </w:rPr>
        <w:endnoteReference w:id="187"/>
      </w:r>
      <w:r w:rsidR="00193A7D" w:rsidRPr="0046528D">
        <w:t>.</w:t>
      </w:r>
    </w:p>
    <w:p w14:paraId="5D558C0F" w14:textId="77777777" w:rsidR="00193A7D" w:rsidRPr="0046528D" w:rsidRDefault="009F5EA8" w:rsidP="0046528D">
      <w:pPr>
        <w:spacing w:line="360" w:lineRule="auto"/>
        <w:jc w:val="both"/>
      </w:pPr>
      <w:r w:rsidRPr="0046528D">
        <w:t>L</w:t>
      </w:r>
      <w:r w:rsidR="00193A7D" w:rsidRPr="0046528D">
        <w:t>’obesità,</w:t>
      </w:r>
      <w:r w:rsidRPr="0046528D">
        <w:t xml:space="preserve"> che </w:t>
      </w:r>
      <w:r w:rsidR="00193A7D" w:rsidRPr="0046528D">
        <w:t>rappresenta il modello di insulin</w:t>
      </w:r>
      <w:r w:rsidRPr="0046528D">
        <w:t>o-resistenza umana, è associata, ino</w:t>
      </w:r>
      <w:r w:rsidRPr="0046528D">
        <w:t>l</w:t>
      </w:r>
      <w:r w:rsidRPr="0046528D">
        <w:t xml:space="preserve">tre, </w:t>
      </w:r>
      <w:r w:rsidR="00193A7D" w:rsidRPr="0046528D">
        <w:t>ad alti livelli di endotelina-1 nel plasma. Le risposte all'acetilcolina hanno dim</w:t>
      </w:r>
      <w:r w:rsidR="00193A7D" w:rsidRPr="0046528D">
        <w:t>o</w:t>
      </w:r>
      <w:r w:rsidR="00193A7D" w:rsidRPr="0046528D">
        <w:t>strato determinare vasodilatazioni di entità ridotta in  individui sani normoglicemici con una storia di diabete di tipo 2 in uno o entrambi i genitori (parenti), in soggetti con alterata tolleranza al glucosio, e nei pazienti con diabete di tipo 2 senza compl</w:t>
      </w:r>
      <w:r w:rsidR="00193A7D" w:rsidRPr="0046528D">
        <w:t>i</w:t>
      </w:r>
      <w:r w:rsidR="00193A7D" w:rsidRPr="0046528D">
        <w:t xml:space="preserve">canze vascolari. </w:t>
      </w:r>
      <w:r w:rsidR="001C2EE0" w:rsidRPr="0046528D">
        <w:t>In questi tre gruppi i</w:t>
      </w:r>
      <w:r w:rsidR="00193A7D" w:rsidRPr="0046528D">
        <w:t xml:space="preserve"> livelli plasmatici di endotelina-1 </w:t>
      </w:r>
      <w:r w:rsidR="001C2EE0" w:rsidRPr="0046528D">
        <w:t>si sono m</w:t>
      </w:r>
      <w:r w:rsidR="001C2EE0" w:rsidRPr="0046528D">
        <w:t>o</w:t>
      </w:r>
      <w:r w:rsidR="001C2EE0" w:rsidRPr="0046528D">
        <w:t>strati significativamente più alti</w:t>
      </w:r>
      <w:r w:rsidR="00193A7D" w:rsidRPr="0046528D">
        <w:t>. Questi risultati suggeriscono che</w:t>
      </w:r>
      <w:r w:rsidR="001C2EE0" w:rsidRPr="0046528D">
        <w:t>,</w:t>
      </w:r>
      <w:r w:rsidR="00193A7D" w:rsidRPr="0046528D">
        <w:t xml:space="preserve"> </w:t>
      </w:r>
      <w:r w:rsidR="001C2EE0" w:rsidRPr="0046528D">
        <w:t>in individui a r</w:t>
      </w:r>
      <w:r w:rsidR="001C2EE0" w:rsidRPr="0046528D">
        <w:t>i</w:t>
      </w:r>
      <w:r w:rsidR="001C2EE0" w:rsidRPr="0046528D">
        <w:t xml:space="preserve">schio di sviluppare il diabete di tipo 2, </w:t>
      </w:r>
      <w:r w:rsidR="00193A7D" w:rsidRPr="0046528D">
        <w:t>le anomalie nella reattività vascolare e le alt</w:t>
      </w:r>
      <w:r w:rsidR="00193A7D" w:rsidRPr="0046528D">
        <w:t>e</w:t>
      </w:r>
      <w:r w:rsidR="00193A7D" w:rsidRPr="0046528D">
        <w:t>razioni legate ai marcatori biochimici di attivazione delle cellule endoteliali sono presenti precocemente</w:t>
      </w:r>
      <w:r w:rsidR="00193A7D" w:rsidRPr="0046528D">
        <w:rPr>
          <w:vertAlign w:val="superscript"/>
        </w:rPr>
        <w:endnoteReference w:id="188"/>
      </w:r>
      <w:r w:rsidR="00193A7D" w:rsidRPr="0046528D">
        <w:t>.</w:t>
      </w:r>
    </w:p>
    <w:p w14:paraId="35EAFD15" w14:textId="77777777" w:rsidR="00193A7D" w:rsidRPr="0046528D" w:rsidRDefault="00193A7D" w:rsidP="0046528D">
      <w:pPr>
        <w:spacing w:line="360" w:lineRule="auto"/>
        <w:jc w:val="both"/>
      </w:pPr>
    </w:p>
    <w:p w14:paraId="12FBDC1C" w14:textId="77777777" w:rsidR="00193A7D" w:rsidRPr="0046528D" w:rsidRDefault="00C447E5" w:rsidP="0046528D">
      <w:pPr>
        <w:spacing w:line="360" w:lineRule="auto"/>
        <w:jc w:val="both"/>
        <w:rPr>
          <w:b/>
        </w:rPr>
      </w:pPr>
      <w:r w:rsidRPr="0046528D">
        <w:rPr>
          <w:b/>
        </w:rPr>
        <w:t>2</w:t>
      </w:r>
      <w:r w:rsidR="0068562E" w:rsidRPr="0046528D">
        <w:rPr>
          <w:b/>
        </w:rPr>
        <w:t>.3.4 La Disfunzione Endoteliale nel paziente con O</w:t>
      </w:r>
      <w:r w:rsidR="00193A7D" w:rsidRPr="0046528D">
        <w:rPr>
          <w:b/>
        </w:rPr>
        <w:t>besità</w:t>
      </w:r>
    </w:p>
    <w:p w14:paraId="6337CA9A" w14:textId="77777777" w:rsidR="00193A7D" w:rsidRPr="0046528D" w:rsidRDefault="00CB34BA" w:rsidP="0046528D">
      <w:pPr>
        <w:spacing w:line="360" w:lineRule="auto"/>
        <w:jc w:val="both"/>
      </w:pPr>
      <w:r w:rsidRPr="0046528D">
        <w:t>Molteplici</w:t>
      </w:r>
      <w:r w:rsidR="00193A7D" w:rsidRPr="0046528D">
        <w:t xml:space="preserve"> evidenze sperimentali nell’uomo dimostrano che l’obesità è caratterizzata da disfunzione endoteliale </w:t>
      </w:r>
      <w:r w:rsidR="00193A7D" w:rsidRPr="0046528D">
        <w:rPr>
          <w:vertAlign w:val="superscript"/>
        </w:rPr>
        <w:endnoteReference w:id="189"/>
      </w:r>
      <w:r w:rsidR="00193A7D" w:rsidRPr="0046528D">
        <w:t xml:space="preserve">. </w:t>
      </w:r>
      <w:r w:rsidRPr="0046528D">
        <w:t xml:space="preserve">Essa, infatti, </w:t>
      </w:r>
      <w:r w:rsidR="00193A7D" w:rsidRPr="0046528D">
        <w:t xml:space="preserve">può indurre disfunzione endoteliale con meccanismi indiretti attraverso le condizioni patologiche frequentemente associate ad essa, come l’ipertensione arteriosa, </w:t>
      </w:r>
      <w:r w:rsidRPr="0046528D">
        <w:t>la dislipidemia, l’insulino resistenza e il diab</w:t>
      </w:r>
      <w:r w:rsidRPr="0046528D">
        <w:t>e</w:t>
      </w:r>
      <w:r w:rsidRPr="0046528D">
        <w:t>te mellito</w:t>
      </w:r>
      <w:r w:rsidR="00193A7D" w:rsidRPr="0046528D">
        <w:t xml:space="preserve">, tutte condizioni caratterizzate di per sé da una ridotta funzione endoteliale. I meccanismi diretti sono, invece, rappresentati da ormoni, citochine e prodotti del </w:t>
      </w:r>
      <w:r w:rsidR="00193A7D" w:rsidRPr="0046528D">
        <w:lastRenderedPageBreak/>
        <w:t>metabolismo dei lipidi. Le adipochine prodotte dagli adipociti potrebbero essere d</w:t>
      </w:r>
      <w:r w:rsidR="00193A7D" w:rsidRPr="0046528D">
        <w:t>i</w:t>
      </w:r>
      <w:r w:rsidR="00193A7D" w:rsidRPr="0046528D">
        <w:t>rettamente responsabili della disfunzione endoteliale associata all’obesità. Le princ</w:t>
      </w:r>
      <w:r w:rsidR="00193A7D" w:rsidRPr="0046528D">
        <w:t>i</w:t>
      </w:r>
      <w:r w:rsidR="00193A7D" w:rsidRPr="0046528D">
        <w:t>pali adipochine coinvolte sono la leptina, la resistina e l’adiponectina.</w:t>
      </w:r>
    </w:p>
    <w:p w14:paraId="6E646B21" w14:textId="77777777" w:rsidR="00193A7D" w:rsidRPr="0046528D" w:rsidRDefault="00193A7D" w:rsidP="0046528D">
      <w:pPr>
        <w:spacing w:line="360" w:lineRule="auto"/>
        <w:jc w:val="both"/>
      </w:pPr>
      <w:r w:rsidRPr="0046528D">
        <w:t xml:space="preserve">La leptina è una proteina prodotta dagli adipociti e rilasciata nel torrente circolatorio in maniera direttamente proporzionale al volume di tessuto adiposo. A livello </w:t>
      </w:r>
      <w:r w:rsidR="00CB34BA" w:rsidRPr="0046528D">
        <w:t>del s</w:t>
      </w:r>
      <w:r w:rsidR="00CB34BA" w:rsidRPr="0046528D">
        <w:t>i</w:t>
      </w:r>
      <w:r w:rsidR="00CB34BA" w:rsidRPr="0046528D">
        <w:t xml:space="preserve">stema nervoso centrale essa </w:t>
      </w:r>
      <w:r w:rsidRPr="0046528D">
        <w:t>svolge numerose azioni quali l’induzione della perdita di peso attraverso la riduzione del senso dell’appetito e l’incremento della spesa energ</w:t>
      </w:r>
      <w:r w:rsidRPr="0046528D">
        <w:t>e</w:t>
      </w:r>
      <w:r w:rsidRPr="0046528D">
        <w:t>tica. Il ruolo della leptina sulla funzione endoteliale, sebbene recentemente ipotizz</w:t>
      </w:r>
      <w:r w:rsidRPr="0046528D">
        <w:t>a</w:t>
      </w:r>
      <w:r w:rsidRPr="0046528D">
        <w:t>to, non è ancora definitivamente chiarito ed i risultati sono discordanti. Infatti, alcuni studi in vitro hanno dimostrato che la leptina induce un aumento dello stress ossid</w:t>
      </w:r>
      <w:r w:rsidRPr="0046528D">
        <w:t>a</w:t>
      </w:r>
      <w:r w:rsidRPr="0046528D">
        <w:t xml:space="preserve">tivo a livello delle cellule endoteliali </w:t>
      </w:r>
      <w:r w:rsidRPr="0046528D">
        <w:rPr>
          <w:vertAlign w:val="superscript"/>
        </w:rPr>
        <w:endnoteReference w:id="190"/>
      </w:r>
      <w:r w:rsidRPr="0046528D">
        <w:t xml:space="preserve">. Inoltre è stato anche osservato che la leptina sarebbe in grado di stimolare la secrezione di numerose citochine proinfiammatorie, quali il fattore di necrosi tumorale </w:t>
      </w:r>
      <w:r w:rsidRPr="0046528D">
        <w:sym w:font="Symbol" w:char="F061"/>
      </w:r>
      <w:r w:rsidRPr="0046528D">
        <w:t xml:space="preserve"> (TNF</w:t>
      </w:r>
      <w:r w:rsidRPr="0046528D">
        <w:sym w:font="Symbol" w:char="F061"/>
      </w:r>
      <w:r w:rsidRPr="0046528D">
        <w:t>) e l’interleuchina-6 (IL-6), le quali</w:t>
      </w:r>
      <w:r w:rsidR="00CB34BA" w:rsidRPr="0046528D">
        <w:t>,</w:t>
      </w:r>
      <w:r w:rsidRPr="0046528D">
        <w:t xml:space="preserve"> a l</w:t>
      </w:r>
      <w:r w:rsidRPr="0046528D">
        <w:t>o</w:t>
      </w:r>
      <w:r w:rsidRPr="0046528D">
        <w:t>ro volta</w:t>
      </w:r>
      <w:r w:rsidR="00CB34BA" w:rsidRPr="0046528D">
        <w:t>,</w:t>
      </w:r>
      <w:r w:rsidRPr="0046528D">
        <w:t xml:space="preserve"> inducono disfunzione endoteliale.</w:t>
      </w:r>
    </w:p>
    <w:p w14:paraId="1D6ED47D" w14:textId="77777777" w:rsidR="00193A7D" w:rsidRPr="0046528D" w:rsidRDefault="00193A7D" w:rsidP="0046528D">
      <w:pPr>
        <w:spacing w:line="360" w:lineRule="auto"/>
        <w:jc w:val="both"/>
      </w:pPr>
      <w:r w:rsidRPr="0046528D">
        <w:t>La resistina è un’adipochina prodotta durante l’adipogenesi e inibisce l’uptake di glucosio nelle cellule muscolari scheletriche. È stato dimostrato che nelle cellule e</w:t>
      </w:r>
      <w:r w:rsidRPr="0046528D">
        <w:t>n</w:t>
      </w:r>
      <w:r w:rsidRPr="0046528D">
        <w:t xml:space="preserve">doteliali incubate con la resistina ricombinante umana si ha un’aumentata produzione di endotelina-1 ed espressione di molecole di adesione VCAM-1 e MCP-1 </w:t>
      </w:r>
      <w:r w:rsidRPr="0046528D">
        <w:rPr>
          <w:vertAlign w:val="superscript"/>
        </w:rPr>
        <w:endnoteReference w:id="191"/>
      </w:r>
      <w:r w:rsidRPr="0046528D">
        <w:t>.</w:t>
      </w:r>
    </w:p>
    <w:p w14:paraId="3FDA90DC" w14:textId="77777777" w:rsidR="00193A7D" w:rsidRPr="0046528D" w:rsidRDefault="00CB34BA" w:rsidP="0046528D">
      <w:pPr>
        <w:spacing w:line="360" w:lineRule="auto"/>
        <w:jc w:val="both"/>
      </w:pPr>
      <w:r w:rsidRPr="0046528D">
        <w:t>Ancora p</w:t>
      </w:r>
      <w:r w:rsidR="00193A7D" w:rsidRPr="0046528D">
        <w:t>iù consistenti sono i dati relativi al ruolo dell’adiponectina sulla parete v</w:t>
      </w:r>
      <w:r w:rsidR="00193A7D" w:rsidRPr="0046528D">
        <w:t>a</w:t>
      </w:r>
      <w:r w:rsidR="00193A7D" w:rsidRPr="0046528D">
        <w:t>scolare. Questa adipochina, specificamente espressa negli adipociti differenziati, svolge un’azione antagonista nei riguardi delle altre sopra citate molecole. L’adiponectina stimola la sensibilità insulinica favorendo la traduzione del segnale intracellulare per l’insulina. Studi sperimentali hanno dimostrato che l’adiponectina stimola la produzione di NO attraverso un processo di fosforilazione dell’enzima NOS endoteliale</w:t>
      </w:r>
      <w:r w:rsidR="00193A7D" w:rsidRPr="0046528D">
        <w:rPr>
          <w:vertAlign w:val="superscript"/>
        </w:rPr>
        <w:endnoteReference w:id="192"/>
      </w:r>
      <w:r w:rsidR="00193A7D" w:rsidRPr="0046528D">
        <w:t>. A conferma di ciò, a livello del microcircolo dell’avambraccio di pazienti ipertesi è stata osservata una significativa correlazione diretta tra i livelli plasmatici di adiponectina e vasodilatazione endotelio-dipendente. Questa adipoch</w:t>
      </w:r>
      <w:r w:rsidR="00193A7D" w:rsidRPr="0046528D">
        <w:t>i</w:t>
      </w:r>
      <w:r w:rsidR="00193A7D" w:rsidRPr="0046528D">
        <w:t>na inoltre inibisce l’adesione monocitaria riducendo l’espressione delle molecole di adesione sulla parete vascolare, inibisce la trasformazione macrofagica e riduce la proliferazione e la migrazione delle</w:t>
      </w:r>
      <w:r w:rsidR="00CF2088" w:rsidRPr="0046528D">
        <w:t xml:space="preserve"> cellule muscolari lisce. Queste</w:t>
      </w:r>
      <w:r w:rsidR="00193A7D" w:rsidRPr="0046528D">
        <w:t xml:space="preserve"> </w:t>
      </w:r>
      <w:r w:rsidR="00CF2088" w:rsidRPr="0046528D">
        <w:t>conclusioni</w:t>
      </w:r>
      <w:r w:rsidR="00193A7D" w:rsidRPr="0046528D">
        <w:t xml:space="preserve"> ind</w:t>
      </w:r>
      <w:r w:rsidR="00193A7D" w:rsidRPr="0046528D">
        <w:t>i</w:t>
      </w:r>
      <w:r w:rsidR="00193A7D" w:rsidRPr="0046528D">
        <w:t xml:space="preserve">cano le importanti proprietà antiaterosclerotiche e protettive della parete vascolare svolte da questa adipochina. Poiché nell’obesità/insulino-resistenza la produzione e l’attività dell’adiponectina sono notevolmente ridotte, è intuitivo comprendere come in queste condizioni si osservi uno sbilanciamento dei meccanismi che regolano </w:t>
      </w:r>
      <w:r w:rsidR="00193A7D" w:rsidRPr="0046528D">
        <w:lastRenderedPageBreak/>
        <w:t>l’omeostasi vascolare a favore di tutti quei fattori che favoriscono e promuovono la disfunzione endoteliale e quindi il processo aterosclerotico.</w:t>
      </w:r>
    </w:p>
    <w:p w14:paraId="3EF40C68" w14:textId="77777777" w:rsidR="00193A7D" w:rsidRPr="0046528D" w:rsidRDefault="00193A7D" w:rsidP="0046528D">
      <w:pPr>
        <w:spacing w:line="360" w:lineRule="auto"/>
        <w:jc w:val="both"/>
      </w:pPr>
      <w:r w:rsidRPr="0046528D">
        <w:t>Tra i meccanismi responsabili di tale alterazione, il principale sembra essere la pr</w:t>
      </w:r>
      <w:r w:rsidRPr="0046528D">
        <w:t>o</w:t>
      </w:r>
      <w:r w:rsidR="001C38B7" w:rsidRPr="0046528D">
        <w:t>duzione di stress ossidativo, la quale</w:t>
      </w:r>
      <w:r w:rsidRPr="0046528D">
        <w:t>, come è noto, riduce la biodisponibilità di NO. In particolare, il TNF è in grado di indurre la produzione di stress ossidativo sia a</w:t>
      </w:r>
      <w:r w:rsidRPr="0046528D">
        <w:t>t</w:t>
      </w:r>
      <w:r w:rsidRPr="0046528D">
        <w:t>traverso l’attivazione dell’enzima NADPH ossidasi, una delle principali fonti di rad</w:t>
      </w:r>
      <w:r w:rsidRPr="0046528D">
        <w:t>i</w:t>
      </w:r>
      <w:r w:rsidRPr="0046528D">
        <w:t>cali liberi dell’ossigeno, che attraverso l’attivazione del fattore di trascrizione nucle</w:t>
      </w:r>
      <w:r w:rsidRPr="0046528D">
        <w:t>a</w:t>
      </w:r>
      <w:r w:rsidRPr="0046528D">
        <w:t>re NF-kB. L’IL-6 è l’altra citochina proinfiammatoria associata all’obesità e alla qu</w:t>
      </w:r>
      <w:r w:rsidRPr="0046528D">
        <w:t>a</w:t>
      </w:r>
      <w:r w:rsidRPr="0046528D">
        <w:t>le è stato attribuito un effetto negativo sulla funzione endoteliale. Infatti, questa cit</w:t>
      </w:r>
      <w:r w:rsidRPr="0046528D">
        <w:t>o</w:t>
      </w:r>
      <w:r w:rsidRPr="0046528D">
        <w:t>china è in grado di aumentare la produzione di stress ossidativo attraverso l’attivazione di due importanti fonti, quali la xantina ossidasi e l’NADPH ossidasi. Inoltre, le elevate concentrazioni plasmatiche di IL-6 sono in grado di stimolare la sintesi epatica della proteina C reattiva, la quale a sua volta induce disfunzione end</w:t>
      </w:r>
      <w:r w:rsidRPr="0046528D">
        <w:t>o</w:t>
      </w:r>
      <w:r w:rsidRPr="0046528D">
        <w:t>teliale riducendo l’espressione dell’enzima NOS endoteliale e quindi la produzione di NO. Un altro importante fattore che può contribuire alla disfunzione endoteliale associata all’obesità e all’insulino-resistenza è rappresentato dagli acidi grassi liberi</w:t>
      </w:r>
      <w:r w:rsidR="00270D47" w:rsidRPr="0046528D">
        <w:t xml:space="preserve"> (FFA). </w:t>
      </w:r>
      <w:r w:rsidR="00270D47" w:rsidRPr="0046528D">
        <w:rPr>
          <w:caps/>
        </w:rPr>
        <w:t xml:space="preserve">è </w:t>
      </w:r>
      <w:r w:rsidR="00270D47" w:rsidRPr="0046528D">
        <w:t xml:space="preserve">stato </w:t>
      </w:r>
      <w:r w:rsidRPr="0046528D">
        <w:t xml:space="preserve">dimostrato </w:t>
      </w:r>
      <w:r w:rsidR="00270D47" w:rsidRPr="0046528D">
        <w:t xml:space="preserve">da studi sperimentali </w:t>
      </w:r>
      <w:r w:rsidRPr="0046528D">
        <w:t>che l’aum</w:t>
      </w:r>
      <w:r w:rsidR="00270D47" w:rsidRPr="0046528D">
        <w:t>entato turnover degli FFA,</w:t>
      </w:r>
      <w:r w:rsidRPr="0046528D">
        <w:t xml:space="preserve"> riscontra</w:t>
      </w:r>
      <w:r w:rsidR="00270D47" w:rsidRPr="0046528D">
        <w:t>to</w:t>
      </w:r>
      <w:r w:rsidRPr="0046528D">
        <w:t xml:space="preserve"> nell’obesità</w:t>
      </w:r>
      <w:r w:rsidR="00270D47" w:rsidRPr="0046528D">
        <w:t>,</w:t>
      </w:r>
      <w:r w:rsidRPr="0046528D">
        <w:t xml:space="preserve"> stimola la produzione di </w:t>
      </w:r>
      <w:r w:rsidR="00270D47" w:rsidRPr="0046528D">
        <w:t>stress ossidativo a causa dell’</w:t>
      </w:r>
      <w:r w:rsidRPr="0046528D">
        <w:t>inibizione a livello mitocondriale della traslocazione di adenosina con cons</w:t>
      </w:r>
      <w:r w:rsidRPr="0046528D">
        <w:t>e</w:t>
      </w:r>
      <w:r w:rsidRPr="0046528D">
        <w:t>guente sovrapproduzione di radicali liberi dell’ossigeno come il superossido, r</w:t>
      </w:r>
      <w:r w:rsidR="00270D47" w:rsidRPr="0046528D">
        <w:t>id</w:t>
      </w:r>
      <w:r w:rsidR="00270D47" w:rsidRPr="0046528D">
        <w:t>u</w:t>
      </w:r>
      <w:r w:rsidR="00270D47" w:rsidRPr="0046528D">
        <w:t xml:space="preserve">cendo il </w:t>
      </w:r>
      <w:r w:rsidRPr="0046528D">
        <w:t>NO</w:t>
      </w:r>
      <w:r w:rsidR="00270D47" w:rsidRPr="0046528D">
        <w:t xml:space="preserve"> biodisponibile</w:t>
      </w:r>
      <w:r w:rsidRPr="0046528D">
        <w:t xml:space="preserve"> </w:t>
      </w:r>
      <w:r w:rsidRPr="0046528D">
        <w:rPr>
          <w:vertAlign w:val="superscript"/>
        </w:rPr>
        <w:endnoteReference w:id="193"/>
      </w:r>
      <w:r w:rsidRPr="0046528D">
        <w:t>.</w:t>
      </w:r>
    </w:p>
    <w:p w14:paraId="338CCC5F" w14:textId="77777777" w:rsidR="00193A7D" w:rsidRPr="0046528D" w:rsidRDefault="00193A7D" w:rsidP="0046528D">
      <w:pPr>
        <w:spacing w:line="360" w:lineRule="auto"/>
        <w:jc w:val="both"/>
      </w:pPr>
    </w:p>
    <w:p w14:paraId="3B892324" w14:textId="77777777" w:rsidR="00193A7D" w:rsidRPr="0046528D" w:rsidRDefault="00C447E5" w:rsidP="0046528D">
      <w:pPr>
        <w:spacing w:line="360" w:lineRule="auto"/>
        <w:jc w:val="both"/>
        <w:rPr>
          <w:b/>
          <w:bCs/>
        </w:rPr>
      </w:pPr>
      <w:r w:rsidRPr="0046528D">
        <w:rPr>
          <w:b/>
          <w:bCs/>
        </w:rPr>
        <w:t>2</w:t>
      </w:r>
      <w:r w:rsidR="0068562E" w:rsidRPr="0046528D">
        <w:rPr>
          <w:b/>
          <w:bCs/>
        </w:rPr>
        <w:t>.3.5 La Disfunzione Endoteliale e l'I</w:t>
      </w:r>
      <w:r w:rsidR="00193A7D" w:rsidRPr="0046528D">
        <w:rPr>
          <w:b/>
          <w:bCs/>
        </w:rPr>
        <w:t>percolesterolemia</w:t>
      </w:r>
    </w:p>
    <w:p w14:paraId="1715F2A0" w14:textId="77777777" w:rsidR="00193A7D" w:rsidRPr="0046528D" w:rsidRDefault="00270D47" w:rsidP="0046528D">
      <w:pPr>
        <w:spacing w:line="360" w:lineRule="auto"/>
        <w:jc w:val="both"/>
      </w:pPr>
      <w:r w:rsidRPr="0046528D">
        <w:t>A</w:t>
      </w:r>
      <w:r w:rsidR="00193A7D" w:rsidRPr="0046528D">
        <w:t>lti livelli di colesterolo totale e di lipoproteine ​​a bass</w:t>
      </w:r>
      <w:r w:rsidRPr="0046528D">
        <w:t>a densità (LDL) determinano un’</w:t>
      </w:r>
      <w:r w:rsidR="00193A7D" w:rsidRPr="0046528D">
        <w:t>alterata funzione endoteliale sia nella circolazione periferica che in quella coron</w:t>
      </w:r>
      <w:r w:rsidR="00193A7D" w:rsidRPr="0046528D">
        <w:t>a</w:t>
      </w:r>
      <w:r w:rsidR="00193A7D" w:rsidRPr="0046528D">
        <w:t>rica. Studi hanno concluso che i livelli di colesterolo, anche nel range di normalità possono essere inversamente proporzionali alla vasodilatazione endotelio-dipendente, e questo risultato ha importanti implicazioni cliniche. Ciò suggerisce che l'abbassamento dei livelli di colesterolo anche quando essi sono all'interno del range di normalità può migliorare la produzione e il rilascio di NO e quindi migliorare la funzione endoteliale</w:t>
      </w:r>
      <w:r w:rsidR="00193A7D" w:rsidRPr="0046528D">
        <w:rPr>
          <w:vertAlign w:val="superscript"/>
        </w:rPr>
        <w:endnoteReference w:id="194"/>
      </w:r>
      <w:r w:rsidR="00193A7D" w:rsidRPr="0046528D">
        <w:t>. Questa idea è supportata da recenti evidenze: abbassando i livelli di colesterolo vi è un aumentata vasodilatazione endotelio-dipendente, non s</w:t>
      </w:r>
      <w:r w:rsidR="00193A7D" w:rsidRPr="0046528D">
        <w:t>o</w:t>
      </w:r>
      <w:r w:rsidR="00193A7D" w:rsidRPr="0046528D">
        <w:t xml:space="preserve">lo nei soggetti con livelli di colesterolo elevati in maniera massiccia, ma anche in quelli con livelli di colesterolo normali. Vale la pena notare che </w:t>
      </w:r>
      <w:r w:rsidRPr="0046528D">
        <w:t xml:space="preserve">la riduzione </w:t>
      </w:r>
      <w:r w:rsidR="00193A7D" w:rsidRPr="0046528D">
        <w:t>dei l</w:t>
      </w:r>
      <w:r w:rsidR="00193A7D" w:rsidRPr="0046528D">
        <w:t>i</w:t>
      </w:r>
      <w:r w:rsidR="00193A7D" w:rsidRPr="0046528D">
        <w:lastRenderedPageBreak/>
        <w:t>velli di colesterolo medi nei pazienti con documentata malattia coronarica porta ad una diminuzione dei tassi di infarto del miocardio, e</w:t>
      </w:r>
      <w:r w:rsidRPr="0046528D">
        <w:t>d</w:t>
      </w:r>
      <w:r w:rsidR="00193A7D" w:rsidRPr="0046528D">
        <w:t xml:space="preserve"> </w:t>
      </w:r>
      <w:r w:rsidRPr="0046528D">
        <w:t>è da attribuire in parte al m</w:t>
      </w:r>
      <w:r w:rsidRPr="0046528D">
        <w:t>i</w:t>
      </w:r>
      <w:r w:rsidRPr="0046528D">
        <w:t>glioramento della funzione endoteliale probabilmente la genesi di questo effetto pr</w:t>
      </w:r>
      <w:r w:rsidRPr="0046528D">
        <w:t>o</w:t>
      </w:r>
      <w:r w:rsidRPr="0046528D">
        <w:t>tettivo</w:t>
      </w:r>
      <w:r w:rsidR="00193A7D" w:rsidRPr="0046528D">
        <w:t xml:space="preserve"> </w:t>
      </w:r>
      <w:r w:rsidR="00193A7D" w:rsidRPr="0046528D">
        <w:rPr>
          <w:vertAlign w:val="superscript"/>
        </w:rPr>
        <w:endnoteReference w:id="195"/>
      </w:r>
      <w:r w:rsidR="00193A7D" w:rsidRPr="0046528D">
        <w:t xml:space="preserve">.  </w:t>
      </w:r>
    </w:p>
    <w:p w14:paraId="40098FBC" w14:textId="77777777" w:rsidR="00193A7D" w:rsidRPr="0046528D" w:rsidRDefault="00193A7D" w:rsidP="0046528D">
      <w:pPr>
        <w:spacing w:line="360" w:lineRule="auto"/>
        <w:jc w:val="both"/>
        <w:rPr>
          <w:b/>
        </w:rPr>
      </w:pPr>
    </w:p>
    <w:p w14:paraId="49DBEE32" w14:textId="77777777" w:rsidR="00193A7D" w:rsidRPr="0046528D" w:rsidRDefault="00C447E5" w:rsidP="0046528D">
      <w:pPr>
        <w:spacing w:line="360" w:lineRule="auto"/>
        <w:jc w:val="both"/>
        <w:rPr>
          <w:b/>
        </w:rPr>
      </w:pPr>
      <w:r w:rsidRPr="0046528D">
        <w:rPr>
          <w:b/>
        </w:rPr>
        <w:t>2</w:t>
      </w:r>
      <w:r w:rsidR="0068562E" w:rsidRPr="0046528D">
        <w:rPr>
          <w:b/>
        </w:rPr>
        <w:t>.3.6 La Disfunzione Endoteliale nel p</w:t>
      </w:r>
      <w:r w:rsidR="00193A7D" w:rsidRPr="0046528D">
        <w:rPr>
          <w:b/>
        </w:rPr>
        <w:t>aziente iperteso</w:t>
      </w:r>
    </w:p>
    <w:p w14:paraId="154DD845" w14:textId="77777777" w:rsidR="00193A7D" w:rsidRPr="0046528D" w:rsidRDefault="00270D47" w:rsidP="0046528D">
      <w:pPr>
        <w:spacing w:line="360" w:lineRule="auto"/>
        <w:jc w:val="both"/>
      </w:pPr>
      <w:r w:rsidRPr="0046528D">
        <w:t>La</w:t>
      </w:r>
      <w:r w:rsidR="00193A7D" w:rsidRPr="0046528D">
        <w:t xml:space="preserve"> disfunzione endoteliale è stata documentata sia nell'avambraccio che nelle cor</w:t>
      </w:r>
      <w:r w:rsidR="00193A7D" w:rsidRPr="0046528D">
        <w:t>o</w:t>
      </w:r>
      <w:r w:rsidR="00193A7D" w:rsidRPr="0046528D">
        <w:t>narie dei pazienti con ipertensione essenziale. Si è osservato che le risposte all’acetilcolina e all’adenosina erano significativamente ridotte nei pazienti con ipe</w:t>
      </w:r>
      <w:r w:rsidR="00193A7D" w:rsidRPr="0046528D">
        <w:t>r</w:t>
      </w:r>
      <w:r w:rsidR="00193A7D" w:rsidRPr="0046528D">
        <w:t>trofia ventricolare sinistra</w:t>
      </w:r>
      <w:r w:rsidR="00193A7D" w:rsidRPr="0046528D">
        <w:rPr>
          <w:vertAlign w:val="superscript"/>
        </w:rPr>
        <w:endnoteReference w:id="196"/>
      </w:r>
      <w:r w:rsidR="00193A7D" w:rsidRPr="0046528D">
        <w:t>, dimostrando che la vasodilatazione endotelio e non e</w:t>
      </w:r>
      <w:r w:rsidR="00193A7D" w:rsidRPr="0046528D">
        <w:t>n</w:t>
      </w:r>
      <w:r w:rsidR="00193A7D" w:rsidRPr="0046528D">
        <w:t>dotelio-dipendente era insufficiente nei pazienti con ipertensione e ipertrofia ventr</w:t>
      </w:r>
      <w:r w:rsidR="00193A7D" w:rsidRPr="0046528D">
        <w:t>i</w:t>
      </w:r>
      <w:r w:rsidR="00193A7D" w:rsidRPr="0046528D">
        <w:t xml:space="preserve">colare sinistra. È stato dimostrato </w:t>
      </w:r>
      <w:r w:rsidR="00441993" w:rsidRPr="0046528D">
        <w:t xml:space="preserve">che, nei pazienti con ipertensione renovascolare o con iperaldosteronismo primitivo, </w:t>
      </w:r>
      <w:r w:rsidR="00193A7D" w:rsidRPr="0046528D">
        <w:t>vi è una compromissione della vasodilatazione e</w:t>
      </w:r>
      <w:r w:rsidR="00193A7D" w:rsidRPr="0046528D">
        <w:t>n</w:t>
      </w:r>
      <w:r w:rsidR="00193A7D" w:rsidRPr="0046528D">
        <w:t xml:space="preserve">dotelio-dipendente (EDV) </w:t>
      </w:r>
      <w:r w:rsidR="00441993" w:rsidRPr="0046528D">
        <w:t xml:space="preserve">e che, nei pazienti con ipertensione essenziale, </w:t>
      </w:r>
      <w:r w:rsidR="00193A7D" w:rsidRPr="0046528D">
        <w:t>vi è un m</w:t>
      </w:r>
      <w:r w:rsidR="00441993" w:rsidRPr="0046528D">
        <w:t>eccanismo vasocostrittore ciclo-</w:t>
      </w:r>
      <w:r w:rsidR="00193A7D" w:rsidRPr="0046528D">
        <w:t>ossigenasi dipendente responsabile della ridotta r</w:t>
      </w:r>
      <w:r w:rsidR="00193A7D" w:rsidRPr="0046528D">
        <w:t>i</w:t>
      </w:r>
      <w:r w:rsidR="00193A7D" w:rsidRPr="0046528D">
        <w:t>sposta agli stimoli vasodilatatori endoteliali</w:t>
      </w:r>
      <w:r w:rsidR="00193A7D" w:rsidRPr="0046528D">
        <w:rPr>
          <w:vertAlign w:val="superscript"/>
        </w:rPr>
        <w:endnoteReference w:id="197"/>
      </w:r>
      <w:r w:rsidR="00193A7D" w:rsidRPr="0046528D">
        <w:t>.</w:t>
      </w:r>
    </w:p>
    <w:p w14:paraId="666E9C51" w14:textId="77777777" w:rsidR="00193A7D" w:rsidRPr="0046528D" w:rsidRDefault="00193A7D" w:rsidP="0046528D">
      <w:pPr>
        <w:spacing w:line="360" w:lineRule="auto"/>
        <w:jc w:val="both"/>
      </w:pPr>
    </w:p>
    <w:p w14:paraId="3C6FB3AE" w14:textId="77777777" w:rsidR="00193A7D" w:rsidRPr="0046528D" w:rsidRDefault="00C447E5" w:rsidP="0046528D">
      <w:pPr>
        <w:spacing w:line="360" w:lineRule="auto"/>
        <w:jc w:val="both"/>
        <w:rPr>
          <w:b/>
        </w:rPr>
      </w:pPr>
      <w:r w:rsidRPr="0046528D">
        <w:rPr>
          <w:b/>
        </w:rPr>
        <w:t>2</w:t>
      </w:r>
      <w:r w:rsidR="0068562E" w:rsidRPr="0046528D">
        <w:rPr>
          <w:b/>
        </w:rPr>
        <w:t>.3.7 La Disfunzione Endoteliale e l’I</w:t>
      </w:r>
      <w:r w:rsidR="00193A7D" w:rsidRPr="0046528D">
        <w:rPr>
          <w:b/>
        </w:rPr>
        <w:t>nvecchiamento</w:t>
      </w:r>
    </w:p>
    <w:p w14:paraId="244CF567" w14:textId="77777777" w:rsidR="00193A7D" w:rsidRPr="0046528D" w:rsidRDefault="009E1416" w:rsidP="0046528D">
      <w:pPr>
        <w:spacing w:line="360" w:lineRule="auto"/>
        <w:jc w:val="both"/>
      </w:pPr>
      <w:r w:rsidRPr="0046528D">
        <w:t>Gli endoteliociti</w:t>
      </w:r>
      <w:r w:rsidR="00193A7D" w:rsidRPr="0046528D">
        <w:t xml:space="preserve"> hanno una </w:t>
      </w:r>
      <w:r w:rsidRPr="0046528D">
        <w:t>vita</w:t>
      </w:r>
      <w:r w:rsidR="00193A7D" w:rsidRPr="0046528D">
        <w:t xml:space="preserve"> limitata quando coltivate in vitro e con il tempo e</w:t>
      </w:r>
      <w:r w:rsidR="00193A7D" w:rsidRPr="0046528D">
        <w:t>n</w:t>
      </w:r>
      <w:r w:rsidR="00193A7D" w:rsidRPr="0046528D">
        <w:t>trano in una fase di arresto della crescita irreversibile chiamata "senescenza cellul</w:t>
      </w:r>
      <w:r w:rsidR="00193A7D" w:rsidRPr="0046528D">
        <w:t>a</w:t>
      </w:r>
      <w:r w:rsidR="00193A7D" w:rsidRPr="0046528D">
        <w:t>re". Recentemente, cellule endoteliali senescenti sono state individuate in lesioni at</w:t>
      </w:r>
      <w:r w:rsidR="00193A7D" w:rsidRPr="0046528D">
        <w:t>e</w:t>
      </w:r>
      <w:r w:rsidR="00193A7D" w:rsidRPr="0046528D">
        <w:t>rosclerotiche umane, ma non nelle lesioni non aterosclerotiche. Queste cellule espr</w:t>
      </w:r>
      <w:r w:rsidR="00193A7D" w:rsidRPr="0046528D">
        <w:t>i</w:t>
      </w:r>
      <w:r w:rsidR="00193A7D" w:rsidRPr="0046528D">
        <w:t>mono un aumento dei livelli di molecole pro-infiammatorie e una diminuzione dei livelli di eNOS, suggerendo che la senescenza cellulare in vivo contribuisce alla p</w:t>
      </w:r>
      <w:r w:rsidR="00193A7D" w:rsidRPr="0046528D">
        <w:t>a</w:t>
      </w:r>
      <w:r w:rsidR="00193A7D" w:rsidRPr="0046528D">
        <w:t>togenesi dell'aterosclerosi umana</w:t>
      </w:r>
      <w:r w:rsidR="00193A7D" w:rsidRPr="0046528D">
        <w:rPr>
          <w:vertAlign w:val="superscript"/>
        </w:rPr>
        <w:endnoteReference w:id="198"/>
      </w:r>
      <w:r w:rsidR="00193A7D" w:rsidRPr="0046528D">
        <w:t>. Una teoria ampiamente discussa sulla senesce</w:t>
      </w:r>
      <w:r w:rsidR="00193A7D" w:rsidRPr="0046528D">
        <w:t>n</w:t>
      </w:r>
      <w:r w:rsidR="00193A7D" w:rsidRPr="0046528D">
        <w:t>za è l'ipotesi dei telomeri: l’inizio del malfunzionamento dei telomeri legato a un loro progressivo accorciamento, ha dimostrato condurre a disfunzioni vascolari che pr</w:t>
      </w:r>
      <w:r w:rsidR="00193A7D" w:rsidRPr="0046528D">
        <w:t>o</w:t>
      </w:r>
      <w:r w:rsidR="00193A7D" w:rsidRPr="0046528D">
        <w:t xml:space="preserve">muovono l'aterogenesi, tenendo conto che al contrario il loro allungamento estende la vita delle cellule e protegge dalla disfunzione endoteliale associata alla senescenza. Prove più recenti suggeriscono che anche meccanismi telomero-indipendenti sono implicati nella senescenza cellulare, per esempio l’attivazione di Ras, un importante molecola di segnalazione coinvolta in stimoli proaterogeni, induce senescenza delle cellule vascolari e quindi promuove l'infiammazione vascolare in vitro e in vivo </w:t>
      </w:r>
      <w:r w:rsidR="00193A7D" w:rsidRPr="0046528D">
        <w:rPr>
          <w:vertAlign w:val="superscript"/>
        </w:rPr>
        <w:endnoteReference w:id="199"/>
      </w:r>
      <w:r w:rsidR="00193A7D" w:rsidRPr="0046528D">
        <w:t>.</w:t>
      </w:r>
    </w:p>
    <w:p w14:paraId="376F2611" w14:textId="77777777" w:rsidR="00193A7D" w:rsidRPr="0046528D" w:rsidRDefault="00745F16" w:rsidP="0046528D">
      <w:pPr>
        <w:spacing w:line="360" w:lineRule="auto"/>
        <w:jc w:val="both"/>
      </w:pPr>
      <w:r w:rsidRPr="0046528D">
        <w:lastRenderedPageBreak/>
        <w:t xml:space="preserve">Queste </w:t>
      </w:r>
      <w:r w:rsidR="00193A7D" w:rsidRPr="0046528D">
        <w:t>prove presentate sembrano suggerire inoltre che l'invecchiamento è associato a disfunzione endoteliale e r</w:t>
      </w:r>
      <w:r w:rsidR="008B5859" w:rsidRPr="0046528D">
        <w:t>idotta elasticità delle arterie;</w:t>
      </w:r>
      <w:r w:rsidR="00193A7D" w:rsidRPr="0046528D">
        <w:t xml:space="preserve"> infatti sembra che l'elastic</w:t>
      </w:r>
      <w:r w:rsidR="00193A7D" w:rsidRPr="0046528D">
        <w:t>i</w:t>
      </w:r>
      <w:r w:rsidR="00193A7D" w:rsidRPr="0046528D">
        <w:t>tà arteriosa ridotta può essere utilizzata come misura non invasiva per la determin</w:t>
      </w:r>
      <w:r w:rsidR="00193A7D" w:rsidRPr="0046528D">
        <w:t>a</w:t>
      </w:r>
      <w:r w:rsidR="00193A7D" w:rsidRPr="0046528D">
        <w:t>zione della funzione endoteliale. Un altro studio ha concluso che vi è una risposta r</w:t>
      </w:r>
      <w:r w:rsidR="00193A7D" w:rsidRPr="0046528D">
        <w:t>i</w:t>
      </w:r>
      <w:r w:rsidR="00193A7D" w:rsidRPr="0046528D">
        <w:t xml:space="preserve">dotta all’acetilcolina con l'avanzare dell'età in entrambi i controlli normotesi ed in pazienti ipertesi essenziali, ciò suggerisce che l'invecchiamento è associato ad una ridotta vasodilatazione </w:t>
      </w:r>
      <w:r w:rsidR="008B5859" w:rsidRPr="0046528D">
        <w:t>dipendente dall’endotelio</w:t>
      </w:r>
      <w:r w:rsidR="00193A7D" w:rsidRPr="0046528D">
        <w:t xml:space="preserve"> </w:t>
      </w:r>
      <w:r w:rsidR="00193A7D" w:rsidRPr="0046528D">
        <w:rPr>
          <w:vertAlign w:val="superscript"/>
        </w:rPr>
        <w:endnoteReference w:id="200"/>
      </w:r>
      <w:r w:rsidR="00193A7D" w:rsidRPr="0046528D">
        <w:t>.</w:t>
      </w:r>
    </w:p>
    <w:p w14:paraId="3E14361D" w14:textId="77777777" w:rsidR="00193A7D" w:rsidRPr="0046528D" w:rsidRDefault="00193A7D" w:rsidP="0046528D">
      <w:pPr>
        <w:spacing w:line="360" w:lineRule="auto"/>
        <w:jc w:val="both"/>
      </w:pPr>
    </w:p>
    <w:p w14:paraId="286CCB81" w14:textId="77777777" w:rsidR="00193A7D" w:rsidRPr="0046528D" w:rsidRDefault="00C447E5" w:rsidP="0046528D">
      <w:pPr>
        <w:spacing w:line="360" w:lineRule="auto"/>
        <w:jc w:val="both"/>
      </w:pPr>
      <w:r w:rsidRPr="0046528D">
        <w:rPr>
          <w:b/>
          <w:bCs/>
        </w:rPr>
        <w:t>2</w:t>
      </w:r>
      <w:r w:rsidR="0068562E" w:rsidRPr="0046528D">
        <w:rPr>
          <w:b/>
          <w:bCs/>
        </w:rPr>
        <w:t>.3.8 La Disfunzione Endoteliale e il F</w:t>
      </w:r>
      <w:r w:rsidR="00193A7D" w:rsidRPr="0046528D">
        <w:rPr>
          <w:b/>
          <w:bCs/>
        </w:rPr>
        <w:t>umo</w:t>
      </w:r>
    </w:p>
    <w:p w14:paraId="70C7ECF3" w14:textId="77777777" w:rsidR="00193A7D" w:rsidRPr="0046528D" w:rsidRDefault="00193A7D" w:rsidP="0046528D">
      <w:pPr>
        <w:spacing w:line="360" w:lineRule="auto"/>
        <w:jc w:val="both"/>
      </w:pPr>
      <w:r w:rsidRPr="0046528D">
        <w:t>Il fumo determina disfunzione endoteliale, e il fumo passivo è associato a riduzione dose-dipendente della dilatazione endotelio-dipendente in giovani adulti sani. La d</w:t>
      </w:r>
      <w:r w:rsidRPr="0046528D">
        <w:t>i</w:t>
      </w:r>
      <w:r w:rsidRPr="0046528D">
        <w:t>latazione flusso-mediata è significativamente compromessa nei fumatori sia passivi che attivi rispetto ai non fumatori. Nei fumatori passivi, vi è una relazione inversa tra l'intensità di esposizione al fumo di tabacco e la dilatazione flusso-mediata. Il fumo di sigaretta</w:t>
      </w:r>
      <w:r w:rsidR="00757574" w:rsidRPr="0046528D">
        <w:t>, inoltre,</w:t>
      </w:r>
      <w:r w:rsidRPr="0046528D">
        <w:t xml:space="preserve"> è associato ad un aumento della formazione di trombi piastrinici. Piccole aree di denudazione e deposizione di trombi sono comunemente riscontrati sulla superficie delle placche ateromatose a carattere solitamente subclinico. In pr</w:t>
      </w:r>
      <w:r w:rsidRPr="0046528D">
        <w:t>e</w:t>
      </w:r>
      <w:r w:rsidRPr="0046528D">
        <w:t xml:space="preserve">senza di uno squilibrio nei sistemi di coagulazione o fibrinolitici, tali microtrombi </w:t>
      </w:r>
      <w:r w:rsidR="00757574" w:rsidRPr="0046528D">
        <w:t xml:space="preserve">possono propagarsi portando, infine, </w:t>
      </w:r>
      <w:r w:rsidRPr="0046528D">
        <w:t>a</w:t>
      </w:r>
      <w:r w:rsidR="00757574" w:rsidRPr="0046528D">
        <w:t>d</w:t>
      </w:r>
      <w:r w:rsidRPr="0046528D">
        <w:t xml:space="preserve"> </w:t>
      </w:r>
      <w:r w:rsidR="00757574" w:rsidRPr="0046528D">
        <w:t>un’</w:t>
      </w:r>
      <w:r w:rsidRPr="0046528D">
        <w:t xml:space="preserve">occlusione arteriosa </w:t>
      </w:r>
      <w:r w:rsidRPr="0046528D">
        <w:rPr>
          <w:vertAlign w:val="superscript"/>
        </w:rPr>
        <w:endnoteReference w:id="201"/>
      </w:r>
      <w:r w:rsidRPr="0046528D">
        <w:t>.</w:t>
      </w:r>
    </w:p>
    <w:p w14:paraId="40DA255B" w14:textId="77777777" w:rsidR="00193A7D" w:rsidRPr="0046528D" w:rsidRDefault="00193A7D" w:rsidP="0046528D">
      <w:pPr>
        <w:spacing w:line="360" w:lineRule="auto"/>
        <w:jc w:val="both"/>
      </w:pPr>
    </w:p>
    <w:p w14:paraId="0BD7F04D" w14:textId="77777777" w:rsidR="00193A7D" w:rsidRPr="0046528D" w:rsidRDefault="00C447E5" w:rsidP="0046528D">
      <w:pPr>
        <w:spacing w:line="360" w:lineRule="auto"/>
        <w:jc w:val="both"/>
        <w:rPr>
          <w:b/>
          <w:bCs/>
        </w:rPr>
      </w:pPr>
      <w:r w:rsidRPr="0046528D">
        <w:rPr>
          <w:b/>
          <w:bCs/>
        </w:rPr>
        <w:t>2</w:t>
      </w:r>
      <w:r w:rsidR="00193A7D" w:rsidRPr="0046528D">
        <w:rPr>
          <w:b/>
          <w:bCs/>
        </w:rPr>
        <w:t xml:space="preserve">.3.9 </w:t>
      </w:r>
      <w:r w:rsidR="0068562E" w:rsidRPr="0046528D">
        <w:rPr>
          <w:b/>
          <w:bCs/>
        </w:rPr>
        <w:t>La Disfunzione E</w:t>
      </w:r>
      <w:r w:rsidR="00193A7D" w:rsidRPr="0046528D">
        <w:rPr>
          <w:b/>
          <w:bCs/>
        </w:rPr>
        <w:t>ndotelial</w:t>
      </w:r>
      <w:r w:rsidR="0068562E" w:rsidRPr="0046528D">
        <w:rPr>
          <w:b/>
          <w:bCs/>
        </w:rPr>
        <w:t>e e l’I</w:t>
      </w:r>
      <w:r w:rsidR="00193A7D" w:rsidRPr="0046528D">
        <w:rPr>
          <w:b/>
          <w:bCs/>
        </w:rPr>
        <w:t>peromocistinemia</w:t>
      </w:r>
    </w:p>
    <w:p w14:paraId="762A5E16" w14:textId="77777777" w:rsidR="00193A7D" w:rsidRPr="0046528D" w:rsidRDefault="003C7AF5" w:rsidP="0046528D">
      <w:pPr>
        <w:spacing w:line="360" w:lineRule="auto"/>
        <w:jc w:val="both"/>
      </w:pPr>
      <w:r w:rsidRPr="0046528D">
        <w:t>È stato suggerito da s</w:t>
      </w:r>
      <w:r w:rsidR="00193A7D" w:rsidRPr="0046528D">
        <w:t xml:space="preserve">tudi epidemiologici che anche lievi </w:t>
      </w:r>
      <w:r w:rsidRPr="0046528D">
        <w:t>incrementi di omocistein</w:t>
      </w:r>
      <w:r w:rsidRPr="0046528D">
        <w:t>e</w:t>
      </w:r>
      <w:r w:rsidRPr="0046528D">
        <w:t>mia</w:t>
      </w:r>
      <w:r w:rsidR="00193A7D" w:rsidRPr="0046528D">
        <w:t xml:space="preserve"> sono associati ad un aumentato rischio di aterosclerosi, compresa la malattia c</w:t>
      </w:r>
      <w:r w:rsidR="00193A7D" w:rsidRPr="0046528D">
        <w:t>o</w:t>
      </w:r>
      <w:r w:rsidR="00193A7D" w:rsidRPr="0046528D">
        <w:t>ronarica. È importante sottolineare che, l’iperomocisteinemia può essere un fattore di rischio modificabile per l'aterosclerosi, infatti i livelli plasmatici di omocisteina po</w:t>
      </w:r>
      <w:r w:rsidR="00193A7D" w:rsidRPr="0046528D">
        <w:t>s</w:t>
      </w:r>
      <w:r w:rsidR="00193A7D" w:rsidRPr="0046528D">
        <w:t>sono essere abbassati  attraverso un aumento dell’assunzione alimentare di acido f</w:t>
      </w:r>
      <w:r w:rsidR="00193A7D" w:rsidRPr="0046528D">
        <w:t>o</w:t>
      </w:r>
      <w:r w:rsidR="00193A7D" w:rsidRPr="0046528D">
        <w:t>lico e piridossina.</w:t>
      </w:r>
    </w:p>
    <w:p w14:paraId="526860F6" w14:textId="77777777" w:rsidR="00193A7D" w:rsidRPr="0046528D" w:rsidRDefault="00135005" w:rsidP="0046528D">
      <w:pPr>
        <w:spacing w:line="360" w:lineRule="auto"/>
        <w:jc w:val="both"/>
        <w:rPr>
          <w:b/>
        </w:rPr>
      </w:pPr>
      <w:r w:rsidRPr="0046528D">
        <w:t>D</w:t>
      </w:r>
      <w:r w:rsidR="00193A7D" w:rsidRPr="0046528D">
        <w:t>iversi meccanismi vascolari</w:t>
      </w:r>
      <w:r w:rsidRPr="0046528D">
        <w:t xml:space="preserve"> sono infulenzati dall’omocisteina</w:t>
      </w:r>
      <w:r w:rsidR="00193A7D" w:rsidRPr="0046528D">
        <w:t>, tra cui la coagul</w:t>
      </w:r>
      <w:r w:rsidR="00193A7D" w:rsidRPr="0046528D">
        <w:t>a</w:t>
      </w:r>
      <w:r w:rsidR="00193A7D" w:rsidRPr="0046528D">
        <w:t>zione, la funzione piastrinica, le cellule muscolari lisce, e la funzione endoteliale. I</w:t>
      </w:r>
      <w:r w:rsidR="00193A7D" w:rsidRPr="0046528D">
        <w:t>n</w:t>
      </w:r>
      <w:r w:rsidR="00193A7D" w:rsidRPr="0046528D">
        <w:t>fusioni acute di omocisteina hanno dimostrato indurre consistenti danni alle cellule endoteliali provocando anche alterazioni della produzione e/o bioattività dei mediat</w:t>
      </w:r>
      <w:r w:rsidR="00193A7D" w:rsidRPr="0046528D">
        <w:t>o</w:t>
      </w:r>
      <w:r w:rsidR="00193A7D" w:rsidRPr="0046528D">
        <w:t>ri vasodilatatori</w:t>
      </w:r>
      <w:r w:rsidR="00193A7D" w:rsidRPr="0046528D">
        <w:rPr>
          <w:vertAlign w:val="superscript"/>
        </w:rPr>
        <w:endnoteReference w:id="202"/>
      </w:r>
      <w:r w:rsidR="00193A7D" w:rsidRPr="0046528D">
        <w:t xml:space="preserve">, tra cui </w:t>
      </w:r>
      <w:r w:rsidRPr="0046528D">
        <w:t xml:space="preserve">il </w:t>
      </w:r>
      <w:r w:rsidR="00193A7D" w:rsidRPr="0046528D">
        <w:t>NO. Inoltre, l’omocisteina ha dimostrato ridurre la vas</w:t>
      </w:r>
      <w:r w:rsidR="00193A7D" w:rsidRPr="0046528D">
        <w:t>o</w:t>
      </w:r>
      <w:r w:rsidR="00193A7D" w:rsidRPr="0046528D">
        <w:t>dilatazione endotelio-dipendente e la regolazione del flusso di sangue. L'esatto me</w:t>
      </w:r>
      <w:r w:rsidR="00193A7D" w:rsidRPr="0046528D">
        <w:t>c</w:t>
      </w:r>
      <w:r w:rsidR="00193A7D" w:rsidRPr="0046528D">
        <w:t xml:space="preserve">canismo alla base degli effetti benefici dei folati sull'endotelio restano da chiarire, ma </w:t>
      </w:r>
      <w:r w:rsidR="00193A7D" w:rsidRPr="0046528D">
        <w:lastRenderedPageBreak/>
        <w:t xml:space="preserve">i potenziali meccanismi d'azione sembrerebbero includere azione antiossidante, </w:t>
      </w:r>
      <w:r w:rsidRPr="0046528D">
        <w:t>int</w:t>
      </w:r>
      <w:r w:rsidRPr="0046528D">
        <w:t>e</w:t>
      </w:r>
      <w:r w:rsidRPr="0046528D">
        <w:t xml:space="preserve">razioni dirette con l'enzima NO-sintetasi endoteliale o </w:t>
      </w:r>
      <w:r w:rsidR="00193A7D" w:rsidRPr="0046528D">
        <w:t>effetti sull</w:t>
      </w:r>
      <w:r w:rsidRPr="0046528D">
        <w:t>a disponibilità del cofattore</w:t>
      </w:r>
      <w:r w:rsidR="00193A7D" w:rsidRPr="0046528D">
        <w:t xml:space="preserve"> </w:t>
      </w:r>
      <w:r w:rsidR="00193A7D" w:rsidRPr="0046528D">
        <w:rPr>
          <w:vertAlign w:val="superscript"/>
        </w:rPr>
        <w:endnoteReference w:id="203"/>
      </w:r>
      <w:r w:rsidR="00193A7D" w:rsidRPr="0046528D">
        <w:t xml:space="preserve">. </w:t>
      </w:r>
    </w:p>
    <w:p w14:paraId="095C97A9" w14:textId="77777777" w:rsidR="00193A7D" w:rsidRPr="0046528D" w:rsidRDefault="00193A7D" w:rsidP="0046528D">
      <w:pPr>
        <w:spacing w:line="360" w:lineRule="auto"/>
        <w:jc w:val="both"/>
        <w:rPr>
          <w:b/>
        </w:rPr>
      </w:pPr>
    </w:p>
    <w:p w14:paraId="4032DD26" w14:textId="77777777" w:rsidR="00193A7D" w:rsidRPr="0046528D" w:rsidRDefault="00C447E5" w:rsidP="0046528D">
      <w:pPr>
        <w:spacing w:line="360" w:lineRule="auto"/>
        <w:jc w:val="both"/>
        <w:rPr>
          <w:b/>
        </w:rPr>
      </w:pPr>
      <w:r w:rsidRPr="0046528D">
        <w:rPr>
          <w:b/>
        </w:rPr>
        <w:t>2</w:t>
      </w:r>
      <w:r w:rsidR="00193A7D" w:rsidRPr="0046528D">
        <w:rPr>
          <w:b/>
        </w:rPr>
        <w:t xml:space="preserve">.3.10 </w:t>
      </w:r>
      <w:r w:rsidR="0068562E" w:rsidRPr="0046528D">
        <w:rPr>
          <w:b/>
        </w:rPr>
        <w:t xml:space="preserve">La </w:t>
      </w:r>
      <w:r w:rsidR="00193A7D" w:rsidRPr="0046528D">
        <w:rPr>
          <w:b/>
        </w:rPr>
        <w:t>Disfunzione endoteliale associata ad altre malattie</w:t>
      </w:r>
    </w:p>
    <w:p w14:paraId="7A5AE1D4" w14:textId="77777777" w:rsidR="00193A7D" w:rsidRPr="0046528D" w:rsidRDefault="00135005" w:rsidP="0046528D">
      <w:pPr>
        <w:spacing w:line="360" w:lineRule="auto"/>
        <w:jc w:val="both"/>
      </w:pPr>
      <w:r w:rsidRPr="0046528D">
        <w:t xml:space="preserve">Ultimamente è stata dimostrata da </w:t>
      </w:r>
      <w:r w:rsidR="00193A7D" w:rsidRPr="0046528D">
        <w:t>diversi studi la compromissione (coronarica o p</w:t>
      </w:r>
      <w:r w:rsidR="00193A7D" w:rsidRPr="0046528D">
        <w:t>e</w:t>
      </w:r>
      <w:r w:rsidR="00193A7D" w:rsidRPr="0046528D">
        <w:t xml:space="preserve">riferica, o entrambi) della vasodilatazione endotelio-dipendente (EDV) nei pazienti con insufficienza renale moderata, così come nei pazienti con insufficienza renale in stadio avanzato trattati con emodialisi </w:t>
      </w:r>
      <w:r w:rsidR="00193A7D" w:rsidRPr="0046528D">
        <w:rPr>
          <w:vertAlign w:val="superscript"/>
        </w:rPr>
        <w:endnoteReference w:id="204"/>
      </w:r>
      <w:r w:rsidR="00193A7D" w:rsidRPr="0046528D">
        <w:rPr>
          <w:vertAlign w:val="superscript"/>
        </w:rPr>
        <w:t xml:space="preserve"> </w:t>
      </w:r>
      <w:r w:rsidR="00193A7D" w:rsidRPr="0046528D">
        <w:t xml:space="preserve">o dialisi peritoneale </w:t>
      </w:r>
      <w:r w:rsidR="00193A7D" w:rsidRPr="0046528D">
        <w:rPr>
          <w:vertAlign w:val="superscript"/>
        </w:rPr>
        <w:endnoteReference w:id="205"/>
      </w:r>
      <w:r w:rsidR="00193A7D" w:rsidRPr="0046528D">
        <w:t>.</w:t>
      </w:r>
      <w:r w:rsidR="00193A7D" w:rsidRPr="0046528D">
        <w:rPr>
          <w:vertAlign w:val="superscript"/>
        </w:rPr>
        <w:t xml:space="preserve"> </w:t>
      </w:r>
      <w:r w:rsidR="00193A7D" w:rsidRPr="0046528D">
        <w:t>Le ragioni non sono pienamente comprese, ma sono probabilmente multifattoriale: aumento dello stress ossidativo, l'iperomocisteinemia, dislipidemia, iperglicemia, ipertensione, e il mant</w:t>
      </w:r>
      <w:r w:rsidR="00193A7D" w:rsidRPr="0046528D">
        <w:t>e</w:t>
      </w:r>
      <w:r w:rsidR="00193A7D" w:rsidRPr="0046528D">
        <w:t>nimento di inibitori L-argin</w:t>
      </w:r>
      <w:r w:rsidRPr="0046528D">
        <w:t>ina</w:t>
      </w:r>
      <w:r w:rsidR="00193A7D" w:rsidRPr="0046528D">
        <w:t>.</w:t>
      </w:r>
    </w:p>
    <w:p w14:paraId="0B9678DB" w14:textId="77777777" w:rsidR="00193A7D" w:rsidRPr="0046528D" w:rsidRDefault="00193A7D" w:rsidP="0046528D">
      <w:pPr>
        <w:spacing w:line="360" w:lineRule="auto"/>
        <w:jc w:val="both"/>
      </w:pPr>
      <w:r w:rsidRPr="0046528D">
        <w:t>Alcuni articoli hanno descritto la disfunzione endoteliale in altre malattie, come l'</w:t>
      </w:r>
      <w:r w:rsidRPr="0046528D">
        <w:t>i</w:t>
      </w:r>
      <w:r w:rsidRPr="0046528D">
        <w:t xml:space="preserve">pertensione polmonare </w:t>
      </w:r>
      <w:r w:rsidRPr="0046528D">
        <w:rPr>
          <w:vertAlign w:val="superscript"/>
        </w:rPr>
        <w:endnoteReference w:id="206"/>
      </w:r>
      <w:r w:rsidRPr="0046528D">
        <w:t xml:space="preserve">, la cardiomiopatia ipertrofica </w:t>
      </w:r>
      <w:r w:rsidRPr="0046528D">
        <w:rPr>
          <w:vertAlign w:val="superscript"/>
        </w:rPr>
        <w:endnoteReference w:id="207"/>
      </w:r>
      <w:r w:rsidRPr="0046528D">
        <w:t xml:space="preserve">, la </w:t>
      </w:r>
      <w:r w:rsidRPr="0046528D">
        <w:rPr>
          <w:vertAlign w:val="superscript"/>
        </w:rPr>
        <w:t xml:space="preserve"> </w:t>
      </w:r>
      <w:r w:rsidRPr="0046528D">
        <w:t>sindrome da disfu</w:t>
      </w:r>
      <w:r w:rsidRPr="0046528D">
        <w:t>n</w:t>
      </w:r>
      <w:r w:rsidRPr="0046528D">
        <w:t xml:space="preserve">zione d'organo multipla </w:t>
      </w:r>
      <w:r w:rsidRPr="0046528D">
        <w:rPr>
          <w:vertAlign w:val="superscript"/>
        </w:rPr>
        <w:endnoteReference w:id="208"/>
      </w:r>
      <w:r w:rsidRPr="0046528D">
        <w:t>,</w:t>
      </w:r>
      <w:r w:rsidRPr="0046528D">
        <w:rPr>
          <w:vertAlign w:val="superscript"/>
        </w:rPr>
        <w:t xml:space="preserve"> </w:t>
      </w:r>
      <w:r w:rsidRPr="0046528D">
        <w:t xml:space="preserve">l'infezione da HIV </w:t>
      </w:r>
      <w:r w:rsidRPr="0046528D">
        <w:rPr>
          <w:vertAlign w:val="superscript"/>
        </w:rPr>
        <w:endnoteReference w:id="209"/>
      </w:r>
      <w:r w:rsidRPr="0046528D">
        <w:t xml:space="preserve">, </w:t>
      </w:r>
      <w:r w:rsidR="00135005" w:rsidRPr="0046528D">
        <w:t xml:space="preserve">l’iperprolattinemia </w:t>
      </w:r>
      <w:r w:rsidR="00135005" w:rsidRPr="0046528D">
        <w:rPr>
          <w:vertAlign w:val="superscript"/>
        </w:rPr>
        <w:endnoteReference w:id="210"/>
      </w:r>
      <w:r w:rsidR="00135005" w:rsidRPr="0046528D">
        <w:t xml:space="preserve"> e </w:t>
      </w:r>
      <w:r w:rsidRPr="0046528D">
        <w:t>la sindr</w:t>
      </w:r>
      <w:r w:rsidRPr="0046528D">
        <w:t>o</w:t>
      </w:r>
      <w:r w:rsidRPr="0046528D">
        <w:t xml:space="preserve">me da anticorpi antifosfolipidi </w:t>
      </w:r>
      <w:r w:rsidRPr="0046528D">
        <w:rPr>
          <w:vertAlign w:val="superscript"/>
        </w:rPr>
        <w:endnoteReference w:id="211"/>
      </w:r>
      <w:r w:rsidRPr="0046528D">
        <w:t>.</w:t>
      </w:r>
    </w:p>
    <w:p w14:paraId="26A72055" w14:textId="77777777" w:rsidR="00193A7D" w:rsidRPr="0046528D" w:rsidRDefault="00193A7D" w:rsidP="0046528D">
      <w:pPr>
        <w:spacing w:line="360" w:lineRule="auto"/>
        <w:jc w:val="both"/>
        <w:rPr>
          <w:b/>
        </w:rPr>
      </w:pPr>
    </w:p>
    <w:p w14:paraId="74902E40" w14:textId="77777777" w:rsidR="00193A7D" w:rsidRPr="0046528D" w:rsidRDefault="00C447E5" w:rsidP="0046528D">
      <w:pPr>
        <w:spacing w:line="360" w:lineRule="auto"/>
        <w:jc w:val="both"/>
      </w:pPr>
      <w:r w:rsidRPr="0046528D">
        <w:rPr>
          <w:b/>
        </w:rPr>
        <w:t>2</w:t>
      </w:r>
      <w:r w:rsidR="00193A7D" w:rsidRPr="0046528D">
        <w:rPr>
          <w:b/>
        </w:rPr>
        <w:t>.4</w:t>
      </w:r>
      <w:r w:rsidR="00193A7D" w:rsidRPr="0046528D">
        <w:t xml:space="preserve"> </w:t>
      </w:r>
      <w:r w:rsidR="0068562E" w:rsidRPr="0046528D">
        <w:rPr>
          <w:b/>
          <w:bCs/>
        </w:rPr>
        <w:t>La Valutazione della Funzione E</w:t>
      </w:r>
      <w:r w:rsidR="00193A7D" w:rsidRPr="0046528D">
        <w:rPr>
          <w:b/>
          <w:bCs/>
        </w:rPr>
        <w:t>ndoteliale</w:t>
      </w:r>
    </w:p>
    <w:p w14:paraId="5A4B3121" w14:textId="77777777" w:rsidR="00193A7D" w:rsidRPr="0046528D" w:rsidRDefault="00CE251C" w:rsidP="0046528D">
      <w:pPr>
        <w:spacing w:line="360" w:lineRule="auto"/>
        <w:jc w:val="both"/>
        <w:rPr>
          <w:b/>
          <w:bCs/>
        </w:rPr>
      </w:pPr>
      <w:r w:rsidRPr="0046528D">
        <w:t>Per misurare il grado di funzione dell’endotelio i</w:t>
      </w:r>
      <w:r w:rsidR="00193A7D" w:rsidRPr="0046528D">
        <w:t>l parametro tradizionalmente usato è la capacità di vasodilatazione endotelio-dipendente, ovvero indotta da agonisti (ac</w:t>
      </w:r>
      <w:r w:rsidR="00193A7D" w:rsidRPr="0046528D">
        <w:t>e</w:t>
      </w:r>
      <w:r w:rsidR="00193A7D" w:rsidRPr="0046528D">
        <w:t>tilcolina, bradichinina o lo shear stress sulla parete vasale durante flusso iperemico) che stimolano la produzione endoteliale di sostanze vasodilatatrici. I primi studi es</w:t>
      </w:r>
      <w:r w:rsidR="00193A7D" w:rsidRPr="0046528D">
        <w:t>e</w:t>
      </w:r>
      <w:r w:rsidR="00193A7D" w:rsidRPr="0046528D">
        <w:t>guiti a livello del circolo coronarico hanno utilizzato l’infusione di acetilcolina d</w:t>
      </w:r>
      <w:r w:rsidR="00193A7D" w:rsidRPr="0046528D">
        <w:t>u</w:t>
      </w:r>
      <w:r w:rsidR="00193A7D" w:rsidRPr="0046528D">
        <w:t>rante coronarografia. La modificazione del diametro vascolare durante infusione i</w:t>
      </w:r>
      <w:r w:rsidR="00193A7D" w:rsidRPr="0046528D">
        <w:t>n</w:t>
      </w:r>
      <w:r w:rsidR="00193A7D" w:rsidRPr="0046528D">
        <w:t xml:space="preserve">tracoronarica di acetilcolina, misurata con angiografia quantitativa, è stata utilizzata come indice di produzione locale di NO. È stato dimostrato che l’acetilcolina induce una vasodilatazione nelle arterie coronariche epicardiche normali, mentre è possibile osservare una vasocostrizione paradossa nelle arterie con disfunzione endoteliale </w:t>
      </w:r>
      <w:r w:rsidR="00193A7D" w:rsidRPr="0046528D">
        <w:rPr>
          <w:vertAlign w:val="superscript"/>
        </w:rPr>
        <w:endnoteReference w:id="212"/>
      </w:r>
      <w:r w:rsidR="00193A7D" w:rsidRPr="0046528D">
        <w:t>.</w:t>
      </w:r>
    </w:p>
    <w:p w14:paraId="11A89DC7" w14:textId="77777777" w:rsidR="00193A7D" w:rsidRPr="0046528D" w:rsidRDefault="00193A7D" w:rsidP="0046528D">
      <w:pPr>
        <w:spacing w:line="360" w:lineRule="auto"/>
        <w:jc w:val="both"/>
      </w:pPr>
      <w:r w:rsidRPr="0046528D">
        <w:t>Oggi è possibile utilizzare, sempre durante studio coronarografico, sostanze vasodil</w:t>
      </w:r>
      <w:r w:rsidRPr="0046528D">
        <w:t>a</w:t>
      </w:r>
      <w:r w:rsidRPr="0046528D">
        <w:t>tatrici quali la papaverina che permettono di misurare la dilatazione coronarica dov</w:t>
      </w:r>
      <w:r w:rsidRPr="0046528D">
        <w:t>u</w:t>
      </w:r>
      <w:r w:rsidRPr="0046528D">
        <w:t xml:space="preserve">ta allo shear stress indotto dal farmaco. È inoltre possibile quantificare l’entità della risposta ai mediatori sin qui esposti, oltre che con l’angiografia quantitativa, anche mediante tecniche più sensibili quali l’ultrasonografia ed il doppler intracoronarico. L’impiego di queste tecniche, sebbene valido in quanto utilizza agonisti endoteliali </w:t>
      </w:r>
      <w:r w:rsidRPr="0046528D">
        <w:lastRenderedPageBreak/>
        <w:t>selettivi e modulabili, presenta tuttavia limitazioni dovute all’invasività della tecnica; la loro applicazione è ristretta ai pazienti che hanno una indicazione clinica alla es</w:t>
      </w:r>
      <w:r w:rsidRPr="0046528D">
        <w:t>e</w:t>
      </w:r>
      <w:r w:rsidRPr="0046528D">
        <w:t>cuzione di una coronarografia e pertanto sono state sviluppate metodiche per valutare la vasodilatazione endotelio-dipendente in altri distretti vascolari ed in modo meno invasivo. La pletismografia venosa viene utilizzata per valutare le variazioni di flusso a livello dell’avambraccio in risposta all’infusione diretta – mediante incannulazione dell’arteria brachiale – di sostanze vasodilatatrici ad azione endotelio-dipendente, quali l’acetilcolina, la sostanza P o la bradichinina. La metodica attualmente più ut</w:t>
      </w:r>
      <w:r w:rsidRPr="0046528D">
        <w:t>i</w:t>
      </w:r>
      <w:r w:rsidRPr="0046528D">
        <w:t>lizzata, poiché non invasiva, è quella dello studio della dilatazione flussomediata (FMD); tale metodica sfrutta l’aumento della forza tangenziale sulla parete vascolare in corso di iperemia (shear stress), che determina rilascio endoteliale di NO e cons</w:t>
      </w:r>
      <w:r w:rsidRPr="0046528D">
        <w:t>e</w:t>
      </w:r>
      <w:r w:rsidRPr="0046528D">
        <w:t xml:space="preserve">guente vasodilatazione </w:t>
      </w:r>
      <w:r w:rsidRPr="0046528D">
        <w:rPr>
          <w:vertAlign w:val="superscript"/>
        </w:rPr>
        <w:endnoteReference w:id="213"/>
      </w:r>
      <w:r w:rsidRPr="0046528D">
        <w:t>. La tecnica prevede la visualizzazione dell’arteria brachi</w:t>
      </w:r>
      <w:r w:rsidRPr="0046528D">
        <w:t>a</w:t>
      </w:r>
      <w:r w:rsidRPr="0046528D">
        <w:t>le in un tratto rettilineo del vaso circa 2 cm al di sopra della piega del gomito m</w:t>
      </w:r>
      <w:r w:rsidRPr="0046528D">
        <w:t>e</w:t>
      </w:r>
      <w:r w:rsidRPr="0046528D">
        <w:t>diante ultrasonografia, con una sonda vascolare di 7,5 MHz; la misura del diametro vasale viene eseguita in condizioni di base e dopo un minuto di flusso iperemico, al picco della vasodilatazione mediata dallo shear stress. L’iperemia viene indotta tr</w:t>
      </w:r>
      <w:r w:rsidRPr="0046528D">
        <w:t>a</w:t>
      </w:r>
      <w:r w:rsidRPr="0046528D">
        <w:t>mite occlusione meccanica dell’arteria brachiale mediante gonfiaggio di uno sfi</w:t>
      </w:r>
      <w:r w:rsidRPr="0046528D">
        <w:t>g</w:t>
      </w:r>
      <w:r w:rsidRPr="0046528D">
        <w:t>momanometro a pressioni maggiori di quelle arteriose sistemiche e successivo ril</w:t>
      </w:r>
      <w:r w:rsidRPr="0046528D">
        <w:t>a</w:t>
      </w:r>
      <w:r w:rsidRPr="0046528D">
        <w:t>scio, dopo cinque minuti di collasso del vaso. L’esame viene svolto in regime amb</w:t>
      </w:r>
      <w:r w:rsidRPr="0046528D">
        <w:t>u</w:t>
      </w:r>
      <w:r w:rsidRPr="0046528D">
        <w:t xml:space="preserve">latoriale, con controllo </w:t>
      </w:r>
      <w:r w:rsidR="00CE251C" w:rsidRPr="0046528D">
        <w:t>dello stress emotivo del paziente e della temperatura ambie</w:t>
      </w:r>
      <w:r w:rsidR="00CE251C" w:rsidRPr="0046528D">
        <w:t>n</w:t>
      </w:r>
      <w:r w:rsidR="00CE251C" w:rsidRPr="0046528D">
        <w:t>tale</w:t>
      </w:r>
      <w:r w:rsidRPr="0046528D">
        <w:t xml:space="preserve">. </w:t>
      </w:r>
    </w:p>
    <w:p w14:paraId="0CB98628" w14:textId="77777777" w:rsidR="00193A7D" w:rsidRPr="0046528D" w:rsidRDefault="00CE251C" w:rsidP="0046528D">
      <w:pPr>
        <w:spacing w:line="360" w:lineRule="auto"/>
        <w:jc w:val="both"/>
      </w:pPr>
      <w:r w:rsidRPr="0046528D">
        <w:t>Per almeno 48 ore prima del test v</w:t>
      </w:r>
      <w:r w:rsidR="00193A7D" w:rsidRPr="0046528D">
        <w:t>engono sospesi tutti i farmaci vasoattivi, l’assunzione di caffeina ed il fumo di sigaretta, che possono inficiare la risposta del vaso allo stimolo. I maggiori vantaggi di questa tecnica consistono nella non invas</w:t>
      </w:r>
      <w:r w:rsidR="00193A7D" w:rsidRPr="0046528D">
        <w:t>i</w:t>
      </w:r>
      <w:r w:rsidR="00193A7D" w:rsidRPr="0046528D">
        <w:t>vità, nella facile riproducibilità e ripetibilità del test, nel basso costo e nel minor r</w:t>
      </w:r>
      <w:r w:rsidR="00193A7D" w:rsidRPr="0046528D">
        <w:t>i</w:t>
      </w:r>
      <w:r w:rsidR="00193A7D" w:rsidRPr="0046528D">
        <w:t>schio rispetto ad uno studio invasivo angiografico selettivo. È stata dimostrata una buona correlazione tra la funzione endoteliale studiata a livello periferico con la FMD e quella misurata invasivamente a livello coronarico durante coronarografia</w:t>
      </w:r>
      <w:r w:rsidR="00193A7D" w:rsidRPr="0046528D">
        <w:rPr>
          <w:vertAlign w:val="superscript"/>
        </w:rPr>
        <w:endnoteReference w:id="214"/>
      </w:r>
      <w:r w:rsidR="00193A7D" w:rsidRPr="0046528D">
        <w:t>, ciò ha permesso l’applicazione estensiva dello studio della funzione endoteliale m</w:t>
      </w:r>
      <w:r w:rsidR="00193A7D" w:rsidRPr="0046528D">
        <w:t>e</w:t>
      </w:r>
      <w:r w:rsidR="00193A7D" w:rsidRPr="0046528D">
        <w:t>diante FMD in pazienti affetti da aterosclerosi coronarica o con fattori di rischio ca</w:t>
      </w:r>
      <w:r w:rsidR="00193A7D" w:rsidRPr="0046528D">
        <w:t>r</w:t>
      </w:r>
      <w:r w:rsidR="00193A7D" w:rsidRPr="0046528D">
        <w:t xml:space="preserve">diovascolare. Poiché la presenza di disfunzione endoteliale è correlata con lo stato infiammatorio delle pareti arteriose, sono marker di disfunzione endoteliale anche le forme solubili di mediatori dell’infiammazione, quali ICAM-1, VCAM-1 ed E-selectin, che possono essere dosate a livello plasmatico. In caso di alterata funzione </w:t>
      </w:r>
      <w:r w:rsidR="00193A7D" w:rsidRPr="0046528D">
        <w:lastRenderedPageBreak/>
        <w:t>endoteliale, è possibile caratterizzare i meccanismi implicati in tale disfunzione val</w:t>
      </w:r>
      <w:r w:rsidR="00193A7D" w:rsidRPr="0046528D">
        <w:t>u</w:t>
      </w:r>
      <w:r w:rsidR="00193A7D" w:rsidRPr="0046528D">
        <w:t>tando sia la via arginina-NO mediante la sua inibizione con la NG-monometil-L-arginina (L-NMMA), un antagonista selettivo per l’enzima NOS, ed attivazione con la L-arginina (il substrato per l’enzima NOS), mentre per valutare la presenza di stress ossidativo, si p</w:t>
      </w:r>
      <w:r w:rsidRPr="0046528D">
        <w:t>uò utilizzare un potente antiossidante, la vitamina C</w:t>
      </w:r>
      <w:r w:rsidR="00193A7D" w:rsidRPr="0046528D">
        <w:t>.</w:t>
      </w:r>
    </w:p>
    <w:p w14:paraId="445C5C1C" w14:textId="77777777" w:rsidR="00193A7D" w:rsidRPr="0046528D" w:rsidRDefault="00CE251C" w:rsidP="0046528D">
      <w:pPr>
        <w:spacing w:line="360" w:lineRule="auto"/>
        <w:jc w:val="both"/>
      </w:pPr>
      <w:r w:rsidRPr="0046528D">
        <w:t>L</w:t>
      </w:r>
      <w:r w:rsidR="00193A7D" w:rsidRPr="0046528D">
        <w:t>a misurazione della FMD ha anche dimostrato</w:t>
      </w:r>
      <w:r w:rsidR="004B06C2" w:rsidRPr="0046528D">
        <w:t>, tuttavia,</w:t>
      </w:r>
      <w:r w:rsidR="00193A7D" w:rsidRPr="0046528D">
        <w:t xml:space="preserve"> numerose problematiche per la stratificazione del rischio negli individui. Il metodo è tecnicamente impegnat</w:t>
      </w:r>
      <w:r w:rsidR="00193A7D" w:rsidRPr="0046528D">
        <w:t>i</w:t>
      </w:r>
      <w:r w:rsidR="00193A7D" w:rsidRPr="0046528D">
        <w:t>vo, richiede una formazione specifica e inoltre, la FMD è molto sensibile a  tutta una serie di fattori che possono influenzare la funzione endoteliale transitoriamente, ma non possono avere una grande importanza per il rischio di aterosclerosi a lungo te</w:t>
      </w:r>
      <w:r w:rsidR="00193A7D" w:rsidRPr="0046528D">
        <w:t>r</w:t>
      </w:r>
      <w:r w:rsidR="00193A7D" w:rsidRPr="0046528D">
        <w:t>mine. Ad esempio la FMD può essere acutamente abbassato da una malattia virale intercorrente, può essere transitoriamente ridotta dopo un pasto, e varia con il ritmo circadiano.</w:t>
      </w:r>
    </w:p>
    <w:p w14:paraId="26468520" w14:textId="77777777" w:rsidR="00193A7D" w:rsidRPr="0046528D" w:rsidRDefault="00193A7D" w:rsidP="0046528D">
      <w:pPr>
        <w:spacing w:line="360" w:lineRule="auto"/>
        <w:jc w:val="both"/>
      </w:pPr>
      <w:r w:rsidRPr="0046528D">
        <w:t xml:space="preserve">Per </w:t>
      </w:r>
      <w:r w:rsidR="0078094C" w:rsidRPr="0046528D">
        <w:t>tale</w:t>
      </w:r>
      <w:r w:rsidRPr="0046528D">
        <w:t xml:space="preserve"> motivo un certo numero di nuove tecniche sono state recentemente proposte come strumenti di screening potenzialmente applicabili per la valutazione della d</w:t>
      </w:r>
      <w:r w:rsidRPr="0046528D">
        <w:t>i</w:t>
      </w:r>
      <w:r w:rsidRPr="0046528D">
        <w:t>sfunzione endoteliale negli esseri umani. Ogni nuovo test proposto deve rispondere a vari criteri, se deve essere utile per valutare il rischio cardiovascolare in soggetti i</w:t>
      </w:r>
      <w:r w:rsidRPr="0046528D">
        <w:t>n</w:t>
      </w:r>
      <w:r w:rsidRPr="0046528D">
        <w:t>dividuali. Il test dovrebbe essere:</w:t>
      </w:r>
    </w:p>
    <w:p w14:paraId="7A6DE620" w14:textId="77777777" w:rsidR="00193A7D" w:rsidRPr="0046528D" w:rsidRDefault="00193A7D" w:rsidP="0046528D">
      <w:pPr>
        <w:numPr>
          <w:ilvl w:val="0"/>
          <w:numId w:val="8"/>
        </w:numPr>
        <w:spacing w:line="360" w:lineRule="auto"/>
        <w:jc w:val="both"/>
      </w:pPr>
      <w:r w:rsidRPr="0046528D">
        <w:t>semplice, non invasivo e applicabile a gran parte della popolazione;</w:t>
      </w:r>
    </w:p>
    <w:p w14:paraId="65226118" w14:textId="77777777" w:rsidR="00193A7D" w:rsidRPr="0046528D" w:rsidRDefault="00193A7D" w:rsidP="0046528D">
      <w:pPr>
        <w:numPr>
          <w:ilvl w:val="0"/>
          <w:numId w:val="8"/>
        </w:numPr>
        <w:spacing w:line="360" w:lineRule="auto"/>
        <w:jc w:val="both"/>
      </w:pPr>
      <w:r w:rsidRPr="0046528D">
        <w:t>riproducibile</w:t>
      </w:r>
    </w:p>
    <w:p w14:paraId="72F3BF24" w14:textId="77777777" w:rsidR="00193A7D" w:rsidRPr="0046528D" w:rsidRDefault="00193A7D" w:rsidP="0046528D">
      <w:pPr>
        <w:numPr>
          <w:ilvl w:val="0"/>
          <w:numId w:val="8"/>
        </w:numPr>
        <w:spacing w:line="360" w:lineRule="auto"/>
        <w:jc w:val="both"/>
      </w:pPr>
      <w:r w:rsidRPr="0046528D">
        <w:t>operatore indipendente;</w:t>
      </w:r>
    </w:p>
    <w:p w14:paraId="0BF8B7BA" w14:textId="77777777" w:rsidR="00193A7D" w:rsidRPr="0046528D" w:rsidRDefault="00193A7D" w:rsidP="0046528D">
      <w:pPr>
        <w:numPr>
          <w:ilvl w:val="0"/>
          <w:numId w:val="8"/>
        </w:numPr>
        <w:spacing w:line="360" w:lineRule="auto"/>
        <w:jc w:val="both"/>
      </w:pPr>
      <w:r w:rsidRPr="0046528D">
        <w:t>standardizzabile tra laboratori;</w:t>
      </w:r>
    </w:p>
    <w:p w14:paraId="5FAD008F" w14:textId="77777777" w:rsidR="00193A7D" w:rsidRPr="0046528D" w:rsidRDefault="00193A7D" w:rsidP="0046528D">
      <w:pPr>
        <w:numPr>
          <w:ilvl w:val="0"/>
          <w:numId w:val="8"/>
        </w:numPr>
        <w:spacing w:line="360" w:lineRule="auto"/>
        <w:jc w:val="both"/>
      </w:pPr>
      <w:r w:rsidRPr="0046528D">
        <w:t>in grado di predire il rischio;</w:t>
      </w:r>
    </w:p>
    <w:p w14:paraId="0AFB4B50" w14:textId="77777777" w:rsidR="00193A7D" w:rsidRPr="0046528D" w:rsidRDefault="00193A7D" w:rsidP="0046528D">
      <w:pPr>
        <w:numPr>
          <w:ilvl w:val="0"/>
          <w:numId w:val="8"/>
        </w:numPr>
        <w:spacing w:line="360" w:lineRule="auto"/>
        <w:jc w:val="both"/>
      </w:pPr>
      <w:r w:rsidRPr="0046528D">
        <w:t>in grado di dimostrare che il miglioramento con il nuovo test predice una r</w:t>
      </w:r>
      <w:r w:rsidRPr="0046528D">
        <w:t>i</w:t>
      </w:r>
      <w:r w:rsidRPr="0046528D">
        <w:t>duzione conseguente del rischio cardiovascolare.</w:t>
      </w:r>
    </w:p>
    <w:p w14:paraId="6584FBF9" w14:textId="77777777" w:rsidR="00193A7D" w:rsidRPr="0046528D" w:rsidRDefault="00193A7D" w:rsidP="0046528D">
      <w:pPr>
        <w:spacing w:line="360" w:lineRule="auto"/>
        <w:jc w:val="both"/>
      </w:pPr>
      <w:r w:rsidRPr="0046528D">
        <w:t>I candidati per i test vascolari non invasivi proposti negli ultimi anni includono l'an</w:t>
      </w:r>
      <w:r w:rsidRPr="0046528D">
        <w:t>a</w:t>
      </w:r>
      <w:r w:rsidRPr="0046528D">
        <w:t>lisi dell'onda di polso, la misurazione della velocità dell'onda di polso e la tonometria arteriosa periferica (PAT). L’interesse è recentemente cresciuto soprattutto per la v</w:t>
      </w:r>
      <w:r w:rsidRPr="0046528D">
        <w:t>a</w:t>
      </w:r>
      <w:r w:rsidRPr="0046528D">
        <w:t>lutazione della funzione endoteliale dopo iperemia reattiva (reactive hyperimia)  a</w:t>
      </w:r>
      <w:r w:rsidRPr="0046528D">
        <w:t>t</w:t>
      </w:r>
      <w:r w:rsidRPr="0046528D">
        <w:t>traverso la PAT (RH-PAT) misurata sulla punta delle dita</w:t>
      </w:r>
      <w:r w:rsidRPr="0046528D">
        <w:rPr>
          <w:vertAlign w:val="superscript"/>
        </w:rPr>
        <w:endnoteReference w:id="215"/>
      </w:r>
      <w:r w:rsidRPr="0046528D">
        <w:t>.</w:t>
      </w:r>
    </w:p>
    <w:p w14:paraId="39C37D56" w14:textId="77777777" w:rsidR="00193A7D" w:rsidRPr="0046528D" w:rsidRDefault="00193A7D" w:rsidP="0046528D">
      <w:pPr>
        <w:spacing w:line="360" w:lineRule="auto"/>
        <w:jc w:val="both"/>
      </w:pPr>
      <w:r w:rsidRPr="0046528D">
        <w:t>Anche se nessuno dei metodi attualmente disponibili per la misurazione della vasod</w:t>
      </w:r>
      <w:r w:rsidRPr="0046528D">
        <w:t>i</w:t>
      </w:r>
      <w:r w:rsidRPr="0046528D">
        <w:t>latazione endotelio-dipendente ha tutte le caratteristiche per la stratificazione del r</w:t>
      </w:r>
      <w:r w:rsidRPr="0046528D">
        <w:t>i</w:t>
      </w:r>
      <w:r w:rsidRPr="0046528D">
        <w:t>schio cardiovascolare, diverse tecnologie inn</w:t>
      </w:r>
      <w:r w:rsidR="00B20E44" w:rsidRPr="0046528D">
        <w:t>ovative promettenti, tra cui l’</w:t>
      </w:r>
      <w:r w:rsidRPr="0046528D">
        <w:t xml:space="preserve">RH-PAT, sono in fase di studio attivamente. La misurazione della funzione endoteliale, come </w:t>
      </w:r>
      <w:r w:rsidRPr="0046528D">
        <w:lastRenderedPageBreak/>
        <w:t xml:space="preserve">marker della salute arteriosa in risposta agli effetti dei fattori di rischio sulla parete del vaso, mostra grandi prospettive.    </w:t>
      </w:r>
    </w:p>
    <w:p w14:paraId="1BAC2C14" w14:textId="77777777" w:rsidR="00193A7D" w:rsidRPr="0046528D" w:rsidRDefault="003D6AF4" w:rsidP="0046528D">
      <w:pPr>
        <w:spacing w:line="360" w:lineRule="auto"/>
        <w:jc w:val="both"/>
      </w:pPr>
      <w:r w:rsidRPr="0046528D">
        <w:t>N</w:t>
      </w:r>
      <w:r w:rsidR="00193A7D" w:rsidRPr="0046528D">
        <w:t>uovi studi</w:t>
      </w:r>
      <w:r w:rsidRPr="0046528D">
        <w:t>, di recente,</w:t>
      </w:r>
      <w:r w:rsidR="00193A7D" w:rsidRPr="0046528D">
        <w:t xml:space="preserve"> stanno valutando le cellule progenitrici endoteliali (EPC) come possibili markers di disfunzione endoteliale. Raramente le EPC si trovano nel sangue periferico di individui sani, esse sono cellule di riparazione/ rigenerazione, il cui ruolo è riparare o eventualmente sostituire le aree danneggiate dell’intima vasale </w:t>
      </w:r>
      <w:r w:rsidR="00193A7D" w:rsidRPr="0046528D">
        <w:rPr>
          <w:vertAlign w:val="superscript"/>
        </w:rPr>
        <w:endnoteReference w:id="216"/>
      </w:r>
      <w:r w:rsidR="00193A7D" w:rsidRPr="0046528D">
        <w:t>.  Inoltre, le EPC possiedono la caratteristica di essere in grado di aumentare la r</w:t>
      </w:r>
      <w:r w:rsidR="00193A7D" w:rsidRPr="0046528D">
        <w:t>i</w:t>
      </w:r>
      <w:r w:rsidR="00193A7D" w:rsidRPr="0046528D">
        <w:t>vascolarizzazione e la rigenerazione endoteliale</w:t>
      </w:r>
      <w:r w:rsidR="00193A7D" w:rsidRPr="0046528D">
        <w:rPr>
          <w:vertAlign w:val="superscript"/>
        </w:rPr>
        <w:endnoteReference w:id="217"/>
      </w:r>
      <w:r w:rsidR="00193A7D" w:rsidRPr="0046528D">
        <w:t>, infatti possono essere coinvolte anche nella rigenerazione di miocardio ischemico attraverso la modulazione di a</w:t>
      </w:r>
      <w:r w:rsidR="00193A7D" w:rsidRPr="0046528D">
        <w:t>n</w:t>
      </w:r>
      <w:r w:rsidR="00193A7D" w:rsidRPr="0046528D">
        <w:t>giogenesi e la miogenesi, l'apoptosi dei cardiomiociti, e il rimodellamento del tessuto cardiaco ischemico. Le EPC sono state inoltre segnalate partecipare alla neovascol</w:t>
      </w:r>
      <w:r w:rsidR="00193A7D" w:rsidRPr="0046528D">
        <w:t>a</w:t>
      </w:r>
      <w:r w:rsidR="00193A7D" w:rsidRPr="0046528D">
        <w:t>rizzazione cerebrale dopo l’ ictus ischemico. L'importanza del ruolo delle EPC in un danno vascolare precoce e la successiva riparazione è stata sottolineata da un rappo</w:t>
      </w:r>
      <w:r w:rsidR="00193A7D" w:rsidRPr="0046528D">
        <w:t>r</w:t>
      </w:r>
      <w:r w:rsidR="00193A7D" w:rsidRPr="0046528D">
        <w:t>to che dimostra una correlazione significativa tra il numero, la funzione di EPC e la funzione endoteliale periferica</w:t>
      </w:r>
      <w:r w:rsidR="00193A7D" w:rsidRPr="0046528D">
        <w:rPr>
          <w:vertAlign w:val="superscript"/>
        </w:rPr>
        <w:endnoteReference w:id="218"/>
      </w:r>
      <w:r w:rsidR="00193A7D" w:rsidRPr="0046528D">
        <w:t>. La valutazione del numero e la funzione di EPC può servire come un importante marker aggiuntivo della funzione endoteliale e di conseguenza può servire come utile strumento per la terapia. Così, non è semplic</w:t>
      </w:r>
      <w:r w:rsidR="00193A7D" w:rsidRPr="0046528D">
        <w:t>e</w:t>
      </w:r>
      <w:r w:rsidR="00193A7D" w:rsidRPr="0046528D">
        <w:t xml:space="preserve">mente il numero di EPC circolanti trovato, ma anche il tipo e la posizione di queste EPC che potrebbero avere un impatto sulla malattia e sulle potenziali terapie </w:t>
      </w:r>
      <w:r w:rsidR="00193A7D" w:rsidRPr="0046528D">
        <w:rPr>
          <w:vertAlign w:val="superscript"/>
        </w:rPr>
        <w:endnoteReference w:id="219"/>
      </w:r>
      <w:r w:rsidR="00193A7D" w:rsidRPr="0046528D">
        <w:t>. Il rilascio di EPC, indotto da citochine infiammatorie come NF-kB e IL-8, è stato d</w:t>
      </w:r>
      <w:r w:rsidR="00193A7D" w:rsidRPr="0046528D">
        <w:t>o</w:t>
      </w:r>
      <w:r w:rsidR="00193A7D" w:rsidRPr="0046528D">
        <w:t>cumentato nel sito di lesione endoteliale in modelli animali. Studi sulla citometria a fl</w:t>
      </w:r>
      <w:r w:rsidR="001B39DC" w:rsidRPr="0046528D">
        <w:t>usso</w:t>
      </w:r>
      <w:r w:rsidR="001A12A1" w:rsidRPr="0046528D">
        <w:t xml:space="preserve"> hanno constatato, in pazienti ad alto rischio di eventi cardiovascolari, </w:t>
      </w:r>
      <w:r w:rsidR="00193A7D" w:rsidRPr="0046528D">
        <w:t>una te</w:t>
      </w:r>
      <w:r w:rsidR="00193A7D" w:rsidRPr="0046528D">
        <w:t>n</w:t>
      </w:r>
      <w:r w:rsidR="00193A7D" w:rsidRPr="0046528D">
        <w:t>denza epidemiologica verso un aumento del numero di EPC</w:t>
      </w:r>
      <w:r w:rsidR="00193A7D" w:rsidRPr="0046528D">
        <w:rPr>
          <w:vertAlign w:val="superscript"/>
        </w:rPr>
        <w:endnoteReference w:id="220"/>
      </w:r>
      <w:r w:rsidR="00B20E44" w:rsidRPr="0046528D">
        <w:t xml:space="preserve"> </w:t>
      </w:r>
      <w:r w:rsidR="00193A7D" w:rsidRPr="0046528D">
        <w:rPr>
          <w:vertAlign w:val="superscript"/>
        </w:rPr>
        <w:endnoteReference w:id="221"/>
      </w:r>
      <w:r w:rsidR="00193A7D" w:rsidRPr="0046528D">
        <w:t xml:space="preserve">.  </w:t>
      </w:r>
    </w:p>
    <w:p w14:paraId="3723BAF5" w14:textId="77777777" w:rsidR="00193A7D" w:rsidRPr="0046528D" w:rsidRDefault="00193A7D" w:rsidP="0046528D">
      <w:pPr>
        <w:spacing w:line="360" w:lineRule="auto"/>
        <w:jc w:val="both"/>
        <w:rPr>
          <w:b/>
          <w:bCs/>
        </w:rPr>
      </w:pPr>
    </w:p>
    <w:p w14:paraId="70C80B9D" w14:textId="77777777" w:rsidR="00193A7D" w:rsidRPr="0046528D" w:rsidRDefault="00C447E5" w:rsidP="0046528D">
      <w:pPr>
        <w:spacing w:line="360" w:lineRule="auto"/>
        <w:jc w:val="both"/>
        <w:rPr>
          <w:b/>
          <w:bCs/>
        </w:rPr>
      </w:pPr>
      <w:r w:rsidRPr="0046528D">
        <w:rPr>
          <w:b/>
          <w:bCs/>
        </w:rPr>
        <w:t>2</w:t>
      </w:r>
      <w:r w:rsidR="0068562E" w:rsidRPr="0046528D">
        <w:rPr>
          <w:b/>
          <w:bCs/>
        </w:rPr>
        <w:t>.5 La Disfunzione Endoteliale come Fattore P</w:t>
      </w:r>
      <w:r w:rsidR="00193A7D" w:rsidRPr="0046528D">
        <w:rPr>
          <w:b/>
          <w:bCs/>
        </w:rPr>
        <w:t>rognostico</w:t>
      </w:r>
    </w:p>
    <w:p w14:paraId="4572723B" w14:textId="77777777" w:rsidR="00193A7D" w:rsidRPr="0046528D" w:rsidRDefault="00193A7D" w:rsidP="0046528D">
      <w:pPr>
        <w:spacing w:line="360" w:lineRule="auto"/>
        <w:jc w:val="both"/>
      </w:pPr>
      <w:r w:rsidRPr="0046528D">
        <w:t>La di</w:t>
      </w:r>
      <w:r w:rsidR="0005518F" w:rsidRPr="0046528D">
        <w:t>sfunzione endoteliale sembra</w:t>
      </w:r>
      <w:r w:rsidRPr="0046528D">
        <w:t xml:space="preserve"> </w:t>
      </w:r>
      <w:r w:rsidR="0005518F" w:rsidRPr="0046528D">
        <w:t>che sia</w:t>
      </w:r>
      <w:r w:rsidRPr="0046528D">
        <w:t xml:space="preserve"> l’evento più precoce nell’ambito del pr</w:t>
      </w:r>
      <w:r w:rsidRPr="0046528D">
        <w:t>o</w:t>
      </w:r>
      <w:r w:rsidRPr="0046528D">
        <w:t>cesso di formazione della placca aterosclerotica, manifestandosi quando non è ancora dimostrabile una lesione strutturale della parete vasale; per tale motivo la valutazione della funzione endoteliale potrebbe essere un utile strumento per la stratificazione precoce dei pazienti a rischio di eventi cardiovascolari.</w:t>
      </w:r>
    </w:p>
    <w:p w14:paraId="5295265C" w14:textId="77777777" w:rsidR="00193A7D" w:rsidRPr="0046528D" w:rsidRDefault="00193A7D" w:rsidP="0046528D">
      <w:pPr>
        <w:spacing w:line="360" w:lineRule="auto"/>
        <w:jc w:val="both"/>
      </w:pPr>
      <w:r w:rsidRPr="0046528D">
        <w:t>Quando però si manifestano quelle condizioni cliniche (cioè la presenza dei fattori di rischio cardiovascolare) caratterizzate da disfunzione endoteliale e quindi dalla rid</w:t>
      </w:r>
      <w:r w:rsidRPr="0046528D">
        <w:t>u</w:t>
      </w:r>
      <w:r w:rsidRPr="0046528D">
        <w:t>zione della biodisponibilità di NO, si ha la prevalenza di sostanze quali gli endop</w:t>
      </w:r>
      <w:r w:rsidRPr="0046528D">
        <w:t>e</w:t>
      </w:r>
      <w:r w:rsidRPr="0046528D">
        <w:t>rossidi, l’endotelina-1, l’angiotensina II e altre che, oltre ad essere potenti vasoc</w:t>
      </w:r>
      <w:r w:rsidRPr="0046528D">
        <w:t>o</w:t>
      </w:r>
      <w:r w:rsidRPr="0046528D">
        <w:lastRenderedPageBreak/>
        <w:t>strittori, favoriscono anche tutti quei meccanismi che promuovono e sostengono l’aterosclerosi e la trombosi. Inoltre, l’alterazione della vasomotilità endotelio-dipendente può contribuire alla genesi degli eventi cardiovascolari modulando la st</w:t>
      </w:r>
      <w:r w:rsidRPr="0046528D">
        <w:t>a</w:t>
      </w:r>
      <w:r w:rsidRPr="0046528D">
        <w:t xml:space="preserve">bilità di placca e il vasospasmo coronarico e riducendo la riserva coronarica </w:t>
      </w:r>
      <w:r w:rsidRPr="0046528D">
        <w:rPr>
          <w:vertAlign w:val="superscript"/>
        </w:rPr>
        <w:endnoteReference w:id="222"/>
      </w:r>
      <w:r w:rsidRPr="0046528D">
        <w:t>. La disfunzione endoteliale è pertanto un meccanismo che influenza profondamente la funzione e la struttura vascolare, determinando alterazioni della vasomotricità e pr</w:t>
      </w:r>
      <w:r w:rsidRPr="0046528D">
        <w:t>o</w:t>
      </w:r>
      <w:r w:rsidRPr="0046528D">
        <w:t>mozione dell’aterosclerosi e della trombosi, contribuendo così agli eventi cardiov</w:t>
      </w:r>
      <w:r w:rsidRPr="0046528D">
        <w:t>a</w:t>
      </w:r>
      <w:r w:rsidRPr="0046528D">
        <w:t xml:space="preserve">scolari. </w:t>
      </w:r>
      <w:r w:rsidR="0005518F" w:rsidRPr="0046528D">
        <w:t>In studi longitudinali l</w:t>
      </w:r>
      <w:r w:rsidRPr="0046528D">
        <w:t xml:space="preserve">a presenza di disfunzione endoteliale è stata associata all’incidenza di eventi cardiovascolari. </w:t>
      </w:r>
    </w:p>
    <w:p w14:paraId="3EED8AF6" w14:textId="77777777" w:rsidR="00193A7D" w:rsidRPr="0046528D" w:rsidRDefault="00193A7D" w:rsidP="0046528D">
      <w:pPr>
        <w:spacing w:line="360" w:lineRule="auto"/>
        <w:jc w:val="both"/>
      </w:pPr>
      <w:r w:rsidRPr="0046528D">
        <w:t>Lerman e Zeiher hanno analizzato l’insieme di questi studi, eseguiti in pazienti con malattia coronarica lieve o ad elevato rischio cardiovascolare. In questa analisi sono stati inclusi circa 2500 pazienti, con un ampio range di follow-up (da 1 a 92 mesi). Il tipo di eventi includeva eventi cardiovascolari maggiori come la morte cardiaca, l’infarto acuto del miocardio e la necessità di rivascolarizzazione. Gli autori hanno osservato che la disfunzione endoteliale, valutata sia a livello coronarico che perif</w:t>
      </w:r>
      <w:r w:rsidRPr="0046528D">
        <w:t>e</w:t>
      </w:r>
      <w:r w:rsidRPr="0046528D">
        <w:t>rico, risulta significativamente predittiva degli eventi cardiovascolari in questi p</w:t>
      </w:r>
      <w:r w:rsidRPr="0046528D">
        <w:t>a</w:t>
      </w:r>
      <w:r w:rsidRPr="0046528D">
        <w:t>zienti, indipendentemente dalla presenza dei tradizionali fattori di rischio cardiov</w:t>
      </w:r>
      <w:r w:rsidRPr="0046528D">
        <w:t>a</w:t>
      </w:r>
      <w:r w:rsidRPr="0046528D">
        <w:t>scolare. Questi studi supportano l’ipotesi che la disfunzione endoteliale possa rappr</w:t>
      </w:r>
      <w:r w:rsidRPr="0046528D">
        <w:t>e</w:t>
      </w:r>
      <w:r w:rsidRPr="0046528D">
        <w:t>sentare una valutazione integrata dell’effetto dei vari fattori di rischio e possa essere utilizzata come un marker sensibile per il loro significato funzionale.</w:t>
      </w:r>
    </w:p>
    <w:p w14:paraId="39F8DCA7" w14:textId="77777777" w:rsidR="00193A7D" w:rsidRPr="0046528D" w:rsidRDefault="00193A7D" w:rsidP="0046528D">
      <w:pPr>
        <w:spacing w:line="360" w:lineRule="auto"/>
        <w:jc w:val="both"/>
      </w:pPr>
      <w:r w:rsidRPr="0046528D">
        <w:t>Sicuramente ulteriori studi condotti in popolazioni su larga scala e l’accumularsi di risultati concordanti ottenuti con metodiche diverse e con stimoli differenti potranno portare ad una sostanziale certezza e solidità dei dati. Possiamo ad oggi solo afferm</w:t>
      </w:r>
      <w:r w:rsidRPr="0046528D">
        <w:t>a</w:t>
      </w:r>
      <w:r w:rsidRPr="0046528D">
        <w:t>re che la disfunzione endoteliale si associa al rischio cardiovascolare, rappresentando il meccanismo patogenetico di base attraverso il quale i vari fattori di rischio pred</w:t>
      </w:r>
      <w:r w:rsidRPr="0046528D">
        <w:t>i</w:t>
      </w:r>
      <w:r w:rsidRPr="0046528D">
        <w:t xml:space="preserve">spongono al danno aterotrombotico e agli eventi cardiovascolari. </w:t>
      </w:r>
    </w:p>
    <w:p w14:paraId="1B35D1FB" w14:textId="77777777" w:rsidR="00193A7D" w:rsidRPr="0046528D" w:rsidRDefault="00193A7D" w:rsidP="0046528D">
      <w:pPr>
        <w:spacing w:line="360" w:lineRule="auto"/>
        <w:jc w:val="both"/>
      </w:pPr>
      <w:r w:rsidRPr="0046528D">
        <w:t>Un altro aspetto molto importante che è necessario stabilire riguarda la vera impo</w:t>
      </w:r>
      <w:r w:rsidRPr="0046528D">
        <w:t>r</w:t>
      </w:r>
      <w:r w:rsidRPr="0046528D">
        <w:t>tanza della disfunzione endoteliale non solo come meccanismo promotore degli eventi cardiovascolari, ma anche come reale bersaglio della terapia. Infatti, è cruciale sapere se l’effetto benefico di un trattamento in termini di riduzione degli eventi ca</w:t>
      </w:r>
      <w:r w:rsidRPr="0046528D">
        <w:t>r</w:t>
      </w:r>
      <w:r w:rsidRPr="0046528D">
        <w:t>diovascolari sia direttamente correlato con il ripristino della funzione endoteliale. Un importante studio ha valutato questa possibilità, è stato svolto in Italia e condotto in donne ipertese in post-menopausa</w:t>
      </w:r>
      <w:r w:rsidRPr="0046528D">
        <w:rPr>
          <w:vertAlign w:val="superscript"/>
        </w:rPr>
        <w:endnoteReference w:id="223"/>
      </w:r>
      <w:r w:rsidRPr="0046528D">
        <w:t>. In questo studio è stato valutato se un tratt</w:t>
      </w:r>
      <w:r w:rsidRPr="0046528D">
        <w:t>a</w:t>
      </w:r>
      <w:r w:rsidRPr="0046528D">
        <w:t xml:space="preserve">mento antipertensivo ottimale fosse in grado di modificare la funzione endoteliale, </w:t>
      </w:r>
      <w:r w:rsidRPr="0046528D">
        <w:lastRenderedPageBreak/>
        <w:t>valutata con la tecnica della FMD in arteria omerale, e quindi valutare se tale migli</w:t>
      </w:r>
      <w:r w:rsidRPr="0046528D">
        <w:t>o</w:t>
      </w:r>
      <w:r w:rsidRPr="0046528D">
        <w:t xml:space="preserve">ramento potesse essere predittivo di una migliore prognosi. </w:t>
      </w:r>
    </w:p>
    <w:p w14:paraId="7AC53F74" w14:textId="77777777" w:rsidR="00193A7D" w:rsidRPr="0046528D" w:rsidRDefault="00193A7D" w:rsidP="0046528D">
      <w:pPr>
        <w:spacing w:line="360" w:lineRule="auto"/>
        <w:jc w:val="both"/>
      </w:pPr>
      <w:r w:rsidRPr="0046528D">
        <w:t>A questo scopo sono state studiate circa 400 donne in post-menopausa con iperte</w:t>
      </w:r>
      <w:r w:rsidRPr="0046528D">
        <w:t>n</w:t>
      </w:r>
      <w:r w:rsidRPr="0046528D">
        <w:t>sione arteriosa lieve-moderata e con una ridotta FMD. La funzione endoteliale è stata valutata in condizioni basali e dopo 6 mesi di trattamento con una terapia antiperte</w:t>
      </w:r>
      <w:r w:rsidRPr="0046528D">
        <w:t>n</w:t>
      </w:r>
      <w:r w:rsidRPr="0046528D">
        <w:t>siva che controllasse la pressione arteriosa in maniera ottimale. Al termine del peri</w:t>
      </w:r>
      <w:r w:rsidRPr="0046528D">
        <w:t>o</w:t>
      </w:r>
      <w:r w:rsidRPr="0046528D">
        <w:t>do di trattamento, in un gruppo di 150 donne (37.5%) la FMD non si modificava (gruppo 1), mentre nelle rimanenti 250 donne (62.5%), la funzione endoteliale ven</w:t>
      </w:r>
      <w:r w:rsidRPr="0046528D">
        <w:t>i</w:t>
      </w:r>
      <w:r w:rsidRPr="0046528D">
        <w:t>va significativamente migliorata di almeno il 10% (gruppo 2). Le pazienti sono state quindi seguite per un più lungo periodo di tempo e dopo 67 mesi di follow-up gli a</w:t>
      </w:r>
      <w:r w:rsidRPr="0046528D">
        <w:t>u</w:t>
      </w:r>
      <w:r w:rsidRPr="0046528D">
        <w:t>tori hanno osservato la comparsa di un numero significativamente inferiore di eventi nel gruppo che aveva mostrato un miglioramento della FMD con il trattamento ant</w:t>
      </w:r>
      <w:r w:rsidRPr="0046528D">
        <w:t>i</w:t>
      </w:r>
      <w:r w:rsidRPr="0046528D">
        <w:t>pertensivo. Questo studio suggerisce che il miglioramento della funzione endoteliale possa ess</w:t>
      </w:r>
      <w:r w:rsidR="0005518F" w:rsidRPr="0046528D">
        <w:t>ere un marker della risposta alla terapia farmacologica</w:t>
      </w:r>
      <w:r w:rsidRPr="0046528D">
        <w:t xml:space="preserve">. </w:t>
      </w:r>
    </w:p>
    <w:p w14:paraId="7C204AF6" w14:textId="77777777" w:rsidR="00193A7D" w:rsidRPr="0046528D" w:rsidRDefault="00193A7D" w:rsidP="0046528D">
      <w:pPr>
        <w:spacing w:line="360" w:lineRule="auto"/>
        <w:jc w:val="both"/>
      </w:pPr>
    </w:p>
    <w:p w14:paraId="7DE8A916" w14:textId="77777777" w:rsidR="00193A7D" w:rsidRPr="0046528D" w:rsidRDefault="00C447E5" w:rsidP="0046528D">
      <w:pPr>
        <w:spacing w:line="360" w:lineRule="auto"/>
        <w:jc w:val="both"/>
        <w:rPr>
          <w:b/>
          <w:bCs/>
        </w:rPr>
      </w:pPr>
      <w:r w:rsidRPr="0046528D">
        <w:rPr>
          <w:b/>
          <w:bCs/>
        </w:rPr>
        <w:t>2</w:t>
      </w:r>
      <w:r w:rsidR="00EA650E" w:rsidRPr="0046528D">
        <w:rPr>
          <w:b/>
          <w:bCs/>
        </w:rPr>
        <w:t>.6 Trattamento della Disfunzione E</w:t>
      </w:r>
      <w:r w:rsidR="00193A7D" w:rsidRPr="0046528D">
        <w:rPr>
          <w:b/>
          <w:bCs/>
        </w:rPr>
        <w:t>ndoteliale</w:t>
      </w:r>
    </w:p>
    <w:p w14:paraId="61ABBC95" w14:textId="77777777" w:rsidR="00193A7D" w:rsidRPr="0046528D" w:rsidRDefault="0005518F" w:rsidP="0046528D">
      <w:pPr>
        <w:spacing w:line="360" w:lineRule="auto"/>
        <w:jc w:val="both"/>
      </w:pPr>
      <w:r w:rsidRPr="0046528D">
        <w:t xml:space="preserve">Dato che </w:t>
      </w:r>
      <w:r w:rsidR="00193A7D" w:rsidRPr="0046528D">
        <w:t>la disfunzione endoteliale</w:t>
      </w:r>
      <w:r w:rsidRPr="0046528D">
        <w:t xml:space="preserve"> è una patologia di tipo funzionale, il </w:t>
      </w:r>
      <w:r w:rsidR="00193A7D" w:rsidRPr="0046528D">
        <w:t>processo</w:t>
      </w:r>
      <w:r w:rsidRPr="0046528D">
        <w:t xml:space="preserve"> r</w:t>
      </w:r>
      <w:r w:rsidRPr="0046528D">
        <w:t>i</w:t>
      </w:r>
      <w:r w:rsidRPr="0046528D">
        <w:t>sulta essere per lo più</w:t>
      </w:r>
      <w:r w:rsidR="00193A7D" w:rsidRPr="0046528D">
        <w:t xml:space="preserve"> reversibile ed il trattamento delle condizioni predisponenti può almeno in parte ripristinare un endotelio integro e funzionante </w:t>
      </w:r>
      <w:r w:rsidR="00193A7D" w:rsidRPr="0046528D">
        <w:rPr>
          <w:vertAlign w:val="superscript"/>
        </w:rPr>
        <w:endnoteReference w:id="224"/>
      </w:r>
      <w:r w:rsidR="00B20E44" w:rsidRPr="0046528D">
        <w:t xml:space="preserve"> </w:t>
      </w:r>
      <w:r w:rsidR="00193A7D" w:rsidRPr="0046528D">
        <w:rPr>
          <w:vertAlign w:val="superscript"/>
        </w:rPr>
        <w:endnoteReference w:id="225"/>
      </w:r>
      <w:r w:rsidR="00193A7D" w:rsidRPr="0046528D">
        <w:t>.</w:t>
      </w:r>
    </w:p>
    <w:p w14:paraId="146E8942" w14:textId="77777777" w:rsidR="00193A7D" w:rsidRPr="0046528D" w:rsidRDefault="00193A7D" w:rsidP="0046528D">
      <w:pPr>
        <w:spacing w:line="360" w:lineRule="auto"/>
        <w:jc w:val="both"/>
      </w:pPr>
      <w:r w:rsidRPr="0046528D">
        <w:t>Lo stress ossidativo è considerato uno dei meccanismi patogenetici fondamentali de</w:t>
      </w:r>
      <w:r w:rsidRPr="0046528D">
        <w:t>l</w:t>
      </w:r>
      <w:r w:rsidRPr="0046528D">
        <w:t>la disfunzione endoteliale e dell’aterosclerosi; esiste, per questo motivo, una cresce</w:t>
      </w:r>
      <w:r w:rsidRPr="0046528D">
        <w:t>n</w:t>
      </w:r>
      <w:r w:rsidRPr="0046528D">
        <w:t>te attenzione sugli effetti di terapie antiossidanti sulla funzione dell’endotelio. Le t</w:t>
      </w:r>
      <w:r w:rsidRPr="0046528D">
        <w:t>e</w:t>
      </w:r>
      <w:r w:rsidRPr="0046528D">
        <w:t>rapie con sostanze antiossidanti sono a base di farmaci che agiscono sugli ossidanti lipidici circolanti (per esempio statine e Probucol) o di farmaci che agiscono dirett</w:t>
      </w:r>
      <w:r w:rsidRPr="0046528D">
        <w:t>a</w:t>
      </w:r>
      <w:r w:rsidRPr="0046528D">
        <w:t>mente sugli anioni superossido (vitamina C). L’uso di inibitori della HMG CoA r</w:t>
      </w:r>
      <w:r w:rsidRPr="0046528D">
        <w:t>e</w:t>
      </w:r>
      <w:r w:rsidRPr="0046528D">
        <w:t>duttasi (statine) riduce il rischio cardiovascolare e ristabilisce un normale equilibrio dell’endotelio; oltre all’effetto ottenuto attraverso la diminuzione dei lipidi circolanti, le statine hanno mostrato un’azione benefica diretta sull’endotelio, mediata da me</w:t>
      </w:r>
      <w:r w:rsidRPr="0046528D">
        <w:t>c</w:t>
      </w:r>
      <w:r w:rsidRPr="0046528D">
        <w:t>canismi pleiotropici ed antinfiammatori. Le statine infatti aumentano l’espressione e l’attivazione della eNOS, oltre ad agire come antiossidanti, e riducono i livelli sist</w:t>
      </w:r>
      <w:r w:rsidRPr="0046528D">
        <w:t>e</w:t>
      </w:r>
      <w:r w:rsidRPr="0046528D">
        <w:t>mici di proteina C reattiva, molecola che rispecchia lo stato infiammatorio vascolare ed è in grado di inibire l’espressione di eNOS. La somministrazione per via intra-arteriosa di vitamina C in pazienti con fattori di rischio cardiovascolare è stata ass</w:t>
      </w:r>
      <w:r w:rsidRPr="0046528D">
        <w:t>o</w:t>
      </w:r>
      <w:r w:rsidRPr="0046528D">
        <w:t xml:space="preserve">ciata ad una normalizzazione della FMD locale, ma tali effetti sono stati ottenuti con </w:t>
      </w:r>
      <w:r w:rsidRPr="0046528D">
        <w:lastRenderedPageBreak/>
        <w:t>dosi molto elevate di farmaco, difficilmente raggiungibili per via sistemica. Negli studi eseguiti con somministrazione sistemica di vitamina C alle dosi di 2 g/die, la FMD a livello dell’arteria omerale è migliorata nei pazienti con malattia coronarica, ma non in quelli affetti da ipertensione arteriosa; con risultati, quindi, difficilmente interpretabili. Gli studi che hanno usato combinazioni di antiossidanti, quali vitamina C, vitamina B e beta-carotene, hanno dato esiti discordanti, altre evidenze sugger</w:t>
      </w:r>
      <w:r w:rsidRPr="0046528D">
        <w:t>i</w:t>
      </w:r>
      <w:r w:rsidRPr="0046528D">
        <w:t>scono  invece che l'aspirina migliora la disfunzione endoteliale nei pazienti con at</w:t>
      </w:r>
      <w:r w:rsidRPr="0046528D">
        <w:t>e</w:t>
      </w:r>
      <w:r w:rsidRPr="0046528D">
        <w:t>rosclerosi nota, probabilmente attraverso l'inibizione di vasocostrittori ciclossigenasi-dipendente come la prostaciclina</w:t>
      </w:r>
      <w:r w:rsidRPr="0046528D">
        <w:rPr>
          <w:vertAlign w:val="superscript"/>
        </w:rPr>
        <w:endnoteReference w:id="226"/>
      </w:r>
      <w:r w:rsidRPr="0046528D">
        <w:t>. La riduzione delle fonti di stress ossidativo, più che le sole terapie con sostanze antiossidanti, probabilmente potrà dare dei risultati applicabili alla popolazione generale. Anche l’iperomocisteinemia è stata associata ad uno stato di disfunzione endoteliale, che può migliorare con la somministrazione di acido folico. Nell’ipertensione arteriosa, la semplice riduzione dei valori tensivi non è sufficiente ad indurre una involuzione del processo di disfunzione endoteliale; tuttavia farmaci anti-ipertensivi, quali gli ACE-inibitori ed i sartani, hanno mostrato un effetto benefico su tale reintegro. I meccanismi attraverso i quali il blocco del s</w:t>
      </w:r>
      <w:r w:rsidRPr="0046528D">
        <w:t>i</w:t>
      </w:r>
      <w:r w:rsidRPr="0046528D">
        <w:t>stema renina-angiotensina riduce il grado di disfunzione endoteliale sono probabi</w:t>
      </w:r>
      <w:r w:rsidRPr="0046528D">
        <w:t>l</w:t>
      </w:r>
      <w:r w:rsidRPr="0046528D">
        <w:t>mente legati alla riduzione dello stress ossidativo e dell’infiammazione. Gli ACE-inibitori aumentano le concentrazioni plasmatiche di bradichinina, un vasodilatatore endotelio-dipendente e migliorano la funzione endoteliale anche attraverso la rid</w:t>
      </w:r>
      <w:r w:rsidRPr="0046528D">
        <w:t>u</w:t>
      </w:r>
      <w:r w:rsidRPr="0046528D">
        <w:t>zione di Ang II, una molecola che incrementa l’attività della NADPH ossidasi, con conseguente aumentata produzione di specie reattive dell’ossigeno ed inattivazione di NO. Le evidenze sperimentali dimostrano inoltre una stretta associazione tra prof</w:t>
      </w:r>
      <w:r w:rsidRPr="0046528D">
        <w:t>i</w:t>
      </w:r>
      <w:r w:rsidRPr="0046528D">
        <w:t>lo lipidico e disfunzione endoteliale, per cui u</w:t>
      </w:r>
      <w:r w:rsidR="0005518F" w:rsidRPr="0046528D">
        <w:t>na riduzione dei lipidi corporei</w:t>
      </w:r>
      <w:r w:rsidRPr="0046528D">
        <w:t xml:space="preserve"> </w:t>
      </w:r>
      <w:r w:rsidR="0005518F" w:rsidRPr="0046528D">
        <w:t>risulta essere in grado</w:t>
      </w:r>
      <w:r w:rsidRPr="0046528D">
        <w:t xml:space="preserve"> di migliorare la funzione dell’endotelio </w:t>
      </w:r>
      <w:r w:rsidRPr="0046528D">
        <w:rPr>
          <w:vertAlign w:val="superscript"/>
        </w:rPr>
        <w:endnoteReference w:id="227"/>
      </w:r>
      <w:r w:rsidRPr="0046528D">
        <w:t>.</w:t>
      </w:r>
    </w:p>
    <w:p w14:paraId="6F945661" w14:textId="77777777" w:rsidR="00193A7D" w:rsidRPr="0046528D" w:rsidRDefault="00193A7D" w:rsidP="0046528D">
      <w:pPr>
        <w:spacing w:line="360" w:lineRule="auto"/>
        <w:jc w:val="both"/>
      </w:pPr>
      <w:r w:rsidRPr="0046528D">
        <w:t>La terapia con fibrati migliora la funzione endoteliale sia a digiuno che  post-prandiale nei pazienti con diabete di tipo 2, così come gli acidi grassi omega-3</w:t>
      </w:r>
      <w:r w:rsidRPr="0046528D">
        <w:rPr>
          <w:vertAlign w:val="superscript"/>
        </w:rPr>
        <w:endnoteReference w:id="228"/>
      </w:r>
      <w:r w:rsidRPr="0046528D">
        <w:t>, il meccanismo può essere legato ad un aumento delle lipoproteine ad alta densità (HDL) e una riduzione della lipidemia postprandiale e dello stress ossidativo associ</w:t>
      </w:r>
      <w:r w:rsidRPr="0046528D">
        <w:t>a</w:t>
      </w:r>
      <w:r w:rsidRPr="0046528D">
        <w:t>to</w:t>
      </w:r>
      <w:r w:rsidRPr="0046528D">
        <w:rPr>
          <w:vertAlign w:val="superscript"/>
        </w:rPr>
        <w:endnoteReference w:id="229"/>
      </w:r>
      <w:r w:rsidRPr="0046528D">
        <w:t>.  Un’attività fisica adeguata e regolare riduce il rischio cardiovascolare e migli</w:t>
      </w:r>
      <w:r w:rsidRPr="0046528D">
        <w:t>o</w:t>
      </w:r>
      <w:r w:rsidRPr="0046528D">
        <w:t>ra la funzione vasomotoria endotelio-dipendente in soggetti sani ed in individui con ipertensione arteriosa, malattia coronarica o scompenso cardiaco; tale effetto sembra essere legato in larga parte ad una maggiore biodisponibilità di NO. Una vita sede</w:t>
      </w:r>
      <w:r w:rsidRPr="0046528D">
        <w:t>n</w:t>
      </w:r>
      <w:r w:rsidRPr="0046528D">
        <w:t xml:space="preserve">taria, viceversa, si associa ad un aumentato stress ossidativo e ad un incremento dello </w:t>
      </w:r>
      <w:r w:rsidRPr="0046528D">
        <w:lastRenderedPageBreak/>
        <w:t>stato infiammatorio sistemico, per cui presenta una maggiore probabilità di associarsi a disfunzione endoteliale. Un ulteriore effetto benefico sull’endotelio è stato inoltre dimostrato dai farmaci che riducono l’insulino-resistenza nei diabetici e dalla cess</w:t>
      </w:r>
      <w:r w:rsidRPr="0046528D">
        <w:t>a</w:t>
      </w:r>
      <w:r w:rsidRPr="0046528D">
        <w:t>zione del fumo di sigaretta. Una dieta povera di grassi e ricca di frutta e verdura è raccomandata dalla American Heart Association per diminuire il rischio cardiovasc</w:t>
      </w:r>
      <w:r w:rsidRPr="0046528D">
        <w:t>o</w:t>
      </w:r>
      <w:r w:rsidRPr="0046528D">
        <w:t>lare ed in particolare il vino</w:t>
      </w:r>
      <w:r w:rsidR="0005518F" w:rsidRPr="0046528D">
        <w:t xml:space="preserve"> rosso, il tè ed il succo d’uva, grazie all’elevato contenuto di flavonoidi, </w:t>
      </w:r>
      <w:r w:rsidRPr="0046528D">
        <w:t>sembrano rid</w:t>
      </w:r>
      <w:r w:rsidR="001545F5" w:rsidRPr="0046528D">
        <w:t>urre la disfunzione endoteliale</w:t>
      </w:r>
      <w:r w:rsidRPr="0046528D">
        <w:t>.</w:t>
      </w:r>
    </w:p>
    <w:p w14:paraId="28C2CA4A" w14:textId="77777777" w:rsidR="00193A7D" w:rsidRPr="0046528D" w:rsidRDefault="00193A7D" w:rsidP="0046528D">
      <w:pPr>
        <w:spacing w:line="360" w:lineRule="auto"/>
        <w:jc w:val="both"/>
      </w:pPr>
    </w:p>
    <w:p w14:paraId="53D746E2" w14:textId="77777777" w:rsidR="00E76FED" w:rsidRPr="0046528D" w:rsidRDefault="00E76FED" w:rsidP="0046528D">
      <w:pPr>
        <w:spacing w:line="360" w:lineRule="auto"/>
        <w:jc w:val="both"/>
      </w:pPr>
    </w:p>
    <w:p w14:paraId="04C72951" w14:textId="77777777" w:rsidR="001545F5" w:rsidRPr="0046528D" w:rsidRDefault="001545F5" w:rsidP="0046528D">
      <w:pPr>
        <w:spacing w:line="360" w:lineRule="auto"/>
        <w:jc w:val="both"/>
      </w:pPr>
    </w:p>
    <w:p w14:paraId="6788BA67" w14:textId="77777777" w:rsidR="001545F5" w:rsidRPr="0046528D" w:rsidRDefault="001545F5" w:rsidP="0046528D">
      <w:pPr>
        <w:spacing w:line="360" w:lineRule="auto"/>
        <w:jc w:val="both"/>
      </w:pPr>
    </w:p>
    <w:p w14:paraId="0363E12E" w14:textId="77777777" w:rsidR="001545F5" w:rsidRPr="0046528D" w:rsidRDefault="001545F5" w:rsidP="0046528D">
      <w:pPr>
        <w:spacing w:line="360" w:lineRule="auto"/>
        <w:jc w:val="both"/>
      </w:pPr>
    </w:p>
    <w:p w14:paraId="29C25A6F" w14:textId="77777777" w:rsidR="001545F5" w:rsidRPr="0046528D" w:rsidRDefault="001545F5" w:rsidP="0046528D">
      <w:pPr>
        <w:spacing w:line="360" w:lineRule="auto"/>
        <w:jc w:val="both"/>
      </w:pPr>
    </w:p>
    <w:p w14:paraId="20141B0F" w14:textId="77777777" w:rsidR="001545F5" w:rsidRPr="0046528D" w:rsidRDefault="001545F5" w:rsidP="0046528D">
      <w:pPr>
        <w:spacing w:line="360" w:lineRule="auto"/>
        <w:jc w:val="both"/>
      </w:pPr>
    </w:p>
    <w:p w14:paraId="3E5ED3E8" w14:textId="77777777" w:rsidR="001545F5" w:rsidRPr="0046528D" w:rsidRDefault="001545F5" w:rsidP="0046528D">
      <w:pPr>
        <w:spacing w:line="360" w:lineRule="auto"/>
        <w:jc w:val="both"/>
      </w:pPr>
    </w:p>
    <w:p w14:paraId="56F453BB" w14:textId="77777777" w:rsidR="001545F5" w:rsidRPr="0046528D" w:rsidRDefault="001545F5" w:rsidP="0046528D">
      <w:pPr>
        <w:spacing w:line="360" w:lineRule="auto"/>
        <w:jc w:val="both"/>
      </w:pPr>
    </w:p>
    <w:p w14:paraId="763D0EB6" w14:textId="77777777" w:rsidR="001545F5" w:rsidRPr="0046528D" w:rsidRDefault="001545F5" w:rsidP="0046528D">
      <w:pPr>
        <w:spacing w:line="360" w:lineRule="auto"/>
        <w:jc w:val="both"/>
      </w:pPr>
    </w:p>
    <w:p w14:paraId="1F6A5DE5" w14:textId="77777777" w:rsidR="001545F5" w:rsidRPr="0046528D" w:rsidRDefault="001545F5" w:rsidP="0046528D">
      <w:pPr>
        <w:spacing w:line="360" w:lineRule="auto"/>
        <w:jc w:val="both"/>
      </w:pPr>
    </w:p>
    <w:p w14:paraId="4EA0E4BF" w14:textId="77777777" w:rsidR="001545F5" w:rsidRPr="0046528D" w:rsidRDefault="001545F5" w:rsidP="0046528D">
      <w:pPr>
        <w:spacing w:line="360" w:lineRule="auto"/>
        <w:jc w:val="both"/>
      </w:pPr>
    </w:p>
    <w:p w14:paraId="0D7442F7" w14:textId="77777777" w:rsidR="001545F5" w:rsidRPr="0046528D" w:rsidRDefault="001545F5" w:rsidP="0046528D">
      <w:pPr>
        <w:spacing w:line="360" w:lineRule="auto"/>
        <w:jc w:val="both"/>
      </w:pPr>
    </w:p>
    <w:p w14:paraId="4039AD76" w14:textId="77777777" w:rsidR="001545F5" w:rsidRPr="0046528D" w:rsidRDefault="001545F5" w:rsidP="0046528D">
      <w:pPr>
        <w:spacing w:line="360" w:lineRule="auto"/>
        <w:jc w:val="both"/>
      </w:pPr>
    </w:p>
    <w:p w14:paraId="7FC05663" w14:textId="77777777" w:rsidR="001545F5" w:rsidRPr="0046528D" w:rsidRDefault="001545F5" w:rsidP="0046528D">
      <w:pPr>
        <w:spacing w:line="360" w:lineRule="auto"/>
        <w:jc w:val="both"/>
      </w:pPr>
    </w:p>
    <w:p w14:paraId="10BF21F5" w14:textId="77777777" w:rsidR="001545F5" w:rsidRPr="0046528D" w:rsidRDefault="001545F5" w:rsidP="0046528D">
      <w:pPr>
        <w:spacing w:line="360" w:lineRule="auto"/>
        <w:jc w:val="both"/>
      </w:pPr>
    </w:p>
    <w:p w14:paraId="0F866F93" w14:textId="77777777" w:rsidR="001545F5" w:rsidRPr="0046528D" w:rsidRDefault="001545F5" w:rsidP="0046528D">
      <w:pPr>
        <w:spacing w:line="360" w:lineRule="auto"/>
        <w:jc w:val="both"/>
      </w:pPr>
    </w:p>
    <w:p w14:paraId="33731D64" w14:textId="77777777" w:rsidR="001545F5" w:rsidRPr="0046528D" w:rsidRDefault="001545F5" w:rsidP="0046528D">
      <w:pPr>
        <w:spacing w:line="360" w:lineRule="auto"/>
        <w:jc w:val="both"/>
      </w:pPr>
    </w:p>
    <w:p w14:paraId="623B47A3" w14:textId="77777777" w:rsidR="001545F5" w:rsidRPr="0046528D" w:rsidRDefault="001545F5" w:rsidP="0046528D">
      <w:pPr>
        <w:spacing w:line="360" w:lineRule="auto"/>
        <w:jc w:val="both"/>
      </w:pPr>
    </w:p>
    <w:p w14:paraId="17382EE7" w14:textId="77777777" w:rsidR="001545F5" w:rsidRPr="0046528D" w:rsidRDefault="001545F5" w:rsidP="0046528D">
      <w:pPr>
        <w:spacing w:line="360" w:lineRule="auto"/>
        <w:jc w:val="both"/>
      </w:pPr>
    </w:p>
    <w:p w14:paraId="616C22F7" w14:textId="77777777" w:rsidR="001545F5" w:rsidRPr="0046528D" w:rsidRDefault="001545F5" w:rsidP="0046528D">
      <w:pPr>
        <w:spacing w:line="360" w:lineRule="auto"/>
        <w:jc w:val="both"/>
      </w:pPr>
    </w:p>
    <w:p w14:paraId="0C864FC6" w14:textId="77777777" w:rsidR="001545F5" w:rsidRPr="0046528D" w:rsidRDefault="001545F5" w:rsidP="0046528D">
      <w:pPr>
        <w:spacing w:line="360" w:lineRule="auto"/>
        <w:jc w:val="both"/>
      </w:pPr>
    </w:p>
    <w:p w14:paraId="17AF23F1" w14:textId="77777777" w:rsidR="001545F5" w:rsidRPr="0046528D" w:rsidRDefault="001545F5" w:rsidP="0046528D">
      <w:pPr>
        <w:spacing w:line="360" w:lineRule="auto"/>
        <w:jc w:val="both"/>
      </w:pPr>
    </w:p>
    <w:p w14:paraId="35029331" w14:textId="77777777" w:rsidR="001545F5" w:rsidRPr="0046528D" w:rsidRDefault="001545F5" w:rsidP="0046528D">
      <w:pPr>
        <w:spacing w:line="360" w:lineRule="auto"/>
        <w:jc w:val="both"/>
      </w:pPr>
    </w:p>
    <w:p w14:paraId="3ED592F2" w14:textId="77777777" w:rsidR="001545F5" w:rsidRPr="0046528D" w:rsidRDefault="001545F5" w:rsidP="0046528D">
      <w:pPr>
        <w:spacing w:line="360" w:lineRule="auto"/>
        <w:jc w:val="both"/>
      </w:pPr>
    </w:p>
    <w:p w14:paraId="22732715" w14:textId="77777777" w:rsidR="001545F5" w:rsidRPr="0046528D" w:rsidRDefault="001545F5" w:rsidP="0046528D">
      <w:pPr>
        <w:spacing w:line="360" w:lineRule="auto"/>
        <w:jc w:val="both"/>
      </w:pPr>
    </w:p>
    <w:p w14:paraId="36AF09F3" w14:textId="77777777" w:rsidR="001545F5" w:rsidRPr="0046528D" w:rsidRDefault="001545F5" w:rsidP="0046528D">
      <w:pPr>
        <w:spacing w:line="360" w:lineRule="auto"/>
        <w:jc w:val="both"/>
      </w:pPr>
    </w:p>
    <w:p w14:paraId="741D8764" w14:textId="77777777" w:rsidR="001545F5" w:rsidRPr="0046528D" w:rsidRDefault="001545F5" w:rsidP="0046528D">
      <w:pPr>
        <w:spacing w:line="360" w:lineRule="auto"/>
        <w:jc w:val="both"/>
      </w:pPr>
    </w:p>
    <w:p w14:paraId="2BDFF88C" w14:textId="77777777" w:rsidR="00193A7D" w:rsidRPr="0046528D" w:rsidRDefault="00193A7D" w:rsidP="0046528D">
      <w:pPr>
        <w:spacing w:line="360" w:lineRule="auto"/>
        <w:jc w:val="both"/>
        <w:rPr>
          <w:b/>
          <w:bCs/>
        </w:rPr>
      </w:pPr>
      <w:r w:rsidRPr="0046528D">
        <w:rPr>
          <w:b/>
        </w:rPr>
        <w:t>Capit</w:t>
      </w:r>
      <w:r w:rsidR="00E76FED" w:rsidRPr="0046528D">
        <w:rPr>
          <w:b/>
        </w:rPr>
        <w:t>olo 3</w:t>
      </w:r>
      <w:r w:rsidRPr="0046528D">
        <w:rPr>
          <w:b/>
        </w:rPr>
        <w:t xml:space="preserve"> - </w:t>
      </w:r>
      <w:r w:rsidRPr="0046528D">
        <w:rPr>
          <w:b/>
          <w:bCs/>
        </w:rPr>
        <w:t>Valutazione non invasiva della Funzione Endoteliale mediante E</w:t>
      </w:r>
      <w:r w:rsidRPr="0046528D">
        <w:rPr>
          <w:b/>
          <w:bCs/>
        </w:rPr>
        <w:t>N</w:t>
      </w:r>
      <w:r w:rsidRPr="0046528D">
        <w:rPr>
          <w:b/>
          <w:bCs/>
        </w:rPr>
        <w:t>DOPAT-2000</w:t>
      </w:r>
    </w:p>
    <w:p w14:paraId="4A4ED805" w14:textId="77777777" w:rsidR="00193A7D" w:rsidRPr="0046528D" w:rsidRDefault="00193A7D" w:rsidP="0046528D">
      <w:pPr>
        <w:spacing w:line="360" w:lineRule="auto"/>
        <w:jc w:val="both"/>
      </w:pPr>
      <w:r w:rsidRPr="0046528D">
        <w:t>L’Endo-PAT2000 è uno strumento non invasivo creato per rilevare la funzione end</w:t>
      </w:r>
      <w:r w:rsidRPr="0046528D">
        <w:t>o</w:t>
      </w:r>
      <w:r w:rsidRPr="0046528D">
        <w:t>teliale. In seguito sono state aggiunte le funzioni relative alla misurazione della rig</w:t>
      </w:r>
      <w:r w:rsidRPr="0046528D">
        <w:t>i</w:t>
      </w:r>
      <w:r w:rsidRPr="0046528D">
        <w:t>dità arteriosa (Augmentation Index), dell'HRV (Hearth Rate Variability) e quelle per il calcolo del profilo di rischio cardiovascolare.</w:t>
      </w:r>
    </w:p>
    <w:p w14:paraId="4DC20465" w14:textId="77777777" w:rsidR="00193A7D" w:rsidRPr="0046528D" w:rsidRDefault="00193A7D" w:rsidP="0046528D">
      <w:pPr>
        <w:spacing w:line="360" w:lineRule="auto"/>
        <w:jc w:val="both"/>
      </w:pPr>
      <w:r w:rsidRPr="0046528D">
        <w:t>La valutazione della funzionalità endoteliale si basa sulla risposta arteriosa periferica valutata a livello della falange distale del dito indice dopo induzione di un periodo di ischemia nel braccio (occlusione di circa 5 minuti dell’arteria brachiale) e successivo ripristino del flusso di sangue.</w:t>
      </w:r>
    </w:p>
    <w:p w14:paraId="272F6298" w14:textId="77777777" w:rsidR="00193A7D" w:rsidRPr="0046528D" w:rsidRDefault="00193A7D" w:rsidP="0046528D">
      <w:pPr>
        <w:spacing w:line="360" w:lineRule="auto"/>
        <w:jc w:val="both"/>
      </w:pPr>
      <w:r w:rsidRPr="0046528D">
        <w:t>L’indice RHI (Indice di Iperemia Reattiva) rappresenta il rapporto tra il volume in presenza del tono arterioso nel dito provocato dalla condizione di ischemia e lo ste</w:t>
      </w:r>
      <w:r w:rsidRPr="0046528D">
        <w:t>s</w:t>
      </w:r>
      <w:r w:rsidRPr="0046528D">
        <w:t>so volume in condizioni basali ed esprime lo “stato di salute” dell’endotelio.</w:t>
      </w:r>
    </w:p>
    <w:p w14:paraId="5FE63B22" w14:textId="77777777" w:rsidR="00193A7D" w:rsidRPr="0046528D" w:rsidRDefault="00193A7D" w:rsidP="0046528D">
      <w:pPr>
        <w:spacing w:line="360" w:lineRule="auto"/>
        <w:jc w:val="both"/>
      </w:pPr>
      <w:r w:rsidRPr="0046528D">
        <w:t>Il valore può essere espresso in termini numerici (RHI cut off 1,67) o attraverso il l</w:t>
      </w:r>
      <w:r w:rsidRPr="0046528D">
        <w:t>o</w:t>
      </w:r>
      <w:r w:rsidRPr="0046528D">
        <w:t>garitmo naturale (ln RHI cut off 0,51); in entrambi i casi valori sopra tale soglia ind</w:t>
      </w:r>
      <w:r w:rsidRPr="0046528D">
        <w:t>i</w:t>
      </w:r>
      <w:r w:rsidRPr="0046528D">
        <w:t>cano una funzione endoteliale conservata, al di sotto una "disfunzione endoteliale".</w:t>
      </w:r>
    </w:p>
    <w:p w14:paraId="1E775FFE" w14:textId="77777777" w:rsidR="00193A7D" w:rsidRPr="0046528D" w:rsidRDefault="00193A7D" w:rsidP="0046528D">
      <w:pPr>
        <w:spacing w:line="360" w:lineRule="auto"/>
        <w:jc w:val="both"/>
      </w:pPr>
      <w:r w:rsidRPr="0046528D">
        <w:t>Lo strumento è inoltre in grado di valutare la rigidità arteriosa mediante l’Augmentation Index o AI; entrambi questi indici riflettono l’aumento della pressi</w:t>
      </w:r>
      <w:r w:rsidRPr="0046528D">
        <w:t>o</w:t>
      </w:r>
      <w:r w:rsidRPr="0046528D">
        <w:t>ne che si verifica dopo il picco sistolico, causato dall’onda riflessa dalla periferia e vengono calcolati automaticamente dal software abbinato allo strumento opportun</w:t>
      </w:r>
      <w:r w:rsidRPr="0046528D">
        <w:t>a</w:t>
      </w:r>
      <w:r w:rsidRPr="0046528D">
        <w:t>mente installato su un PC.</w:t>
      </w:r>
    </w:p>
    <w:p w14:paraId="64AA688A" w14:textId="77777777" w:rsidR="00193A7D" w:rsidRPr="0046528D" w:rsidRDefault="001217E9" w:rsidP="0046528D">
      <w:pPr>
        <w:spacing w:line="360" w:lineRule="auto"/>
        <w:jc w:val="both"/>
      </w:pPr>
      <w:r w:rsidRPr="0046528D">
        <w:t>Per la valutazione dell'</w:t>
      </w:r>
      <w:r w:rsidR="00193A7D" w:rsidRPr="0046528D">
        <w:t>Heart Rate Variability (HRV) vengono utilizzati i consueti p</w:t>
      </w:r>
      <w:r w:rsidR="00193A7D" w:rsidRPr="0046528D">
        <w:t>a</w:t>
      </w:r>
      <w:r w:rsidR="00193A7D" w:rsidRPr="0046528D">
        <w:t>rametri tempo e frequenza, sarà necessario in questo caso una registrazione del s</w:t>
      </w:r>
      <w:r w:rsidR="00193A7D" w:rsidRPr="0046528D">
        <w:t>e</w:t>
      </w:r>
      <w:r w:rsidR="00193A7D" w:rsidRPr="0046528D">
        <w:t>gnale tonometrico basale di 6 minuti anzichè i classici 5 minuti.</w:t>
      </w:r>
    </w:p>
    <w:p w14:paraId="78796B18" w14:textId="77777777" w:rsidR="00193A7D" w:rsidRPr="0046528D" w:rsidRDefault="00193A7D" w:rsidP="0046528D">
      <w:pPr>
        <w:spacing w:line="360" w:lineRule="auto"/>
        <w:jc w:val="both"/>
      </w:pPr>
      <w:r w:rsidRPr="0046528D">
        <w:t>Per eseguire l’esame vengono utilizzate particolari sonde (probe) da posizionarsi all’estremità di un dito (solitamente l'indice) di entrambe le mani.</w:t>
      </w:r>
    </w:p>
    <w:p w14:paraId="650E6650" w14:textId="77777777" w:rsidR="00193A7D" w:rsidRPr="0046528D" w:rsidRDefault="00193A7D" w:rsidP="0046528D">
      <w:pPr>
        <w:spacing w:line="360" w:lineRule="auto"/>
        <w:jc w:val="both"/>
      </w:pPr>
      <w:r w:rsidRPr="0046528D">
        <w:t>L’Endo-PAT2000 può offrire a ricercatori e clinici uno strumento affidabile, che fo</w:t>
      </w:r>
      <w:r w:rsidRPr="0046528D">
        <w:t>r</w:t>
      </w:r>
      <w:r w:rsidRPr="0046528D">
        <w:t>nisce un risultato operatore-indipendente superiore agli altri metodi di misura della funzionalità endoteliale attraverso l’utilizzo della tecnologia PAT. La Tonometria Arteriosa Periferica (PAT) è una tecnologia brevettata, che consente la misura non invasiva dell’ampiezza e delle variazioni del tono arterioso nei vasi arteriosi perifer</w:t>
      </w:r>
      <w:r w:rsidRPr="0046528D">
        <w:t>i</w:t>
      </w:r>
      <w:r w:rsidRPr="0046528D">
        <w:t xml:space="preserve">ci. L’Endo-PAT2000 impiega questa tecnologia per misurare il segnale PAT alla punta di un dito registrando le variazioni pulsatili del volume delle arterie. Il sistema </w:t>
      </w:r>
      <w:r w:rsidRPr="0046528D">
        <w:lastRenderedPageBreak/>
        <w:t>Endo-PAT2000 non è invasivo e comprende uno strumento di misura che supporta una coppia di sonde (pletismografi) capaci di sottoporre a pressione uniforme un’area precisa delle falangi delle dita.</w:t>
      </w:r>
    </w:p>
    <w:p w14:paraId="7477E8CB" w14:textId="77777777" w:rsidR="00193A7D" w:rsidRPr="0046528D" w:rsidRDefault="00193A7D" w:rsidP="0046528D">
      <w:pPr>
        <w:spacing w:line="360" w:lineRule="auto"/>
        <w:jc w:val="both"/>
      </w:pPr>
      <w:r w:rsidRPr="0046528D">
        <w:t>Questa modalità è estremamente importante in quanto:</w:t>
      </w:r>
    </w:p>
    <w:p w14:paraId="372ABCDE" w14:textId="77777777" w:rsidR="00193A7D" w:rsidRPr="0046528D" w:rsidRDefault="00193A7D" w:rsidP="0046528D">
      <w:pPr>
        <w:numPr>
          <w:ilvl w:val="0"/>
          <w:numId w:val="11"/>
        </w:numPr>
        <w:spacing w:line="360" w:lineRule="auto"/>
        <w:jc w:val="both"/>
      </w:pPr>
      <w:r w:rsidRPr="0046528D">
        <w:t>previene la stasi del sangue venoso che può indurre una vasocostrizione veno-arteriolare riflessa;</w:t>
      </w:r>
    </w:p>
    <w:p w14:paraId="7D9C53B5" w14:textId="77777777" w:rsidR="00193A7D" w:rsidRPr="0046528D" w:rsidRDefault="00193A7D" w:rsidP="0046528D">
      <w:pPr>
        <w:numPr>
          <w:ilvl w:val="0"/>
          <w:numId w:val="11"/>
        </w:numPr>
        <w:spacing w:line="360" w:lineRule="auto"/>
        <w:jc w:val="both"/>
      </w:pPr>
      <w:r w:rsidRPr="0046528D">
        <w:t xml:space="preserve">aumenta fortemente il range delle variazioni di volume determinate dal flusso di sangue mediante dispersione della tensione della parete arteriosa; </w:t>
      </w:r>
    </w:p>
    <w:p w14:paraId="71443665" w14:textId="77777777" w:rsidR="00193A7D" w:rsidRPr="0046528D" w:rsidRDefault="00193A7D" w:rsidP="0046528D">
      <w:pPr>
        <w:numPr>
          <w:ilvl w:val="0"/>
          <w:numId w:val="11"/>
        </w:numPr>
        <w:spacing w:line="360" w:lineRule="auto"/>
        <w:jc w:val="both"/>
      </w:pPr>
      <w:r w:rsidRPr="0046528D">
        <w:t>previene il flusso di sangue venoso retrogrado che potrebbe inficiare la mis</w:t>
      </w:r>
      <w:r w:rsidRPr="0046528D">
        <w:t>u</w:t>
      </w:r>
      <w:r w:rsidRPr="0046528D">
        <w:t xml:space="preserve">razione; </w:t>
      </w:r>
    </w:p>
    <w:p w14:paraId="60E7B368" w14:textId="77777777" w:rsidR="00193A7D" w:rsidRPr="0046528D" w:rsidRDefault="00193A7D" w:rsidP="0046528D">
      <w:pPr>
        <w:numPr>
          <w:ilvl w:val="0"/>
          <w:numId w:val="11"/>
        </w:numPr>
        <w:spacing w:line="360" w:lineRule="auto"/>
        <w:jc w:val="both"/>
      </w:pPr>
      <w:r w:rsidRPr="0046528D">
        <w:t>fissa saldamente la sonda al dito con riduzione di eventuali falsi segnali dov</w:t>
      </w:r>
      <w:r w:rsidRPr="0046528D">
        <w:t>u</w:t>
      </w:r>
      <w:r w:rsidRPr="0046528D">
        <w:t>ti al movimento.</w:t>
      </w:r>
    </w:p>
    <w:p w14:paraId="33DA7A38" w14:textId="77777777" w:rsidR="00193A7D" w:rsidRPr="0046528D" w:rsidRDefault="00193A7D" w:rsidP="0046528D">
      <w:pPr>
        <w:spacing w:line="360" w:lineRule="auto"/>
        <w:jc w:val="both"/>
      </w:pPr>
    </w:p>
    <w:p w14:paraId="5F8F7D39" w14:textId="77777777" w:rsidR="00193A7D" w:rsidRPr="0046528D" w:rsidRDefault="00E76FED" w:rsidP="0046528D">
      <w:pPr>
        <w:spacing w:line="360" w:lineRule="auto"/>
        <w:jc w:val="both"/>
        <w:rPr>
          <w:b/>
          <w:bCs/>
        </w:rPr>
      </w:pPr>
      <w:r w:rsidRPr="0046528D">
        <w:rPr>
          <w:b/>
          <w:bCs/>
        </w:rPr>
        <w:t>3</w:t>
      </w:r>
      <w:r w:rsidR="00193A7D" w:rsidRPr="0046528D">
        <w:rPr>
          <w:b/>
          <w:bCs/>
        </w:rPr>
        <w:t>.1 Fisiologia ed ENDOPAT-2000</w:t>
      </w:r>
    </w:p>
    <w:p w14:paraId="1EC3ED78" w14:textId="77777777" w:rsidR="00193A7D" w:rsidRPr="0046528D" w:rsidRDefault="00260D82" w:rsidP="0046528D">
      <w:pPr>
        <w:spacing w:line="360" w:lineRule="auto"/>
        <w:jc w:val="both"/>
      </w:pPr>
      <w:r w:rsidRPr="0046528D">
        <w:t>A</w:t>
      </w:r>
      <w:r w:rsidR="00193A7D" w:rsidRPr="0046528D">
        <w:t>lcune proprietà esclusive concorrono a rendere</w:t>
      </w:r>
      <w:r w:rsidRPr="0046528D">
        <w:t xml:space="preserve"> il risultato dell’Endo-PAT2000</w:t>
      </w:r>
      <w:r w:rsidR="00193A7D" w:rsidRPr="0046528D">
        <w:t xml:space="preserve"> a</w:t>
      </w:r>
      <w:r w:rsidR="00193A7D" w:rsidRPr="0046528D">
        <w:t>f</w:t>
      </w:r>
      <w:r w:rsidR="00193A7D" w:rsidRPr="0046528D">
        <w:t>fidabile:</w:t>
      </w:r>
    </w:p>
    <w:p w14:paraId="5D79CE70" w14:textId="77777777" w:rsidR="00193A7D" w:rsidRPr="0046528D" w:rsidRDefault="00260D82" w:rsidP="0046528D">
      <w:pPr>
        <w:spacing w:line="360" w:lineRule="auto"/>
        <w:jc w:val="both"/>
      </w:pPr>
      <w:r w:rsidRPr="0046528D">
        <w:t xml:space="preserve">1. </w:t>
      </w:r>
      <w:r w:rsidR="00193A7D" w:rsidRPr="0046528D">
        <w:t xml:space="preserve">Applicando </w:t>
      </w:r>
      <w:r w:rsidRPr="0046528D">
        <w:t xml:space="preserve">ad un dito di ogni braccio </w:t>
      </w:r>
      <w:r w:rsidR="00193A7D" w:rsidRPr="0046528D">
        <w:t>una sonda il paziente funge da proprio co</w:t>
      </w:r>
      <w:r w:rsidR="00193A7D" w:rsidRPr="0046528D">
        <w:t>n</w:t>
      </w:r>
      <w:r w:rsidR="00193A7D" w:rsidRPr="0046528D">
        <w:t>trollo interno: mentre un braccio viene utilizzato per il test l’altro braccio fornisce d</w:t>
      </w:r>
      <w:r w:rsidR="00193A7D" w:rsidRPr="0046528D">
        <w:t>a</w:t>
      </w:r>
      <w:r w:rsidR="00193A7D" w:rsidRPr="0046528D">
        <w:t>ti su eventuali variazioni vascolari sistemiche, quali ad es. i mutamenti nel tono si</w:t>
      </w:r>
      <w:r w:rsidR="00193A7D" w:rsidRPr="0046528D">
        <w:t>m</w:t>
      </w:r>
      <w:r w:rsidR="00193A7D" w:rsidRPr="0046528D">
        <w:t>patico. Ciò consente a Endo-PAT2000 di correggere le variazioni sistemiche spont</w:t>
      </w:r>
      <w:r w:rsidR="00193A7D" w:rsidRPr="0046528D">
        <w:t>a</w:t>
      </w:r>
      <w:r w:rsidR="00193A7D" w:rsidRPr="0046528D">
        <w:t>nee, che avvengono durante il periodo della misura;</w:t>
      </w:r>
    </w:p>
    <w:p w14:paraId="24F18138" w14:textId="77777777" w:rsidR="00193A7D" w:rsidRPr="0046528D" w:rsidRDefault="00260D82" w:rsidP="0046528D">
      <w:pPr>
        <w:spacing w:line="360" w:lineRule="auto"/>
        <w:jc w:val="both"/>
      </w:pPr>
      <w:r w:rsidRPr="0046528D">
        <w:t xml:space="preserve">2. </w:t>
      </w:r>
      <w:r w:rsidR="00193A7D" w:rsidRPr="0046528D">
        <w:t>La capacità di un</w:t>
      </w:r>
      <w:r w:rsidR="00F71561" w:rsidRPr="0046528D">
        <w:t>a arteria a dilatarsi dipende (</w:t>
      </w:r>
      <w:r w:rsidR="00193A7D" w:rsidRPr="0046528D">
        <w:t>tra le altre cose) dal suo diametro a riposo. Questa capacità potenziale influenza sostanzialmente la risposta ad una ischemia indotta.</w:t>
      </w:r>
    </w:p>
    <w:p w14:paraId="5FF715B6" w14:textId="77777777" w:rsidR="00260D82" w:rsidRPr="0046528D" w:rsidRDefault="00193A7D" w:rsidP="0046528D">
      <w:pPr>
        <w:spacing w:line="360" w:lineRule="auto"/>
        <w:jc w:val="both"/>
      </w:pPr>
      <w:r w:rsidRPr="0046528D">
        <w:t>Pertanto, la dilatazione flusso mediata delle arterie dipende dalla loro capacità pote</w:t>
      </w:r>
      <w:r w:rsidRPr="0046528D">
        <w:t>n</w:t>
      </w:r>
      <w:r w:rsidRPr="0046528D">
        <w:t>ziale a dilatarsi. Questa dipendenza dal livello del tono vascolare pre-occlusione vi</w:t>
      </w:r>
      <w:r w:rsidRPr="0046528D">
        <w:t>e</w:t>
      </w:r>
      <w:r w:rsidRPr="0046528D">
        <w:t>ne normalizzato mediante una correzione calcolata considerando il segnale PAT in condizioni basali.</w:t>
      </w:r>
    </w:p>
    <w:p w14:paraId="2508D530" w14:textId="77777777" w:rsidR="00193A7D" w:rsidRPr="0046528D" w:rsidRDefault="00260D82" w:rsidP="0046528D">
      <w:pPr>
        <w:spacing w:line="360" w:lineRule="auto"/>
        <w:jc w:val="both"/>
      </w:pPr>
      <w:r w:rsidRPr="0046528D">
        <w:t xml:space="preserve">3. </w:t>
      </w:r>
      <w:r w:rsidR="00193A7D" w:rsidRPr="0046528D">
        <w:t xml:space="preserve">L’induzione di una ischemia temporanea (solitamente 5 minuti) </w:t>
      </w:r>
      <w:r w:rsidR="00193A7D" w:rsidRPr="0046528D">
        <w:rPr>
          <w:vertAlign w:val="superscript"/>
        </w:rPr>
        <w:endnoteReference w:id="230"/>
      </w:r>
      <w:r w:rsidR="00193A7D" w:rsidRPr="0046528D">
        <w:t xml:space="preserve"> è la modalità più comune per attivare in modo non invasivo l’endotelio. L’occlusione della arteria viene di solito ottenuta gonfiando un manicotto per la pressione arteriosa ad un val</w:t>
      </w:r>
      <w:r w:rsidR="00193A7D" w:rsidRPr="0046528D">
        <w:t>o</w:t>
      </w:r>
      <w:r w:rsidR="00193A7D" w:rsidRPr="0046528D">
        <w:t>re sopra sistolico. Comunque, anche a queste pressioni, ci potrebbe essere un passa</w:t>
      </w:r>
      <w:r w:rsidR="00193A7D" w:rsidRPr="0046528D">
        <w:t>g</w:t>
      </w:r>
      <w:r w:rsidR="00193A7D" w:rsidRPr="0046528D">
        <w:t>gio di sangue, che irrora i tessuti a valle prevenendo l’appropriata mancanza di oss</w:t>
      </w:r>
      <w:r w:rsidR="00193A7D" w:rsidRPr="0046528D">
        <w:t>i</w:t>
      </w:r>
      <w:r w:rsidR="00193A7D" w:rsidRPr="0046528D">
        <w:t xml:space="preserve">geno. Endo-PAT2000 possiede la sensibilità e la capacità di quantificare la qualità </w:t>
      </w:r>
      <w:r w:rsidR="00193A7D" w:rsidRPr="0046528D">
        <w:lastRenderedPageBreak/>
        <w:t>della occlusione della arteria brachiale. Questa capacità è assente nella tecnica BAUS (Brachial Artery Ultra-Sound) che si affida solamente alla qualità della occlusione prodotta dallo sfigmomanom</w:t>
      </w:r>
      <w:r w:rsidRPr="0046528D">
        <w:t>etro ed è fortemente operatore-</w:t>
      </w:r>
      <w:r w:rsidR="00193A7D" w:rsidRPr="0046528D">
        <w:t>dipendente richiedendo il ricorso ad una sonda ad ultra suoni ad elevata risoluzione.</w:t>
      </w:r>
    </w:p>
    <w:p w14:paraId="5EE765C2" w14:textId="77777777" w:rsidR="00193A7D" w:rsidRPr="0046528D" w:rsidRDefault="00193A7D" w:rsidP="0046528D">
      <w:pPr>
        <w:spacing w:line="360" w:lineRule="auto"/>
        <w:jc w:val="both"/>
      </w:pPr>
    </w:p>
    <w:p w14:paraId="6E379CB7" w14:textId="77777777" w:rsidR="00193A7D" w:rsidRPr="0046528D" w:rsidRDefault="00E76FED" w:rsidP="0046528D">
      <w:pPr>
        <w:spacing w:line="360" w:lineRule="auto"/>
        <w:jc w:val="both"/>
      </w:pPr>
      <w:r w:rsidRPr="0046528D">
        <w:rPr>
          <w:b/>
          <w:bCs/>
        </w:rPr>
        <w:t>3</w:t>
      </w:r>
      <w:r w:rsidR="00193A7D" w:rsidRPr="0046528D">
        <w:rPr>
          <w:b/>
          <w:bCs/>
        </w:rPr>
        <w:t>.2 Analisi Automatica</w:t>
      </w:r>
    </w:p>
    <w:p w14:paraId="6683FF21" w14:textId="77777777" w:rsidR="00193A7D" w:rsidRPr="0046528D" w:rsidRDefault="00FB5C3F" w:rsidP="0046528D">
      <w:pPr>
        <w:spacing w:line="360" w:lineRule="auto"/>
        <w:jc w:val="both"/>
      </w:pPr>
      <w:r w:rsidRPr="0046528D">
        <w:t xml:space="preserve">Le </w:t>
      </w:r>
      <w:r w:rsidR="00193A7D" w:rsidRPr="0046528D">
        <w:t>due principali fasi operative</w:t>
      </w:r>
      <w:r w:rsidRPr="0046528D">
        <w:t xml:space="preserve"> del software di Endo-PAT sono</w:t>
      </w:r>
      <w:r w:rsidR="00193A7D" w:rsidRPr="0046528D">
        <w:t>:</w:t>
      </w:r>
    </w:p>
    <w:p w14:paraId="70DF8F7E" w14:textId="77777777" w:rsidR="00193A7D" w:rsidRPr="0046528D" w:rsidRDefault="00FB5C3F" w:rsidP="0046528D">
      <w:pPr>
        <w:numPr>
          <w:ilvl w:val="0"/>
          <w:numId w:val="10"/>
        </w:numPr>
        <w:spacing w:line="360" w:lineRule="auto"/>
        <w:jc w:val="both"/>
      </w:pPr>
      <w:r w:rsidRPr="0046528D">
        <w:t>l’a</w:t>
      </w:r>
      <w:r w:rsidR="00193A7D" w:rsidRPr="0046528D">
        <w:t>cquisizione on-line dei dati</w:t>
      </w:r>
    </w:p>
    <w:p w14:paraId="4B90D44D" w14:textId="77777777" w:rsidR="00193A7D" w:rsidRPr="0046528D" w:rsidRDefault="00FB5C3F" w:rsidP="0046528D">
      <w:pPr>
        <w:numPr>
          <w:ilvl w:val="0"/>
          <w:numId w:val="10"/>
        </w:numPr>
        <w:spacing w:line="360" w:lineRule="auto"/>
        <w:jc w:val="both"/>
      </w:pPr>
      <w:r w:rsidRPr="0046528D">
        <w:t>l’a</w:t>
      </w:r>
      <w:r w:rsidR="00193A7D" w:rsidRPr="0046528D">
        <w:t>nalisi off-line dei dati</w:t>
      </w:r>
    </w:p>
    <w:p w14:paraId="0E2D6DCF" w14:textId="77777777" w:rsidR="00193A7D" w:rsidRPr="0046528D" w:rsidRDefault="00193A7D" w:rsidP="0046528D">
      <w:pPr>
        <w:spacing w:line="360" w:lineRule="auto"/>
        <w:jc w:val="both"/>
      </w:pPr>
      <w:r w:rsidRPr="0046528D">
        <w:t>Dal momento che il sistema registra i dati in tempo reale, è possibile seguire gli eventi man mano che questi avvengono. I dati acquisiti durante l’esame sono conse</w:t>
      </w:r>
      <w:r w:rsidRPr="0046528D">
        <w:t>r</w:t>
      </w:r>
      <w:r w:rsidRPr="0046528D">
        <w:t>vati automaticamente nell’hard disk del computer e possono essere riprodotti succe</w:t>
      </w:r>
      <w:r w:rsidRPr="0046528D">
        <w:t>s</w:t>
      </w:r>
      <w:r w:rsidRPr="0046528D">
        <w:t>sivamente per una valutazione offline e per l’analisi automatica.</w:t>
      </w:r>
    </w:p>
    <w:p w14:paraId="7FDA5DE2" w14:textId="77777777" w:rsidR="00193A7D" w:rsidRPr="0046528D" w:rsidRDefault="00193A7D" w:rsidP="0046528D">
      <w:pPr>
        <w:spacing w:line="360" w:lineRule="auto"/>
        <w:jc w:val="both"/>
      </w:pPr>
      <w:r w:rsidRPr="0046528D">
        <w:t>Dal momento che l’analisi viene eseguita automaticamente, non sussiste alcun pr</w:t>
      </w:r>
      <w:r w:rsidRPr="0046528D">
        <w:t>o</w:t>
      </w:r>
      <w:r w:rsidRPr="0046528D">
        <w:t>blema per la sua interpretazione e quindi viene meno la variabilità intra- / inter- op</w:t>
      </w:r>
      <w:r w:rsidRPr="0046528D">
        <w:t>e</w:t>
      </w:r>
      <w:r w:rsidRPr="0046528D">
        <w:t>ratore.</w:t>
      </w:r>
    </w:p>
    <w:p w14:paraId="7750B670" w14:textId="77777777" w:rsidR="00193A7D" w:rsidRPr="0046528D" w:rsidRDefault="00193A7D" w:rsidP="0046528D">
      <w:pPr>
        <w:spacing w:line="360" w:lineRule="auto"/>
        <w:jc w:val="both"/>
      </w:pPr>
      <w:r w:rsidRPr="0046528D">
        <w:t>Il software genera un foglio Excel con tutti i parametri della valutaz</w:t>
      </w:r>
      <w:r w:rsidR="00FB5C3F" w:rsidRPr="0046528D">
        <w:t>ione fornendo un database auto-</w:t>
      </w:r>
      <w:r w:rsidRPr="0046528D">
        <w:t xml:space="preserve">aggiornato ad ogni esame che viene eseguito. Ciò è stato realizzato per facilitare il lavoro scientifico fornendo un archivio di </w:t>
      </w:r>
      <w:r w:rsidR="006E14DF" w:rsidRPr="0046528D">
        <w:t>ricerca dei dati registrati di semplice utilizzo</w:t>
      </w:r>
      <w:r w:rsidRPr="0046528D">
        <w:t>.</w:t>
      </w:r>
    </w:p>
    <w:p w14:paraId="6E73D2F5" w14:textId="77777777" w:rsidR="00193A7D" w:rsidRPr="0046528D" w:rsidRDefault="00193A7D" w:rsidP="0046528D">
      <w:pPr>
        <w:spacing w:line="360" w:lineRule="auto"/>
        <w:jc w:val="both"/>
        <w:rPr>
          <w:b/>
          <w:bCs/>
        </w:rPr>
      </w:pPr>
    </w:p>
    <w:p w14:paraId="4D22326E" w14:textId="77777777" w:rsidR="00664943" w:rsidRPr="0046528D" w:rsidRDefault="00664943" w:rsidP="0046528D">
      <w:pPr>
        <w:spacing w:line="360" w:lineRule="auto"/>
        <w:jc w:val="both"/>
      </w:pPr>
    </w:p>
    <w:p w14:paraId="33F595E8" w14:textId="77777777" w:rsidR="00193A7D" w:rsidRPr="0046528D" w:rsidRDefault="00664943" w:rsidP="0046528D">
      <w:pPr>
        <w:spacing w:line="360" w:lineRule="auto"/>
        <w:jc w:val="both"/>
      </w:pPr>
      <w:r w:rsidRPr="0046528D">
        <w:rPr>
          <w:b/>
          <w:noProof/>
        </w:rPr>
        <w:drawing>
          <wp:inline distT="0" distB="0" distL="0" distR="0" wp14:anchorId="789C6032" wp14:editId="3C8FD117">
            <wp:extent cx="5219700" cy="1336675"/>
            <wp:effectExtent l="0" t="0" r="0" b="0"/>
            <wp:docPr id="43" name="Picture 20" descr="C:\Users\Alessandro Del Cuore\Desktop\endopa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essandro Del Cuore\Desktop\endopat2.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19700" cy="1336675"/>
                    </a:xfrm>
                    <a:prstGeom prst="rect">
                      <a:avLst/>
                    </a:prstGeom>
                    <a:noFill/>
                    <a:ln>
                      <a:noFill/>
                    </a:ln>
                  </pic:spPr>
                </pic:pic>
              </a:graphicData>
            </a:graphic>
          </wp:inline>
        </w:drawing>
      </w:r>
    </w:p>
    <w:p w14:paraId="4F074393" w14:textId="34407268" w:rsidR="00193A7D" w:rsidRPr="0046528D" w:rsidRDefault="00664943" w:rsidP="0046528D">
      <w:pPr>
        <w:spacing w:line="360" w:lineRule="auto"/>
        <w:jc w:val="both"/>
        <w:rPr>
          <w:b/>
        </w:rPr>
      </w:pPr>
      <w:r w:rsidRPr="0046528D">
        <w:rPr>
          <w:b/>
        </w:rPr>
        <w:lastRenderedPageBreak/>
        <w:t xml:space="preserve">    </w:t>
      </w:r>
      <w:r w:rsidRPr="0046528D">
        <w:rPr>
          <w:b/>
          <w:noProof/>
        </w:rPr>
        <w:drawing>
          <wp:inline distT="0" distB="0" distL="0" distR="0" wp14:anchorId="4260C877" wp14:editId="15F749F6">
            <wp:extent cx="1716070" cy="1716070"/>
            <wp:effectExtent l="0" t="0" r="0" b="0"/>
            <wp:docPr id="42" name="Picture 19" descr="C:\Users\Alessandro Del Cuore\Desktop\Endo-PAT20003-300x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essandro Del Cuore\Desktop\Endo-PAT20003-300x300.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30513" cy="1730513"/>
                    </a:xfrm>
                    <a:prstGeom prst="rect">
                      <a:avLst/>
                    </a:prstGeom>
                    <a:noFill/>
                    <a:ln>
                      <a:noFill/>
                    </a:ln>
                  </pic:spPr>
                </pic:pic>
              </a:graphicData>
            </a:graphic>
          </wp:inline>
        </w:drawing>
      </w:r>
      <w:r w:rsidRPr="0046528D">
        <w:rPr>
          <w:b/>
        </w:rPr>
        <w:t xml:space="preserve">                       </w:t>
      </w:r>
      <w:r w:rsidRPr="0046528D">
        <w:rPr>
          <w:b/>
          <w:noProof/>
        </w:rPr>
        <w:drawing>
          <wp:inline distT="0" distB="0" distL="0" distR="0" wp14:anchorId="4ADD15D8" wp14:editId="1E9BD125">
            <wp:extent cx="2622550" cy="1742440"/>
            <wp:effectExtent l="0" t="0" r="6350" b="0"/>
            <wp:docPr id="40" name="Picture 18" descr="C:\Users\Alessandro Del Cuore\Desktop\endop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ssandro Del Cuore\Desktop\endopat.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22550" cy="1742440"/>
                    </a:xfrm>
                    <a:prstGeom prst="rect">
                      <a:avLst/>
                    </a:prstGeom>
                    <a:noFill/>
                    <a:ln>
                      <a:noFill/>
                    </a:ln>
                  </pic:spPr>
                </pic:pic>
              </a:graphicData>
            </a:graphic>
          </wp:inline>
        </w:drawing>
      </w:r>
    </w:p>
    <w:p w14:paraId="64B84E6B" w14:textId="549147A0" w:rsidR="00193A7D" w:rsidRPr="0046528D" w:rsidRDefault="00E76FED" w:rsidP="0046528D">
      <w:pPr>
        <w:spacing w:line="360" w:lineRule="auto"/>
        <w:jc w:val="both"/>
        <w:rPr>
          <w:b/>
          <w:bCs/>
        </w:rPr>
      </w:pPr>
      <w:r w:rsidRPr="0046528D">
        <w:rPr>
          <w:b/>
          <w:bCs/>
        </w:rPr>
        <w:t>3</w:t>
      </w:r>
      <w:r w:rsidR="00193A7D" w:rsidRPr="0046528D">
        <w:rPr>
          <w:b/>
          <w:bCs/>
        </w:rPr>
        <w:t>.</w:t>
      </w:r>
      <w:r w:rsidR="009C2B28" w:rsidRPr="0046528D">
        <w:rPr>
          <w:b/>
          <w:bCs/>
        </w:rPr>
        <w:t>3</w:t>
      </w:r>
      <w:r w:rsidR="00193A7D" w:rsidRPr="0046528D">
        <w:rPr>
          <w:b/>
          <w:bCs/>
        </w:rPr>
        <w:t xml:space="preserve"> Studi realizzati tramite ENDOPAT</w:t>
      </w:r>
    </w:p>
    <w:p w14:paraId="0DA54DEB" w14:textId="77777777" w:rsidR="00193A7D" w:rsidRPr="0046528D" w:rsidRDefault="001E235D" w:rsidP="0046528D">
      <w:pPr>
        <w:spacing w:line="360" w:lineRule="auto"/>
        <w:jc w:val="both"/>
      </w:pPr>
      <w:r w:rsidRPr="0046528D">
        <w:t>Sono stati realizzati n</w:t>
      </w:r>
      <w:r w:rsidR="00193A7D" w:rsidRPr="0046528D">
        <w:t xml:space="preserve">umerosi studi per valutare attraverso l’endopat-2000 il grado di disfunzione endoteliale in diverse condizioni patologiche. </w:t>
      </w:r>
      <w:r w:rsidRPr="0046528D">
        <w:t>S</w:t>
      </w:r>
      <w:r w:rsidR="00193A7D" w:rsidRPr="0046528D">
        <w:t>ono state evidenziate</w:t>
      </w:r>
      <w:r w:rsidRPr="0046528D">
        <w:t xml:space="preserve"> n</w:t>
      </w:r>
      <w:r w:rsidRPr="0046528D">
        <w:t>o</w:t>
      </w:r>
      <w:r w:rsidRPr="0046528D">
        <w:t>tevoli differenze</w:t>
      </w:r>
      <w:r w:rsidR="00193A7D" w:rsidRPr="0046528D">
        <w:t xml:space="preserve"> fra i sessi e nelle diverse razze, infatti le donne tendenzialmente hanno un grado di disfunzione endoteliale minore che non sembrerebbe complet</w:t>
      </w:r>
      <w:r w:rsidR="00193A7D" w:rsidRPr="0046528D">
        <w:t>a</w:t>
      </w:r>
      <w:r w:rsidR="00193A7D" w:rsidRPr="0046528D">
        <w:t xml:space="preserve">mente spiegabile attraverso gli ormoni femminile o lo stato menopausale, inoltre l’età del menarca e la durata dell’allattamento hanno importanti implicazioni sullo stato di salute dei vasi </w:t>
      </w:r>
      <w:r w:rsidR="00193A7D" w:rsidRPr="0046528D">
        <w:rPr>
          <w:vertAlign w:val="superscript"/>
        </w:rPr>
        <w:endnoteReference w:id="231"/>
      </w:r>
      <w:r w:rsidR="00F71561" w:rsidRPr="0046528D">
        <w:t xml:space="preserve">. </w:t>
      </w:r>
      <w:r w:rsidR="00193A7D" w:rsidRPr="0046528D">
        <w:t>La razza nera ha invece un grado di disfu</w:t>
      </w:r>
      <w:r w:rsidRPr="0046528D">
        <w:t>nzione endoteli</w:t>
      </w:r>
      <w:r w:rsidRPr="0046528D">
        <w:t>a</w:t>
      </w:r>
      <w:r w:rsidRPr="0046528D">
        <w:t xml:space="preserve">le più marcato; </w:t>
      </w:r>
      <w:r w:rsidR="00193A7D" w:rsidRPr="0046528D">
        <w:t xml:space="preserve">potrebbero </w:t>
      </w:r>
      <w:r w:rsidRPr="0046528D">
        <w:t xml:space="preserve">dunque </w:t>
      </w:r>
      <w:r w:rsidR="00193A7D" w:rsidRPr="0046528D">
        <w:t>rappresentare importanti fattori di rischio cardi</w:t>
      </w:r>
      <w:r w:rsidR="00193A7D" w:rsidRPr="0046528D">
        <w:t>o</w:t>
      </w:r>
      <w:r w:rsidR="00193A7D" w:rsidRPr="0046528D">
        <w:t>vascolare</w:t>
      </w:r>
      <w:r w:rsidRPr="0046528D">
        <w:t xml:space="preserve"> le alterazioni delle onde e della rigidità dei vasi evidenziati in questa pop</w:t>
      </w:r>
      <w:r w:rsidRPr="0046528D">
        <w:t>o</w:t>
      </w:r>
      <w:r w:rsidRPr="0046528D">
        <w:t>lazione</w:t>
      </w:r>
      <w:r w:rsidR="00193A7D" w:rsidRPr="0046528D">
        <w:t>.</w:t>
      </w:r>
      <w:r w:rsidR="00193A7D" w:rsidRPr="0046528D">
        <w:rPr>
          <w:vertAlign w:val="superscript"/>
        </w:rPr>
        <w:endnoteReference w:id="232"/>
      </w:r>
      <w:r w:rsidR="00F71561" w:rsidRPr="0046528D">
        <w:t xml:space="preserve"> </w:t>
      </w:r>
      <w:r w:rsidR="00193A7D" w:rsidRPr="0046528D">
        <w:rPr>
          <w:vertAlign w:val="superscript"/>
        </w:rPr>
        <w:endnoteReference w:id="233"/>
      </w:r>
    </w:p>
    <w:p w14:paraId="19AAEB31" w14:textId="77777777" w:rsidR="00193A7D" w:rsidRPr="0046528D" w:rsidRDefault="00193A7D" w:rsidP="0046528D">
      <w:pPr>
        <w:spacing w:line="360" w:lineRule="auto"/>
        <w:jc w:val="both"/>
      </w:pPr>
    </w:p>
    <w:p w14:paraId="4D0D80D4" w14:textId="0F0FBF07" w:rsidR="00193A7D" w:rsidRPr="0046528D" w:rsidRDefault="00E76FED" w:rsidP="0046528D">
      <w:pPr>
        <w:spacing w:line="360" w:lineRule="auto"/>
        <w:jc w:val="both"/>
        <w:rPr>
          <w:b/>
          <w:bCs/>
        </w:rPr>
      </w:pPr>
      <w:r w:rsidRPr="0046528D">
        <w:rPr>
          <w:b/>
          <w:bCs/>
        </w:rPr>
        <w:t>3</w:t>
      </w:r>
      <w:r w:rsidR="00193A7D" w:rsidRPr="0046528D">
        <w:rPr>
          <w:b/>
          <w:bCs/>
        </w:rPr>
        <w:t>.</w:t>
      </w:r>
      <w:r w:rsidR="009C2B28" w:rsidRPr="0046528D">
        <w:rPr>
          <w:b/>
          <w:bCs/>
        </w:rPr>
        <w:t>3</w:t>
      </w:r>
      <w:r w:rsidR="00193A7D" w:rsidRPr="0046528D">
        <w:rPr>
          <w:b/>
          <w:bCs/>
        </w:rPr>
        <w:t>.1 ENDOPAT e Diabete di tipo 1</w:t>
      </w:r>
    </w:p>
    <w:p w14:paraId="1A14308A" w14:textId="77777777" w:rsidR="00193A7D" w:rsidRPr="0046528D" w:rsidRDefault="001151C6" w:rsidP="0046528D">
      <w:pPr>
        <w:spacing w:line="360" w:lineRule="auto"/>
        <w:jc w:val="both"/>
      </w:pPr>
      <w:r w:rsidRPr="0046528D">
        <w:t xml:space="preserve">È stato </w:t>
      </w:r>
      <w:r w:rsidR="00193A7D" w:rsidRPr="0046528D">
        <w:t xml:space="preserve">dimostrato </w:t>
      </w:r>
      <w:r w:rsidRPr="0046528D">
        <w:t xml:space="preserve">da molteplici studi </w:t>
      </w:r>
      <w:r w:rsidR="00193A7D" w:rsidRPr="0046528D">
        <w:t>che questa condizione patologica influenza n</w:t>
      </w:r>
      <w:r w:rsidR="00193A7D" w:rsidRPr="0046528D">
        <w:t>e</w:t>
      </w:r>
      <w:r w:rsidR="00193A7D" w:rsidRPr="0046528D">
        <w:t>gativamente in modo considerevole la funzionalità endoteliale sin dall’infanzia</w:t>
      </w:r>
      <w:r w:rsidR="00193A7D" w:rsidRPr="0046528D">
        <w:rPr>
          <w:vertAlign w:val="superscript"/>
        </w:rPr>
        <w:endnoteReference w:id="234"/>
      </w:r>
      <w:r w:rsidR="00193A7D" w:rsidRPr="0046528D">
        <w:t xml:space="preserve"> . È stato visto infatti che alcuni soggetti maschi adolescenti, seppur asintomatici prese</w:t>
      </w:r>
      <w:r w:rsidR="00193A7D" w:rsidRPr="0046528D">
        <w:t>n</w:t>
      </w:r>
      <w:r w:rsidR="00193A7D" w:rsidRPr="0046528D">
        <w:t>tano già disfunzione endoteliale rispetto ai controlli sani,  ciò ha</w:t>
      </w:r>
      <w:r w:rsidRPr="0046528D">
        <w:t xml:space="preserve"> una notevole impo</w:t>
      </w:r>
      <w:r w:rsidRPr="0046528D">
        <w:t>r</w:t>
      </w:r>
      <w:r w:rsidRPr="0046528D">
        <w:t>tanza perché</w:t>
      </w:r>
      <w:r w:rsidR="00193A7D" w:rsidRPr="0046528D">
        <w:t>, considerando il carattere di reversibilità  di quest</w:t>
      </w:r>
      <w:r w:rsidRPr="0046528D">
        <w:t>o parametro, la sua v</w:t>
      </w:r>
      <w:r w:rsidRPr="0046528D">
        <w:t>a</w:t>
      </w:r>
      <w:r w:rsidRPr="0046528D">
        <w:t xml:space="preserve">lutazione, in questo gruppo di pazienti, </w:t>
      </w:r>
      <w:r w:rsidR="00193A7D" w:rsidRPr="0046528D">
        <w:t>potrebbe avere implicazioni diagnostiche e terapeutiche</w:t>
      </w:r>
      <w:r w:rsidR="00193A7D" w:rsidRPr="0046528D">
        <w:rPr>
          <w:vertAlign w:val="superscript"/>
        </w:rPr>
        <w:endnoteReference w:id="235"/>
      </w:r>
      <w:r w:rsidR="00193A7D" w:rsidRPr="0046528D">
        <w:t>.</w:t>
      </w:r>
    </w:p>
    <w:p w14:paraId="1396EAB6" w14:textId="77777777" w:rsidR="00193A7D" w:rsidRPr="0046528D" w:rsidRDefault="00193A7D" w:rsidP="0046528D">
      <w:pPr>
        <w:spacing w:line="360" w:lineRule="auto"/>
        <w:jc w:val="both"/>
      </w:pPr>
      <w:r w:rsidRPr="0046528D">
        <w:lastRenderedPageBreak/>
        <w:t xml:space="preserve">Un altro studio ha dimostrato che i pazienti con diabete di tipo 1 hanno un basso RHI sia prima che dopo colazione ricca di grassi rispetto ai loro coetanei, suggerendo che essi sono più a rischio di danno vascolare dopo un pasto ricco di grassi, il cui effetto cumulativo potrebbe contribuire a una maggior progressione aterosclerotica </w:t>
      </w:r>
      <w:r w:rsidRPr="0046528D">
        <w:rPr>
          <w:vertAlign w:val="superscript"/>
        </w:rPr>
        <w:endnoteReference w:id="236"/>
      </w:r>
      <w:r w:rsidR="001151C6" w:rsidRPr="0046528D">
        <w:t>. Ev</w:t>
      </w:r>
      <w:r w:rsidR="001151C6" w:rsidRPr="0046528D">
        <w:t>i</w:t>
      </w:r>
      <w:r w:rsidR="001151C6" w:rsidRPr="0046528D">
        <w:t xml:space="preserve">denze dimostrano, </w:t>
      </w:r>
      <w:r w:rsidRPr="0046528D">
        <w:t>in pazienti adolescenti asintomatici</w:t>
      </w:r>
      <w:r w:rsidR="001151C6" w:rsidRPr="0046528D">
        <w:t>,</w:t>
      </w:r>
      <w:r w:rsidRPr="0046528D">
        <w:t xml:space="preserve"> un coinvolgimento preclinico della funzionalità e della struttura delle grandi arterie associata a una riduzione della capacità </w:t>
      </w:r>
      <w:r w:rsidR="001151C6" w:rsidRPr="0046528D">
        <w:t xml:space="preserve">endoteliale di </w:t>
      </w:r>
      <w:r w:rsidRPr="0046528D">
        <w:t>rigenera</w:t>
      </w:r>
      <w:r w:rsidR="001151C6" w:rsidRPr="0046528D">
        <w:t>rsi</w:t>
      </w:r>
      <w:r w:rsidRPr="0046528D">
        <w:rPr>
          <w:vertAlign w:val="superscript"/>
        </w:rPr>
        <w:endnoteReference w:id="237"/>
      </w:r>
      <w:r w:rsidRPr="0046528D">
        <w:t>.</w:t>
      </w:r>
    </w:p>
    <w:p w14:paraId="1FB71406" w14:textId="77777777" w:rsidR="00193A7D" w:rsidRPr="0046528D" w:rsidRDefault="00193A7D" w:rsidP="0046528D">
      <w:pPr>
        <w:spacing w:line="360" w:lineRule="auto"/>
        <w:jc w:val="both"/>
      </w:pPr>
    </w:p>
    <w:p w14:paraId="4D87DDBB" w14:textId="6DE688BF" w:rsidR="00193A7D" w:rsidRPr="0046528D" w:rsidRDefault="00E76FED" w:rsidP="0046528D">
      <w:pPr>
        <w:spacing w:line="360" w:lineRule="auto"/>
        <w:jc w:val="both"/>
        <w:rPr>
          <w:b/>
          <w:bCs/>
        </w:rPr>
      </w:pPr>
      <w:r w:rsidRPr="0046528D">
        <w:rPr>
          <w:b/>
          <w:bCs/>
        </w:rPr>
        <w:t>3</w:t>
      </w:r>
      <w:r w:rsidR="00193A7D" w:rsidRPr="0046528D">
        <w:rPr>
          <w:b/>
          <w:bCs/>
        </w:rPr>
        <w:t>.</w:t>
      </w:r>
      <w:r w:rsidR="009C2B28" w:rsidRPr="0046528D">
        <w:rPr>
          <w:b/>
          <w:bCs/>
        </w:rPr>
        <w:t>3</w:t>
      </w:r>
      <w:r w:rsidR="00193A7D" w:rsidRPr="0046528D">
        <w:rPr>
          <w:b/>
          <w:bCs/>
        </w:rPr>
        <w:t>.2 ENDOPAT e Diabete di tipo 2</w:t>
      </w:r>
    </w:p>
    <w:p w14:paraId="70522792" w14:textId="77777777" w:rsidR="001151C6" w:rsidRPr="0046528D" w:rsidRDefault="00193A7D" w:rsidP="0046528D">
      <w:pPr>
        <w:spacing w:line="360" w:lineRule="auto"/>
        <w:jc w:val="both"/>
      </w:pPr>
      <w:r w:rsidRPr="0046528D">
        <w:t>Esiste una stretta associazione fra diabete mellito di t</w:t>
      </w:r>
      <w:r w:rsidR="001151C6" w:rsidRPr="0046528D">
        <w:t>ipo 2 e disfunzione endoteliale; inoltre la valutazione dell’RHI si è rivelata essere un ottimo marcatore di rischio ca</w:t>
      </w:r>
      <w:r w:rsidR="001151C6" w:rsidRPr="0046528D">
        <w:t>r</w:t>
      </w:r>
      <w:r w:rsidR="001151C6" w:rsidRPr="0046528D">
        <w:t xml:space="preserve">diovascolare anche in soggetti obesi prediabetici. </w:t>
      </w:r>
      <w:r w:rsidR="001151C6" w:rsidRPr="0046528D">
        <w:rPr>
          <w:vertAlign w:val="superscript"/>
        </w:rPr>
        <w:endnoteReference w:id="238"/>
      </w:r>
    </w:p>
    <w:p w14:paraId="1AC507AC" w14:textId="77777777" w:rsidR="00193A7D" w:rsidRPr="0046528D" w:rsidRDefault="001151C6" w:rsidP="0046528D">
      <w:pPr>
        <w:spacing w:line="360" w:lineRule="auto"/>
        <w:jc w:val="both"/>
      </w:pPr>
      <w:r w:rsidRPr="0046528D">
        <w:t>I</w:t>
      </w:r>
      <w:r w:rsidR="00193A7D" w:rsidRPr="0046528D">
        <w:t xml:space="preserve"> pazienti diabetici sia con malattia coronarica che senza mostrano una compromi</w:t>
      </w:r>
      <w:r w:rsidR="00193A7D" w:rsidRPr="0046528D">
        <w:t>s</w:t>
      </w:r>
      <w:r w:rsidR="00193A7D" w:rsidRPr="0046528D">
        <w:t>sione della funzionalità vascolare periferica rispetto ai pazienti non diabeti senza m</w:t>
      </w:r>
      <w:r w:rsidR="00193A7D" w:rsidRPr="0046528D">
        <w:t>a</w:t>
      </w:r>
      <w:r w:rsidR="00193A7D" w:rsidRPr="0046528D">
        <w:t xml:space="preserve">lattia coronarica,  inoltre i valori di RHI misurati nei pazienti diabetici senza malattia coronarica risulterebbero essere comparabili con quelli dei pazienti non diabetici ma con malattia coronarica. </w:t>
      </w:r>
      <w:r w:rsidR="00193A7D" w:rsidRPr="0046528D">
        <w:rPr>
          <w:vertAlign w:val="superscript"/>
        </w:rPr>
        <w:endnoteReference w:id="239"/>
      </w:r>
      <w:r w:rsidR="00193A7D" w:rsidRPr="0046528D">
        <w:t xml:space="preserve">  Nuove evidenze avvalorano l’ipotesi che la disfunzione mitocondriale svolga un ruolo fondamentale nell’originare e nel mantenere un alter</w:t>
      </w:r>
      <w:r w:rsidR="00193A7D" w:rsidRPr="0046528D">
        <w:t>a</w:t>
      </w:r>
      <w:r w:rsidR="00193A7D" w:rsidRPr="0046528D">
        <w:t>zione della funzionalità dell’endotelio in questi pazienti.</w:t>
      </w:r>
      <w:r w:rsidR="00193A7D" w:rsidRPr="0046528D">
        <w:rPr>
          <w:vertAlign w:val="superscript"/>
        </w:rPr>
        <w:endnoteReference w:id="240"/>
      </w:r>
    </w:p>
    <w:p w14:paraId="13C4203D" w14:textId="77777777" w:rsidR="00193A7D" w:rsidRPr="0046528D" w:rsidRDefault="00193A7D" w:rsidP="0046528D">
      <w:pPr>
        <w:spacing w:line="360" w:lineRule="auto"/>
        <w:jc w:val="both"/>
      </w:pPr>
      <w:r w:rsidRPr="0046528D">
        <w:t xml:space="preserve">Il diabete mellito di tipo 2 determina una riduzione notevole dell’RHI che risulta molto più ridotto rispetto ad altri soggetti che hanno pari fattori di rischio ma che non sono diabetici, e ciò si correla in maniera proporzionale all’aumento dei livelli sierici dell’emoglobina glicata </w:t>
      </w:r>
      <w:r w:rsidRPr="0046528D">
        <w:rPr>
          <w:vertAlign w:val="superscript"/>
        </w:rPr>
        <w:endnoteReference w:id="241"/>
      </w:r>
      <w:r w:rsidRPr="0046528D">
        <w:t xml:space="preserve">, inoltre anche le fluttuazioni dei valori glicemici svolge un ruolo importante nel determinare un peggioramento della funzionalità endoteliale </w:t>
      </w:r>
      <w:r w:rsidRPr="0046528D">
        <w:rPr>
          <w:vertAlign w:val="superscript"/>
        </w:rPr>
        <w:endnoteReference w:id="242"/>
      </w:r>
      <w:r w:rsidRPr="0046528D">
        <w:t xml:space="preserve"> Altro fattore che influisce fortemente nello sviluppo e nella progressione del da</w:t>
      </w:r>
      <w:r w:rsidRPr="0046528D">
        <w:t>n</w:t>
      </w:r>
      <w:r w:rsidRPr="0046528D">
        <w:t>no endoteliale è rappresentato dall’obesità, che si manifesta sempre più precoceme</w:t>
      </w:r>
      <w:r w:rsidRPr="0046528D">
        <w:t>n</w:t>
      </w:r>
      <w:r w:rsidRPr="0046528D">
        <w:t xml:space="preserve">te nella popolazione </w:t>
      </w:r>
      <w:r w:rsidRPr="0046528D">
        <w:rPr>
          <w:vertAlign w:val="superscript"/>
        </w:rPr>
        <w:endnoteReference w:id="243"/>
      </w:r>
      <w:r w:rsidRPr="0046528D">
        <w:t>. Il diabete di tipo II ha un ruolo preponderante nello sviluppo del danno attraverso meccanismi già noti, ciò si evince anche dal fatto che studi d</w:t>
      </w:r>
      <w:r w:rsidRPr="0046528D">
        <w:t>i</w:t>
      </w:r>
      <w:r w:rsidRPr="0046528D">
        <w:t>mostrano che il grado di disfunzione endoteliale nei soggetti con sindrome metabol</w:t>
      </w:r>
      <w:r w:rsidRPr="0046528D">
        <w:t>i</w:t>
      </w:r>
      <w:r w:rsidRPr="0046528D">
        <w:t>ca sia nettamente maggiore rispetto ad individui che hanno più fattori di rischio ca</w:t>
      </w:r>
      <w:r w:rsidRPr="0046528D">
        <w:t>r</w:t>
      </w:r>
      <w:r w:rsidRPr="0046528D">
        <w:t xml:space="preserve">diovascolare </w:t>
      </w:r>
      <w:r w:rsidRPr="0046528D">
        <w:rPr>
          <w:vertAlign w:val="superscript"/>
        </w:rPr>
        <w:endnoteReference w:id="244"/>
      </w:r>
      <w:r w:rsidRPr="0046528D">
        <w:t>.</w:t>
      </w:r>
    </w:p>
    <w:p w14:paraId="661573F6" w14:textId="77777777" w:rsidR="00193A7D" w:rsidRPr="0046528D" w:rsidRDefault="00193A7D" w:rsidP="0046528D">
      <w:pPr>
        <w:spacing w:line="360" w:lineRule="auto"/>
        <w:jc w:val="both"/>
      </w:pPr>
      <w:r w:rsidRPr="0046528D">
        <w:t>I trattamenti dietetici a base di cioccolato ricco in polifenoli e soprattutto riso con amidi resistenti sarebbero in grado di determinare un miglioramento della funzional</w:t>
      </w:r>
      <w:r w:rsidRPr="0046528D">
        <w:t>i</w:t>
      </w:r>
      <w:r w:rsidRPr="0046528D">
        <w:lastRenderedPageBreak/>
        <w:t>tà endoteliale, riducendo lo stress ossidativo e</w:t>
      </w:r>
      <w:r w:rsidR="001151C6" w:rsidRPr="0046528D">
        <w:t xml:space="preserve"> migliorando le glicemie post-</w:t>
      </w:r>
      <w:r w:rsidRPr="0046528D">
        <w:t xml:space="preserve">prandiali </w:t>
      </w:r>
      <w:r w:rsidRPr="0046528D">
        <w:rPr>
          <w:vertAlign w:val="superscript"/>
        </w:rPr>
        <w:endnoteReference w:id="245"/>
      </w:r>
      <w:r w:rsidR="00F71561" w:rsidRPr="0046528D">
        <w:t xml:space="preserve"> </w:t>
      </w:r>
      <w:r w:rsidRPr="0046528D">
        <w:rPr>
          <w:vertAlign w:val="superscript"/>
        </w:rPr>
        <w:endnoteReference w:id="246"/>
      </w:r>
      <w:r w:rsidRPr="0046528D">
        <w:t>.</w:t>
      </w:r>
    </w:p>
    <w:p w14:paraId="600EA039" w14:textId="77777777" w:rsidR="00193A7D" w:rsidRPr="0046528D" w:rsidRDefault="00193A7D" w:rsidP="0046528D">
      <w:pPr>
        <w:spacing w:line="360" w:lineRule="auto"/>
        <w:jc w:val="both"/>
        <w:rPr>
          <w:b/>
          <w:bCs/>
        </w:rPr>
      </w:pPr>
    </w:p>
    <w:p w14:paraId="2C258E37" w14:textId="16B0325F" w:rsidR="00193A7D" w:rsidRPr="0046528D" w:rsidRDefault="00E76FED" w:rsidP="0046528D">
      <w:pPr>
        <w:spacing w:line="360" w:lineRule="auto"/>
        <w:jc w:val="both"/>
        <w:rPr>
          <w:b/>
          <w:bCs/>
        </w:rPr>
      </w:pPr>
      <w:r w:rsidRPr="0046528D">
        <w:rPr>
          <w:b/>
          <w:bCs/>
        </w:rPr>
        <w:t>3</w:t>
      </w:r>
      <w:r w:rsidR="00193A7D" w:rsidRPr="0046528D">
        <w:rPr>
          <w:b/>
          <w:bCs/>
        </w:rPr>
        <w:t>.</w:t>
      </w:r>
      <w:r w:rsidR="009C2B28" w:rsidRPr="0046528D">
        <w:rPr>
          <w:b/>
          <w:bCs/>
        </w:rPr>
        <w:t>3</w:t>
      </w:r>
      <w:r w:rsidR="00193A7D" w:rsidRPr="0046528D">
        <w:rPr>
          <w:b/>
          <w:bCs/>
        </w:rPr>
        <w:t>.3 ENDOPAT ed Aterosclerosi Coronarica</w:t>
      </w:r>
    </w:p>
    <w:p w14:paraId="37CD8FD9" w14:textId="77777777" w:rsidR="00193A7D" w:rsidRPr="0046528D" w:rsidRDefault="001151C6" w:rsidP="0046528D">
      <w:pPr>
        <w:spacing w:line="360" w:lineRule="auto"/>
        <w:jc w:val="both"/>
      </w:pPr>
      <w:r w:rsidRPr="0046528D">
        <w:t>L’E</w:t>
      </w:r>
      <w:r w:rsidR="00193A7D" w:rsidRPr="0046528D">
        <w:t xml:space="preserve">ndopat costituisce uno strumento non invasivo molto affidabile per l’identificazione dei pazienti che hanno precoce aterosclerosi coronarica </w:t>
      </w:r>
      <w:r w:rsidR="00193A7D" w:rsidRPr="0046528D">
        <w:rPr>
          <w:vertAlign w:val="superscript"/>
        </w:rPr>
        <w:endnoteReference w:id="247"/>
      </w:r>
      <w:r w:rsidR="00193A7D" w:rsidRPr="0046528D">
        <w:t xml:space="preserve">.  </w:t>
      </w:r>
    </w:p>
    <w:p w14:paraId="641456B0" w14:textId="77777777" w:rsidR="00193A7D" w:rsidRPr="0046528D" w:rsidRDefault="00193A7D" w:rsidP="0046528D">
      <w:pPr>
        <w:spacing w:line="360" w:lineRule="auto"/>
        <w:jc w:val="both"/>
      </w:pPr>
      <w:r w:rsidRPr="0046528D">
        <w:t>La prevalenza di disfunzione endoteliale nei pazienti che riferiscono dolore toracico è legata principalmente alla presenza di malattia coronarica e di fattori di rischio ca</w:t>
      </w:r>
      <w:r w:rsidRPr="0046528D">
        <w:t>r</w:t>
      </w:r>
      <w:r w:rsidRPr="0046528D">
        <w:t>diovascolare, anche coloro che non hanno aterosclerosi coronarica ma che</w:t>
      </w:r>
      <w:r w:rsidR="001151C6" w:rsidRPr="0046528D">
        <w:t xml:space="preserve"> presentano più di</w:t>
      </w:r>
      <w:r w:rsidRPr="0046528D">
        <w:t xml:space="preserve"> 3 fattori di rischio cardiovascolare presentano disfunzione e potrebbero andare incontro eventi acuti </w:t>
      </w:r>
      <w:r w:rsidRPr="0046528D">
        <w:rPr>
          <w:vertAlign w:val="superscript"/>
        </w:rPr>
        <w:endnoteReference w:id="248"/>
      </w:r>
      <w:r w:rsidRPr="0046528D">
        <w:t>.</w:t>
      </w:r>
    </w:p>
    <w:p w14:paraId="7B4E9C7D" w14:textId="77777777" w:rsidR="00193A7D" w:rsidRPr="0046528D" w:rsidRDefault="00193A7D" w:rsidP="0046528D">
      <w:pPr>
        <w:spacing w:line="360" w:lineRule="auto"/>
        <w:jc w:val="both"/>
      </w:pPr>
      <w:r w:rsidRPr="0046528D">
        <w:t>Uno studio condotto su una popolazione di donne ha dimostrato che la valutazione di questo parametro è in grado di predire efficacemente e di identificare le donne che hanno un rischio maggiore di cardiopatia ischemica, infatti l’Endopat può individu</w:t>
      </w:r>
      <w:r w:rsidRPr="0046528D">
        <w:t>a</w:t>
      </w:r>
      <w:r w:rsidRPr="0046528D">
        <w:t>re in modo significativo i pazienti effetti da cardiopatia ischemica dimostrata attr</w:t>
      </w:r>
      <w:r w:rsidRPr="0046528D">
        <w:t>a</w:t>
      </w:r>
      <w:r w:rsidRPr="0046528D">
        <w:t xml:space="preserve">verso l’angiografia coronarica, ma anche coloro che presentano malattia coronarica sia ostruttiva che non </w:t>
      </w:r>
      <w:r w:rsidR="001151C6" w:rsidRPr="0046528D">
        <w:t>ostruttiva</w:t>
      </w:r>
      <w:r w:rsidRPr="0046528D">
        <w:rPr>
          <w:vertAlign w:val="superscript"/>
        </w:rPr>
        <w:endnoteReference w:id="249"/>
      </w:r>
      <w:r w:rsidRPr="0046528D">
        <w:t>.</w:t>
      </w:r>
    </w:p>
    <w:p w14:paraId="11D65F99" w14:textId="77777777" w:rsidR="00193A7D" w:rsidRPr="0046528D" w:rsidRDefault="00193A7D" w:rsidP="0046528D">
      <w:pPr>
        <w:spacing w:line="360" w:lineRule="auto"/>
        <w:jc w:val="both"/>
      </w:pPr>
      <w:r w:rsidRPr="0046528D">
        <w:t>Nuove evidenze indicano un’associazione importante fra aterosclerosi precoce e alti livelli sierici di T caderina, un’importante proteina espressa sulla superficie delle ce</w:t>
      </w:r>
      <w:r w:rsidRPr="0046528D">
        <w:t>l</w:t>
      </w:r>
      <w:r w:rsidRPr="0046528D">
        <w:t xml:space="preserve">lule endoteliali, ciò è stato dimostrato attraverso l’endopat, infatti l’RHI </w:t>
      </w:r>
      <w:r w:rsidR="001151C6" w:rsidRPr="0046528D">
        <w:t>in questi p</w:t>
      </w:r>
      <w:r w:rsidR="001151C6" w:rsidRPr="0046528D">
        <w:t>a</w:t>
      </w:r>
      <w:r w:rsidR="001151C6" w:rsidRPr="0046528D">
        <w:t xml:space="preserve">zienti </w:t>
      </w:r>
      <w:r w:rsidRPr="0046528D">
        <w:t>è risultato più basso</w:t>
      </w:r>
      <w:r w:rsidRPr="0046528D">
        <w:rPr>
          <w:vertAlign w:val="superscript"/>
        </w:rPr>
        <w:endnoteReference w:id="250"/>
      </w:r>
      <w:r w:rsidRPr="0046528D">
        <w:t>.</w:t>
      </w:r>
    </w:p>
    <w:p w14:paraId="681E318B" w14:textId="77777777" w:rsidR="00193A7D" w:rsidRPr="0046528D" w:rsidRDefault="00193A7D" w:rsidP="0046528D">
      <w:pPr>
        <w:spacing w:line="360" w:lineRule="auto"/>
        <w:jc w:val="both"/>
        <w:rPr>
          <w:b/>
          <w:bCs/>
        </w:rPr>
      </w:pPr>
    </w:p>
    <w:p w14:paraId="695F8DD7" w14:textId="26B3F0B7" w:rsidR="00193A7D" w:rsidRPr="0046528D" w:rsidRDefault="00E76FED" w:rsidP="0046528D">
      <w:pPr>
        <w:spacing w:line="360" w:lineRule="auto"/>
        <w:jc w:val="both"/>
        <w:rPr>
          <w:b/>
          <w:bCs/>
        </w:rPr>
      </w:pPr>
      <w:r w:rsidRPr="0046528D">
        <w:rPr>
          <w:b/>
          <w:bCs/>
        </w:rPr>
        <w:t>3</w:t>
      </w:r>
      <w:r w:rsidR="00193A7D" w:rsidRPr="0046528D">
        <w:rPr>
          <w:b/>
          <w:bCs/>
        </w:rPr>
        <w:t>.</w:t>
      </w:r>
      <w:r w:rsidR="009C2B28" w:rsidRPr="0046528D">
        <w:rPr>
          <w:b/>
          <w:bCs/>
        </w:rPr>
        <w:t>3</w:t>
      </w:r>
      <w:r w:rsidR="00193A7D" w:rsidRPr="0046528D">
        <w:rPr>
          <w:b/>
          <w:bCs/>
        </w:rPr>
        <w:t>.4 ENDOPAT e Ipertensione</w:t>
      </w:r>
    </w:p>
    <w:p w14:paraId="11D163F9" w14:textId="77777777" w:rsidR="00193A7D" w:rsidRPr="0046528D" w:rsidRDefault="00193A7D" w:rsidP="0046528D">
      <w:pPr>
        <w:spacing w:line="360" w:lineRule="auto"/>
        <w:jc w:val="both"/>
      </w:pPr>
      <w:r w:rsidRPr="0046528D">
        <w:t xml:space="preserve">L’ipertensione </w:t>
      </w:r>
      <w:r w:rsidR="004307F5" w:rsidRPr="0046528D">
        <w:t>rappresenta</w:t>
      </w:r>
      <w:r w:rsidRPr="0046528D">
        <w:t xml:space="preserve"> uno dei principali fat</w:t>
      </w:r>
      <w:r w:rsidR="004307F5" w:rsidRPr="0046528D">
        <w:t>tori di rischio cardiovascolari;</w:t>
      </w:r>
      <w:r w:rsidRPr="0046528D">
        <w:t xml:space="preserve"> essa influisce in maniera marcatamente negativa sulla funzione dell’endotelio de</w:t>
      </w:r>
      <w:r w:rsidR="004307F5" w:rsidRPr="0046528D">
        <w:t>term</w:t>
      </w:r>
      <w:r w:rsidR="004307F5" w:rsidRPr="0046528D">
        <w:t>i</w:t>
      </w:r>
      <w:r w:rsidR="004307F5" w:rsidRPr="0046528D">
        <w:t>nando una danno importante</w:t>
      </w:r>
      <w:r w:rsidRPr="0046528D">
        <w:t>.</w:t>
      </w:r>
    </w:p>
    <w:p w14:paraId="28F50C65" w14:textId="77777777" w:rsidR="00193A7D" w:rsidRPr="0046528D" w:rsidRDefault="00193A7D" w:rsidP="0046528D">
      <w:pPr>
        <w:spacing w:line="360" w:lineRule="auto"/>
        <w:jc w:val="both"/>
      </w:pPr>
      <w:r w:rsidRPr="0046528D">
        <w:t xml:space="preserve">Nei soggetti ipertesi gli studi sono stati discordanti, infatti si è notato che in questi pazienti non c’è un relazione fra l’RHI e l’Augmentation index </w:t>
      </w:r>
      <w:r w:rsidRPr="0046528D">
        <w:rPr>
          <w:vertAlign w:val="superscript"/>
        </w:rPr>
        <w:endnoteReference w:id="251"/>
      </w:r>
      <w:r w:rsidRPr="0046528D">
        <w:t>.</w:t>
      </w:r>
    </w:p>
    <w:p w14:paraId="5BE9365D" w14:textId="77777777" w:rsidR="00193A7D" w:rsidRPr="0046528D" w:rsidRDefault="00193A7D" w:rsidP="0046528D">
      <w:pPr>
        <w:spacing w:line="360" w:lineRule="auto"/>
        <w:jc w:val="both"/>
      </w:pPr>
      <w:r w:rsidRPr="0046528D">
        <w:t xml:space="preserve">L’assunzione giornaliera di circa 75 g di cioccolato fondente per una settimana ha mostrato un miglioramento significativo della funzione endoteliale, soprattutto nei pazienti più giovani e un miglioramento anche dei valori pressori con riduzione dei fattori di rischio </w:t>
      </w:r>
      <w:r w:rsidRPr="0046528D">
        <w:rPr>
          <w:vertAlign w:val="superscript"/>
        </w:rPr>
        <w:endnoteReference w:id="252"/>
      </w:r>
      <w:r w:rsidRPr="0046528D">
        <w:t>.</w:t>
      </w:r>
    </w:p>
    <w:p w14:paraId="1CD7660E" w14:textId="77777777" w:rsidR="00193A7D" w:rsidRPr="0046528D" w:rsidRDefault="00193A7D" w:rsidP="0046528D">
      <w:pPr>
        <w:spacing w:line="360" w:lineRule="auto"/>
        <w:jc w:val="both"/>
        <w:rPr>
          <w:b/>
          <w:bCs/>
        </w:rPr>
      </w:pPr>
    </w:p>
    <w:p w14:paraId="0DDFAD67" w14:textId="77777777" w:rsidR="007D14DC" w:rsidRDefault="007D14DC" w:rsidP="0046528D">
      <w:pPr>
        <w:spacing w:line="360" w:lineRule="auto"/>
        <w:jc w:val="both"/>
        <w:rPr>
          <w:b/>
          <w:bCs/>
        </w:rPr>
      </w:pPr>
    </w:p>
    <w:p w14:paraId="0E72D984" w14:textId="396320D7" w:rsidR="00193A7D" w:rsidRPr="0046528D" w:rsidRDefault="00E76FED" w:rsidP="0046528D">
      <w:pPr>
        <w:spacing w:line="360" w:lineRule="auto"/>
        <w:jc w:val="both"/>
        <w:rPr>
          <w:b/>
          <w:bCs/>
        </w:rPr>
      </w:pPr>
      <w:r w:rsidRPr="0046528D">
        <w:rPr>
          <w:b/>
          <w:bCs/>
        </w:rPr>
        <w:lastRenderedPageBreak/>
        <w:t>3</w:t>
      </w:r>
      <w:r w:rsidR="00BC60CB" w:rsidRPr="0046528D">
        <w:rPr>
          <w:b/>
          <w:bCs/>
        </w:rPr>
        <w:t>.</w:t>
      </w:r>
      <w:r w:rsidR="009C2B28" w:rsidRPr="0046528D">
        <w:rPr>
          <w:b/>
          <w:bCs/>
        </w:rPr>
        <w:t>3</w:t>
      </w:r>
      <w:r w:rsidR="00BC60CB" w:rsidRPr="0046528D">
        <w:rPr>
          <w:b/>
          <w:bCs/>
        </w:rPr>
        <w:t>.5 ENDOPAT e Fumo</w:t>
      </w:r>
    </w:p>
    <w:p w14:paraId="670F59CB" w14:textId="77777777" w:rsidR="00193A7D" w:rsidRPr="0046528D" w:rsidRDefault="00193A7D" w:rsidP="0046528D">
      <w:pPr>
        <w:spacing w:line="360" w:lineRule="auto"/>
        <w:jc w:val="both"/>
      </w:pPr>
      <w:r w:rsidRPr="0046528D">
        <w:t>Il fumo determina in acuto un danno endoteliale che può peggiorare se il soggetto continua a fumare infatti questo provoca un peggioramento della funzione endoteli</w:t>
      </w:r>
      <w:r w:rsidRPr="0046528D">
        <w:t>a</w:t>
      </w:r>
      <w:r w:rsidRPr="0046528D">
        <w:t>le, della rigidità arteriosa e un alterazione del sistema fibrinolitico favorendo eventi trombotici.</w:t>
      </w:r>
      <w:r w:rsidRPr="0046528D">
        <w:rPr>
          <w:vertAlign w:val="superscript"/>
        </w:rPr>
        <w:endnoteReference w:id="253"/>
      </w:r>
    </w:p>
    <w:p w14:paraId="52F4AD77" w14:textId="77777777" w:rsidR="00193A7D" w:rsidRPr="0046528D" w:rsidRDefault="00193A7D" w:rsidP="0046528D">
      <w:pPr>
        <w:spacing w:line="360" w:lineRule="auto"/>
        <w:jc w:val="both"/>
      </w:pPr>
      <w:r w:rsidRPr="0046528D">
        <w:t xml:space="preserve">Anche il fumo passivo causa un danno endoteliale, che però non determina variazioni infiammatorie a causa della maggiore reversibilità dell’insulto </w:t>
      </w:r>
      <w:r w:rsidRPr="0046528D">
        <w:rPr>
          <w:vertAlign w:val="superscript"/>
        </w:rPr>
        <w:endnoteReference w:id="254"/>
      </w:r>
      <w:r w:rsidRPr="0046528D">
        <w:t>.</w:t>
      </w:r>
    </w:p>
    <w:p w14:paraId="0FAF9D94" w14:textId="77777777" w:rsidR="00193A7D" w:rsidRPr="0046528D" w:rsidRDefault="00193A7D" w:rsidP="0046528D">
      <w:pPr>
        <w:spacing w:line="360" w:lineRule="auto"/>
        <w:jc w:val="both"/>
      </w:pPr>
    </w:p>
    <w:p w14:paraId="49287B79" w14:textId="77777777" w:rsidR="009C2B28" w:rsidRPr="0046528D" w:rsidRDefault="009C2B28" w:rsidP="0046528D">
      <w:pPr>
        <w:spacing w:line="360" w:lineRule="auto"/>
        <w:jc w:val="both"/>
      </w:pPr>
    </w:p>
    <w:p w14:paraId="2188E94A" w14:textId="77777777" w:rsidR="00A9404A" w:rsidRPr="007A0B1D" w:rsidRDefault="00A9404A" w:rsidP="00A9404A">
      <w:pPr>
        <w:spacing w:line="360" w:lineRule="auto"/>
        <w:jc w:val="both"/>
        <w:rPr>
          <w:b/>
        </w:rPr>
      </w:pPr>
      <w:r w:rsidRPr="007A0B1D">
        <w:rPr>
          <w:b/>
        </w:rPr>
        <w:t>Capitolo 4: Markers di rischio cardiovascolare</w:t>
      </w:r>
    </w:p>
    <w:p w14:paraId="1C6A926D" w14:textId="77777777" w:rsidR="00A9404A" w:rsidRPr="007A0B1D" w:rsidRDefault="00A9404A" w:rsidP="00A9404A">
      <w:pPr>
        <w:spacing w:line="360" w:lineRule="auto"/>
        <w:jc w:val="both"/>
        <w:rPr>
          <w:b/>
        </w:rPr>
      </w:pPr>
    </w:p>
    <w:p w14:paraId="3F803192" w14:textId="77777777" w:rsidR="00A9404A" w:rsidRPr="007A0B1D" w:rsidRDefault="00A9404A" w:rsidP="00A9404A">
      <w:pPr>
        <w:spacing w:line="360" w:lineRule="auto"/>
        <w:jc w:val="both"/>
        <w:rPr>
          <w:b/>
        </w:rPr>
      </w:pPr>
      <w:r w:rsidRPr="007A0B1D">
        <w:rPr>
          <w:b/>
        </w:rPr>
        <w:t>4.1 Introduzione</w:t>
      </w:r>
    </w:p>
    <w:p w14:paraId="33FA7CF1" w14:textId="77777777" w:rsidR="00A9404A" w:rsidRPr="007A0B1D" w:rsidRDefault="00A9404A" w:rsidP="00A9404A">
      <w:pPr>
        <w:spacing w:line="360" w:lineRule="auto"/>
        <w:jc w:val="both"/>
      </w:pPr>
      <w:r w:rsidRPr="007A0B1D">
        <w:t>Il tessuto adiposo è un organo endocrino ad intensa attività che secerne una moltit</w:t>
      </w:r>
      <w:r w:rsidRPr="007A0B1D">
        <w:t>u</w:t>
      </w:r>
      <w:r w:rsidRPr="007A0B1D">
        <w:t>dine di molecole bioattive chiamate adipochine</w:t>
      </w:r>
      <w:r w:rsidRPr="007A0B1D">
        <w:rPr>
          <w:vertAlign w:val="superscript"/>
        </w:rPr>
        <w:endnoteReference w:id="255"/>
      </w:r>
      <w:r w:rsidRPr="007A0B1D">
        <w:t xml:space="preserve"> </w:t>
      </w:r>
      <w:r w:rsidRPr="007A0B1D">
        <w:rPr>
          <w:vertAlign w:val="superscript"/>
        </w:rPr>
        <w:endnoteReference w:id="256"/>
      </w:r>
      <w:r w:rsidRPr="007A0B1D">
        <w:t xml:space="preserve"> </w:t>
      </w:r>
      <w:r w:rsidRPr="007A0B1D">
        <w:rPr>
          <w:vertAlign w:val="superscript"/>
        </w:rPr>
        <w:endnoteReference w:id="257"/>
      </w:r>
      <w:r w:rsidRPr="007A0B1D">
        <w:t>, tra queste risultano l’adiponectina, la leptina, la resistina, la vaspina e l’omentina e la gremlina-1.</w:t>
      </w:r>
    </w:p>
    <w:p w14:paraId="2B97E74B" w14:textId="77777777" w:rsidR="00A9404A" w:rsidRPr="007A0B1D" w:rsidRDefault="00A9404A" w:rsidP="00A9404A">
      <w:pPr>
        <w:spacing w:line="360" w:lineRule="auto"/>
        <w:jc w:val="both"/>
      </w:pPr>
      <w:r w:rsidRPr="007A0B1D">
        <w:t>Le adipochine influenzano la funzione adipocitica in modo autocrino e paracrino; inoltre intervengono in vari processi metabolici inclusi la regolazione del controllo dell’appetito, l’insulino-sensibilità e la secrezione insulinica, la spesa energetica, la funzione cardiovascolare e l’infiammazione</w:t>
      </w:r>
      <w:r w:rsidRPr="007A0B1D">
        <w:rPr>
          <w:vertAlign w:val="superscript"/>
        </w:rPr>
        <w:t>232 233</w:t>
      </w:r>
      <w:r w:rsidRPr="007A0B1D">
        <w:t xml:space="preserve"> </w:t>
      </w:r>
      <w:r w:rsidRPr="007A0B1D">
        <w:rPr>
          <w:vertAlign w:val="superscript"/>
        </w:rPr>
        <w:endnoteReference w:id="258"/>
      </w:r>
      <w:r w:rsidRPr="007A0B1D">
        <w:t xml:space="preserve"> </w:t>
      </w:r>
      <w:r w:rsidRPr="007A0B1D">
        <w:rPr>
          <w:vertAlign w:val="superscript"/>
        </w:rPr>
        <w:endnoteReference w:id="259"/>
      </w:r>
      <w:r w:rsidRPr="007A0B1D">
        <w:t xml:space="preserve"> </w:t>
      </w:r>
      <w:r w:rsidRPr="007A0B1D">
        <w:rPr>
          <w:vertAlign w:val="superscript"/>
        </w:rPr>
        <w:endnoteReference w:id="260"/>
      </w:r>
      <w:r w:rsidRPr="007A0B1D">
        <w:t>.</w:t>
      </w:r>
    </w:p>
    <w:p w14:paraId="7D90F57E" w14:textId="77777777" w:rsidR="00A9404A" w:rsidRPr="007A0B1D" w:rsidRDefault="00A9404A" w:rsidP="00A9404A">
      <w:pPr>
        <w:spacing w:line="360" w:lineRule="auto"/>
        <w:jc w:val="both"/>
      </w:pPr>
      <w:r w:rsidRPr="007A0B1D">
        <w:t>L’adiponectina ha importanti proprietà anti-diabetiche, anti-aterogene, e antinfia</w:t>
      </w:r>
      <w:r w:rsidRPr="007A0B1D">
        <w:t>m</w:t>
      </w:r>
      <w:r w:rsidRPr="007A0B1D">
        <w:t>matorie ed evidenze consolidate suggeriscono che l’adiponectina potrebbe avere pr</w:t>
      </w:r>
      <w:r w:rsidRPr="007A0B1D">
        <w:t>o</w:t>
      </w:r>
      <w:r w:rsidRPr="007A0B1D">
        <w:t>prietà anticancro ed essere cardioprotettiva</w:t>
      </w:r>
      <w:r w:rsidRPr="007A0B1D">
        <w:rPr>
          <w:vertAlign w:val="superscript"/>
        </w:rPr>
        <w:endnoteReference w:id="261"/>
      </w:r>
      <w:r w:rsidRPr="007A0B1D">
        <w:t xml:space="preserve">. Contrariamente ad altre adipochine, la concentrazione sierica di adiponectina è ridotta nell’obesità, nel diabete di tipo 2 e in altri stati di insulino-resistenza </w:t>
      </w:r>
      <w:r w:rsidRPr="007A0B1D">
        <w:rPr>
          <w:vertAlign w:val="superscript"/>
        </w:rPr>
        <w:t xml:space="preserve">237 </w:t>
      </w:r>
      <w:r w:rsidRPr="007A0B1D">
        <w:rPr>
          <w:vertAlign w:val="superscript"/>
        </w:rPr>
        <w:endnoteReference w:id="262"/>
      </w:r>
      <w:r w:rsidRPr="007A0B1D">
        <w:t>. Com’è noto, l’obesità è strettamente associata ad un cluster di patologie metaboliche come la dislipidemia, l’aterosclerosi, l’ipertensione, l’insulino-resistenza e il diabete mellito di tipo 2</w:t>
      </w:r>
      <w:r w:rsidRPr="007A0B1D">
        <w:rPr>
          <w:vertAlign w:val="superscript"/>
        </w:rPr>
        <w:endnoteReference w:id="263"/>
      </w:r>
      <w:r w:rsidRPr="007A0B1D">
        <w:t xml:space="preserve"> </w:t>
      </w:r>
      <w:r w:rsidRPr="007A0B1D">
        <w:rPr>
          <w:vertAlign w:val="superscript"/>
        </w:rPr>
        <w:endnoteReference w:id="264"/>
      </w:r>
      <w:r w:rsidRPr="007A0B1D">
        <w:t>. Il tessuto ad</w:t>
      </w:r>
      <w:r w:rsidRPr="007A0B1D">
        <w:t>i</w:t>
      </w:r>
      <w:r w:rsidRPr="007A0B1D">
        <w:t>poso è ben conosciuto per il suo ruolo essenziale di deposito energetico e per la s</w:t>
      </w:r>
      <w:r w:rsidRPr="007A0B1D">
        <w:t>e</w:t>
      </w:r>
      <w:r w:rsidRPr="007A0B1D">
        <w:t>crezione di adipochine che influenzano sedi diverse come l’encefalo, il fegato, i m</w:t>
      </w:r>
      <w:r w:rsidRPr="007A0B1D">
        <w:t>u</w:t>
      </w:r>
      <w:r w:rsidRPr="007A0B1D">
        <w:t xml:space="preserve">scoli, le cellule β, le gonadi, gli organi linfoidi e il circolo sistemico </w:t>
      </w:r>
      <w:r w:rsidRPr="007A0B1D">
        <w:rPr>
          <w:vertAlign w:val="superscript"/>
        </w:rPr>
        <w:endnoteReference w:id="265"/>
      </w:r>
      <w:r w:rsidRPr="007A0B1D">
        <w:t xml:space="preserve"> </w:t>
      </w:r>
      <w:r w:rsidRPr="007A0B1D">
        <w:rPr>
          <w:vertAlign w:val="superscript"/>
        </w:rPr>
        <w:endnoteReference w:id="266"/>
      </w:r>
      <w:r w:rsidRPr="007A0B1D">
        <w:t xml:space="preserve">. </w:t>
      </w:r>
    </w:p>
    <w:p w14:paraId="3D26ED64" w14:textId="77777777" w:rsidR="00A9404A" w:rsidRPr="007A0B1D" w:rsidRDefault="00A9404A" w:rsidP="00A9404A">
      <w:pPr>
        <w:spacing w:line="360" w:lineRule="auto"/>
        <w:jc w:val="both"/>
      </w:pPr>
      <w:r w:rsidRPr="007A0B1D">
        <w:t>L’analisi dell’espressione delle popolazioni cellulari macrofagica e non macrofagica isolate dal tessuto adiposo dimostra che i macrofagi del tessuto adiposo sono respo</w:t>
      </w:r>
      <w:r w:rsidRPr="007A0B1D">
        <w:t>n</w:t>
      </w:r>
      <w:r w:rsidRPr="007A0B1D">
        <w:t xml:space="preserve">sabili della sintesi della maggior parte delle citochine proinfiammatorie </w:t>
      </w:r>
      <w:r w:rsidRPr="007A0B1D">
        <w:rPr>
          <w:vertAlign w:val="superscript"/>
        </w:rPr>
        <w:endnoteReference w:id="267"/>
      </w:r>
      <w:r w:rsidRPr="007A0B1D">
        <w:t xml:space="preserve">. </w:t>
      </w:r>
    </w:p>
    <w:p w14:paraId="196DF0AB" w14:textId="77777777" w:rsidR="00A9404A" w:rsidRPr="007A0B1D" w:rsidRDefault="00A9404A" w:rsidP="00A9404A">
      <w:pPr>
        <w:spacing w:line="360" w:lineRule="auto"/>
        <w:jc w:val="both"/>
      </w:pPr>
      <w:r w:rsidRPr="007A0B1D">
        <w:lastRenderedPageBreak/>
        <w:t>L’obesità viscerale, rispetto a quella periferica, è associata ad un maggiore rischio di sviluppo di comorbilità correlate all’obesità, come dislipidemia, malattie cardiov</w:t>
      </w:r>
      <w:r w:rsidRPr="007A0B1D">
        <w:t>a</w:t>
      </w:r>
      <w:r w:rsidRPr="007A0B1D">
        <w:t>scolari, insulino-resistenza e diabete di tipo 2</w:t>
      </w:r>
      <w:r w:rsidRPr="007A0B1D">
        <w:rPr>
          <w:vertAlign w:val="superscript"/>
        </w:rPr>
        <w:endnoteReference w:id="268"/>
      </w:r>
      <w:r w:rsidRPr="007A0B1D">
        <w:t xml:space="preserve"> </w:t>
      </w:r>
      <w:r w:rsidRPr="007A0B1D">
        <w:rPr>
          <w:vertAlign w:val="superscript"/>
        </w:rPr>
        <w:endnoteReference w:id="269"/>
      </w:r>
      <w:r w:rsidRPr="007A0B1D">
        <w:t xml:space="preserve"> </w:t>
      </w:r>
      <w:r w:rsidRPr="007A0B1D">
        <w:rPr>
          <w:vertAlign w:val="superscript"/>
        </w:rPr>
        <w:endnoteReference w:id="270"/>
      </w:r>
      <w:r w:rsidRPr="007A0B1D">
        <w:t>.</w:t>
      </w:r>
    </w:p>
    <w:p w14:paraId="29B693B5" w14:textId="77777777" w:rsidR="00A9404A" w:rsidRPr="007A0B1D" w:rsidRDefault="00A9404A" w:rsidP="00A9404A">
      <w:pPr>
        <w:spacing w:line="360" w:lineRule="auto"/>
        <w:jc w:val="both"/>
      </w:pPr>
      <w:r w:rsidRPr="007A0B1D">
        <w:t>In diversi lavori del gruppo di ricerca della nostra scuola diretta dal Prof A. Tuttol</w:t>
      </w:r>
      <w:r w:rsidRPr="007A0B1D">
        <w:t>o</w:t>
      </w:r>
      <w:r w:rsidRPr="007A0B1D">
        <w:t>mondo et al</w:t>
      </w:r>
      <w:r w:rsidRPr="007A0B1D">
        <w:rPr>
          <w:rStyle w:val="Rimandonotadichiusura"/>
        </w:rPr>
        <w:endnoteReference w:id="271"/>
      </w:r>
      <w:r w:rsidRPr="007A0B1D">
        <w:t>, è gia stato valutato il ruolo dell’Omentina 1 come markers surrogato di rischio cardiovascolare nei pazienti diabetici con o senza complicanza di piede diabetico. I livelli di Omentina 1 sono risultati maggiormente ridotti nei pazienti con DFS rispetto ai pazienti diabetici e ai controlli sani, e sebbene non sia stata indiv</w:t>
      </w:r>
      <w:r w:rsidRPr="007A0B1D">
        <w:t>i</w:t>
      </w:r>
      <w:r w:rsidRPr="007A0B1D">
        <w:t xml:space="preserve">duata una correlazione diretta con altri markers di rischio cardiovascolare surrogato come WMH e disfunzione endoteliale o PWV, tale adipochina infiammatoria, può essere utilizzato come marcatore precoce di malattia. </w:t>
      </w:r>
    </w:p>
    <w:p w14:paraId="590BFE5D" w14:textId="77777777" w:rsidR="007D14DC" w:rsidRDefault="007D14DC" w:rsidP="00A9404A">
      <w:pPr>
        <w:spacing w:line="360" w:lineRule="auto"/>
        <w:jc w:val="both"/>
        <w:rPr>
          <w:b/>
          <w:bCs/>
        </w:rPr>
      </w:pPr>
    </w:p>
    <w:p w14:paraId="1E93C37F" w14:textId="3C2A2D99" w:rsidR="00A9404A" w:rsidRPr="007A0B1D" w:rsidRDefault="00A9404A" w:rsidP="00A9404A">
      <w:pPr>
        <w:spacing w:line="360" w:lineRule="auto"/>
        <w:jc w:val="both"/>
        <w:rPr>
          <w:b/>
          <w:bCs/>
        </w:rPr>
      </w:pPr>
      <w:r w:rsidRPr="007A0B1D">
        <w:rPr>
          <w:b/>
          <w:bCs/>
        </w:rPr>
        <w:t>4.2 Gremlina-1</w:t>
      </w:r>
    </w:p>
    <w:p w14:paraId="25BFB12F" w14:textId="77777777" w:rsidR="00A9404A" w:rsidRPr="007A0B1D" w:rsidRDefault="00A9404A" w:rsidP="00A9404A">
      <w:pPr>
        <w:spacing w:line="360" w:lineRule="auto"/>
        <w:jc w:val="both"/>
      </w:pPr>
      <w:r w:rsidRPr="007A0B1D">
        <w:t xml:space="preserve">La Gremlina 1 è un adipochina infiammatoria facente parte della famiglia delle TGF-B, intensamente prodotta dalle cellule del tessuto adiposo, muscolare ed epatico in grado di antagonizzare gli effetti dell’insulina. Il gene GREM-1 è stato dapprima identificato in cellule di topo murino, sotto il nome di DRM: down-regulated in mos-transformed cells </w:t>
      </w:r>
      <w:r w:rsidRPr="007A0B1D">
        <w:rPr>
          <w:vertAlign w:val="superscript"/>
        </w:rPr>
        <w:t>(317).</w:t>
      </w:r>
      <w:r w:rsidRPr="007A0B1D">
        <w:t xml:space="preserve"> Il gene è mappato sul cromosoma 15q13-q15, codifica per una per una proteina formata da 184 amminoacidi, la cui sequenza genica dall 94 esimo al 178 esimo amminoacido della Gremlina-1 è stata a lungo conservata durante l’evoluzione del genoma umano, e che presenta, come il resto della famiglia tass</w:t>
      </w:r>
      <w:r w:rsidRPr="007A0B1D">
        <w:t>o</w:t>
      </w:r>
      <w:r w:rsidRPr="007A0B1D">
        <w:t>nomica a cui appartiene, una regione ricca di cisteina e un ponte di cisteina in pro</w:t>
      </w:r>
      <w:r w:rsidRPr="007A0B1D">
        <w:t>s</w:t>
      </w:r>
      <w:r w:rsidRPr="007A0B1D">
        <w:t xml:space="preserve">simità della regione C-terminale </w:t>
      </w:r>
      <w:r w:rsidRPr="007A0B1D">
        <w:rPr>
          <w:vertAlign w:val="superscript"/>
        </w:rPr>
        <w:t>(315-318).</w:t>
      </w:r>
      <w:r w:rsidRPr="007A0B1D">
        <w:t xml:space="preserve"> </w:t>
      </w:r>
    </w:p>
    <w:p w14:paraId="45FD2DF1" w14:textId="77777777" w:rsidR="00A9404A" w:rsidRPr="007A0B1D" w:rsidRDefault="00A9404A" w:rsidP="00A9404A">
      <w:pPr>
        <w:spacing w:line="360" w:lineRule="auto"/>
        <w:jc w:val="center"/>
      </w:pPr>
      <w:r w:rsidRPr="007A0B1D">
        <w:rPr>
          <w:noProof/>
        </w:rPr>
        <w:drawing>
          <wp:inline distT="0" distB="0" distL="0" distR="0" wp14:anchorId="0CFBA5A1" wp14:editId="2D0DCA83">
            <wp:extent cx="4395611" cy="1014413"/>
            <wp:effectExtent l="0" t="0" r="0" b="190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23"/>
                    <a:stretch>
                      <a:fillRect/>
                    </a:stretch>
                  </pic:blipFill>
                  <pic:spPr>
                    <a:xfrm>
                      <a:off x="0" y="0"/>
                      <a:ext cx="4430738" cy="1022520"/>
                    </a:xfrm>
                    <a:prstGeom prst="rect">
                      <a:avLst/>
                    </a:prstGeom>
                  </pic:spPr>
                </pic:pic>
              </a:graphicData>
            </a:graphic>
          </wp:inline>
        </w:drawing>
      </w:r>
    </w:p>
    <w:p w14:paraId="1CD85689" w14:textId="77777777" w:rsidR="00A9404A" w:rsidRPr="007A0B1D" w:rsidRDefault="00A9404A" w:rsidP="00A9404A">
      <w:pPr>
        <w:spacing w:line="360" w:lineRule="auto"/>
        <w:jc w:val="both"/>
      </w:pPr>
    </w:p>
    <w:p w14:paraId="327C9365" w14:textId="77777777" w:rsidR="00A9404A" w:rsidRPr="007A0B1D" w:rsidRDefault="00A9404A" w:rsidP="00A9404A">
      <w:pPr>
        <w:spacing w:line="360" w:lineRule="auto"/>
        <w:jc w:val="both"/>
      </w:pPr>
      <w:r w:rsidRPr="007A0B1D">
        <w:t>La superfamiglia del TGF-b contiene al suo interno citochine, activine, fattori neur</w:t>
      </w:r>
      <w:r w:rsidRPr="007A0B1D">
        <w:t>o</w:t>
      </w:r>
      <w:r w:rsidRPr="007A0B1D">
        <w:t>tropici ed infine 21 proteine osteo-morfogenetiche (BMPs, bone morphogenetic pr</w:t>
      </w:r>
      <w:r w:rsidRPr="007A0B1D">
        <w:t>o</w:t>
      </w:r>
      <w:r w:rsidRPr="007A0B1D">
        <w:t>teins) e i relativi antagonisti. Queste proteine presentano peculiarità comuni come ad esempio la presenza del già citato ponte di cisteina, sono secrete come proteine sol</w:t>
      </w:r>
      <w:r w:rsidRPr="007A0B1D">
        <w:t>u</w:t>
      </w:r>
      <w:r w:rsidRPr="007A0B1D">
        <w:t>bili, sono strettamente regolate ed infine sono capaci di legare l’eparina e i polisacc</w:t>
      </w:r>
      <w:r w:rsidRPr="007A0B1D">
        <w:t>a</w:t>
      </w:r>
      <w:r w:rsidRPr="007A0B1D">
        <w:lastRenderedPageBreak/>
        <w:t>ridici eparan solfati, rimanendo confinati nella matrice extracellulare, dove agiscono da fattori paracrini in forma solubile. Quest’ultima funzione è esclusiva della Gre</w:t>
      </w:r>
      <w:r w:rsidRPr="007A0B1D">
        <w:t>m</w:t>
      </w:r>
      <w:r w:rsidRPr="007A0B1D">
        <w:t xml:space="preserve">lina-1, Gremlina-2 e della sclerostina. Questo legame non solo è significativo per il blocco alla diffusione della proteina, ma è altresì utile per down-regolare il pathway di segnalazione cellulare del BPM </w:t>
      </w:r>
      <w:r w:rsidRPr="007A0B1D">
        <w:rPr>
          <w:vertAlign w:val="superscript"/>
        </w:rPr>
        <w:t>(319).</w:t>
      </w:r>
      <w:r w:rsidRPr="007A0B1D">
        <w:t xml:space="preserve"> </w:t>
      </w:r>
    </w:p>
    <w:p w14:paraId="702F6A6C" w14:textId="77777777" w:rsidR="00A9404A" w:rsidRPr="007A0B1D" w:rsidRDefault="00A9404A" w:rsidP="00A9404A">
      <w:pPr>
        <w:spacing w:line="360" w:lineRule="auto"/>
        <w:jc w:val="center"/>
      </w:pPr>
      <w:r w:rsidRPr="007A0B1D">
        <w:rPr>
          <w:noProof/>
        </w:rPr>
        <w:drawing>
          <wp:inline distT="0" distB="0" distL="0" distR="0" wp14:anchorId="051EBFD6" wp14:editId="07B229B8">
            <wp:extent cx="4524528" cy="3479263"/>
            <wp:effectExtent l="0" t="0" r="0" b="63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pic:cNvPicPr/>
                  </pic:nvPicPr>
                  <pic:blipFill>
                    <a:blip r:embed="rId24"/>
                    <a:stretch>
                      <a:fillRect/>
                    </a:stretch>
                  </pic:blipFill>
                  <pic:spPr>
                    <a:xfrm>
                      <a:off x="0" y="0"/>
                      <a:ext cx="4532885" cy="3485690"/>
                    </a:xfrm>
                    <a:prstGeom prst="rect">
                      <a:avLst/>
                    </a:prstGeom>
                  </pic:spPr>
                </pic:pic>
              </a:graphicData>
            </a:graphic>
          </wp:inline>
        </w:drawing>
      </w:r>
    </w:p>
    <w:p w14:paraId="66129E2E" w14:textId="77777777" w:rsidR="00A9404A" w:rsidRPr="007A0B1D" w:rsidRDefault="00A9404A" w:rsidP="00A9404A">
      <w:pPr>
        <w:spacing w:line="360" w:lineRule="auto"/>
        <w:jc w:val="both"/>
      </w:pPr>
    </w:p>
    <w:p w14:paraId="734B28BE" w14:textId="77777777" w:rsidR="00A9404A" w:rsidRPr="007A0B1D" w:rsidRDefault="00A9404A" w:rsidP="00A9404A">
      <w:pPr>
        <w:spacing w:line="360" w:lineRule="auto"/>
        <w:jc w:val="both"/>
      </w:pPr>
    </w:p>
    <w:p w14:paraId="2566FFA7" w14:textId="77777777" w:rsidR="00A9404A" w:rsidRPr="007A0B1D" w:rsidRDefault="00A9404A" w:rsidP="00A9404A">
      <w:pPr>
        <w:spacing w:line="360" w:lineRule="auto"/>
        <w:jc w:val="both"/>
      </w:pPr>
      <w:r w:rsidRPr="007A0B1D">
        <w:t>Il pathway di segnalazione del BMP è coinvolto in processi come lo sviluppo di o</w:t>
      </w:r>
      <w:r w:rsidRPr="007A0B1D">
        <w:t>r</w:t>
      </w:r>
      <w:r w:rsidRPr="007A0B1D">
        <w:t xml:space="preserve">gani, soprattutto osseo e renale </w:t>
      </w:r>
      <w:r w:rsidRPr="007A0B1D">
        <w:rPr>
          <w:vertAlign w:val="superscript"/>
        </w:rPr>
        <w:t>(320,321)</w:t>
      </w:r>
      <w:r w:rsidRPr="007A0B1D">
        <w:t>. L’attivazione avviene mediante eterodimeri</w:t>
      </w:r>
      <w:r w:rsidRPr="007A0B1D">
        <w:t>z</w:t>
      </w:r>
      <w:r w:rsidRPr="007A0B1D">
        <w:t xml:space="preserve">zazione, con attivazione a cascata dei complessi Smad, fino alla trascrizione nucleare indotta dal complesso Smad6. </w:t>
      </w:r>
    </w:p>
    <w:p w14:paraId="7B6A829B" w14:textId="77777777" w:rsidR="00A9404A" w:rsidRPr="007A0B1D" w:rsidRDefault="00A9404A" w:rsidP="00A9404A">
      <w:pPr>
        <w:spacing w:line="360" w:lineRule="auto"/>
        <w:jc w:val="both"/>
      </w:pPr>
      <w:r w:rsidRPr="007A0B1D">
        <w:t xml:space="preserve">La Gremlina o altre proteine antagoniste, si trovano in forma combinata con i propri ligandi; in tale forma gli è impedito inibire il complesso BMP </w:t>
      </w:r>
      <w:r w:rsidRPr="007A0B1D">
        <w:rPr>
          <w:vertAlign w:val="superscript"/>
        </w:rPr>
        <w:t>(320)</w:t>
      </w:r>
      <w:r w:rsidRPr="007A0B1D">
        <w:t xml:space="preserve">.  Difetti dell’espressione o funzione di queste proteine possono determinare alterazi’ne dell'omeostasi tissutale. (321-), così come determinato dal gruppo di studio di McMahon </w:t>
      </w:r>
      <w:r w:rsidRPr="007A0B1D">
        <w:rPr>
          <w:vertAlign w:val="superscript"/>
        </w:rPr>
        <w:t>(322)</w:t>
      </w:r>
      <w:r w:rsidRPr="007A0B1D">
        <w:t>, che hanno dimostrato come l’espressione della Gremlina-1 sia a</w:t>
      </w:r>
      <w:r w:rsidRPr="007A0B1D">
        <w:t>u</w:t>
      </w:r>
      <w:r w:rsidRPr="007A0B1D">
        <w:t xml:space="preserve">mentata in cellule mesangiali di topo incubate con alti livelli di glucosio/TGF-b o in cellule renali in cui i topi sono stati indotti alla nefropatia diabetica attraverso la streptozocina. </w:t>
      </w:r>
      <w:r w:rsidRPr="007A0B1D">
        <w:rPr>
          <w:vertAlign w:val="superscript"/>
        </w:rPr>
        <w:t>(322)</w:t>
      </w:r>
      <w:r w:rsidRPr="007A0B1D">
        <w:t xml:space="preserve">. Lo stesso gruppo ha dimostrato, 3 anni dopo, l’overespressione della gremlina in pazienti affetti da nefropatia diabetica, aprendo così uno scenario </w:t>
      </w:r>
      <w:r w:rsidRPr="007A0B1D">
        <w:lastRenderedPageBreak/>
        <w:t>volto alla ricerca dell’overespressione della Gremlina-1 in altre condizioni patolog</w:t>
      </w:r>
      <w:r w:rsidRPr="007A0B1D">
        <w:t>i</w:t>
      </w:r>
      <w:r w:rsidRPr="007A0B1D">
        <w:t xml:space="preserve">che </w:t>
      </w:r>
      <w:r w:rsidRPr="007A0B1D">
        <w:rPr>
          <w:vertAlign w:val="superscript"/>
        </w:rPr>
        <w:t>(323)</w:t>
      </w:r>
      <w:r w:rsidRPr="007A0B1D">
        <w:t>, come ad esempio nei pazienti con NAFLD alla biopsia epatica e nei pazienti con diabete mellito di tipo 2 e sindrome metabolica e rappresentano un marker sier</w:t>
      </w:r>
      <w:r w:rsidRPr="007A0B1D">
        <w:t>o</w:t>
      </w:r>
      <w:r w:rsidRPr="007A0B1D">
        <w:t xml:space="preserve">logico innovativo di adipo-infiammazione </w:t>
      </w:r>
      <w:r w:rsidRPr="007A0B1D">
        <w:rPr>
          <w:vertAlign w:val="superscript"/>
        </w:rPr>
        <w:t>(324)</w:t>
      </w:r>
      <w:r w:rsidRPr="007A0B1D">
        <w:t xml:space="preserve">. La chiave di volta arrivò nel 2010, con gli studi del gruppo di Mitola et al </w:t>
      </w:r>
      <w:r w:rsidRPr="007A0B1D">
        <w:rPr>
          <w:vertAlign w:val="superscript"/>
        </w:rPr>
        <w:t>(325)</w:t>
      </w:r>
      <w:r w:rsidRPr="007A0B1D">
        <w:t xml:space="preserve"> , che permisero di identificare il ligando della Gremlina-1: il VEGFR2. Ciò permise di rimarcare il concetto di come la su</w:t>
      </w:r>
      <w:r w:rsidRPr="007A0B1D">
        <w:t>d</w:t>
      </w:r>
      <w:r w:rsidRPr="007A0B1D">
        <w:t xml:space="preserve">detta adipochina, oltre che il ruolo di antagonosta del pathway BMP, fosse un vero e proprio fattore pro-angiogenetico, capace di legarsi al VEGF2 – e quindi determinare l’attivazione del pathway di signaling - proprio in virtù della sua capacità di legare gli eparansolfati </w:t>
      </w:r>
      <w:r w:rsidRPr="007A0B1D">
        <w:rPr>
          <w:vertAlign w:val="superscript"/>
        </w:rPr>
        <w:t>(326)</w:t>
      </w:r>
      <w:r w:rsidRPr="007A0B1D">
        <w:t xml:space="preserve">. </w:t>
      </w:r>
    </w:p>
    <w:p w14:paraId="40216573" w14:textId="2669CF72" w:rsidR="00A9404A" w:rsidRPr="007A0B1D" w:rsidRDefault="00A9404A" w:rsidP="00A9404A">
      <w:pPr>
        <w:spacing w:line="360" w:lineRule="auto"/>
        <w:jc w:val="both"/>
      </w:pPr>
      <w:r w:rsidRPr="007A0B1D">
        <w:t>Ulteriori conferme riguardo il dosaggio della Gremlina-1 come adipochina infia</w:t>
      </w:r>
      <w:r w:rsidRPr="007A0B1D">
        <w:t>m</w:t>
      </w:r>
      <w:r w:rsidRPr="007A0B1D">
        <w:t>matoria sono suggeriti dagli studi di Hedjazifar et al 2020, in cui è stato osservato che i livelli di espressione della Gremlina-1 sono maggiori nel tessuto adiposo visc</w:t>
      </w:r>
      <w:r w:rsidRPr="007A0B1D">
        <w:t>e</w:t>
      </w:r>
      <w:r w:rsidRPr="007A0B1D">
        <w:t xml:space="preserve">rale, aumentati in condizioni di obesità ed ulteriormente aumentati in pazienti affetti da diabete mellito di tipo 2. Gli stessi autori, scoprirono che la Gremlina-1 possiede un’ultima peculiare attività: antagonizza la segnalazione intracellulare insulino-mediata negli adipociti umani, muscolo scheletrico ed epatociti. Tutto ciò, rafforza il pensiero e suggerisce l’uso della Gremlina come biomarker per uso terapeutico in soggetti affetti da obesità, diabete e le sue complicanze come quelle da noi trattate nel presente studio. </w:t>
      </w:r>
    </w:p>
    <w:p w14:paraId="5C3DD168" w14:textId="4447FCA4" w:rsidR="00A9404A" w:rsidRPr="007A0B1D" w:rsidRDefault="007D14DC" w:rsidP="00A9404A">
      <w:pPr>
        <w:jc w:val="both"/>
        <w:rPr>
          <w:shd w:val="clear" w:color="auto" w:fill="FFFFFF"/>
        </w:rPr>
      </w:pPr>
      <w:r w:rsidRPr="007A0B1D">
        <w:rPr>
          <w:noProof/>
          <w:shd w:val="clear" w:color="auto" w:fill="FFFFFF"/>
        </w:rPr>
        <w:drawing>
          <wp:anchor distT="0" distB="0" distL="114300" distR="114300" simplePos="0" relativeHeight="251689984" behindDoc="0" locked="0" layoutInCell="1" allowOverlap="1" wp14:anchorId="58F73B6E" wp14:editId="45A4816A">
            <wp:simplePos x="0" y="0"/>
            <wp:positionH relativeFrom="margin">
              <wp:posOffset>1371600</wp:posOffset>
            </wp:positionH>
            <wp:positionV relativeFrom="margin">
              <wp:posOffset>5600700</wp:posOffset>
            </wp:positionV>
            <wp:extent cx="2514600" cy="3294380"/>
            <wp:effectExtent l="0" t="0" r="0" b="7620"/>
            <wp:wrapSquare wrapText="bothSides"/>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pic:cNvPicPr/>
                  </pic:nvPicPr>
                  <pic:blipFill rotWithShape="1">
                    <a:blip r:embed="rId25"/>
                    <a:srcRect r="69144" b="35339"/>
                    <a:stretch/>
                  </pic:blipFill>
                  <pic:spPr bwMode="auto">
                    <a:xfrm>
                      <a:off x="0" y="0"/>
                      <a:ext cx="2514600" cy="32943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404A" w:rsidRPr="007A0B1D">
        <w:rPr>
          <w:shd w:val="clear" w:color="auto" w:fill="FFFFFF"/>
        </w:rPr>
        <w:br/>
      </w:r>
    </w:p>
    <w:p w14:paraId="4A975A72" w14:textId="77777777" w:rsidR="00A9404A" w:rsidRPr="007A0B1D" w:rsidRDefault="00A9404A" w:rsidP="00A9404A">
      <w:pPr>
        <w:jc w:val="both"/>
        <w:rPr>
          <w:shd w:val="clear" w:color="auto" w:fill="FFFFFF"/>
        </w:rPr>
      </w:pPr>
    </w:p>
    <w:p w14:paraId="2B75B530" w14:textId="77777777" w:rsidR="00A9404A" w:rsidRPr="007A0B1D" w:rsidRDefault="00A9404A" w:rsidP="00A9404A">
      <w:pPr>
        <w:jc w:val="both"/>
        <w:rPr>
          <w:shd w:val="clear" w:color="auto" w:fill="FFFFFF"/>
        </w:rPr>
      </w:pPr>
    </w:p>
    <w:p w14:paraId="5DB4A9E2" w14:textId="272CCCA8" w:rsidR="00A9404A" w:rsidRPr="007A0B1D" w:rsidRDefault="00A9404A" w:rsidP="00A9404A">
      <w:pPr>
        <w:jc w:val="both"/>
        <w:rPr>
          <w:shd w:val="clear" w:color="auto" w:fill="FFFFFF"/>
        </w:rPr>
      </w:pPr>
    </w:p>
    <w:p w14:paraId="76E62CD3" w14:textId="77777777" w:rsidR="00A9404A" w:rsidRPr="007A0B1D" w:rsidRDefault="00A9404A" w:rsidP="00A9404A">
      <w:pPr>
        <w:jc w:val="both"/>
        <w:rPr>
          <w:shd w:val="clear" w:color="auto" w:fill="FFFFFF"/>
        </w:rPr>
      </w:pPr>
    </w:p>
    <w:p w14:paraId="77527FCD" w14:textId="77777777" w:rsidR="00A9404A" w:rsidRPr="007A0B1D" w:rsidRDefault="00A9404A" w:rsidP="00A9404A">
      <w:pPr>
        <w:jc w:val="both"/>
        <w:rPr>
          <w:shd w:val="clear" w:color="auto" w:fill="FFFFFF"/>
        </w:rPr>
      </w:pPr>
    </w:p>
    <w:p w14:paraId="32FDE411" w14:textId="77777777" w:rsidR="00A9404A" w:rsidRPr="007A0B1D" w:rsidRDefault="00A9404A" w:rsidP="00A9404A">
      <w:pPr>
        <w:jc w:val="both"/>
        <w:rPr>
          <w:shd w:val="clear" w:color="auto" w:fill="FFFFFF"/>
        </w:rPr>
      </w:pPr>
    </w:p>
    <w:p w14:paraId="51233F1C" w14:textId="77777777" w:rsidR="00A9404A" w:rsidRPr="007A0B1D" w:rsidRDefault="00A9404A" w:rsidP="00A9404A">
      <w:pPr>
        <w:jc w:val="both"/>
        <w:rPr>
          <w:shd w:val="clear" w:color="auto" w:fill="FFFFFF"/>
        </w:rPr>
      </w:pPr>
    </w:p>
    <w:p w14:paraId="5038F455" w14:textId="77777777" w:rsidR="00A9404A" w:rsidRPr="007A0B1D" w:rsidRDefault="00A9404A" w:rsidP="00A9404A">
      <w:pPr>
        <w:jc w:val="both"/>
        <w:rPr>
          <w:shd w:val="clear" w:color="auto" w:fill="FFFFFF"/>
        </w:rPr>
      </w:pPr>
    </w:p>
    <w:p w14:paraId="34022E95" w14:textId="77777777" w:rsidR="00A9404A" w:rsidRPr="007A0B1D" w:rsidRDefault="00A9404A" w:rsidP="00A9404A">
      <w:pPr>
        <w:jc w:val="both"/>
        <w:rPr>
          <w:shd w:val="clear" w:color="auto" w:fill="FFFFFF"/>
        </w:rPr>
      </w:pPr>
    </w:p>
    <w:p w14:paraId="52C1CB77" w14:textId="77777777" w:rsidR="00A9404A" w:rsidRPr="007A0B1D" w:rsidRDefault="00A9404A" w:rsidP="00A9404A">
      <w:pPr>
        <w:jc w:val="both"/>
        <w:rPr>
          <w:shd w:val="clear" w:color="auto" w:fill="FFFFFF"/>
        </w:rPr>
      </w:pPr>
    </w:p>
    <w:p w14:paraId="6FA77D0D" w14:textId="77777777" w:rsidR="00A9404A" w:rsidRPr="007A0B1D" w:rsidRDefault="00A9404A" w:rsidP="00A9404A">
      <w:pPr>
        <w:jc w:val="both"/>
        <w:rPr>
          <w:shd w:val="clear" w:color="auto" w:fill="FFFFFF"/>
        </w:rPr>
      </w:pPr>
    </w:p>
    <w:p w14:paraId="07756059" w14:textId="77777777" w:rsidR="00A9404A" w:rsidRPr="007A0B1D" w:rsidRDefault="00A9404A" w:rsidP="00A9404A">
      <w:pPr>
        <w:jc w:val="both"/>
        <w:rPr>
          <w:shd w:val="clear" w:color="auto" w:fill="FFFFFF"/>
        </w:rPr>
      </w:pPr>
    </w:p>
    <w:p w14:paraId="3CFDFD4A" w14:textId="77777777" w:rsidR="00A9404A" w:rsidRPr="007A0B1D" w:rsidRDefault="00A9404A" w:rsidP="00A9404A">
      <w:pPr>
        <w:jc w:val="both"/>
        <w:rPr>
          <w:shd w:val="clear" w:color="auto" w:fill="FFFFFF"/>
        </w:rPr>
      </w:pPr>
    </w:p>
    <w:p w14:paraId="76EADA3E" w14:textId="77777777" w:rsidR="00A9404A" w:rsidRPr="007A0B1D" w:rsidRDefault="00A9404A" w:rsidP="00A9404A">
      <w:pPr>
        <w:jc w:val="both"/>
        <w:rPr>
          <w:shd w:val="clear" w:color="auto" w:fill="FFFFFF"/>
        </w:rPr>
      </w:pPr>
    </w:p>
    <w:p w14:paraId="2AC37EFA" w14:textId="77777777" w:rsidR="00A9404A" w:rsidRPr="007A0B1D" w:rsidRDefault="00A9404A" w:rsidP="00A9404A">
      <w:pPr>
        <w:jc w:val="both"/>
        <w:rPr>
          <w:shd w:val="clear" w:color="auto" w:fill="FFFFFF"/>
        </w:rPr>
      </w:pPr>
    </w:p>
    <w:p w14:paraId="28EAF970" w14:textId="77777777" w:rsidR="00A9404A" w:rsidRPr="007A0B1D" w:rsidRDefault="00A9404A" w:rsidP="00A9404A">
      <w:pPr>
        <w:jc w:val="both"/>
        <w:rPr>
          <w:shd w:val="clear" w:color="auto" w:fill="FFFFFF"/>
        </w:rPr>
      </w:pPr>
    </w:p>
    <w:p w14:paraId="59701581" w14:textId="77777777" w:rsidR="00A9404A" w:rsidRPr="007A0B1D" w:rsidRDefault="00A9404A" w:rsidP="00A9404A">
      <w:pPr>
        <w:jc w:val="both"/>
        <w:rPr>
          <w:shd w:val="clear" w:color="auto" w:fill="FFFFFF"/>
        </w:rPr>
      </w:pPr>
    </w:p>
    <w:p w14:paraId="48AFB30B" w14:textId="181DE56A" w:rsidR="00A9404A" w:rsidRPr="007D14DC" w:rsidRDefault="00A9404A" w:rsidP="007D14DC">
      <w:pPr>
        <w:jc w:val="both"/>
        <w:rPr>
          <w:shd w:val="clear" w:color="auto" w:fill="FFFFFF"/>
        </w:rPr>
      </w:pPr>
      <w:r w:rsidRPr="007A0B1D">
        <w:rPr>
          <w:shd w:val="clear" w:color="auto" w:fill="FFFFFF"/>
        </w:rPr>
        <w:br/>
      </w:r>
    </w:p>
    <w:p w14:paraId="17747B4D" w14:textId="77777777" w:rsidR="00A9404A" w:rsidRPr="007A0B1D" w:rsidRDefault="00A9404A" w:rsidP="00A9404A">
      <w:pPr>
        <w:spacing w:line="360" w:lineRule="auto"/>
        <w:jc w:val="both"/>
        <w:rPr>
          <w:b/>
          <w:bCs/>
        </w:rPr>
      </w:pPr>
      <w:r w:rsidRPr="007A0B1D">
        <w:rPr>
          <w:b/>
        </w:rPr>
        <w:lastRenderedPageBreak/>
        <w:t xml:space="preserve">Capitolo 5 - </w:t>
      </w:r>
      <w:r w:rsidRPr="007A0B1D">
        <w:rPr>
          <w:b/>
          <w:bCs/>
        </w:rPr>
        <w:t>Ma</w:t>
      </w:r>
      <w:r w:rsidRPr="007A0B1D">
        <w:rPr>
          <w:b/>
          <w:bCs/>
        </w:rPr>
        <w:t>r</w:t>
      </w:r>
      <w:r w:rsidRPr="007A0B1D">
        <w:rPr>
          <w:b/>
          <w:bCs/>
        </w:rPr>
        <w:t>kers infiammatori sierici nel piede diabetico</w:t>
      </w:r>
    </w:p>
    <w:p w14:paraId="6AAAE554" w14:textId="77777777" w:rsidR="00A9404A" w:rsidRPr="007A0B1D" w:rsidRDefault="00A9404A" w:rsidP="00A9404A">
      <w:pPr>
        <w:spacing w:line="360" w:lineRule="auto"/>
        <w:jc w:val="both"/>
      </w:pPr>
    </w:p>
    <w:p w14:paraId="392CB5BC" w14:textId="77777777" w:rsidR="00A9404A" w:rsidRPr="007A0B1D" w:rsidRDefault="00A9404A" w:rsidP="00A9404A">
      <w:pPr>
        <w:spacing w:line="360" w:lineRule="auto"/>
        <w:jc w:val="both"/>
        <w:rPr>
          <w:b/>
        </w:rPr>
      </w:pPr>
      <w:r w:rsidRPr="007A0B1D">
        <w:rPr>
          <w:b/>
        </w:rPr>
        <w:t>5.1 Introduzione</w:t>
      </w:r>
    </w:p>
    <w:p w14:paraId="0344CE8F" w14:textId="77777777" w:rsidR="00A9404A" w:rsidRPr="007A0B1D" w:rsidRDefault="00A9404A" w:rsidP="00A9404A">
      <w:pPr>
        <w:spacing w:line="360" w:lineRule="auto"/>
        <w:jc w:val="both"/>
      </w:pPr>
      <w:r w:rsidRPr="007A0B1D">
        <w:t>I biomarker sono caratteristiche cliniche del paziente o sostanze sieriche oggettiv</w:t>
      </w:r>
      <w:r w:rsidRPr="007A0B1D">
        <w:t>a</w:t>
      </w:r>
      <w:r w:rsidRPr="007A0B1D">
        <w:t>mente misurabili che possono essere valutate come indicatori di uno stato fisiologico o patologico di un organismo biologico, o della sua risposta ad interventi terapeutici farmacologici. I biomarker comprendono le risposte funzionali dell'organismo, ril</w:t>
      </w:r>
      <w:r w:rsidRPr="007A0B1D">
        <w:t>e</w:t>
      </w:r>
      <w:r w:rsidRPr="007A0B1D">
        <w:t>vabili come segni clinici misurabili in modo oggettivo e ripetibile durante un esame obiettivo generale (temperatura corporea, frequenza cardiaca, pressione sanguigna) o le variazioni delle concentrazioni cellulari e molecolari rinvenibili nel sangue o in a</w:t>
      </w:r>
      <w:r w:rsidRPr="007A0B1D">
        <w:t>l</w:t>
      </w:r>
      <w:r w:rsidRPr="007A0B1D">
        <w:t>tri campioni biologici in seguito ad analisi di laboratorio. Da ciò si evince che i bi</w:t>
      </w:r>
      <w:r w:rsidRPr="007A0B1D">
        <w:t>o</w:t>
      </w:r>
      <w:r w:rsidRPr="007A0B1D">
        <w:t>marker forniscono informazioni circa lo stato di salute del paziente, in quanto ritenuti espressione di una determinata condizione o di malattia e possono essere utilizzati da soli oppure, più frequentemente, in associazione per poter meglio inquadrare la situ</w:t>
      </w:r>
      <w:r w:rsidRPr="007A0B1D">
        <w:t>a</w:t>
      </w:r>
      <w:r w:rsidRPr="007A0B1D">
        <w:t>zione clinica del paziente. Una caratteristica che li renderebbe particolarmente utili nella pratica clinica deriva altresì dal fatto che vi è un’ampia disponibilità di questi nei campioni ematici, inoltre le procedure di raccolta e le tecniche di analisi sono a</w:t>
      </w:r>
      <w:r w:rsidRPr="007A0B1D">
        <w:t>l</w:t>
      </w:r>
      <w:r w:rsidRPr="007A0B1D">
        <w:t>tamente standardizzate (cit), pertanto si configurerebbero come un esame con poss</w:t>
      </w:r>
      <w:r w:rsidRPr="007A0B1D">
        <w:t>i</w:t>
      </w:r>
      <w:r w:rsidRPr="007A0B1D">
        <w:t>bilità di analisi ripetitive nel tempo, fornendo le migliori indicazioni terapeutiche possibili per il medico contestualizzate al paziente. Le caratteristiche ideali di un buon biomarker sono: correlazione specifica con la malattia in atto, elevata sensibil</w:t>
      </w:r>
      <w:r w:rsidRPr="007A0B1D">
        <w:t>i</w:t>
      </w:r>
      <w:r w:rsidRPr="007A0B1D">
        <w:t>tà nel rilevare precocemente uno stato patologico, adeguata predittività sulla risposta del paziente al trattamento, possibilità di essere misurato attraverso metodiche se</w:t>
      </w:r>
      <w:r w:rsidRPr="007A0B1D">
        <w:t>m</w:t>
      </w:r>
      <w:r w:rsidRPr="007A0B1D">
        <w:t>plici e rapide, accuratezza della sua determinazione da parte di queste metodiche, r</w:t>
      </w:r>
      <w:r w:rsidRPr="007A0B1D">
        <w:t>i</w:t>
      </w:r>
      <w:r w:rsidRPr="007A0B1D">
        <w:t xml:space="preserve">dotta interferenza da parte di errori preanalitici. </w:t>
      </w:r>
      <w:r w:rsidRPr="007A0B1D">
        <w:rPr>
          <w:vertAlign w:val="superscript"/>
        </w:rPr>
        <w:t xml:space="preserve">(326) </w:t>
      </w:r>
    </w:p>
    <w:p w14:paraId="01B4EE96" w14:textId="77777777" w:rsidR="00A9404A" w:rsidRPr="007A0B1D" w:rsidRDefault="00A9404A" w:rsidP="00A9404A">
      <w:pPr>
        <w:spacing w:line="360" w:lineRule="auto"/>
        <w:jc w:val="both"/>
      </w:pPr>
    </w:p>
    <w:p w14:paraId="1531B189" w14:textId="4DF6C5DC" w:rsidR="00A9404A" w:rsidRPr="007A0B1D" w:rsidRDefault="00A9404A" w:rsidP="00A9404A">
      <w:pPr>
        <w:spacing w:line="360" w:lineRule="auto"/>
        <w:jc w:val="both"/>
        <w:rPr>
          <w:b/>
        </w:rPr>
      </w:pPr>
      <w:r w:rsidRPr="007A0B1D">
        <w:rPr>
          <w:b/>
        </w:rPr>
        <w:t>5.2 Biomarker</w:t>
      </w:r>
      <w:r w:rsidR="007D14DC">
        <w:rPr>
          <w:b/>
        </w:rPr>
        <w:t>s</w:t>
      </w:r>
      <w:r w:rsidRPr="007A0B1D">
        <w:rPr>
          <w:b/>
        </w:rPr>
        <w:t xml:space="preserve"> infiammatori </w:t>
      </w:r>
    </w:p>
    <w:p w14:paraId="2E74925B" w14:textId="77777777" w:rsidR="00A9404A" w:rsidRPr="007A0B1D" w:rsidRDefault="00A9404A" w:rsidP="00A9404A">
      <w:pPr>
        <w:spacing w:line="360" w:lineRule="auto"/>
        <w:jc w:val="both"/>
      </w:pPr>
      <w:r w:rsidRPr="007A0B1D">
        <w:t xml:space="preserve">Numerose ricerche hanno verificato il ruolo dell'infiammazione e dell'angiogenesi nella patogenesi del </w:t>
      </w:r>
      <w:r w:rsidRPr="007A0B1D">
        <w:rPr>
          <w:u w:val="single"/>
        </w:rPr>
        <w:t>DFS</w:t>
      </w:r>
      <w:r w:rsidRPr="007A0B1D">
        <w:t>. Molte citochine e chemochine contribuiscono all’infiammazione attraverso molteplici meccanismi, i quali possono essere diretti o indiretti, come la facilitazione e la chemiotassi dei leucociti al sito della lesione, m</w:t>
      </w:r>
      <w:r w:rsidRPr="007A0B1D">
        <w:t>o</w:t>
      </w:r>
      <w:r w:rsidRPr="007A0B1D">
        <w:t>dulando la funzione delLe cellule immunitarie, stimolando la proliferazione e la di</w:t>
      </w:r>
      <w:r w:rsidRPr="007A0B1D">
        <w:t>f</w:t>
      </w:r>
      <w:r w:rsidRPr="007A0B1D">
        <w:t xml:space="preserve">ferenziazione dei vari tipi cellulari coinvolti nella risposta immunitaria </w:t>
      </w:r>
      <w:r w:rsidRPr="007A0B1D">
        <w:rPr>
          <w:vertAlign w:val="superscript"/>
        </w:rPr>
        <w:t>(411)</w:t>
      </w:r>
      <w:r w:rsidRPr="007A0B1D">
        <w:t xml:space="preserve">. L’importanza relativa di ogni singolo mediatore solubile in una specifica condizione </w:t>
      </w:r>
      <w:r w:rsidRPr="007A0B1D">
        <w:lastRenderedPageBreak/>
        <w:t xml:space="preserve">infiammatoria varia, poiché le citochine operano secondo modelli di “cascate e reti” e le cellule bersaglio possono essere influenzate anche da più citochine </w:t>
      </w:r>
      <w:r w:rsidRPr="007A0B1D">
        <w:rPr>
          <w:vertAlign w:val="superscript"/>
        </w:rPr>
        <w:t>(412)</w:t>
      </w:r>
      <w:r w:rsidRPr="007A0B1D">
        <w:t xml:space="preserve">. La prima forte evidenza a sostegno del ruolo dell’infiammazione nel processo patologico, oltre a quella di un semplice marker, viene dal lavoro di Hotamisiligil et al </w:t>
      </w:r>
      <w:r w:rsidRPr="007A0B1D">
        <w:rPr>
          <w:vertAlign w:val="superscript"/>
        </w:rPr>
        <w:t>(413)</w:t>
      </w:r>
      <w:r w:rsidRPr="007A0B1D">
        <w:t>. Tali autori dimostrarono come il TNF-alpha, una citochina pro-infiammatoria, è prodotta dagli adipociti e potrebbe indurre insulino-resistenza nel modello animale. Inoltre, il blo</w:t>
      </w:r>
      <w:r w:rsidRPr="007A0B1D">
        <w:t>c</w:t>
      </w:r>
      <w:r w:rsidRPr="007A0B1D">
        <w:t>co dello stesso pathway pro-infiammatorio, ha migliorato la resistenza all’insulina, suggerendo pertando che questi meccanismi potrebbero avere delle applicazioni pr</w:t>
      </w:r>
      <w:r w:rsidRPr="007A0B1D">
        <w:t>a</w:t>
      </w:r>
      <w:r w:rsidRPr="007A0B1D">
        <w:t xml:space="preserve">tiche in campo clinico nell’uomo. Molte evidenze suggeriscono che l’attivazione cronica delle vie pro-infiammatorie nelle cellule bersaglio dell’azione dell’insulina può contribuire all’obesità, all’insulino-resistenza e ai disturbi correlati, incluso il diabete di tipo 2. </w:t>
      </w:r>
      <w:r w:rsidRPr="007A0B1D">
        <w:rPr>
          <w:vertAlign w:val="superscript"/>
        </w:rPr>
        <w:t xml:space="preserve">(414) </w:t>
      </w:r>
      <w:r w:rsidRPr="007A0B1D">
        <w:t>La caratterizzazione dei possibili pathway che collegano la fl</w:t>
      </w:r>
      <w:r w:rsidRPr="007A0B1D">
        <w:t>o</w:t>
      </w:r>
      <w:r w:rsidRPr="007A0B1D">
        <w:t>gosi al diabete mellito ha generato interesse nel considerare l’infiammazione come chiave di volta per migliorare la prevenzione ed il controllo del diabete nelle relative complicanze, come il piede diabetico da noi studiato. Cambiamenti in termini di co</w:t>
      </w:r>
      <w:r w:rsidRPr="007A0B1D">
        <w:t>n</w:t>
      </w:r>
      <w:r w:rsidRPr="007A0B1D">
        <w:t>centrazione dei vari mediatori pro-infiammatori e angiogenici sono stati altresì ritr</w:t>
      </w:r>
      <w:r w:rsidRPr="007A0B1D">
        <w:t>o</w:t>
      </w:r>
      <w:r w:rsidRPr="007A0B1D">
        <w:t>vati principalmente nel siero e plasma di pazienti diabetici affetti dalla complicanza del piede diabetico. La loro concentrazione spesso correlava con il grado di estensi</w:t>
      </w:r>
      <w:r w:rsidRPr="007A0B1D">
        <w:t>o</w:t>
      </w:r>
      <w:r w:rsidRPr="007A0B1D">
        <w:t xml:space="preserve">ne dell’ulcera del piede, infezione batterica e processi necrotici in atto, implicando pertanto come i biomarker possono essere utilizzati nella ricerca. Ad oggi le moderne tecnologie proteomiche e genomiche consentono l’analisi simultanea di citochine, proteine di fase acuta e chemochine, nonché proteine tessuto-specifiche e proteine associate ad altre funzioni fisiologiche per fornire un quadro più integrato dell’infiammazione, dei meccanismi di azione e il processo patologico </w:t>
      </w:r>
      <w:r w:rsidRPr="007A0B1D">
        <w:rPr>
          <w:vertAlign w:val="superscript"/>
        </w:rPr>
        <w:t>(415)</w:t>
      </w:r>
      <w:r w:rsidRPr="007A0B1D">
        <w:t>, pertanto in questo studio abbiamo incluso i potenziali biomarker sistemici e locali che sono stati valutati in base al loro ruolo nella patogenesi del DFS.</w:t>
      </w:r>
    </w:p>
    <w:p w14:paraId="491F8B1D" w14:textId="77777777" w:rsidR="00A9404A" w:rsidRPr="007A0B1D" w:rsidRDefault="00A9404A" w:rsidP="00A9404A">
      <w:pPr>
        <w:spacing w:line="360" w:lineRule="auto"/>
        <w:jc w:val="both"/>
      </w:pPr>
    </w:p>
    <w:p w14:paraId="5A28A7EF" w14:textId="77777777" w:rsidR="00A9404A" w:rsidRPr="007A0B1D" w:rsidRDefault="00A9404A" w:rsidP="00A9404A">
      <w:pPr>
        <w:spacing w:line="360" w:lineRule="auto"/>
        <w:jc w:val="both"/>
        <w:rPr>
          <w:b/>
        </w:rPr>
      </w:pPr>
      <w:r w:rsidRPr="007A0B1D">
        <w:rPr>
          <w:b/>
        </w:rPr>
        <w:t>5.3 IL-1</w:t>
      </w:r>
    </w:p>
    <w:p w14:paraId="64BF51D7" w14:textId="77777777" w:rsidR="00A9404A" w:rsidRPr="007A0B1D" w:rsidRDefault="00A9404A" w:rsidP="00A9404A">
      <w:pPr>
        <w:spacing w:line="360" w:lineRule="auto"/>
        <w:jc w:val="both"/>
      </w:pPr>
      <w:r w:rsidRPr="007A0B1D">
        <w:rPr>
          <w:rStyle w:val="y2iqfc"/>
        </w:rPr>
        <w:t xml:space="preserve">La famiglia delle IL-1 </w:t>
      </w:r>
      <w:r w:rsidRPr="007A0B1D">
        <w:t>è prodotta principalmente da macrofagi attivati, neutrofili, monociti e dalle cellule dendritiche, ma anche da linfociti T e linfociti B, cellule N</w:t>
      </w:r>
      <w:r w:rsidRPr="007A0B1D">
        <w:t>a</w:t>
      </w:r>
      <w:r w:rsidRPr="007A0B1D">
        <w:t>tural Killer, neutrofili, cellule endoteliali, fibroblasti e cheratinociti. Quest’ultimi s</w:t>
      </w:r>
      <w:r w:rsidRPr="007A0B1D">
        <w:t>o</w:t>
      </w:r>
      <w:r w:rsidRPr="007A0B1D">
        <w:t xml:space="preserve">no i principali attori del processo infiammatorio. </w:t>
      </w:r>
      <w:r w:rsidRPr="007A0B1D">
        <w:rPr>
          <w:vertAlign w:val="superscript"/>
        </w:rPr>
        <w:t>(</w:t>
      </w:r>
      <w:r w:rsidRPr="007A0B1D">
        <w:rPr>
          <w:shd w:val="clear" w:color="auto" w:fill="FFFFFF"/>
          <w:vertAlign w:val="superscript"/>
        </w:rPr>
        <w:t>327)</w:t>
      </w:r>
    </w:p>
    <w:p w14:paraId="761C38EC" w14:textId="0F116529" w:rsidR="00A9404A" w:rsidRPr="007A0B1D" w:rsidRDefault="00A9404A" w:rsidP="00A9404A">
      <w:pPr>
        <w:spacing w:line="360" w:lineRule="auto"/>
        <w:jc w:val="both"/>
      </w:pPr>
      <w:r w:rsidRPr="007A0B1D">
        <w:t xml:space="preserve">Molte sue proprietà sono ascrivibili all’inizio di effetti pro-infiammatori. A livello sistemico aumenta il catabolismo dei muscoli striati, garentendo la disponibilità di </w:t>
      </w:r>
      <w:r w:rsidRPr="007A0B1D">
        <w:lastRenderedPageBreak/>
        <w:t>aminoacidi e stimola il fegato a sintetizzare proteine della fase acuta. Tra le sue fu</w:t>
      </w:r>
      <w:r w:rsidRPr="007A0B1D">
        <w:t>n</w:t>
      </w:r>
      <w:r w:rsidRPr="007A0B1D">
        <w:t xml:space="preserve">zioni, abbiamo anche l’azione sui neutrofili circolanti attivandoli, aumentando così la loro risposta alla chemiotassi e favorendone la degranulazione; in ultimo determina inoltre attivazione dei linfociti T e B. </w:t>
      </w:r>
      <w:r w:rsidRPr="007A0B1D">
        <w:rPr>
          <w:vertAlign w:val="superscript"/>
        </w:rPr>
        <w:t xml:space="preserve">(328) </w:t>
      </w:r>
    </w:p>
    <w:p w14:paraId="33C0BD95" w14:textId="77777777" w:rsidR="00A9404A" w:rsidRPr="007A0B1D" w:rsidRDefault="00A9404A" w:rsidP="00A9404A">
      <w:pPr>
        <w:spacing w:line="360" w:lineRule="auto"/>
        <w:jc w:val="both"/>
      </w:pPr>
      <w:r w:rsidRPr="007A0B1D">
        <w:t>Queste citochine aumentano l'espressione dei fattori di adesione sulle cellule endot</w:t>
      </w:r>
      <w:r w:rsidRPr="007A0B1D">
        <w:t>e</w:t>
      </w:r>
      <w:r w:rsidRPr="007A0B1D">
        <w:t>liali per consentire la trasmigrazione (detta anche diapedesi) di cellule immunoco</w:t>
      </w:r>
      <w:r w:rsidRPr="007A0B1D">
        <w:t>m</w:t>
      </w:r>
      <w:r w:rsidRPr="007A0B1D">
        <w:t>petenti, come fagociti, linfociti e altre, verso i siti di infezione. Influiscono anche sull'attività dell'ipotalamo, il centro termoregolatore, che porta ad un aumento della temperatura corporea. Ecco perché IL-1 è chiamato pirogeno endogeno. Oltre alla febbre, l'IL-1 provoca anche iperalgesia (aumento della sensibilità al dolore), vasod</w:t>
      </w:r>
      <w:r w:rsidRPr="007A0B1D">
        <w:t>i</w:t>
      </w:r>
      <w:r w:rsidRPr="007A0B1D">
        <w:t xml:space="preserve">latazione e ipotensione. </w:t>
      </w:r>
      <w:r w:rsidRPr="007A0B1D">
        <w:rPr>
          <w:vertAlign w:val="superscript"/>
        </w:rPr>
        <w:t xml:space="preserve">(327) </w:t>
      </w:r>
    </w:p>
    <w:p w14:paraId="0435BCBF" w14:textId="77777777" w:rsidR="00A9404A" w:rsidRPr="007A0B1D" w:rsidRDefault="00A9404A" w:rsidP="00A9404A">
      <w:pPr>
        <w:spacing w:line="360" w:lineRule="auto"/>
        <w:jc w:val="both"/>
        <w:rPr>
          <w:shd w:val="clear" w:color="auto" w:fill="FFFFFF"/>
        </w:rPr>
      </w:pPr>
    </w:p>
    <w:p w14:paraId="1C96A708" w14:textId="77777777" w:rsidR="00A9404A" w:rsidRPr="007A0B1D" w:rsidRDefault="00A9404A" w:rsidP="00A9404A">
      <w:pPr>
        <w:spacing w:line="360" w:lineRule="auto"/>
        <w:jc w:val="both"/>
        <w:rPr>
          <w:b/>
        </w:rPr>
      </w:pPr>
      <w:r w:rsidRPr="007A0B1D">
        <w:rPr>
          <w:b/>
        </w:rPr>
        <w:t>5.4 IL-6</w:t>
      </w:r>
    </w:p>
    <w:p w14:paraId="5A92A7DC" w14:textId="77777777" w:rsidR="00A9404A" w:rsidRPr="007A0B1D" w:rsidRDefault="00A9404A" w:rsidP="00A9404A">
      <w:pPr>
        <w:spacing w:line="360" w:lineRule="auto"/>
        <w:jc w:val="both"/>
      </w:pPr>
      <w:r w:rsidRPr="007A0B1D">
        <w:t>L’interleuchina-6 viene principalmente sintetizzata da macrofagi attivati, linfociti T e B, mastociti, neutrofili, eosinofili, cellule endoteliali, fibroblasti, cheratinociti, cellule mesenchimali, ma la sua produzione è inducibile quasi in ogni tessuto e tipo cellulare (condrociti, cellule muscolari lisce, osteoclasti, cellule epiteliali bronchiali, astrociti, cellule dell'endometrio...). IL-6 modula altresì la risposta immunitaria e infiammat</w:t>
      </w:r>
      <w:r w:rsidRPr="007A0B1D">
        <w:t>o</w:t>
      </w:r>
      <w:r w:rsidRPr="007A0B1D">
        <w:t xml:space="preserve">ria sia locale che sistemica </w:t>
      </w:r>
      <w:r w:rsidRPr="007A0B1D">
        <w:rPr>
          <w:vertAlign w:val="superscript"/>
        </w:rPr>
        <w:t>(329)</w:t>
      </w:r>
      <w:r w:rsidRPr="007A0B1D">
        <w:t>, essendo sintentizzata in una lesione locale, quest’ultima ad eziologia infettiva, si dirigerà successivamente verso il fegato per poi raggiungere il circolo sistemico dove contribuirà alla difesa dell’ospite attraverso la stimolazione delle risposte molecolari della fase acuta (PCR, amiloide sierica A, f</w:t>
      </w:r>
      <w:r w:rsidRPr="007A0B1D">
        <w:t>i</w:t>
      </w:r>
      <w:r w:rsidRPr="007A0B1D">
        <w:t>brinogeno, aptoglobina e a1-antichimotripsina), per inviare un “segnale di avvert</w:t>
      </w:r>
      <w:r w:rsidRPr="007A0B1D">
        <w:t>i</w:t>
      </w:r>
      <w:r w:rsidRPr="007A0B1D">
        <w:t xml:space="preserve">mento” a tutto il corpo. </w:t>
      </w:r>
      <w:r w:rsidRPr="007A0B1D">
        <w:rPr>
          <w:vertAlign w:val="superscript"/>
        </w:rPr>
        <w:t>(330)</w:t>
      </w:r>
      <w:r w:rsidRPr="007A0B1D">
        <w:br/>
        <w:t xml:space="preserve">Tra le azioni della IL-6, ci sono anche azioni riparative e anti-infiammatorie. </w:t>
      </w:r>
      <w:r w:rsidRPr="007A0B1D">
        <w:rPr>
          <w:vertAlign w:val="superscript"/>
        </w:rPr>
        <w:t>(331)</w:t>
      </w:r>
    </w:p>
    <w:p w14:paraId="473E877A" w14:textId="77777777" w:rsidR="00A9404A" w:rsidRPr="007A0B1D" w:rsidRDefault="00A9404A" w:rsidP="00A9404A">
      <w:pPr>
        <w:spacing w:line="360" w:lineRule="auto"/>
        <w:jc w:val="both"/>
      </w:pPr>
      <w:r w:rsidRPr="007A0B1D">
        <w:t>Sebbene la sua espressione sia strettamente controllata e regolata, la sintesi continua disregolata di IL-6 svolge un effetto patologico sull'infiammazione cronica e sull'a</w:t>
      </w:r>
      <w:r w:rsidRPr="007A0B1D">
        <w:t>u</w:t>
      </w:r>
      <w:r w:rsidRPr="007A0B1D">
        <w:t xml:space="preserve">toimmunità. </w:t>
      </w:r>
      <w:r w:rsidRPr="007A0B1D">
        <w:rPr>
          <w:vertAlign w:val="superscript"/>
        </w:rPr>
        <w:t>(332)</w:t>
      </w:r>
    </w:p>
    <w:p w14:paraId="5C37D067" w14:textId="77777777" w:rsidR="00A9404A" w:rsidRPr="007A0B1D" w:rsidRDefault="00A9404A" w:rsidP="00A9404A">
      <w:pPr>
        <w:spacing w:line="360" w:lineRule="auto"/>
        <w:jc w:val="both"/>
        <w:rPr>
          <w:b/>
        </w:rPr>
      </w:pPr>
    </w:p>
    <w:p w14:paraId="6442ECA9" w14:textId="77777777" w:rsidR="00A9404A" w:rsidRPr="007A0B1D" w:rsidRDefault="00A9404A" w:rsidP="00A9404A">
      <w:pPr>
        <w:spacing w:line="360" w:lineRule="auto"/>
        <w:jc w:val="both"/>
        <w:rPr>
          <w:b/>
        </w:rPr>
      </w:pPr>
      <w:r w:rsidRPr="007A0B1D">
        <w:rPr>
          <w:b/>
        </w:rPr>
        <w:t>5.5 TNF- α</w:t>
      </w:r>
    </w:p>
    <w:p w14:paraId="767E0926" w14:textId="77777777" w:rsidR="00A9404A" w:rsidRPr="007A0B1D" w:rsidRDefault="00A9404A" w:rsidP="00A9404A">
      <w:pPr>
        <w:spacing w:line="360" w:lineRule="auto"/>
        <w:jc w:val="both"/>
      </w:pPr>
      <w:r w:rsidRPr="007A0B1D">
        <w:t>E’ un biomarker che agisce su cellule tumorali e infettate da virus inducendo l'attiv</w:t>
      </w:r>
      <w:r w:rsidRPr="007A0B1D">
        <w:t>a</w:t>
      </w:r>
      <w:r w:rsidRPr="007A0B1D">
        <w:t xml:space="preserve">zione di caspasi e proteasi che sono i principali mediatori dell'apoptosi ed è a questa proprietà che deve il suo nome </w:t>
      </w:r>
      <w:r w:rsidRPr="007A0B1D">
        <w:rPr>
          <w:vertAlign w:val="superscript"/>
        </w:rPr>
        <w:t>(333)</w:t>
      </w:r>
      <w:r w:rsidRPr="007A0B1D">
        <w:t>. E' considerato il principale mediatore della r</w:t>
      </w:r>
      <w:r w:rsidRPr="007A0B1D">
        <w:t>i</w:t>
      </w:r>
      <w:r w:rsidRPr="007A0B1D">
        <w:t xml:space="preserve">sposta infiammatoria acuta e viene prodotto da un’ampia gamma di cellule </w:t>
      </w:r>
      <w:r w:rsidRPr="007A0B1D">
        <w:lastRenderedPageBreak/>
        <w:t>dell’immunità innata ed acquisita, come macrofagi, linfociti T, mastociti, cellule e</w:t>
      </w:r>
      <w:r w:rsidRPr="007A0B1D">
        <w:t>n</w:t>
      </w:r>
      <w:r w:rsidRPr="007A0B1D">
        <w:t>doteliali, linfociti B e fibroblasti, conseguentemente a qualunque insulto cellul</w:t>
      </w:r>
      <w:r w:rsidRPr="007A0B1D">
        <w:t>a</w:t>
      </w:r>
      <w:r w:rsidRPr="007A0B1D">
        <w:t>re/tissutale, ma in modo particolare dalla presenza dei lipolisaccaridi dei batteri Gram negativi. Stimola le cellule endoteliali ad esprimere le molecole di adesione sulla loro superficie aumentando l'adesione dei leucociti, processo che prende il n</w:t>
      </w:r>
      <w:r w:rsidRPr="007A0B1D">
        <w:t>o</w:t>
      </w:r>
      <w:r w:rsidRPr="007A0B1D">
        <w:t>me di “rolling neutrophil”; promuove quindi il reclutamento e l'attivazione dei ne</w:t>
      </w:r>
      <w:r w:rsidRPr="007A0B1D">
        <w:t>u</w:t>
      </w:r>
      <w:r w:rsidRPr="007A0B1D">
        <w:t>trofili e dei macrofagi nel sito di infiammazione, ne potenzia l'attività microbicida e promuove la sintesi di altri mediatori dell'infiammazione (IL-1, NOS-2, COX-2, ult</w:t>
      </w:r>
      <w:r w:rsidRPr="007A0B1D">
        <w:t>e</w:t>
      </w:r>
      <w:r w:rsidRPr="007A0B1D">
        <w:t xml:space="preserve">riore TNF-α) amplificando così il processo flogistico. A livello epatico stimola la sintesi di proteine della fase acuta. Induce anche la produzione di IL-2 nei linfociti T </w:t>
      </w:r>
      <w:r w:rsidRPr="007A0B1D">
        <w:rPr>
          <w:vertAlign w:val="superscript"/>
        </w:rPr>
        <w:t>(334)</w:t>
      </w:r>
      <w:r w:rsidRPr="007A0B1D">
        <w:t xml:space="preserve"> che svolge un ruolo fondamentale nella regolazione dell'immunità specifica. Il TNF-α risulta molto importante per i meccanismi di difesa dell'organismo volti a confinare e neutralizzare l'agente patogeno, pertanto da noi studiato, in quanto fr</w:t>
      </w:r>
      <w:r w:rsidRPr="007A0B1D">
        <w:t>e</w:t>
      </w:r>
      <w:r w:rsidRPr="007A0B1D">
        <w:t>quenti le sovrinfezioni batteriche nelle ulcere del piede diabetico, correlate ad un ta</w:t>
      </w:r>
      <w:r w:rsidRPr="007A0B1D">
        <w:t>s</w:t>
      </w:r>
      <w:r w:rsidRPr="007A0B1D">
        <w:t xml:space="preserve">so di elevata mortalità dove proprio il TNF-a può esplicare la sua azione, in quanto in corso di sepsi si verifica una liberazione massiva di TNF-α; pertanto questa citochina diventa responsabile di shock e coagulazione intravasale disseminata. </w:t>
      </w:r>
      <w:r w:rsidRPr="007A0B1D">
        <w:rPr>
          <w:vertAlign w:val="superscript"/>
        </w:rPr>
        <w:t xml:space="preserve">(335) </w:t>
      </w:r>
    </w:p>
    <w:p w14:paraId="5C31FD60" w14:textId="77777777" w:rsidR="00A9404A" w:rsidRPr="007A0B1D" w:rsidRDefault="00A9404A" w:rsidP="00A9404A">
      <w:pPr>
        <w:spacing w:line="360" w:lineRule="auto"/>
        <w:jc w:val="both"/>
        <w:rPr>
          <w:b/>
        </w:rPr>
      </w:pPr>
    </w:p>
    <w:p w14:paraId="04D22E69" w14:textId="77777777" w:rsidR="00A9404A" w:rsidRPr="007A0B1D" w:rsidRDefault="00A9404A" w:rsidP="00A9404A">
      <w:pPr>
        <w:spacing w:line="360" w:lineRule="auto"/>
        <w:jc w:val="both"/>
        <w:rPr>
          <w:b/>
        </w:rPr>
      </w:pPr>
      <w:r w:rsidRPr="007A0B1D">
        <w:rPr>
          <w:b/>
        </w:rPr>
        <w:t xml:space="preserve">5.6 VEGF – fattore di crescita per l’endotelio vascolare </w:t>
      </w:r>
    </w:p>
    <w:p w14:paraId="0E4B2027" w14:textId="77777777" w:rsidR="00A9404A" w:rsidRPr="007A0B1D" w:rsidRDefault="00A9404A" w:rsidP="00A9404A">
      <w:pPr>
        <w:spacing w:line="360" w:lineRule="auto"/>
        <w:jc w:val="both"/>
      </w:pPr>
      <w:r w:rsidRPr="007A0B1D">
        <w:t xml:space="preserve">Nei mammiferi, la famiglia del VEGF include VEGF-A, VEGF-B, VEGF-C, VEGF-D, VEGF-E, VEGF-F e il fattore di crescita placentare (PlGF) </w:t>
      </w:r>
      <w:r w:rsidRPr="007A0B1D">
        <w:rPr>
          <w:vertAlign w:val="superscript"/>
        </w:rPr>
        <w:t>(336).</w:t>
      </w:r>
      <w:r w:rsidRPr="007A0B1D">
        <w:t xml:space="preserve"> Il gene codifica</w:t>
      </w:r>
      <w:r w:rsidRPr="007A0B1D">
        <w:t>n</w:t>
      </w:r>
      <w:r w:rsidRPr="007A0B1D">
        <w:t xml:space="preserve">te VEGF umano consiste di otto esoni separati da sette introni </w:t>
      </w:r>
      <w:r w:rsidRPr="007A0B1D">
        <w:rPr>
          <w:vertAlign w:val="superscript"/>
        </w:rPr>
        <w:t>(336)</w:t>
      </w:r>
      <w:r w:rsidRPr="007A0B1D">
        <w:t>. Il VEGF, in part</w:t>
      </w:r>
      <w:r w:rsidRPr="007A0B1D">
        <w:t>i</w:t>
      </w:r>
      <w:r w:rsidRPr="007A0B1D">
        <w:t>colar modo il VEGF-A è conosciuto come fattore vasodilatatore che aumenta la pe</w:t>
      </w:r>
      <w:r w:rsidRPr="007A0B1D">
        <w:t>r</w:t>
      </w:r>
      <w:r w:rsidRPr="007A0B1D">
        <w:t xml:space="preserve">meabilità vascolare </w:t>
      </w:r>
      <w:r w:rsidRPr="007A0B1D">
        <w:rPr>
          <w:vertAlign w:val="superscript"/>
        </w:rPr>
        <w:t>(337)</w:t>
      </w:r>
      <w:r w:rsidRPr="007A0B1D">
        <w:t xml:space="preserve"> ed è stato dimostrato che ha un ruolo chiave nell’angiogenesi in quanto può agire direttamente sulle cellule endoteliali. In particolare, il VEGF promuove la crescita, la proliferazione, la migrazione, la formazione di nuovi vasi  e la sopravvivenza delle cellule endoteliali </w:t>
      </w:r>
      <w:r w:rsidRPr="007A0B1D">
        <w:rPr>
          <w:vertAlign w:val="superscript"/>
        </w:rPr>
        <w:t>(338)</w:t>
      </w:r>
      <w:r w:rsidRPr="007A0B1D">
        <w:t>.</w:t>
      </w:r>
    </w:p>
    <w:p w14:paraId="731D3FDF" w14:textId="77777777" w:rsidR="00A9404A" w:rsidRPr="007A0B1D" w:rsidRDefault="00A9404A" w:rsidP="00A9404A">
      <w:pPr>
        <w:spacing w:line="360" w:lineRule="auto"/>
        <w:jc w:val="both"/>
      </w:pPr>
      <w:r w:rsidRPr="007A0B1D">
        <w:t xml:space="preserve">I recettori del VEGF sono formati da 7 domini extracellulari, un singolo dominio transmembrana ed un dominio conservato intracellulare </w:t>
      </w:r>
      <w:r w:rsidRPr="007A0B1D">
        <w:rPr>
          <w:vertAlign w:val="superscript"/>
        </w:rPr>
        <w:t xml:space="preserve">(339) </w:t>
      </w:r>
      <w:r w:rsidRPr="007A0B1D">
        <w:t>e sono tipici recettori con attività tirosina chinasica. L’attivazione dei recettori del VEGF richiede dimeri</w:t>
      </w:r>
      <w:r w:rsidRPr="007A0B1D">
        <w:t>z</w:t>
      </w:r>
      <w:r w:rsidRPr="007A0B1D">
        <w:t xml:space="preserve">zazione e, in parallelo, autofosforilazione dei residui tirosinici. I recettori del VEGF, in particolare VEGFR-1 e VEGFR-2 sono espressi da vari tipi cellulari come ad esempio le cellule endoteliali </w:t>
      </w:r>
      <w:r w:rsidRPr="007A0B1D">
        <w:rPr>
          <w:vertAlign w:val="superscript"/>
        </w:rPr>
        <w:t>(340)</w:t>
      </w:r>
      <w:r w:rsidRPr="007A0B1D">
        <w:t xml:space="preserve">. La differenza principale tra il VEGFR-1 ed il VEGFR-2 sta nel fatto che il VEGFR-2 media i segnali funzionali del VEGF nelle </w:t>
      </w:r>
      <w:r w:rsidRPr="007A0B1D">
        <w:lastRenderedPageBreak/>
        <w:t xml:space="preserve">cellule endoteliali favorendone la sopravvivenza, la proliferazione e la migrazione </w:t>
      </w:r>
      <w:r w:rsidRPr="007A0B1D">
        <w:rPr>
          <w:vertAlign w:val="superscript"/>
        </w:rPr>
        <w:t>(341)</w:t>
      </w:r>
      <w:r w:rsidRPr="007A0B1D">
        <w:t>, mentre invece resta controversa la funzione che il VEGFR-1 svolge nella segn</w:t>
      </w:r>
      <w:r w:rsidRPr="007A0B1D">
        <w:t>a</w:t>
      </w:r>
      <w:r w:rsidRPr="007A0B1D">
        <w:t>lazione del VEGF nelle cellule endoteliali. Alcuni studi suggeriscono che nelle cell</w:t>
      </w:r>
      <w:r w:rsidRPr="007A0B1D">
        <w:t>u</w:t>
      </w:r>
      <w:r w:rsidRPr="007A0B1D">
        <w:t xml:space="preserve">le endoteliali VEGFR-1 funzioni da regolatore negativo di VEGFR-2 </w:t>
      </w:r>
      <w:r w:rsidRPr="007A0B1D">
        <w:rPr>
          <w:vertAlign w:val="superscript"/>
        </w:rPr>
        <w:t xml:space="preserve">(338) </w:t>
      </w:r>
      <w:r w:rsidRPr="007A0B1D">
        <w:t>sequ</w:t>
      </w:r>
      <w:r w:rsidRPr="007A0B1D">
        <w:t>e</w:t>
      </w:r>
      <w:r w:rsidRPr="007A0B1D">
        <w:t xml:space="preserve">strando l’eccesso di VEGF (a cui si lega con maggiore affinità) e riducendo così la sua disponibilità a legare VEGFR-2. </w:t>
      </w:r>
    </w:p>
    <w:p w14:paraId="585350E7" w14:textId="77777777" w:rsidR="00A9404A" w:rsidRPr="007A0B1D" w:rsidRDefault="00A9404A" w:rsidP="00A9404A">
      <w:pPr>
        <w:spacing w:line="360" w:lineRule="auto"/>
        <w:jc w:val="both"/>
        <w:rPr>
          <w:b/>
        </w:rPr>
      </w:pPr>
    </w:p>
    <w:p w14:paraId="0F539493" w14:textId="77777777" w:rsidR="00A9404A" w:rsidRPr="007A0B1D" w:rsidRDefault="00A9404A" w:rsidP="00A9404A">
      <w:pPr>
        <w:spacing w:line="360" w:lineRule="auto"/>
        <w:jc w:val="both"/>
        <w:rPr>
          <w:b/>
        </w:rPr>
      </w:pPr>
      <w:r w:rsidRPr="007A0B1D">
        <w:rPr>
          <w:b/>
        </w:rPr>
        <w:t>5.7 E-NOS</w:t>
      </w:r>
    </w:p>
    <w:p w14:paraId="14777909" w14:textId="77777777" w:rsidR="00A9404A" w:rsidRPr="007A0B1D" w:rsidRDefault="00A9404A" w:rsidP="00A9404A">
      <w:pPr>
        <w:spacing w:line="360" w:lineRule="auto"/>
        <w:jc w:val="both"/>
        <w:rPr>
          <w:bCs/>
        </w:rPr>
      </w:pPr>
      <w:r w:rsidRPr="007A0B1D">
        <w:rPr>
          <w:bCs/>
        </w:rPr>
        <w:t xml:space="preserve">L’ossido nitrico (NO) è un radicale libero </w:t>
      </w:r>
      <w:r w:rsidRPr="007A0B1D">
        <w:rPr>
          <w:bCs/>
          <w:vertAlign w:val="superscript"/>
        </w:rPr>
        <w:t>(342)</w:t>
      </w:r>
      <w:r w:rsidRPr="007A0B1D">
        <w:rPr>
          <w:bCs/>
        </w:rPr>
        <w:t>, il cui ruolo vasodilatante è stato pr</w:t>
      </w:r>
      <w:r w:rsidRPr="007A0B1D">
        <w:rPr>
          <w:bCs/>
        </w:rPr>
        <w:t>o</w:t>
      </w:r>
      <w:r w:rsidRPr="007A0B1D">
        <w:rPr>
          <w:bCs/>
        </w:rPr>
        <w:t xml:space="preserve">posto dapprima da Robert Furchgott e Louis Ignarro nel 1986 e successivamente confermato dagli studi scientifici </w:t>
      </w:r>
      <w:r w:rsidRPr="007A0B1D">
        <w:rPr>
          <w:bCs/>
          <w:vertAlign w:val="superscript"/>
        </w:rPr>
        <w:t>(344-345)</w:t>
      </w:r>
      <w:r w:rsidRPr="007A0B1D">
        <w:rPr>
          <w:bCs/>
        </w:rPr>
        <w:t xml:space="preserve">. E’ stata così la prima molecola gassosa ad essere riconosciuta come un mediatore intracellulare </w:t>
      </w:r>
      <w:r w:rsidRPr="007A0B1D">
        <w:rPr>
          <w:bCs/>
          <w:vertAlign w:val="superscript"/>
        </w:rPr>
        <w:t>(346)</w:t>
      </w:r>
      <w:r w:rsidRPr="007A0B1D">
        <w:rPr>
          <w:bCs/>
        </w:rPr>
        <w:t>. Successivamente l’attenzione venne rivolta verso il suo ruolo di regolazione del sistema cardiovascol</w:t>
      </w:r>
      <w:r w:rsidRPr="007A0B1D">
        <w:rPr>
          <w:bCs/>
        </w:rPr>
        <w:t>a</w:t>
      </w:r>
      <w:r w:rsidRPr="007A0B1D">
        <w:rPr>
          <w:bCs/>
        </w:rPr>
        <w:t>re, in quanto anomalie nella sua produzione e/o biodisponibilità si correlano a pat</w:t>
      </w:r>
      <w:r w:rsidRPr="007A0B1D">
        <w:rPr>
          <w:bCs/>
        </w:rPr>
        <w:t>o</w:t>
      </w:r>
      <w:r w:rsidRPr="007A0B1D">
        <w:rPr>
          <w:bCs/>
        </w:rPr>
        <w:t xml:space="preserve">logie quali l’ipertensione, aterosclerosi e disturbi associati all’angiogenesi. </w:t>
      </w:r>
      <w:r w:rsidRPr="007A0B1D">
        <w:rPr>
          <w:bCs/>
          <w:vertAlign w:val="superscript"/>
        </w:rPr>
        <w:t>(347)</w:t>
      </w:r>
      <w:r w:rsidRPr="007A0B1D">
        <w:rPr>
          <w:bCs/>
        </w:rPr>
        <w:t xml:space="preserve">. </w:t>
      </w:r>
    </w:p>
    <w:p w14:paraId="466B197F" w14:textId="77777777" w:rsidR="00A9404A" w:rsidRPr="007A0B1D" w:rsidRDefault="00A9404A" w:rsidP="00A9404A">
      <w:pPr>
        <w:spacing w:line="360" w:lineRule="auto"/>
        <w:jc w:val="both"/>
        <w:rPr>
          <w:bCs/>
        </w:rPr>
      </w:pPr>
      <w:r w:rsidRPr="007A0B1D">
        <w:rPr>
          <w:bCs/>
        </w:rPr>
        <w:t xml:space="preserve">I vasi sanguigni sono composti da 3 tuniche; uno strato endoteliale -il quale gioca un ruolo nella regolazione dinamica del vaso sanguigno attraverso il rilascio di ossido nitrico </w:t>
      </w:r>
      <w:r w:rsidRPr="007A0B1D">
        <w:rPr>
          <w:bCs/>
          <w:vertAlign w:val="superscript"/>
        </w:rPr>
        <w:t>(348)</w:t>
      </w:r>
      <w:r w:rsidRPr="007A0B1D">
        <w:rPr>
          <w:bCs/>
        </w:rPr>
        <w:t xml:space="preserve"> -, uno strato di cellule muscolari lisce contrattili, anche esse partecipanti al meccanismo della vasodilatazione ed infine la tunica esterna, prevalentemente composta da fibroblasti e fibre collagene </w:t>
      </w:r>
      <w:r w:rsidRPr="007A0B1D">
        <w:rPr>
          <w:bCs/>
          <w:vertAlign w:val="superscript"/>
        </w:rPr>
        <w:t>(349)</w:t>
      </w:r>
      <w:r w:rsidRPr="007A0B1D">
        <w:rPr>
          <w:bCs/>
          <w:noProof/>
        </w:rPr>
        <w:drawing>
          <wp:anchor distT="0" distB="0" distL="114300" distR="114300" simplePos="0" relativeHeight="251688960" behindDoc="0" locked="0" layoutInCell="1" allowOverlap="1" wp14:anchorId="343208C0" wp14:editId="7E867FCB">
            <wp:simplePos x="0" y="0"/>
            <wp:positionH relativeFrom="column">
              <wp:posOffset>844732</wp:posOffset>
            </wp:positionH>
            <wp:positionV relativeFrom="paragraph">
              <wp:posOffset>2889613</wp:posOffset>
            </wp:positionV>
            <wp:extent cx="3053080" cy="2054860"/>
            <wp:effectExtent l="0" t="0" r="0" b="2540"/>
            <wp:wrapTopAndBottom/>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2"/>
                    <pic:cNvPicPr/>
                  </pic:nvPicPr>
                  <pic:blipFill>
                    <a:blip r:embed="rId26"/>
                    <a:stretch>
                      <a:fillRect/>
                    </a:stretch>
                  </pic:blipFill>
                  <pic:spPr>
                    <a:xfrm>
                      <a:off x="0" y="0"/>
                      <a:ext cx="3053080" cy="2054860"/>
                    </a:xfrm>
                    <a:prstGeom prst="rect">
                      <a:avLst/>
                    </a:prstGeom>
                  </pic:spPr>
                </pic:pic>
              </a:graphicData>
            </a:graphic>
            <wp14:sizeRelH relativeFrom="page">
              <wp14:pctWidth>0</wp14:pctWidth>
            </wp14:sizeRelH>
            <wp14:sizeRelV relativeFrom="page">
              <wp14:pctHeight>0</wp14:pctHeight>
            </wp14:sizeRelV>
          </wp:anchor>
        </w:drawing>
      </w:r>
      <w:r w:rsidRPr="007A0B1D">
        <w:rPr>
          <w:bCs/>
        </w:rPr>
        <w:t xml:space="preserve">. Nei vasi sanguigni l’ossido nitrico è prodotto principalmente da un’enzima, l’ossido nitrico sintasi più in particolare dalla isoforma endoteliale (ENOS – endotelial NO sintase) </w:t>
      </w:r>
      <w:r w:rsidRPr="007A0B1D">
        <w:rPr>
          <w:bCs/>
          <w:vertAlign w:val="superscript"/>
        </w:rPr>
        <w:t>(350)</w:t>
      </w:r>
      <w:r w:rsidRPr="007A0B1D">
        <w:rPr>
          <w:bCs/>
        </w:rPr>
        <w:t xml:space="preserve">. Il principale meccanismo con cui l’eNOS (o NOS-3) sintentizza l’ossido nitrico si realizza utilizzando come substrato la L-arginina </w:t>
      </w:r>
      <w:r w:rsidRPr="007A0B1D">
        <w:rPr>
          <w:bCs/>
          <w:vertAlign w:val="superscript"/>
        </w:rPr>
        <w:t>(351)</w:t>
      </w:r>
      <w:r w:rsidRPr="007A0B1D">
        <w:rPr>
          <w:bCs/>
        </w:rPr>
        <w:t xml:space="preserve">, attraverso una reazione che richiede la presenza di vari co-fattori, come la BH4 (tetraidrobiopterina), flavina adenina dinucleotide, flavina </w:t>
      </w:r>
      <w:r w:rsidRPr="007A0B1D">
        <w:rPr>
          <w:bCs/>
        </w:rPr>
        <w:lastRenderedPageBreak/>
        <w:t xml:space="preserve">mononucleotide, calmodula e la protoporfirina 9 </w:t>
      </w:r>
      <w:r w:rsidRPr="007A0B1D">
        <w:rPr>
          <w:bCs/>
          <w:vertAlign w:val="superscript"/>
        </w:rPr>
        <w:t>(352)</w:t>
      </w:r>
      <w:r w:rsidRPr="007A0B1D">
        <w:rPr>
          <w:bCs/>
        </w:rPr>
        <w:t xml:space="preserve">. L’attività dell’eNOS, quindi la produzione dell’ossido nitrico, può essere stimolata o riverberata da diversi fattori, come lo stress di parete </w:t>
      </w:r>
      <w:r w:rsidRPr="007A0B1D">
        <w:rPr>
          <w:bCs/>
          <w:vertAlign w:val="superscript"/>
        </w:rPr>
        <w:t>(352)</w:t>
      </w:r>
      <w:r w:rsidRPr="007A0B1D">
        <w:rPr>
          <w:bCs/>
        </w:rPr>
        <w:t xml:space="preserve">, acetilcolina, bradichinina, istamina e il 17-beta-estradiolo , maniera sia calcio-dipendente che calcio-indipendente </w:t>
      </w:r>
      <w:r w:rsidRPr="007A0B1D">
        <w:rPr>
          <w:bCs/>
          <w:vertAlign w:val="superscript"/>
        </w:rPr>
        <w:t>(353)</w:t>
      </w:r>
      <w:r w:rsidRPr="007A0B1D">
        <w:rPr>
          <w:bCs/>
        </w:rPr>
        <w:t>. Alcuni dei suddetti agonisti, agiscono in un recettore specifico della cellula endoteliale, incr</w:t>
      </w:r>
      <w:r w:rsidRPr="007A0B1D">
        <w:rPr>
          <w:bCs/>
        </w:rPr>
        <w:t>e</w:t>
      </w:r>
      <w:r w:rsidRPr="007A0B1D">
        <w:rPr>
          <w:bCs/>
        </w:rPr>
        <w:t>mentando la concentrazione di calcio intracellulare, il quale si legherà alla calmod</w:t>
      </w:r>
      <w:r w:rsidRPr="007A0B1D">
        <w:rPr>
          <w:bCs/>
        </w:rPr>
        <w:t>u</w:t>
      </w:r>
      <w:r w:rsidRPr="007A0B1D">
        <w:rPr>
          <w:bCs/>
        </w:rPr>
        <w:t xml:space="preserve">lina e potrà attivare l’eNOS andandosi a legare ad un dominio specifico </w:t>
      </w:r>
      <w:r w:rsidRPr="007A0B1D">
        <w:rPr>
          <w:bCs/>
          <w:vertAlign w:val="superscript"/>
        </w:rPr>
        <w:t>(354)</w:t>
      </w:r>
      <w:r w:rsidRPr="007A0B1D">
        <w:rPr>
          <w:bCs/>
        </w:rPr>
        <w:t>. Altri meccanismi di regolazione dei livelli di produzione del NO sono legati alla dispon</w:t>
      </w:r>
      <w:r w:rsidRPr="007A0B1D">
        <w:rPr>
          <w:bCs/>
        </w:rPr>
        <w:t>i</w:t>
      </w:r>
      <w:r w:rsidRPr="007A0B1D">
        <w:rPr>
          <w:bCs/>
        </w:rPr>
        <w:t>bilità di nitriti e nitrati, i quali agiscono da reservoir e che tramite l’azione del cit</w:t>
      </w:r>
      <w:r w:rsidRPr="007A0B1D">
        <w:rPr>
          <w:bCs/>
        </w:rPr>
        <w:t>o</w:t>
      </w:r>
      <w:r w:rsidRPr="007A0B1D">
        <w:rPr>
          <w:bCs/>
        </w:rPr>
        <w:t xml:space="preserve">cromo P450 sono trasformati in ossido nitrico </w:t>
      </w:r>
      <w:r w:rsidRPr="007A0B1D">
        <w:rPr>
          <w:bCs/>
          <w:vertAlign w:val="superscript"/>
        </w:rPr>
        <w:t>(355)</w:t>
      </w:r>
      <w:r w:rsidRPr="007A0B1D">
        <w:rPr>
          <w:bCs/>
        </w:rPr>
        <w:t xml:space="preserve"> e la presenza delle ciclossigenasi, che con produzione di radicali reattivi dell’ossigeno (ROS), ne contastano l’azione. Un’ulteriore causa di relativa alla diminuita produzione di NO potrebbe essere dov</w:t>
      </w:r>
      <w:r w:rsidRPr="007A0B1D">
        <w:rPr>
          <w:bCs/>
        </w:rPr>
        <w:t>u</w:t>
      </w:r>
      <w:r w:rsidRPr="007A0B1D">
        <w:rPr>
          <w:bCs/>
        </w:rPr>
        <w:t>ta alla riduzione di eNOS . Tuttavia, la disfunzione endoteliale è associata ad un a</w:t>
      </w:r>
      <w:r w:rsidRPr="007A0B1D">
        <w:rPr>
          <w:bCs/>
        </w:rPr>
        <w:t>u</w:t>
      </w:r>
      <w:r w:rsidRPr="007A0B1D">
        <w:rPr>
          <w:bCs/>
        </w:rPr>
        <w:t xml:space="preserve">mento piuttosto che una diminuzione dell’espressione di eNOS </w:t>
      </w:r>
      <w:r w:rsidRPr="007A0B1D">
        <w:rPr>
          <w:bCs/>
          <w:vertAlign w:val="superscript"/>
        </w:rPr>
        <w:t>(356)</w:t>
      </w:r>
      <w:r w:rsidRPr="007A0B1D">
        <w:rPr>
          <w:bCs/>
        </w:rPr>
        <w:t>. L’upregolazione di eNOS in situazioni endoteliali è verosimilmente conseguenza dell’elevata prod</w:t>
      </w:r>
      <w:r w:rsidRPr="007A0B1D">
        <w:rPr>
          <w:bCs/>
        </w:rPr>
        <w:t>u</w:t>
      </w:r>
      <w:r w:rsidRPr="007A0B1D">
        <w:rPr>
          <w:bCs/>
        </w:rPr>
        <w:t>zione di radicali dell’ossigeno, i sopracitati ROS, che attraverso la dismutazione dell’O</w:t>
      </w:r>
      <w:r w:rsidRPr="007A0B1D">
        <w:rPr>
          <w:bCs/>
          <w:vertAlign w:val="subscript"/>
        </w:rPr>
        <w:t>2</w:t>
      </w:r>
      <w:r w:rsidRPr="007A0B1D">
        <w:rPr>
          <w:bCs/>
        </w:rPr>
        <w:t xml:space="preserve">, possono aumentare la presenza proteica dell’eNOS agendo direttamente sull’emivita del suo mRNA </w:t>
      </w:r>
      <w:r w:rsidRPr="007A0B1D">
        <w:rPr>
          <w:bCs/>
          <w:vertAlign w:val="superscript"/>
        </w:rPr>
        <w:t>(357)</w:t>
      </w:r>
      <w:r w:rsidRPr="007A0B1D">
        <w:rPr>
          <w:bCs/>
        </w:rPr>
        <w:t>. Questo fenomeno paradosso è stato segnalato in p</w:t>
      </w:r>
      <w:r w:rsidRPr="007A0B1D">
        <w:rPr>
          <w:bCs/>
        </w:rPr>
        <w:t>a</w:t>
      </w:r>
      <w:r w:rsidRPr="007A0B1D">
        <w:rPr>
          <w:bCs/>
        </w:rPr>
        <w:t xml:space="preserve">zienti ipertesi con disfunzione endoteliale , ipercolesterolemia o diabete mellito </w:t>
      </w:r>
      <w:r w:rsidRPr="007A0B1D">
        <w:rPr>
          <w:bCs/>
          <w:vertAlign w:val="superscript"/>
        </w:rPr>
        <w:t>(358)</w:t>
      </w:r>
      <w:r w:rsidRPr="007A0B1D">
        <w:rPr>
          <w:bCs/>
        </w:rPr>
        <w:t xml:space="preserve">.  </w:t>
      </w:r>
    </w:p>
    <w:p w14:paraId="15BE0511" w14:textId="77777777" w:rsidR="00A9404A" w:rsidRPr="007A0B1D" w:rsidRDefault="00A9404A" w:rsidP="00A9404A">
      <w:pPr>
        <w:spacing w:line="360" w:lineRule="auto"/>
        <w:jc w:val="both"/>
        <w:rPr>
          <w:b/>
        </w:rPr>
      </w:pPr>
    </w:p>
    <w:p w14:paraId="35D50E2E" w14:textId="77777777" w:rsidR="00A9404A" w:rsidRPr="007A0B1D" w:rsidRDefault="00A9404A" w:rsidP="00A9404A">
      <w:pPr>
        <w:spacing w:line="360" w:lineRule="auto"/>
        <w:jc w:val="both"/>
        <w:rPr>
          <w:b/>
        </w:rPr>
      </w:pPr>
      <w:r w:rsidRPr="007A0B1D">
        <w:rPr>
          <w:b/>
        </w:rPr>
        <w:t>5.8 HIF – fattore indotto dall’ipossia</w:t>
      </w:r>
    </w:p>
    <w:p w14:paraId="498DCC9B" w14:textId="77777777" w:rsidR="00A9404A" w:rsidRPr="007A0B1D" w:rsidRDefault="00A9404A" w:rsidP="00A9404A">
      <w:pPr>
        <w:spacing w:line="360" w:lineRule="auto"/>
        <w:jc w:val="both"/>
      </w:pPr>
      <w:r w:rsidRPr="007A0B1D">
        <w:t>Il termine ipossia indica uno stato di insufficiente disponibilità di ossigeno nell’ambiente cellulare; tale condizione può interessare l’intero organismo in situ</w:t>
      </w:r>
      <w:r w:rsidRPr="007A0B1D">
        <w:t>a</w:t>
      </w:r>
      <w:r w:rsidRPr="007A0B1D">
        <w:t>zioni di bassa concentrazione dell’ossigeno nell’ambiente circostante (come ad esempio accade ad altitudine elevata) o può instaurarsi in una delimitata area di te</w:t>
      </w:r>
      <w:r w:rsidRPr="007A0B1D">
        <w:t>s</w:t>
      </w:r>
      <w:r w:rsidRPr="007A0B1D">
        <w:t xml:space="preserve">suto come conseguenza di un’ischemia o di crescita neoplastica </w:t>
      </w:r>
      <w:r w:rsidRPr="007A0B1D">
        <w:rPr>
          <w:vertAlign w:val="superscript"/>
        </w:rPr>
        <w:t>(359)</w:t>
      </w:r>
      <w:r w:rsidRPr="007A0B1D">
        <w:t>. Considerata la vitale importanza dell’ossigeno per il metabolismo cellulare aerobico, in tutti gli o</w:t>
      </w:r>
      <w:r w:rsidRPr="007A0B1D">
        <w:t>r</w:t>
      </w:r>
      <w:r w:rsidRPr="007A0B1D">
        <w:t>ganismi animali si sono evoluti complessi meccanismi omeostatici al fine di contr</w:t>
      </w:r>
      <w:r w:rsidRPr="007A0B1D">
        <w:t>a</w:t>
      </w:r>
      <w:r w:rsidRPr="007A0B1D">
        <w:t>stare l’ipossia. Nonostante sia nota l’esistenza di alcune cellule specializzate nella valutazione dei livelli di ossigeno, tutte le cellule di mammifero sono in grado di re</w:t>
      </w:r>
      <w:r w:rsidRPr="007A0B1D">
        <w:t>a</w:t>
      </w:r>
      <w:r w:rsidRPr="007A0B1D">
        <w:t>gire a una condizione locale di ipossia mediante l’attivazione di una cascata trascr</w:t>
      </w:r>
      <w:r w:rsidRPr="007A0B1D">
        <w:t>i</w:t>
      </w:r>
      <w:r w:rsidRPr="007A0B1D">
        <w:t xml:space="preserve">zionale che coinvolge numerose vie metaboliche. Questo fenomeno si attua in poche ore ed è fondamentale per tutto l’organismo, tanto da essere coinvolto in numerosi processi fisiologici e patologici </w:t>
      </w:r>
      <w:r w:rsidRPr="007A0B1D">
        <w:rPr>
          <w:vertAlign w:val="superscript"/>
        </w:rPr>
        <w:t>(360)</w:t>
      </w:r>
      <w:r w:rsidRPr="007A0B1D">
        <w:t>. Numerose evidenze sperimentali e l’analisi a</w:t>
      </w:r>
      <w:r w:rsidRPr="007A0B1D">
        <w:t>p</w:t>
      </w:r>
      <w:r w:rsidRPr="007A0B1D">
        <w:lastRenderedPageBreak/>
        <w:t>profondita della patofisiologia delle malattie vascolari e neoplastiche hanno perme</w:t>
      </w:r>
      <w:r w:rsidRPr="007A0B1D">
        <w:t>s</w:t>
      </w:r>
      <w:r w:rsidRPr="007A0B1D">
        <w:t>so di individuare nella disponibilità di ossigeno un importante elemento regolatore dell’angiogenesi, metabolismo del glucosio, metabolismo del ferro e sopravvive</w:t>
      </w:r>
      <w:r w:rsidRPr="007A0B1D">
        <w:t>n</w:t>
      </w:r>
      <w:r w:rsidRPr="007A0B1D">
        <w:t xml:space="preserve">za/proliferazione cellulare. </w:t>
      </w:r>
      <w:r w:rsidRPr="007A0B1D">
        <w:rPr>
          <w:vertAlign w:val="superscript"/>
        </w:rPr>
        <w:t xml:space="preserve">(361) </w:t>
      </w:r>
    </w:p>
    <w:p w14:paraId="5FEF449A" w14:textId="77777777" w:rsidR="00A9404A" w:rsidRPr="007A0B1D" w:rsidRDefault="00A9404A" w:rsidP="00A9404A">
      <w:pPr>
        <w:spacing w:line="360" w:lineRule="auto"/>
        <w:jc w:val="both"/>
      </w:pPr>
      <w:r w:rsidRPr="007A0B1D">
        <w:t xml:space="preserve">Sebbene i sistemi di adattamento siano complessi e ancora non del tutto chiari </w:t>
      </w:r>
      <w:r w:rsidRPr="007A0B1D">
        <w:rPr>
          <w:vertAlign w:val="superscript"/>
        </w:rPr>
        <w:t xml:space="preserve">(362) </w:t>
      </w:r>
      <w:r w:rsidRPr="007A0B1D">
        <w:t>La comprensione dei meccanismi che regolano i processi cellulari promossi dall’ipossia potrebbero quindi assumere un ruolo molto importante nello sviluppo di strategie t</w:t>
      </w:r>
      <w:r w:rsidRPr="007A0B1D">
        <w:t>e</w:t>
      </w:r>
      <w:r w:rsidRPr="007A0B1D">
        <w:t xml:space="preserve">rapeutiche volte a contrastare importanti patologie come ad esempio vasculopatia diabetica, retinopatie proliferative e tumori </w:t>
      </w:r>
      <w:r w:rsidRPr="007A0B1D">
        <w:rPr>
          <w:vertAlign w:val="superscript"/>
        </w:rPr>
        <w:t>(363)</w:t>
      </w:r>
      <w:r w:rsidRPr="007A0B1D">
        <w:t xml:space="preserve">. </w:t>
      </w:r>
    </w:p>
    <w:p w14:paraId="228BCD9F" w14:textId="77777777" w:rsidR="00A9404A" w:rsidRDefault="00A9404A" w:rsidP="00A9404A">
      <w:pPr>
        <w:spacing w:line="360" w:lineRule="auto"/>
        <w:jc w:val="both"/>
      </w:pPr>
    </w:p>
    <w:p w14:paraId="47AF4B7B" w14:textId="77777777" w:rsidR="007D14DC" w:rsidRPr="007A0B1D" w:rsidRDefault="007D14DC" w:rsidP="00A9404A">
      <w:pPr>
        <w:spacing w:line="360" w:lineRule="auto"/>
        <w:jc w:val="both"/>
        <w:rPr>
          <w:b/>
          <w:bCs/>
        </w:rPr>
      </w:pPr>
    </w:p>
    <w:p w14:paraId="685C082D" w14:textId="77777777" w:rsidR="00A9404A" w:rsidRPr="007A0B1D" w:rsidRDefault="00A9404A" w:rsidP="00A9404A">
      <w:pPr>
        <w:spacing w:line="360" w:lineRule="auto"/>
        <w:jc w:val="both"/>
        <w:rPr>
          <w:b/>
          <w:bCs/>
        </w:rPr>
      </w:pPr>
      <w:r w:rsidRPr="007A0B1D">
        <w:rPr>
          <w:b/>
          <w:bCs/>
        </w:rPr>
        <w:t>Capitolo 6: Fisiopatologia molecolare dell’ulcera del piede diabetico: il ruolo dei marker di infiammazione sierica e della genomica</w:t>
      </w:r>
    </w:p>
    <w:p w14:paraId="2DB2A820" w14:textId="77777777" w:rsidR="00A9404A" w:rsidRPr="007A0B1D" w:rsidRDefault="00A9404A" w:rsidP="00A9404A">
      <w:pPr>
        <w:spacing w:line="360" w:lineRule="auto"/>
        <w:jc w:val="both"/>
      </w:pPr>
    </w:p>
    <w:p w14:paraId="39E89E2E" w14:textId="77777777" w:rsidR="00A9404A" w:rsidRPr="007A0B1D" w:rsidRDefault="00A9404A" w:rsidP="00A9404A">
      <w:pPr>
        <w:spacing w:line="360" w:lineRule="auto"/>
        <w:jc w:val="both"/>
        <w:rPr>
          <w:b/>
          <w:bCs/>
        </w:rPr>
      </w:pPr>
      <w:r w:rsidRPr="007A0B1D">
        <w:rPr>
          <w:b/>
          <w:bCs/>
        </w:rPr>
        <w:t xml:space="preserve">6.1       Introduzione </w:t>
      </w:r>
    </w:p>
    <w:p w14:paraId="2C091A49" w14:textId="77777777" w:rsidR="00A9404A" w:rsidRPr="007A0B1D" w:rsidRDefault="00A9404A" w:rsidP="00A9404A">
      <w:pPr>
        <w:spacing w:line="360" w:lineRule="auto"/>
        <w:jc w:val="both"/>
      </w:pPr>
      <w:r w:rsidRPr="007A0B1D">
        <w:t>Una delle complicanze più temibili del diabete è rappresentata dalle ulcere del piede, sindrome che nel suo insieme prende il nome di DFS (diabetic foot syndrome), un’insieme di complicanze neuropatiche, traumatiche, micro e macroangiopatiche. E’necessario pertanto capire il processo molecolare e le basi genetiche delle ulcere del piede diabetico affinchè si possa applicare una terapia che ad oggi deve essere quanto più “sartoriale” possibile, centrata sul paziente e la sua patologia. Da un punto di vista molecolare, la guarigione delle ferite è un processo multi-step, in cui i prot</w:t>
      </w:r>
      <w:r w:rsidRPr="007A0B1D">
        <w:t>a</w:t>
      </w:r>
      <w:r w:rsidRPr="007A0B1D">
        <w:t xml:space="preserve">gonisti sono i fattori di crescita, citochine e cellule specializzate, come fibroblasti, endoteliociti, piastrine e cheratinociti </w:t>
      </w:r>
      <w:r w:rsidRPr="007A0B1D">
        <w:rPr>
          <w:vertAlign w:val="superscript"/>
        </w:rPr>
        <w:t>(364)</w:t>
      </w:r>
      <w:r w:rsidRPr="007A0B1D">
        <w:t>. E’presente altresì un ruolo significativo per il bilancio di questi fattori, che è determinato dai polimorfismi a singolo nucle</w:t>
      </w:r>
      <w:r w:rsidRPr="007A0B1D">
        <w:t>o</w:t>
      </w:r>
      <w:r w:rsidRPr="007A0B1D">
        <w:t>tide (SNP). Inoltre, recenti studi suggerisocno come l’epigenetica svolga un ruolo cruciale, attraverso la metilazione del DNA, ma soprattutto con gli RNA non codif</w:t>
      </w:r>
      <w:r w:rsidRPr="007A0B1D">
        <w:t>i</w:t>
      </w:r>
      <w:r w:rsidRPr="007A0B1D">
        <w:t>canti come i miRNA. Quest’ultimi sono piccole molecole che regolano l’espressione genica, indirizzando i loro mRNA target (a cui si legano) verso la degradazione o la repressione traslazionale. Inizialmente vennero considerati come “spazzatura gen</w:t>
      </w:r>
      <w:r w:rsidRPr="007A0B1D">
        <w:t>o</w:t>
      </w:r>
      <w:r w:rsidRPr="007A0B1D">
        <w:t xml:space="preserve">mica” </w:t>
      </w:r>
      <w:r w:rsidRPr="007A0B1D">
        <w:rPr>
          <w:vertAlign w:val="superscript"/>
        </w:rPr>
        <w:t>(365)</w:t>
      </w:r>
      <w:r w:rsidRPr="007A0B1D">
        <w:t xml:space="preserve"> ma recenti studi suggeriscono come essi svolgano un ruolo cruciale nello sviluppo di determinate patologie. </w:t>
      </w:r>
    </w:p>
    <w:p w14:paraId="7442389C" w14:textId="77777777" w:rsidR="00A9404A" w:rsidRDefault="00A9404A" w:rsidP="00A9404A">
      <w:pPr>
        <w:spacing w:line="360" w:lineRule="auto"/>
        <w:jc w:val="both"/>
      </w:pPr>
    </w:p>
    <w:p w14:paraId="2AEF87E6" w14:textId="77777777" w:rsidR="007D14DC" w:rsidRPr="007A0B1D" w:rsidRDefault="007D14DC" w:rsidP="00A9404A">
      <w:pPr>
        <w:spacing w:line="360" w:lineRule="auto"/>
        <w:jc w:val="both"/>
      </w:pPr>
    </w:p>
    <w:p w14:paraId="2B82AD90" w14:textId="77777777" w:rsidR="00A9404A" w:rsidRPr="007A0B1D" w:rsidRDefault="00A9404A" w:rsidP="00A9404A">
      <w:pPr>
        <w:spacing w:line="360" w:lineRule="auto"/>
        <w:jc w:val="both"/>
        <w:rPr>
          <w:b/>
          <w:bCs/>
        </w:rPr>
      </w:pPr>
      <w:r w:rsidRPr="007A0B1D">
        <w:rPr>
          <w:b/>
          <w:bCs/>
        </w:rPr>
        <w:lastRenderedPageBreak/>
        <w:t>6.2 Basi molecolari nella guarigione delle ferite</w:t>
      </w:r>
    </w:p>
    <w:p w14:paraId="4F492E93" w14:textId="77777777" w:rsidR="00A9404A" w:rsidRPr="007A0B1D" w:rsidRDefault="00A9404A" w:rsidP="00A9404A">
      <w:pPr>
        <w:spacing w:line="360" w:lineRule="auto"/>
        <w:jc w:val="both"/>
      </w:pPr>
      <w:r w:rsidRPr="007A0B1D">
        <w:t>Il processo di guarigione delle ferite è un processo multiforme che comprende una sequenza di eventi biologici ben stabiliti caratterizzati da una fase di “emostasi” in cui si ha il coinvolgimento delle piastrine e dei fattori della coagulazione nel tessuto interessato; la fase della “flogosi”, in cui spicca il reclutamento ed il coinvolgimento delle cellule infiammatorie; la fase delle “formazione del tessuto di granulazione”, dove le celule si dispongono nel letto della ferita e diventano proliferative; infine la fase del “remodelling”, dove il nuovo tessuto formato è deposto dapprima nella m</w:t>
      </w:r>
      <w:r w:rsidRPr="007A0B1D">
        <w:t>a</w:t>
      </w:r>
      <w:r w:rsidRPr="007A0B1D">
        <w:t xml:space="preserve">trice extracellulare, seguito dai processi di angiogenesi </w:t>
      </w:r>
      <w:r w:rsidRPr="007A0B1D">
        <w:rPr>
          <w:vertAlign w:val="superscript"/>
        </w:rPr>
        <w:t>(366)</w:t>
      </w:r>
      <w:r w:rsidRPr="007A0B1D">
        <w:t xml:space="preserve">.  Pertanto in seguito alla rottura della barriera cutanea, inizia la prima fase della flogosi, mediata da fattori di crescita e citochine rilasciate da differenti popolazioni cellulari (fibroblasti, cellule endoteliali, fagociti, piastrine e cheratinociti), attivati dalla risposta immunitaria. </w:t>
      </w:r>
      <w:r w:rsidRPr="007A0B1D">
        <w:rPr>
          <w:vertAlign w:val="superscript"/>
        </w:rPr>
        <w:t>(367)</w:t>
      </w:r>
      <w:r w:rsidRPr="007A0B1D">
        <w:t>. Il ripristino della barriera dipende dalla reazione infiammatoria, migrazione delle suddette popolazioni cellulari con proliferazione e differenziazione nel sito interess</w:t>
      </w:r>
      <w:r w:rsidRPr="007A0B1D">
        <w:t>a</w:t>
      </w:r>
      <w:r w:rsidRPr="007A0B1D">
        <w:t xml:space="preserve">to, esitando nella rigenerazione del tessuto e l’eventuale chiusura della ferita </w:t>
      </w:r>
      <w:r w:rsidRPr="007A0B1D">
        <w:rPr>
          <w:vertAlign w:val="superscript"/>
        </w:rPr>
        <w:t>(368)</w:t>
      </w:r>
      <w:r w:rsidRPr="007A0B1D">
        <w:t xml:space="preserve">. I fattori di crescita sono enzimi essenziali per il riverbero delle interazioni cellulari, necessario per il processo di guarigione </w:t>
      </w:r>
      <w:r w:rsidRPr="007A0B1D">
        <w:rPr>
          <w:vertAlign w:val="superscript"/>
        </w:rPr>
        <w:t>(369)</w:t>
      </w:r>
      <w:r w:rsidRPr="007A0B1D">
        <w:t>. Il loro scopo è anche quello di messa</w:t>
      </w:r>
      <w:r w:rsidRPr="007A0B1D">
        <w:t>g</w:t>
      </w:r>
      <w:r w:rsidRPr="007A0B1D">
        <w:t>geri cellulari tra i differenti citotipi coinvolti, determinando l’esistenza di un m</w:t>
      </w:r>
      <w:r w:rsidRPr="007A0B1D">
        <w:t>i</w:t>
      </w:r>
      <w:r w:rsidRPr="007A0B1D">
        <w:t>croambiente favorevole alla risposta rigenerativa del tessuto coinvolto</w:t>
      </w:r>
      <w:r w:rsidRPr="007A0B1D">
        <w:rPr>
          <w:vertAlign w:val="superscript"/>
        </w:rPr>
        <w:t xml:space="preserve"> (</w:t>
      </w:r>
      <w:r w:rsidRPr="007A0B1D">
        <w:rPr>
          <w:rStyle w:val="Enfasigrassetto"/>
        </w:rPr>
        <w:t>370</w:t>
      </w:r>
      <w:r w:rsidRPr="007A0B1D">
        <w:rPr>
          <w:vertAlign w:val="superscript"/>
        </w:rPr>
        <w:t>)</w:t>
      </w:r>
      <w:r w:rsidRPr="007A0B1D">
        <w:t>. Infine, l’ottimizzazione della guarigione delle ferite avviene grazie alla presenza dei fattori che stimolano l’angiogenesi, permettendo la permanente rivascolarizzazione del te</w:t>
      </w:r>
      <w:r w:rsidRPr="007A0B1D">
        <w:t>s</w:t>
      </w:r>
      <w:r w:rsidRPr="007A0B1D">
        <w:t xml:space="preserve">suto. L’angiogenesi è regolata dai livelli delle citochine come il FGF, VEGF, GM-CSF ed infine IL-8 </w:t>
      </w:r>
      <w:r w:rsidRPr="007A0B1D">
        <w:rPr>
          <w:vertAlign w:val="superscript"/>
        </w:rPr>
        <w:t>(367)</w:t>
      </w:r>
      <w:r w:rsidRPr="007A0B1D">
        <w:t xml:space="preserve">. </w:t>
      </w:r>
    </w:p>
    <w:p w14:paraId="458C9F42" w14:textId="77777777" w:rsidR="00A9404A" w:rsidRPr="007A0B1D" w:rsidRDefault="00A9404A" w:rsidP="00A9404A">
      <w:pPr>
        <w:spacing w:line="360" w:lineRule="auto"/>
        <w:jc w:val="both"/>
      </w:pPr>
    </w:p>
    <w:p w14:paraId="3EC6895C" w14:textId="77777777" w:rsidR="00A9404A" w:rsidRPr="007A0B1D" w:rsidRDefault="00A9404A" w:rsidP="00A9404A">
      <w:pPr>
        <w:spacing w:line="360" w:lineRule="auto"/>
        <w:jc w:val="both"/>
      </w:pPr>
      <w:r w:rsidRPr="007A0B1D">
        <w:rPr>
          <w:noProof/>
        </w:rPr>
        <w:lastRenderedPageBreak/>
        <w:drawing>
          <wp:inline distT="0" distB="0" distL="0" distR="0" wp14:anchorId="08E18AFB" wp14:editId="4F9D78F4">
            <wp:extent cx="5107811" cy="4374573"/>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pic:nvPicPr>
                  <pic:blipFill>
                    <a:blip r:embed="rId27"/>
                    <a:stretch>
                      <a:fillRect/>
                    </a:stretch>
                  </pic:blipFill>
                  <pic:spPr>
                    <a:xfrm>
                      <a:off x="0" y="0"/>
                      <a:ext cx="5122376" cy="4387048"/>
                    </a:xfrm>
                    <a:prstGeom prst="rect">
                      <a:avLst/>
                    </a:prstGeom>
                  </pic:spPr>
                </pic:pic>
              </a:graphicData>
            </a:graphic>
          </wp:inline>
        </w:drawing>
      </w:r>
    </w:p>
    <w:p w14:paraId="619054DA" w14:textId="77777777" w:rsidR="00A9404A" w:rsidRPr="007A0B1D" w:rsidRDefault="00A9404A" w:rsidP="00A9404A">
      <w:pPr>
        <w:spacing w:line="360" w:lineRule="auto"/>
        <w:jc w:val="both"/>
        <w:rPr>
          <w:i/>
          <w:iCs/>
        </w:rPr>
      </w:pPr>
      <w:r w:rsidRPr="007A0B1D">
        <w:rPr>
          <w:i/>
          <w:iCs/>
        </w:rPr>
        <w:t>Figura 1: il ruolo dei maggiori fattori di crescita coinvolti nella riepitelizzazione</w:t>
      </w:r>
    </w:p>
    <w:p w14:paraId="79142581" w14:textId="77777777" w:rsidR="00A9404A" w:rsidRPr="007A0B1D" w:rsidRDefault="00A9404A" w:rsidP="00A9404A">
      <w:pPr>
        <w:spacing w:line="360" w:lineRule="auto"/>
        <w:jc w:val="both"/>
      </w:pPr>
      <w:r w:rsidRPr="007A0B1D">
        <w:rPr>
          <w:i/>
          <w:iCs/>
        </w:rPr>
        <w:br/>
      </w:r>
      <w:r w:rsidRPr="007A0B1D">
        <w:t>I sopracitati fattori di crescita sono attivamente coinvolti nella fibroplasia che dete</w:t>
      </w:r>
      <w:r w:rsidRPr="007A0B1D">
        <w:t>r</w:t>
      </w:r>
      <w:r w:rsidRPr="007A0B1D">
        <w:t xml:space="preserve">mina la deposizione della matrice extracellulare. La riepitelizzazione coinvolge l’IGF-1, i cheratinociti, la interleuchina-6 (IL-6) e il GM-CSF. </w:t>
      </w:r>
      <w:r w:rsidRPr="007A0B1D">
        <w:rPr>
          <w:vertAlign w:val="superscript"/>
        </w:rPr>
        <w:t>(371)</w:t>
      </w:r>
      <w:r w:rsidRPr="007A0B1D">
        <w:t xml:space="preserve">. </w:t>
      </w:r>
    </w:p>
    <w:p w14:paraId="14EFBECD" w14:textId="77777777" w:rsidR="00A9404A" w:rsidRPr="007A0B1D" w:rsidRDefault="00A9404A" w:rsidP="00A9404A">
      <w:pPr>
        <w:spacing w:line="360" w:lineRule="auto"/>
        <w:jc w:val="both"/>
        <w:rPr>
          <w:b/>
          <w:bCs/>
        </w:rPr>
      </w:pPr>
    </w:p>
    <w:p w14:paraId="1E583D92" w14:textId="423D50B5" w:rsidR="00A9404A" w:rsidRPr="007A0B1D" w:rsidRDefault="00A9404A" w:rsidP="00A9404A">
      <w:pPr>
        <w:spacing w:line="360" w:lineRule="auto"/>
        <w:jc w:val="both"/>
        <w:rPr>
          <w:b/>
          <w:bCs/>
        </w:rPr>
      </w:pPr>
      <w:r w:rsidRPr="007A0B1D">
        <w:rPr>
          <w:b/>
          <w:bCs/>
        </w:rPr>
        <w:t xml:space="preserve">6.3. Ruolo dei marker sierici  </w:t>
      </w:r>
    </w:p>
    <w:p w14:paraId="3A3ED20C" w14:textId="77777777" w:rsidR="00A9404A" w:rsidRPr="007A0B1D" w:rsidRDefault="00A9404A" w:rsidP="00A9404A">
      <w:pPr>
        <w:spacing w:line="360" w:lineRule="auto"/>
        <w:jc w:val="both"/>
      </w:pPr>
      <w:r w:rsidRPr="007A0B1D">
        <w:t>Nell’ultimo decennio è stato effettuato un sostanziale lavoro volto alla scoperta dei meccanismi che sottostanno alla guarigione delle ferite, con particolare attenzion e alle ulcere del piede diabetico. Premesso che la base fisiopatologica sottostà agli alt</w:t>
      </w:r>
      <w:r w:rsidRPr="007A0B1D">
        <w:t>e</w:t>
      </w:r>
      <w:r w:rsidRPr="007A0B1D">
        <w:t>rati meccanismi già sopracitati nei capitoli precedenti (danno vascolare periferico, neuropatia, flogosi ed ipossia), attraverso la caratterizzazione del tessuto umano e modelli animali, è stato dimostrato come nella fisiopatiologia del DFS giochi un ru</w:t>
      </w:r>
      <w:r w:rsidRPr="007A0B1D">
        <w:t>o</w:t>
      </w:r>
      <w:r w:rsidRPr="007A0B1D">
        <w:t xml:space="preserve">lo cruciale l’alterata produzione dei fattori di crescita, la risposta angiogenetica </w:t>
      </w:r>
      <w:r w:rsidRPr="007A0B1D">
        <w:rPr>
          <w:vertAlign w:val="superscript"/>
        </w:rPr>
        <w:t>(365)</w:t>
      </w:r>
      <w:r w:rsidRPr="007A0B1D">
        <w:t>, l’accumulo di collagene, la migrazione dei cheratinociti e dei fibroblasti, ed infine il sottile bilanciamento tra l’accumulo della componente extracellulare e il suo rem</w:t>
      </w:r>
      <w:r w:rsidRPr="007A0B1D">
        <w:t>o</w:t>
      </w:r>
      <w:r w:rsidRPr="007A0B1D">
        <w:t xml:space="preserve">delling svolto dalle proteasi </w:t>
      </w:r>
      <w:r w:rsidRPr="007A0B1D">
        <w:rPr>
          <w:vertAlign w:val="superscript"/>
        </w:rPr>
        <w:t>(369)</w:t>
      </w:r>
      <w:r w:rsidRPr="007A0B1D">
        <w:t xml:space="preserve">. Da ciò si evince che le le ulcere del piede diabetico </w:t>
      </w:r>
      <w:r w:rsidRPr="007A0B1D">
        <w:lastRenderedPageBreak/>
        <w:t xml:space="preserve">non seguono una sequenza ben prestabilita; si è dimostrato come invece esse siano il risultato di un fenotipo pro-infiammatorio, con incremento delle relative citochine infiammatorie. </w:t>
      </w:r>
    </w:p>
    <w:p w14:paraId="170CDF31" w14:textId="77777777" w:rsidR="00A9404A" w:rsidRPr="007A0B1D" w:rsidRDefault="00A9404A" w:rsidP="00A9404A">
      <w:pPr>
        <w:spacing w:line="360" w:lineRule="auto"/>
        <w:jc w:val="both"/>
      </w:pPr>
    </w:p>
    <w:p w14:paraId="68EFE6BC" w14:textId="454DF48A" w:rsidR="00A9404A" w:rsidRPr="007A0B1D" w:rsidRDefault="00A9404A" w:rsidP="00A9404A">
      <w:pPr>
        <w:spacing w:line="360" w:lineRule="auto"/>
        <w:jc w:val="both"/>
      </w:pPr>
      <w:r w:rsidRPr="007A0B1D">
        <w:rPr>
          <w:b/>
          <w:bCs/>
        </w:rPr>
        <w:t xml:space="preserve">6.4 </w:t>
      </w:r>
      <w:r>
        <w:rPr>
          <w:b/>
          <w:bCs/>
        </w:rPr>
        <w:t>M</w:t>
      </w:r>
      <w:r w:rsidRPr="007A0B1D">
        <w:rPr>
          <w:b/>
          <w:bCs/>
        </w:rPr>
        <w:t>arker sierici coinvolti nella guarigione delle ulcere del piede diabetico</w:t>
      </w:r>
      <w:r w:rsidRPr="007A0B1D">
        <w:br/>
        <w:t>Un recente lavoro di Mirza et al. ha dimostrato come la citochina IL-1 sia increme</w:t>
      </w:r>
      <w:r w:rsidRPr="007A0B1D">
        <w:t>n</w:t>
      </w:r>
      <w:r w:rsidRPr="007A0B1D">
        <w:t xml:space="preserve">tata nel DFS sia negli umani che nei tessuti di ratto. </w:t>
      </w:r>
      <w:r w:rsidRPr="007A0B1D">
        <w:rPr>
          <w:vertAlign w:val="superscript"/>
        </w:rPr>
        <w:t>(366)</w:t>
      </w:r>
      <w:r w:rsidRPr="007A0B1D">
        <w:t xml:space="preserve">. Il pathway della citochina IL-1 si è dimostrato determinante in quanto è stato osservato da ulteriori studi </w:t>
      </w:r>
      <w:r w:rsidRPr="007A0B1D">
        <w:rPr>
          <w:vertAlign w:val="superscript"/>
        </w:rPr>
        <w:t>(367)</w:t>
      </w:r>
      <w:r w:rsidRPr="007A0B1D">
        <w:t xml:space="preserve"> che la sua inibizione ha portato ad una migliore guarigione delle ferite nei topi, attr</w:t>
      </w:r>
      <w:r w:rsidRPr="007A0B1D">
        <w:t>a</w:t>
      </w:r>
      <w:r w:rsidRPr="007A0B1D">
        <w:t>verso l’induzione dei macrofagi da un fenotipo pro-infammatorio ad un fenotipo r</w:t>
      </w:r>
      <w:r w:rsidRPr="007A0B1D">
        <w:t>i</w:t>
      </w:r>
      <w:r w:rsidRPr="007A0B1D">
        <w:t xml:space="preserve">parativo. In pazienti con diabete mellito di tipo 2, questo switch macrofagico non si verifica facilmente, pertanto essi rimangono in uno stato predominante pro-infiammatorio </w:t>
      </w:r>
      <w:r w:rsidRPr="007A0B1D">
        <w:rPr>
          <w:vertAlign w:val="superscript"/>
        </w:rPr>
        <w:t>(368)</w:t>
      </w:r>
      <w:r w:rsidRPr="007A0B1D">
        <w:t xml:space="preserve">. </w:t>
      </w:r>
    </w:p>
    <w:p w14:paraId="2DC9F493" w14:textId="5AAB223B" w:rsidR="00A9404A" w:rsidRPr="007A0B1D" w:rsidRDefault="00A9404A" w:rsidP="00A9404A">
      <w:pPr>
        <w:spacing w:line="360" w:lineRule="auto"/>
        <w:jc w:val="both"/>
      </w:pPr>
      <w:r w:rsidRPr="007A0B1D">
        <w:t xml:space="preserve">Tuttolomondo et al. </w:t>
      </w:r>
      <w:r w:rsidRPr="007A0B1D">
        <w:rPr>
          <w:vertAlign w:val="superscript"/>
        </w:rPr>
        <w:t>(271)</w:t>
      </w:r>
      <w:r w:rsidRPr="007A0B1D">
        <w:t xml:space="preserve"> hanno valutato i livelli dei marker di infiammazione in p</w:t>
      </w:r>
      <w:r w:rsidRPr="007A0B1D">
        <w:t>a</w:t>
      </w:r>
      <w:r w:rsidRPr="007A0B1D">
        <w:t>zienti diabetici con e senza piede diabetico, mostrando come vi sia in tali pazienti un livello sierico di IL-6 più alto nei pazienti con piede diabetico. Questi risultati poss</w:t>
      </w:r>
      <w:r w:rsidRPr="007A0B1D">
        <w:t>o</w:t>
      </w:r>
      <w:r w:rsidRPr="007A0B1D">
        <w:t>no rappresenzare il fenotipo biologico e patologico di un asse “adipo-vascolare”, che coinvolge sia meccanismi microvascolari che infiammatori; inoltre può essere un’ulteriore conferma di come nella patologia diabetica, un ruolo cruciale sia svolto dal microambiente metabolico ed infiammatorio. Tali scoperte sono corroborate da altri lavori come quelli del gruppo di Ofstad et al., in cui è suggerito il ruolo dell’IL-6 come fattore prognostico di rischio cardiovascolare e associato a mortalità in p</w:t>
      </w:r>
      <w:r w:rsidRPr="007A0B1D">
        <w:t>a</w:t>
      </w:r>
      <w:r w:rsidRPr="007A0B1D">
        <w:t xml:space="preserve">zienti con diabete mellito tipo 2 </w:t>
      </w:r>
      <w:r w:rsidRPr="007A0B1D">
        <w:rPr>
          <w:vertAlign w:val="superscript"/>
        </w:rPr>
        <w:t>(369)</w:t>
      </w:r>
      <w:r w:rsidRPr="007A0B1D">
        <w:t xml:space="preserve"> o il gruppo di Erdogan et al., in cui si afferma che il polimorfismo -174 G&gt;C del gene che codifica per l’IL-6 possa rappresentare un candidato ideale di marker genetico per predire la suscettibilità individuale di di</w:t>
      </w:r>
      <w:r w:rsidRPr="007A0B1D">
        <w:t>a</w:t>
      </w:r>
      <w:r w:rsidRPr="007A0B1D">
        <w:t xml:space="preserve">bete tipo 2. </w:t>
      </w:r>
    </w:p>
    <w:p w14:paraId="3A588A2A" w14:textId="724D11F0" w:rsidR="00A9404A" w:rsidRPr="007A0B1D" w:rsidRDefault="00A9404A" w:rsidP="007D14DC">
      <w:pPr>
        <w:spacing w:line="360" w:lineRule="auto"/>
        <w:jc w:val="both"/>
      </w:pPr>
      <w:r w:rsidRPr="007A0B1D">
        <w:t>Il TNF-a è coinvolto nel processo di guarigione delle ferite del piede diabetico, in quanto è stata evidenziata una sua aumentata e prolungata espressione durante la fase infiammaoria di tale processo. La sua espressione sembra essere maggiore nelle ce</w:t>
      </w:r>
      <w:r w:rsidRPr="007A0B1D">
        <w:t>l</w:t>
      </w:r>
      <w:r w:rsidRPr="007A0B1D">
        <w:t>lule dell’endotelialo vascolare. Diversi studi sono stati rivolti al ruolo del TNF-a nel processo di guarigione delle ferite del piede diabetico, dimostrando come esso ra</w:t>
      </w:r>
      <w:r w:rsidRPr="007A0B1D">
        <w:t>g</w:t>
      </w:r>
      <w:r w:rsidRPr="007A0B1D">
        <w:t>giunga livelli sierici più alti nei pazienti cui la guarigione sia insufficiente in confro</w:t>
      </w:r>
      <w:r w:rsidRPr="007A0B1D">
        <w:t>n</w:t>
      </w:r>
      <w:r w:rsidRPr="007A0B1D">
        <w:t xml:space="preserve">to a pazienti con ulcere guarite </w:t>
      </w:r>
      <w:r w:rsidRPr="007A0B1D">
        <w:rPr>
          <w:vertAlign w:val="superscript"/>
        </w:rPr>
        <w:t>(370)</w:t>
      </w:r>
      <w:r w:rsidRPr="007A0B1D">
        <w:t>. In altri studi effettuati su ratti cui è stato indotta la patologia diabetica, inibendo il TNF-a con specifici anticorpi monoclonali, il pr</w:t>
      </w:r>
      <w:r w:rsidRPr="007A0B1D">
        <w:t>o</w:t>
      </w:r>
      <w:r w:rsidRPr="007A0B1D">
        <w:lastRenderedPageBreak/>
        <w:t xml:space="preserve">cesso di guarigione migliora, in termini di copertura epiteliale e formazione di nuovo tessuto connettivo </w:t>
      </w:r>
      <w:r w:rsidRPr="007A0B1D">
        <w:rPr>
          <w:vertAlign w:val="superscript"/>
        </w:rPr>
        <w:t>(371)</w:t>
      </w:r>
      <w:r w:rsidRPr="007A0B1D">
        <w:t xml:space="preserve">. </w:t>
      </w:r>
    </w:p>
    <w:p w14:paraId="71B9490B" w14:textId="77777777" w:rsidR="00A9404A" w:rsidRPr="007A0B1D" w:rsidRDefault="00A9404A" w:rsidP="00A9404A">
      <w:pPr>
        <w:spacing w:line="360" w:lineRule="auto"/>
        <w:jc w:val="both"/>
      </w:pPr>
      <w:r w:rsidRPr="007A0B1D">
        <w:t>L’HIF-1, in quanto fattore di trascrizione chiave dipendente dalla concentrazione di ossigeno può regolare più geni bersaglio, in particolare il VEGF. Si realizzano pe</w:t>
      </w:r>
      <w:r w:rsidRPr="007A0B1D">
        <w:t>r</w:t>
      </w:r>
      <w:r w:rsidRPr="007A0B1D">
        <w:t>tanto una varietà di reazioni adattive indotte dall’ipossia, come l’angiogenesi, il m</w:t>
      </w:r>
      <w:r w:rsidRPr="007A0B1D">
        <w:t>e</w:t>
      </w:r>
      <w:r w:rsidRPr="007A0B1D">
        <w:t>tabolismo e l’apoptosi cellulare. (</w:t>
      </w:r>
      <w:r w:rsidRPr="007A0B1D">
        <w:rPr>
          <w:vertAlign w:val="superscript"/>
        </w:rPr>
        <w:t>381</w:t>
      </w:r>
      <w:r w:rsidRPr="007A0B1D">
        <w:t>) La risposta cellulare al VEGF è principalmente ad azione paracrina, mediata dal recettore tirosin-chinasico VEGFr2 (conosciuto a</w:t>
      </w:r>
      <w:r w:rsidRPr="007A0B1D">
        <w:t>n</w:t>
      </w:r>
      <w:r w:rsidRPr="007A0B1D">
        <w:t>che come FLK-1), sulla superficie delle cellule endoteliali. E’ stata riportato che il disordine di guarigione delle ulcere diabetiche è causato da una scarsa angiogenesi, che non riesce a soddisfare le richieste metaboliche del tessuto di granulazione.</w:t>
      </w:r>
    </w:p>
    <w:p w14:paraId="6C341864" w14:textId="77777777" w:rsidR="00A9404A" w:rsidRPr="007A0B1D" w:rsidRDefault="00A9404A" w:rsidP="00A9404A">
      <w:pPr>
        <w:spacing w:line="360" w:lineRule="auto"/>
        <w:jc w:val="both"/>
      </w:pPr>
      <w:r w:rsidRPr="007A0B1D">
        <w:rPr>
          <w:vertAlign w:val="superscript"/>
        </w:rPr>
        <w:t>(382)</w:t>
      </w:r>
      <w:r w:rsidRPr="007A0B1D">
        <w:t>, suggerendo come sia probabile che la promozione della angiogenesi locale p</w:t>
      </w:r>
      <w:r w:rsidRPr="007A0B1D">
        <w:t>o</w:t>
      </w:r>
      <w:r w:rsidRPr="007A0B1D">
        <w:t xml:space="preserve">trebbe migliorare il processo di guarigione, eventualmente potendosi avvelere anche di terapia genomica indirizzata verso i miRNA; in particolare, per il pathway HIF/VEGF, il miRNA 217 </w:t>
      </w:r>
      <w:r w:rsidRPr="007A0B1D">
        <w:rPr>
          <w:vertAlign w:val="superscript"/>
        </w:rPr>
        <w:t>(383)</w:t>
      </w:r>
      <w:r w:rsidRPr="007A0B1D">
        <w:t xml:space="preserve"> </w:t>
      </w:r>
    </w:p>
    <w:p w14:paraId="365A96B0" w14:textId="77777777" w:rsidR="00A9404A" w:rsidRPr="007A0B1D" w:rsidRDefault="00A9404A" w:rsidP="00A9404A">
      <w:pPr>
        <w:spacing w:line="360" w:lineRule="auto"/>
        <w:jc w:val="both"/>
        <w:rPr>
          <w:b/>
          <w:bCs/>
        </w:rPr>
      </w:pPr>
    </w:p>
    <w:p w14:paraId="4C53B89A" w14:textId="77777777" w:rsidR="00A9404A" w:rsidRPr="007A0B1D" w:rsidRDefault="00A9404A" w:rsidP="00A9404A">
      <w:pPr>
        <w:spacing w:line="360" w:lineRule="auto"/>
        <w:jc w:val="both"/>
        <w:rPr>
          <w:b/>
          <w:bCs/>
        </w:rPr>
      </w:pPr>
      <w:r w:rsidRPr="007A0B1D">
        <w:rPr>
          <w:b/>
          <w:bCs/>
        </w:rPr>
        <w:t xml:space="preserve">6.5 Ruolo della epigenetica </w:t>
      </w:r>
    </w:p>
    <w:p w14:paraId="42DDBD8B" w14:textId="77777777" w:rsidR="00A9404A" w:rsidRPr="007A0B1D" w:rsidRDefault="00A9404A" w:rsidP="00A9404A">
      <w:pPr>
        <w:spacing w:line="360" w:lineRule="auto"/>
        <w:jc w:val="both"/>
        <w:rPr>
          <w:b/>
          <w:bCs/>
        </w:rPr>
      </w:pPr>
    </w:p>
    <w:p w14:paraId="1359E52F" w14:textId="77777777" w:rsidR="007D14DC" w:rsidRDefault="00A9404A" w:rsidP="007D14DC">
      <w:pPr>
        <w:spacing w:line="360" w:lineRule="auto"/>
        <w:jc w:val="both"/>
        <w:rPr>
          <w:b/>
          <w:bCs/>
        </w:rPr>
      </w:pPr>
      <w:r w:rsidRPr="007A0B1D">
        <w:rPr>
          <w:b/>
          <w:bCs/>
        </w:rPr>
        <w:t xml:space="preserve">6.5.1 Epigenetica e “metabolic memory”. </w:t>
      </w:r>
    </w:p>
    <w:p w14:paraId="61645FC2" w14:textId="77777777" w:rsidR="007D14DC" w:rsidRDefault="00A9404A" w:rsidP="007D14DC">
      <w:pPr>
        <w:spacing w:line="360" w:lineRule="auto"/>
        <w:jc w:val="both"/>
        <w:rPr>
          <w:b/>
          <w:bCs/>
        </w:rPr>
      </w:pPr>
      <w:r w:rsidRPr="007A0B1D">
        <w:t>Nel contesto dell'interazione genico-ambientale si colloca l'epigenetica, un'affasc</w:t>
      </w:r>
      <w:r w:rsidRPr="007A0B1D">
        <w:t>i</w:t>
      </w:r>
      <w:r w:rsidRPr="007A0B1D">
        <w:t>nante area di ricerca che in futuro potrebbe consentire di comprendere le basi mol</w:t>
      </w:r>
      <w:r w:rsidRPr="007A0B1D">
        <w:t>e</w:t>
      </w:r>
      <w:r w:rsidRPr="007A0B1D">
        <w:t>colari di suddetta interazione, e quindi di prevedere il rischio di sviluppare malattie, nonché la possibilità di aiutare a definire strategie di prevenzione e approcci terape</w:t>
      </w:r>
      <w:r w:rsidRPr="007A0B1D">
        <w:t>u</w:t>
      </w:r>
      <w:r w:rsidRPr="007A0B1D">
        <w:t>tici. L’epigenetica è definita come quell’insieme di meccanismi in grado di causare alterazioni nell'espressione genica senza determinare la modifica della sequenza del DNA. I meccanismi epigenetici si esplicano a livello dello RNA non codificante, a</w:t>
      </w:r>
      <w:r w:rsidRPr="007A0B1D">
        <w:t>t</w:t>
      </w:r>
      <w:r w:rsidRPr="007A0B1D">
        <w:t>traverso la metilazione del DNA o le modifiche istoniche (</w:t>
      </w:r>
      <w:r w:rsidRPr="007A0B1D">
        <w:rPr>
          <w:vertAlign w:val="superscript"/>
        </w:rPr>
        <w:t>421</w:t>
      </w:r>
      <w:r w:rsidRPr="007A0B1D">
        <w:t>). I meccanismi epig</w:t>
      </w:r>
      <w:r w:rsidRPr="007A0B1D">
        <w:t>e</w:t>
      </w:r>
      <w:r w:rsidRPr="007A0B1D">
        <w:t xml:space="preserve">netici, tra cui la metilazione del DNA e le modifiche post-traduzionali degli istoni, sono stati implicati nella cosi detta </w:t>
      </w:r>
      <w:r w:rsidRPr="007A0B1D">
        <w:rPr>
          <w:b/>
          <w:bCs/>
        </w:rPr>
        <w:t xml:space="preserve">“metabolic memory” </w:t>
      </w:r>
      <w:r w:rsidRPr="007A0B1D">
        <w:t>delle complicanze diabet</w:t>
      </w:r>
      <w:r w:rsidRPr="007A0B1D">
        <w:t>i</w:t>
      </w:r>
      <w:r w:rsidRPr="007A0B1D">
        <w:t>che, inclusa la DFS.</w:t>
      </w:r>
    </w:p>
    <w:p w14:paraId="2E04DFD0" w14:textId="77777777" w:rsidR="007D14DC" w:rsidRDefault="00A9404A" w:rsidP="007D14DC">
      <w:pPr>
        <w:spacing w:line="360" w:lineRule="auto"/>
        <w:jc w:val="both"/>
        <w:rPr>
          <w:b/>
          <w:bCs/>
        </w:rPr>
      </w:pPr>
      <w:r w:rsidRPr="007A0B1D">
        <w:t xml:space="preserve">Il gruppo di studio di Berenzin et al 2016 </w:t>
      </w:r>
      <w:r w:rsidRPr="007A0B1D">
        <w:rPr>
          <w:vertAlign w:val="superscript"/>
        </w:rPr>
        <w:t>(422)</w:t>
      </w:r>
      <w:r w:rsidRPr="007A0B1D">
        <w:t xml:space="preserve"> ha suggerito che l’effetto di uno scarso controllo metabolico o anche di episodi transitori di iperglicemia nel DM2 si associ in particolare al peggioramento della capacità dei sistemi vasoriparativi endogeni, che sono mediati da cambiamenti epigenetici in diverse cellule (cellule progenitrici, cellule staminali, mononucleari, cellule immuniarie) e quindi portare alla cosiddetta </w:t>
      </w:r>
      <w:r w:rsidRPr="007A0B1D">
        <w:lastRenderedPageBreak/>
        <w:t>“memoria glicemica vascolare” o “metabolic memory”. In entrambi i termini si so</w:t>
      </w:r>
      <w:r w:rsidRPr="007A0B1D">
        <w:t>t</w:t>
      </w:r>
      <w:r w:rsidRPr="007A0B1D">
        <w:t>tolinea il fatto che il controllo glicemico di lunga data determini degli effetti duraturi e di persistenza delle complicanze anche dopo il ritorno al più consueto controllo gl</w:t>
      </w:r>
      <w:r w:rsidRPr="007A0B1D">
        <w:t>i</w:t>
      </w:r>
      <w:r w:rsidRPr="007A0B1D">
        <w:t xml:space="preserve">cemico raggiunto farmacologicamente </w:t>
      </w:r>
      <w:r w:rsidRPr="007A0B1D">
        <w:rPr>
          <w:vertAlign w:val="superscript"/>
        </w:rPr>
        <w:t>(423)</w:t>
      </w:r>
      <w:r w:rsidRPr="007A0B1D">
        <w:t>. La memoria glicemica è un termine cl</w:t>
      </w:r>
      <w:r w:rsidRPr="007A0B1D">
        <w:t>i</w:t>
      </w:r>
      <w:r w:rsidRPr="007A0B1D">
        <w:t>nico, che descrive le disfunzioni tissutali associate al DM in situazioni in cui la gl</w:t>
      </w:r>
      <w:r w:rsidRPr="007A0B1D">
        <w:t>i</w:t>
      </w:r>
      <w:r w:rsidRPr="007A0B1D">
        <w:t>cemia non sia controllata, mentre la memoria metabolica è un termine fisiopatologico esteso a tutti i meccanismi molecolari e ai percorsi biochimici alla base dello svilu</w:t>
      </w:r>
      <w:r w:rsidRPr="007A0B1D">
        <w:t>p</w:t>
      </w:r>
      <w:r w:rsidRPr="007A0B1D">
        <w:t>po delle complicanze del DM. Sebbene entrambi i termini siano ampiamente utilizz</w:t>
      </w:r>
      <w:r w:rsidRPr="007A0B1D">
        <w:t>a</w:t>
      </w:r>
      <w:r w:rsidRPr="007A0B1D">
        <w:t xml:space="preserve">ti come sinonimi, “memoria metabolica” sembra essere più di un semplice controllo glicemico necessario per prevenire le complicanze del DM </w:t>
      </w:r>
      <w:r w:rsidRPr="007A0B1D">
        <w:rPr>
          <w:vertAlign w:val="superscript"/>
        </w:rPr>
        <w:t>(424)</w:t>
      </w:r>
      <w:r w:rsidRPr="007A0B1D">
        <w:t>. Infatti, clinicamente, l’emergere di questa memoria metabolica suggerisce la necessità di un trattamento aggressivo molto precoce volto a normalizzare il controllo metabolico, l’aggiunta di agenti che riducano le specie reattive cellulari e la glicazione, oltre che normalizzare i livelli di glucosio nel DM al fine di ridurre al minimo le complicanze a lungo te</w:t>
      </w:r>
      <w:r w:rsidRPr="007A0B1D">
        <w:t>r</w:t>
      </w:r>
      <w:r w:rsidRPr="007A0B1D">
        <w:t>mine. I meccanismi alla base della memoria metabolica cellulare indotta dalla ipe</w:t>
      </w:r>
      <w:r w:rsidRPr="007A0B1D">
        <w:t>r</w:t>
      </w:r>
      <w:r w:rsidRPr="007A0B1D">
        <w:t xml:space="preserve">glicemia rimangono poco chiari. C’è un paradigma </w:t>
      </w:r>
      <w:r w:rsidRPr="007A0B1D">
        <w:rPr>
          <w:vertAlign w:val="superscript"/>
        </w:rPr>
        <w:t>(425)</w:t>
      </w:r>
      <w:r w:rsidRPr="007A0B1D">
        <w:t xml:space="preserve"> che è stato postulato come un nesso di causalità tra l’iperglicemia e questo “fenomeno della memoria” </w:t>
      </w:r>
      <w:r w:rsidRPr="007A0B1D">
        <w:rPr>
          <w:vertAlign w:val="superscript"/>
        </w:rPr>
        <w:t>(426)</w:t>
      </w:r>
      <w:r w:rsidRPr="007A0B1D">
        <w:t>; pare che l’iperglicemia eserciti effetti dannosi di lunga durata sul sistema vascolare attr</w:t>
      </w:r>
      <w:r w:rsidRPr="007A0B1D">
        <w:t>a</w:t>
      </w:r>
      <w:r w:rsidRPr="007A0B1D">
        <w:t>verso diversi meccanismi, ovvero la produzione di ROS (specie reattive dell’ossigeno) e l’accumulo di prodotti finali di glicazione avanzata (AGE), i quali portano alla glicazione di proteine mitocondriali, lipidi e acidi nucleici. Gli AGE non solo inibiscono la sintesi del DNA nelle cellule bersaglio, ma provocano anche re</w:t>
      </w:r>
      <w:r w:rsidRPr="007A0B1D">
        <w:t>a</w:t>
      </w:r>
      <w:r w:rsidRPr="007A0B1D">
        <w:t>zioni trombogeniche inducendo il fattore di crescita endoteliale (VEGF) e l’inibitore dell’attivatore del plasminogeno-1 (PAI-1), attraverso l’interazione con il recettore per gli AGE (AGEr). Pertanto, i prodotti biochimici delle vie di glicazione enzimat</w:t>
      </w:r>
      <w:r w:rsidRPr="007A0B1D">
        <w:t>i</w:t>
      </w:r>
      <w:r w:rsidRPr="007A0B1D">
        <w:t>ca e non enzimatica avanzate sono considerati un indizio integrale implicato nella memoria metabolica, nel danno tissutale e complicanze legate al DM. Pertanto, la generazione di AGE e ROS tramite cambiamenti epigenetici molecolari indotti dal glucosio potrebbe regolare vari geni, inclusi NFK-B, IL-1, IL-6, VEGF e TNF-alpha, portando ad infiammazione di basso grado, danno tissutale diretto, stato pro-trombotico. L’accumulo di AGE, ROS e altri prodotti della glicazione potrebbero i</w:t>
      </w:r>
      <w:r w:rsidRPr="007A0B1D">
        <w:t>n</w:t>
      </w:r>
      <w:r w:rsidRPr="007A0B1D">
        <w:t xml:space="preserve">durre un’espressione genica alterata anche quando l’iperglicemia è risolta </w:t>
      </w:r>
      <w:r w:rsidRPr="007A0B1D">
        <w:rPr>
          <w:vertAlign w:val="superscript"/>
        </w:rPr>
        <w:t>(427)</w:t>
      </w:r>
      <w:r w:rsidRPr="007A0B1D">
        <w:t xml:space="preserve">. Sono inoltre facilitate le modificazioni epigenetiche, negli istoni e nel DNA, in risposta agli stimoli ambientali in corso di patologia metabolica come il diabete mellito. In </w:t>
      </w:r>
      <w:r w:rsidRPr="007A0B1D">
        <w:lastRenderedPageBreak/>
        <w:t xml:space="preserve">questo contesto, i cambiamenti dei loci nei pattern di metilazione del DNA sembrano contribuire alle disfunzioni tissutali associate al diabete mellito attraverso disfunzioni dei miRNA coinvolti nella riparazione endogena </w:t>
      </w:r>
      <w:r w:rsidRPr="007A0B1D">
        <w:rPr>
          <w:vertAlign w:val="superscript"/>
        </w:rPr>
        <w:t>(428)</w:t>
      </w:r>
      <w:r w:rsidRPr="007A0B1D">
        <w:t>. E’ importante sottolineare che la regolazione epigenetica, compresi i cambiamenti nella metilazione del DNA che portano a modifiche nella struttura della cromatina e al deterioramento della “firma” dei miRNA, è alla base delle alterazioni metaboliche e diventa irreversibile nel te</w:t>
      </w:r>
      <w:r w:rsidRPr="007A0B1D">
        <w:t>m</w:t>
      </w:r>
      <w:r w:rsidRPr="007A0B1D">
        <w:t>po</w:t>
      </w:r>
      <w:r w:rsidRPr="007A0B1D">
        <w:rPr>
          <w:vertAlign w:val="superscript"/>
        </w:rPr>
        <w:t>(429)</w:t>
      </w:r>
      <w:r w:rsidRPr="007A0B1D">
        <w:t xml:space="preserve">. </w:t>
      </w:r>
    </w:p>
    <w:p w14:paraId="0E7A1C36" w14:textId="0C0B0076" w:rsidR="00A9404A" w:rsidRPr="007D14DC" w:rsidRDefault="00A9404A" w:rsidP="007D14DC">
      <w:pPr>
        <w:spacing w:line="360" w:lineRule="auto"/>
        <w:jc w:val="both"/>
        <w:rPr>
          <w:b/>
          <w:bCs/>
        </w:rPr>
      </w:pPr>
      <w:r w:rsidRPr="007A0B1D">
        <w:t xml:space="preserve">I microRNA agiscono inducendo il silenziamento dei loro geni bersaglio al fine di inibire l'mRNA </w:t>
      </w:r>
      <w:r w:rsidRPr="007A0B1D">
        <w:rPr>
          <w:vertAlign w:val="superscript"/>
        </w:rPr>
        <w:t>(430)</w:t>
      </w:r>
      <w:r w:rsidRPr="007A0B1D">
        <w:t xml:space="preserve">. Essi agiscono come inibitori post-trascrizionali dell’espressione genica attraverso il legame ad elementi di riconoscimento dei microRNA all’interno della regione 3 non tradotta (UTR) dei loro mRNA target </w:t>
      </w:r>
      <w:r w:rsidRPr="007A0B1D">
        <w:rPr>
          <w:vertAlign w:val="superscript"/>
        </w:rPr>
        <w:t>(431)</w:t>
      </w:r>
      <w:r w:rsidRPr="007A0B1D">
        <w:t>. La regione maggio</w:t>
      </w:r>
      <w:r w:rsidRPr="007A0B1D">
        <w:t>r</w:t>
      </w:r>
      <w:r w:rsidRPr="007A0B1D">
        <w:t>mente critica per questo legame e per l’effetto di repressione post-trascrizionale è stata denominata “seed site”. I polimorfismi a singolo nucleotide di determinati geni possono alterare il legame del micro- RNA creando un nuovo “seed site” o smante</w:t>
      </w:r>
      <w:r w:rsidRPr="007A0B1D">
        <w:t>l</w:t>
      </w:r>
      <w:r w:rsidRPr="007A0B1D">
        <w:t xml:space="preserve">lando un sito già esistente </w:t>
      </w:r>
      <w:r w:rsidRPr="007A0B1D">
        <w:rPr>
          <w:vertAlign w:val="superscript"/>
        </w:rPr>
        <w:t>(432)</w:t>
      </w:r>
      <w:r w:rsidRPr="007A0B1D">
        <w:t>. In varie condizioni, le cellule rilasciano miRNA liberi in microvescicole che possono essere assorbiti da altri tipi cellulari. Questi miRNA extracellulari sono importanti mediatori della comunicazione cellula-cellula e coo</w:t>
      </w:r>
      <w:r w:rsidRPr="007A0B1D">
        <w:t>r</w:t>
      </w:r>
      <w:r w:rsidRPr="007A0B1D">
        <w:t xml:space="preserve">dinano le funzioni biologiche tra cui l’angiogenesi, l’invasione delle cellule tumorali e la risposta immunitaria. I miRNA sono biomarcatori affidabili, grazie alla loro spiccata resistenza alla degradazione in circolo e al loro arricchimento in particolari tessuti, che rivela la fonte dei miRNA circolanti </w:t>
      </w:r>
      <w:r w:rsidRPr="007A0B1D">
        <w:rPr>
          <w:vertAlign w:val="superscript"/>
        </w:rPr>
        <w:t>(4</w:t>
      </w:r>
      <w:r w:rsidR="002E3121">
        <w:rPr>
          <w:vertAlign w:val="superscript"/>
        </w:rPr>
        <w:t>32</w:t>
      </w:r>
      <w:r w:rsidRPr="007A0B1D">
        <w:rPr>
          <w:vertAlign w:val="superscript"/>
        </w:rPr>
        <w:t>)</w:t>
      </w:r>
      <w:r w:rsidRPr="007A0B1D">
        <w:t>.</w:t>
      </w:r>
    </w:p>
    <w:p w14:paraId="45483A8A" w14:textId="77777777" w:rsidR="007D14DC" w:rsidRDefault="00A9404A" w:rsidP="007D14DC">
      <w:pPr>
        <w:spacing w:before="100" w:beforeAutospacing="1" w:after="100" w:afterAutospacing="1" w:line="360" w:lineRule="auto"/>
        <w:jc w:val="both"/>
        <w:rPr>
          <w:b/>
          <w:bCs/>
        </w:rPr>
      </w:pPr>
      <w:r w:rsidRPr="007A0B1D">
        <w:rPr>
          <w:b/>
          <w:bCs/>
        </w:rPr>
        <w:t>6.5.2. miRNA 126, 5</w:t>
      </w:r>
      <w:r w:rsidR="00A262BF">
        <w:rPr>
          <w:b/>
          <w:bCs/>
        </w:rPr>
        <w:t>0</w:t>
      </w:r>
      <w:r w:rsidRPr="007A0B1D">
        <w:rPr>
          <w:b/>
          <w:bCs/>
        </w:rPr>
        <w:t>3 e 217</w:t>
      </w:r>
      <w:r w:rsidR="007D14DC">
        <w:rPr>
          <w:b/>
          <w:bCs/>
        </w:rPr>
        <w:t xml:space="preserve"> </w:t>
      </w:r>
    </w:p>
    <w:p w14:paraId="6EB3F7C1" w14:textId="7EFA9087" w:rsidR="00A9404A" w:rsidRPr="007D14DC" w:rsidRDefault="00A9404A" w:rsidP="007D14DC">
      <w:pPr>
        <w:spacing w:before="100" w:beforeAutospacing="1" w:after="100" w:afterAutospacing="1" w:line="360" w:lineRule="auto"/>
        <w:jc w:val="both"/>
        <w:rPr>
          <w:b/>
          <w:bCs/>
        </w:rPr>
      </w:pPr>
      <w:r w:rsidRPr="007A0B1D">
        <w:t xml:space="preserve">I microRNA (miRNA) sono RNA non cofidicanti compresi tra i 18-22 nucleotidi, che regolano circa 1/3 del genoma umano a livello post-trascrizionale, in particolare legandosi al proprio mRNA target. </w:t>
      </w:r>
      <w:r w:rsidRPr="007A0B1D">
        <w:rPr>
          <w:vertAlign w:val="superscript"/>
        </w:rPr>
        <w:t>(384)</w:t>
      </w:r>
      <w:r w:rsidRPr="007A0B1D">
        <w:t xml:space="preserve">. I miRNA partecipano quasi in tutti i processi biologici come ad esempio la proliferazione, differenziazione, apoptosi, ma hanno un ruolo prevalente anche per lo sviluppo di alcune patologie. I livelli circolanti di miRNA sono generalmente stabili nella saliva, sangue, liquido cerebrospinale </w:t>
      </w:r>
      <w:r w:rsidRPr="007A0B1D">
        <w:rPr>
          <w:vertAlign w:val="superscript"/>
        </w:rPr>
        <w:t xml:space="preserve">(385) </w:t>
      </w:r>
      <w:r w:rsidRPr="007A0B1D">
        <w:t>e pertanto un’applicazione futura potrebbe essere quella di usarli per trattamento di p</w:t>
      </w:r>
      <w:r w:rsidRPr="007A0B1D">
        <w:t>a</w:t>
      </w:r>
      <w:r w:rsidRPr="007A0B1D">
        <w:t xml:space="preserve">tologie comuni come dislipidemie, diabete e patologie cardiovascolari. </w:t>
      </w:r>
      <w:r w:rsidRPr="007A0B1D">
        <w:rPr>
          <w:vertAlign w:val="superscript"/>
        </w:rPr>
        <w:t>(386).</w:t>
      </w:r>
      <w:r w:rsidRPr="007A0B1D">
        <w:t xml:space="preserve"> </w:t>
      </w:r>
    </w:p>
    <w:p w14:paraId="09348A3F" w14:textId="77777777" w:rsidR="00A9404A" w:rsidRPr="007A0B1D" w:rsidRDefault="00A9404A" w:rsidP="00A9404A">
      <w:pPr>
        <w:spacing w:line="360" w:lineRule="auto"/>
        <w:jc w:val="both"/>
      </w:pPr>
    </w:p>
    <w:p w14:paraId="3FA8525A" w14:textId="77777777" w:rsidR="00A9404A" w:rsidRPr="007A0B1D" w:rsidRDefault="00A9404A" w:rsidP="00A9404A">
      <w:pPr>
        <w:spacing w:line="360" w:lineRule="auto"/>
        <w:jc w:val="both"/>
      </w:pPr>
      <w:r w:rsidRPr="007A0B1D">
        <w:lastRenderedPageBreak/>
        <w:t>Lin et al hanno correlato i livelli sierici di HIF-1a, VEGF e il miRNA 217 in pazienti con piede diabetico, pazienti affetti da diabete e controlli sani ed infine con modelli murini trattati con inibitori del miRNA217. Essendo l’HIF-1a un target genetico d</w:t>
      </w:r>
      <w:r w:rsidRPr="007A0B1D">
        <w:t>i</w:t>
      </w:r>
      <w:r w:rsidRPr="007A0B1D">
        <w:t>retto del mRNA217, inibendo quest’ultimo, si dimostrò come i topi mostrassero una diminuzione dell’area ulcerata, un processo di guarigione più veloce e fattori i</w:t>
      </w:r>
      <w:r w:rsidRPr="007A0B1D">
        <w:t>n</w:t>
      </w:r>
      <w:r w:rsidRPr="007A0B1D">
        <w:t>fiammatori ridotti - in particolare IL-1, TNF-a e IL-6. – mentre l’espressione di pr</w:t>
      </w:r>
      <w:r w:rsidRPr="007A0B1D">
        <w:t>o</w:t>
      </w:r>
      <w:r w:rsidRPr="007A0B1D">
        <w:t xml:space="preserve">teine come HIF-1, VEGF, VEGFR2 ed infine l’eNOS erano notevolmente aumente. </w:t>
      </w:r>
      <w:r w:rsidRPr="007A0B1D">
        <w:rPr>
          <w:vertAlign w:val="superscript"/>
        </w:rPr>
        <w:t>(387)</w:t>
      </w:r>
      <w:r w:rsidRPr="007A0B1D">
        <w:t xml:space="preserve">. Il riscontro di alti livelli sierici di miRNA217 potrebbe essere così correlato alla severità delle ulcere del piede diabetico. </w:t>
      </w:r>
      <w:r w:rsidRPr="007A0B1D">
        <w:rPr>
          <w:vertAlign w:val="superscript"/>
        </w:rPr>
        <w:t>(388)</w:t>
      </w:r>
      <w:r w:rsidRPr="007A0B1D">
        <w:t xml:space="preserve">. Puntando il centro del nostro obiettivo su una migliorata angiogenesi, è stato dimostrato che il miRNA 126 svolge un ruolo critico. </w:t>
      </w:r>
      <w:r w:rsidRPr="007A0B1D">
        <w:rPr>
          <w:vertAlign w:val="superscript"/>
        </w:rPr>
        <w:t>(389)</w:t>
      </w:r>
      <w:r w:rsidRPr="007A0B1D">
        <w:t>. Quest’ultimo, quando up-regolato, attiva la migrazione e il reclutamento delle cellule endoteliali (EC, endotelial cells) e dei progenitori delle stesse (EPCs e</w:t>
      </w:r>
      <w:r w:rsidRPr="007A0B1D">
        <w:t>n</w:t>
      </w:r>
      <w:r w:rsidRPr="007A0B1D">
        <w:t xml:space="preserve">dotelial progenitor cells) nel sito della lesione, giocando un ruolo unico nell’integrità dell’angiogenesi </w:t>
      </w:r>
      <w:r w:rsidRPr="007A0B1D">
        <w:rPr>
          <w:vertAlign w:val="superscript"/>
        </w:rPr>
        <w:t>(390)</w:t>
      </w:r>
      <w:r w:rsidRPr="007A0B1D">
        <w:t xml:space="preserve">. Precedenti studi hanno scoperto come il miRNA126 agisce come anti-infiammatorio, riducendo le molecole di adesione all’epitelio vascolare (VCAM-1) negli endoteliociti dei vasi. </w:t>
      </w:r>
      <w:r w:rsidRPr="007A0B1D">
        <w:rPr>
          <w:vertAlign w:val="superscript"/>
        </w:rPr>
        <w:t>(391)</w:t>
      </w:r>
      <w:r w:rsidRPr="007A0B1D">
        <w:t>, ed inoltre modula positivamente la fu</w:t>
      </w:r>
      <w:r w:rsidRPr="007A0B1D">
        <w:t>n</w:t>
      </w:r>
      <w:r w:rsidRPr="007A0B1D">
        <w:t>zione delle cellule dendritiche plasmocitoidi per la regolazione del VEGFr2, attrave</w:t>
      </w:r>
      <w:r w:rsidRPr="007A0B1D">
        <w:t>r</w:t>
      </w:r>
      <w:r w:rsidRPr="007A0B1D">
        <w:t xml:space="preserve">so il pathway mTOR </w:t>
      </w:r>
      <w:r w:rsidRPr="007A0B1D">
        <w:rPr>
          <w:vertAlign w:val="superscript"/>
        </w:rPr>
        <w:t>(392)</w:t>
      </w:r>
      <w:r w:rsidRPr="007A0B1D">
        <w:t>. Queste evidenze suggeriscono come il miRNA-126 p</w:t>
      </w:r>
      <w:r w:rsidRPr="007A0B1D">
        <w:t>o</w:t>
      </w:r>
      <w:r w:rsidRPr="007A0B1D">
        <w:t xml:space="preserve">trebbe essere un buon marker per la guarigione, nonchè prognosi, delle ulcere del piede diabetico. </w:t>
      </w:r>
    </w:p>
    <w:p w14:paraId="376C1AC4" w14:textId="77777777" w:rsidR="00A9404A" w:rsidRPr="007A0B1D" w:rsidRDefault="00A9404A" w:rsidP="00A9404A">
      <w:pPr>
        <w:spacing w:line="360" w:lineRule="auto"/>
        <w:jc w:val="both"/>
      </w:pPr>
      <w:r w:rsidRPr="007A0B1D">
        <w:t xml:space="preserve">Ulteriori informazioni riguardo l’angiogenesi provengono anche dal miRNA-503. In un studio di Caporali et al. </w:t>
      </w:r>
      <w:r w:rsidRPr="007A0B1D">
        <w:rPr>
          <w:vertAlign w:val="superscript"/>
        </w:rPr>
        <w:t>(393)</w:t>
      </w:r>
      <w:r w:rsidRPr="007A0B1D">
        <w:t xml:space="preserve"> è stato dimostrato come in vitro ed in vivo il diabete mellito aumenti l’espressione nelle cellule endoteliali degli arti inferiori di miRNA-503. Inoltre in vitro l’espressione forzata di miRNA-503 inibisce la proliferazione delle cellule endoteliali e riduce significativamente la proliferazione delle cellule muscolari lisce della tonaca muscolare dei vasi arteriosi, processi che sono essenziali per una corretta angiogenesi. In un modello murino con ischemia degli arti, l’inibizione locale dell’attività del miRNA-503 ha accelerato la guarigione vascolare ed il recupero del flusso sanguigno. </w:t>
      </w:r>
      <w:r w:rsidRPr="007A0B1D">
        <w:rPr>
          <w:vertAlign w:val="superscript"/>
        </w:rPr>
        <w:t>(394)</w:t>
      </w:r>
      <w:r w:rsidRPr="007A0B1D">
        <w:t xml:space="preserve"> Il miRNA503 è stato trovato over-espresso anche nelle biopsie muscolari e nel plasma derivato dal sangue periferico di pazienti diabetici con ischemia critica agli arti. </w:t>
      </w:r>
      <w:r w:rsidRPr="007A0B1D">
        <w:rPr>
          <w:vertAlign w:val="superscript"/>
        </w:rPr>
        <w:t>(395)</w:t>
      </w:r>
      <w:r w:rsidRPr="007A0B1D">
        <w:t>. Da questi studi si intravede una prospe</w:t>
      </w:r>
      <w:r w:rsidRPr="007A0B1D">
        <w:t>t</w:t>
      </w:r>
      <w:r w:rsidRPr="007A0B1D">
        <w:t>tiva terapeutica, in quanto la manipolazione dei miRNA 126,503 e 217 potrebbe ra</w:t>
      </w:r>
      <w:r w:rsidRPr="007A0B1D">
        <w:t>p</w:t>
      </w:r>
      <w:r w:rsidRPr="007A0B1D">
        <w:t xml:space="preserve">presentare un nuovo approccio diagnostico, prognostico e terapeutico per favorire l’angiogenesi riparativa nei pazienti diabetici. </w:t>
      </w:r>
    </w:p>
    <w:p w14:paraId="494BA366" w14:textId="77777777" w:rsidR="00A9404A" w:rsidRPr="007A0B1D" w:rsidRDefault="00A9404A" w:rsidP="00A9404A">
      <w:pPr>
        <w:spacing w:line="360" w:lineRule="auto"/>
        <w:jc w:val="center"/>
      </w:pPr>
      <w:r w:rsidRPr="007A0B1D">
        <w:lastRenderedPageBreak/>
        <w:br/>
      </w:r>
      <w:r w:rsidRPr="007A0B1D">
        <w:rPr>
          <w:noProof/>
        </w:rPr>
        <w:drawing>
          <wp:inline distT="0" distB="0" distL="0" distR="0" wp14:anchorId="67360433" wp14:editId="1E4C1762">
            <wp:extent cx="3126037" cy="2923423"/>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pic:cNvPicPr/>
                  </pic:nvPicPr>
                  <pic:blipFill>
                    <a:blip r:embed="rId28"/>
                    <a:stretch>
                      <a:fillRect/>
                    </a:stretch>
                  </pic:blipFill>
                  <pic:spPr>
                    <a:xfrm>
                      <a:off x="0" y="0"/>
                      <a:ext cx="3138129" cy="2934731"/>
                    </a:xfrm>
                    <a:prstGeom prst="rect">
                      <a:avLst/>
                    </a:prstGeom>
                  </pic:spPr>
                </pic:pic>
              </a:graphicData>
            </a:graphic>
          </wp:inline>
        </w:drawing>
      </w:r>
    </w:p>
    <w:p w14:paraId="23ABC6AA" w14:textId="6D87876C" w:rsidR="00A9404A" w:rsidRPr="007A0B1D" w:rsidRDefault="00A9404A" w:rsidP="00A9404A">
      <w:pPr>
        <w:spacing w:line="360" w:lineRule="auto"/>
        <w:jc w:val="both"/>
        <w:rPr>
          <w:b/>
          <w:bCs/>
        </w:rPr>
      </w:pPr>
      <w:r w:rsidRPr="007A0B1D">
        <w:rPr>
          <w:b/>
          <w:bCs/>
        </w:rPr>
        <w:t>6.5.3 Polimorfismi a singolo nucleotide (SNP)</w:t>
      </w:r>
    </w:p>
    <w:p w14:paraId="6C07239F" w14:textId="08D91E62" w:rsidR="00A9404A" w:rsidRPr="007A0B1D" w:rsidRDefault="00A9404A" w:rsidP="00A9404A">
      <w:pPr>
        <w:spacing w:line="360" w:lineRule="auto"/>
        <w:jc w:val="both"/>
      </w:pPr>
      <w:r w:rsidRPr="007A0B1D">
        <w:t>I polimorfismi del singolo nucleotide (SNP) è la forma più semplice di variazione del DNA tra gli individui. Questi semplici cambiamenti possono essere principalmente di transizione o trasversione, e si verificano in tutto il genoma umano con una fr</w:t>
      </w:r>
      <w:r w:rsidRPr="007A0B1D">
        <w:t>e</w:t>
      </w:r>
      <w:r w:rsidRPr="007A0B1D">
        <w:t xml:space="preserve">quenza di 1/1.000 bp </w:t>
      </w:r>
      <w:r w:rsidRPr="007A0B1D">
        <w:rPr>
          <w:vertAlign w:val="superscript"/>
        </w:rPr>
        <w:t>(396)</w:t>
      </w:r>
      <w:r w:rsidRPr="007A0B1D">
        <w:t>. Possono essere responsabili della diversità che intercorre gli individui, il loro genoma, le differenze interindividuali della risposta ai farmaci e talvolta associati a patologie complesse o comuni, come il diabete, l’obesità o l’ipertensione. Gli SNP possono influenzare l’attività del promotore nell’ambito dell’espressione genica, l’attività degli RNA-messaggeri o la stabilità e localizzazi</w:t>
      </w:r>
      <w:r w:rsidRPr="007A0B1D">
        <w:t>o</w:t>
      </w:r>
      <w:r w:rsidRPr="007A0B1D">
        <w:t>ne subcellulare di quest’ultimi. L’identificazione delle numerose variazioni nei geni e l’analisi dei loro effetti possono portare ad una migliore comprensione del loro i</w:t>
      </w:r>
      <w:r w:rsidRPr="007A0B1D">
        <w:t>m</w:t>
      </w:r>
      <w:r w:rsidRPr="007A0B1D">
        <w:t xml:space="preserve">patto sulla funzione genica e la salute di un individuo. </w:t>
      </w:r>
      <w:r w:rsidRPr="007A0B1D">
        <w:br/>
        <w:t xml:space="preserve">La nostra attenzione è stata rivolta pertanto agli SNP relativi alla IL-6 in particolare il polimorfismo rs1800795, sulla base di diversi studi in cui è stata dimostrata l’associazione tra soggetti con diabete mellito di tipo 2 ed elevati livelli di IL-6 </w:t>
      </w:r>
      <w:r w:rsidRPr="007A0B1D">
        <w:rPr>
          <w:vertAlign w:val="superscript"/>
        </w:rPr>
        <w:t>(397)</w:t>
      </w:r>
      <w:r w:rsidRPr="007A0B1D">
        <w:t xml:space="preserve"> e di come questa citochina infiammatoira sia associata alle condizioni che accomp</w:t>
      </w:r>
      <w:r w:rsidRPr="007A0B1D">
        <w:t>a</w:t>
      </w:r>
      <w:r w:rsidRPr="007A0B1D">
        <w:t>gnano il diabete, come la flogosi, complicanze cardiovascolari e degenerazione ne</w:t>
      </w:r>
      <w:r w:rsidRPr="007A0B1D">
        <w:t>u</w:t>
      </w:r>
      <w:r w:rsidRPr="007A0B1D">
        <w:t xml:space="preserve">ronale. </w:t>
      </w:r>
      <w:r w:rsidRPr="007A0B1D">
        <w:rPr>
          <w:vertAlign w:val="superscript"/>
        </w:rPr>
        <w:t>(398)</w:t>
      </w:r>
      <w:r w:rsidRPr="007A0B1D">
        <w:t>. Tuttavia la forza delle associazioni si è dimostrata incostante, dim</w:t>
      </w:r>
      <w:r w:rsidRPr="007A0B1D">
        <w:t>o</w:t>
      </w:r>
      <w:r w:rsidRPr="007A0B1D">
        <w:t xml:space="preserve">strando un’ampia variabilità interindividuale tra diverse popolazioni: studi effettuati in Grecia, su popolazione Cretese hanno dato un esito positivo </w:t>
      </w:r>
      <w:r w:rsidRPr="007A0B1D">
        <w:rPr>
          <w:vertAlign w:val="superscript"/>
        </w:rPr>
        <w:t>(399)</w:t>
      </w:r>
      <w:r w:rsidRPr="007A0B1D">
        <w:t xml:space="preserve">, mentre vi è stata una mancanza di associazione in altri studi condotti nella popolazione Iraniana </w:t>
      </w:r>
      <w:r w:rsidRPr="007A0B1D">
        <w:rPr>
          <w:vertAlign w:val="superscript"/>
        </w:rPr>
        <w:t>(400)</w:t>
      </w:r>
      <w:r w:rsidRPr="007A0B1D">
        <w:t xml:space="preserve">, </w:t>
      </w:r>
      <w:r w:rsidRPr="007A0B1D">
        <w:lastRenderedPageBreak/>
        <w:t>suggerendo come determinate patologie potrebbero avere una certa predisposizione etnica.</w:t>
      </w:r>
    </w:p>
    <w:p w14:paraId="1DCF8B86" w14:textId="0C6F40C4" w:rsidR="00A9404A" w:rsidRPr="007A0B1D" w:rsidRDefault="00A9404A" w:rsidP="00A9404A">
      <w:pPr>
        <w:spacing w:line="360" w:lineRule="auto"/>
        <w:jc w:val="both"/>
      </w:pPr>
      <w:r w:rsidRPr="007A0B1D">
        <w:t>L’SNP rs1800629 del gene TNF-a si trova nella regione del promotore del gene TNF. Questi SNP posseggono il potenziale per causare cambiamenti strutturali all’interno dei siti regolatori che potrebbero influenzare la funzione o la regolazione della produzione del TNF-a.</w:t>
      </w:r>
      <w:r w:rsidRPr="007A0B1D">
        <w:rPr>
          <w:vertAlign w:val="superscript"/>
        </w:rPr>
        <w:t>(400)</w:t>
      </w:r>
      <w:r w:rsidRPr="007A0B1D">
        <w:t xml:space="preserve"> Diversi studi hanno correlato lo SNP rs1800629 con le ulcere del piede diabetico,</w:t>
      </w:r>
      <w:r w:rsidRPr="007A0B1D">
        <w:rPr>
          <w:vertAlign w:val="superscript"/>
        </w:rPr>
        <w:t xml:space="preserve">(401) </w:t>
      </w:r>
      <w:r w:rsidRPr="007A0B1D">
        <w:t xml:space="preserve">dimostrando una correlazione sia a livello dell’infiammazione che sull’influenza di vari fattori di rischio delle ulcere del piede diabetico, come controllo glicemico, profilo lipidico, funzionalità renale, funzione endoteliale ed obesità.  </w:t>
      </w:r>
      <w:r w:rsidRPr="007A0B1D">
        <w:rPr>
          <w:vertAlign w:val="superscript"/>
        </w:rPr>
        <w:t>(402)</w:t>
      </w:r>
      <w:r w:rsidRPr="007A0B1D">
        <w:t>. Essendo presente la variabilità interindividuale, questi studi possono essere condotti in altre differenti etnie, al fine di rafforzarne l’evidenza.</w:t>
      </w:r>
    </w:p>
    <w:p w14:paraId="2BD9A8B6" w14:textId="2314444B" w:rsidR="00A9404A" w:rsidRPr="007A0B1D" w:rsidRDefault="00A9404A" w:rsidP="00A9404A">
      <w:pPr>
        <w:spacing w:line="360" w:lineRule="auto"/>
        <w:jc w:val="both"/>
      </w:pPr>
      <w:r w:rsidRPr="007A0B1D">
        <w:t>Il polimorfismo SNP rs699947 del gene VEGF-C2578A è stato studiato ed identif</w:t>
      </w:r>
      <w:r w:rsidRPr="007A0B1D">
        <w:t>i</w:t>
      </w:r>
      <w:r w:rsidRPr="007A0B1D">
        <w:t>cato come fattore di rischio nello sviluppo della retinopatia diabetica, in una popol</w:t>
      </w:r>
      <w:r w:rsidRPr="007A0B1D">
        <w:t>a</w:t>
      </w:r>
      <w:r w:rsidRPr="007A0B1D">
        <w:t xml:space="preserve">zione di Bali, Indonesia, </w:t>
      </w:r>
      <w:r w:rsidRPr="007A0B1D">
        <w:rPr>
          <w:vertAlign w:val="superscript"/>
        </w:rPr>
        <w:t>(403)</w:t>
      </w:r>
      <w:r w:rsidRPr="007A0B1D">
        <w:t xml:space="preserve"> associazione a sua volta confermata da ulteriori studi effettuati in una popolazione Cinese </w:t>
      </w:r>
      <w:r w:rsidRPr="007A0B1D">
        <w:rPr>
          <w:vertAlign w:val="superscript"/>
        </w:rPr>
        <w:t>(404)</w:t>
      </w:r>
      <w:r w:rsidRPr="007A0B1D">
        <w:t xml:space="preserve"> e caucasica </w:t>
      </w:r>
      <w:r w:rsidRPr="007A0B1D">
        <w:rPr>
          <w:vertAlign w:val="superscript"/>
        </w:rPr>
        <w:t xml:space="preserve">(405) </w:t>
      </w:r>
      <w:r w:rsidRPr="007A0B1D">
        <w:t>. Le medesime consider</w:t>
      </w:r>
      <w:r w:rsidRPr="007A0B1D">
        <w:t>a</w:t>
      </w:r>
      <w:r w:rsidRPr="007A0B1D">
        <w:t xml:space="preserve">zioni sono state fatte per il SNP rs3025039 del gene VEGF-C936T nell’ambito della retinopatia proliferativa diabetica </w:t>
      </w:r>
      <w:r w:rsidRPr="007A0B1D">
        <w:rPr>
          <w:vertAlign w:val="superscript"/>
        </w:rPr>
        <w:t>(405)</w:t>
      </w:r>
      <w:r w:rsidRPr="007A0B1D">
        <w:t xml:space="preserve">. </w:t>
      </w:r>
    </w:p>
    <w:p w14:paraId="6226AC60" w14:textId="5B8CC7B6" w:rsidR="00A9404A" w:rsidRPr="007A0B1D" w:rsidRDefault="00A9404A" w:rsidP="00A9404A">
      <w:pPr>
        <w:spacing w:line="360" w:lineRule="auto"/>
        <w:jc w:val="both"/>
      </w:pPr>
      <w:r w:rsidRPr="007A0B1D">
        <w:t>Il gene eNOS è stato considerato un potenziale gene candidato alla suscettibilità alla nefropatia diabetica. Negli ultimi anni sono stati diversi i polimorfismi del gene eNOS identificati, e la loro associazione con varie malattie è stato preso in consid</w:t>
      </w:r>
      <w:r w:rsidRPr="007A0B1D">
        <w:t>e</w:t>
      </w:r>
      <w:r w:rsidRPr="007A0B1D">
        <w:t>razione</w:t>
      </w:r>
      <w:r w:rsidRPr="007A0B1D">
        <w:rPr>
          <w:vertAlign w:val="superscript"/>
        </w:rPr>
        <w:t>(406)</w:t>
      </w:r>
      <w:r w:rsidRPr="007A0B1D">
        <w:t>. Tra i polimorfismi oggetto di ricerca, si è cercato di identificare nel p</w:t>
      </w:r>
      <w:r w:rsidRPr="007A0B1D">
        <w:t>o</w:t>
      </w:r>
      <w:r w:rsidRPr="007A0B1D">
        <w:t xml:space="preserve">limorfismo SNP rs1799983 del gene ENOS-G894T la predisposizione genetica alle complicanze microvascolari del diabete mellito cronico. Tuttavia, anche in questo caso, non tutti gli studi supportano tale associazione </w:t>
      </w:r>
      <w:r w:rsidRPr="007A0B1D">
        <w:rPr>
          <w:vertAlign w:val="superscript"/>
        </w:rPr>
        <w:t>(407)</w:t>
      </w:r>
      <w:r w:rsidRPr="007A0B1D">
        <w:t>. Il polimorfismo G894T è stato collegato ad un aumento del rischio di macroalbuminuria e progressione da m</w:t>
      </w:r>
      <w:r w:rsidRPr="007A0B1D">
        <w:t>i</w:t>
      </w:r>
      <w:r w:rsidRPr="007A0B1D">
        <w:t>croalbuminuria a macroalbuminuria, con diminuzione della velocità di filtrazione glomerulare e aumento della creatinina sierica, culminando in IRC end-stage, ind</w:t>
      </w:r>
      <w:r w:rsidRPr="007A0B1D">
        <w:t>i</w:t>
      </w:r>
      <w:r w:rsidRPr="007A0B1D">
        <w:t xml:space="preserve">pendentemente da altri fattori di rischio </w:t>
      </w:r>
      <w:r w:rsidRPr="007A0B1D">
        <w:rPr>
          <w:vertAlign w:val="superscript"/>
        </w:rPr>
        <w:t>(408)</w:t>
      </w:r>
      <w:r w:rsidRPr="007A0B1D">
        <w:t xml:space="preserve"> </w:t>
      </w:r>
    </w:p>
    <w:p w14:paraId="00AFCC20" w14:textId="77777777" w:rsidR="00A9404A" w:rsidRPr="007A0B1D" w:rsidRDefault="00A9404A" w:rsidP="00A9404A">
      <w:pPr>
        <w:spacing w:line="360" w:lineRule="auto"/>
        <w:jc w:val="both"/>
      </w:pPr>
      <w:r w:rsidRPr="007A0B1D">
        <w:t xml:space="preserve">Il primo studio a mettere in correlazione il SNP rs11549465 del gene HIF-1alpha C1772T con le ulcere del piede diabetico è stato effettuato dal gruppo di Pichu et al 2015 </w:t>
      </w:r>
      <w:r w:rsidRPr="007A0B1D">
        <w:rPr>
          <w:vertAlign w:val="superscript"/>
        </w:rPr>
        <w:t>(409)</w:t>
      </w:r>
      <w:r w:rsidRPr="007A0B1D">
        <w:t>, su una popolazione dell’Asia meridionale. Lo studio ha dimostrato come vi sia una diminuzione dell’espressione genica del’HIF-1alpha nei pazienti con ulc</w:t>
      </w:r>
      <w:r w:rsidRPr="007A0B1D">
        <w:t>e</w:t>
      </w:r>
      <w:r w:rsidRPr="007A0B1D">
        <w:t xml:space="preserve">ra del piede diabetico, suggerendo che sia possibile un ruolo sulla patogenesi. Lo </w:t>
      </w:r>
      <w:r w:rsidRPr="007A0B1D">
        <w:lastRenderedPageBreak/>
        <w:t xml:space="preserve">studio vede il suo punto di forza nella stessa origine etnica della coorte di pazienti studiati, meritando così ulteriori indagini su altre etnie e popolazioni, al fine di poter sviluppare nuovi approcci di prevenzione e strategie di trattamento delle ulcere del piede diabetico </w:t>
      </w:r>
      <w:r w:rsidRPr="007A0B1D">
        <w:rPr>
          <w:vertAlign w:val="superscript"/>
        </w:rPr>
        <w:t>(409)</w:t>
      </w:r>
    </w:p>
    <w:p w14:paraId="733694A7" w14:textId="73CDB621" w:rsidR="00A9404A" w:rsidRPr="007A0B1D" w:rsidRDefault="00A9404A" w:rsidP="00A9404A">
      <w:pPr>
        <w:spacing w:line="360" w:lineRule="auto"/>
        <w:jc w:val="both"/>
      </w:pPr>
    </w:p>
    <w:p w14:paraId="500A6959" w14:textId="77777777" w:rsidR="00A9404A" w:rsidRPr="007A0B1D" w:rsidRDefault="00A9404A" w:rsidP="00A9404A">
      <w:pPr>
        <w:jc w:val="both"/>
        <w:rPr>
          <w:b/>
        </w:rPr>
      </w:pPr>
    </w:p>
    <w:p w14:paraId="3A784F54" w14:textId="77777777" w:rsidR="00A9404A" w:rsidRPr="007A0B1D" w:rsidRDefault="00A9404A" w:rsidP="00A9404A">
      <w:pPr>
        <w:jc w:val="both"/>
        <w:rPr>
          <w:b/>
        </w:rPr>
      </w:pPr>
    </w:p>
    <w:p w14:paraId="09FE5966" w14:textId="00D6648A" w:rsidR="007D14DC" w:rsidRPr="00C05520" w:rsidRDefault="00A9404A" w:rsidP="007D14DC">
      <w:pPr>
        <w:spacing w:line="360" w:lineRule="auto"/>
        <w:jc w:val="both"/>
        <w:rPr>
          <w:b/>
          <w:sz w:val="22"/>
          <w:szCs w:val="28"/>
        </w:rPr>
      </w:pPr>
      <w:r w:rsidRPr="007A0B1D">
        <w:rPr>
          <w:b/>
        </w:rPr>
        <w:t xml:space="preserve">Capitolo 7: </w:t>
      </w:r>
      <w:r w:rsidR="007D14DC">
        <w:rPr>
          <w:b/>
        </w:rPr>
        <w:t>V</w:t>
      </w:r>
      <w:r w:rsidR="007D14DC" w:rsidRPr="007D14DC">
        <w:rPr>
          <w:b/>
        </w:rPr>
        <w:t>alutazione delle modifiche epigenetiche sui micro-rna MIRNA126, 503, 217 e sui polimorfismi a singolo nucleotide SNP rs1800795 del gene IL-6 -G174C, SNP rs1800629 del gene TNF-α -G308A, SNP rs699947 del gene VEGF-C2578A, SNP rs3025039 del gene VEGF C936T, SNP rs1799983 del gene ENOS-G894T, SNP rs11549465 del gene HIF-1alpha C1772T in una popolazi</w:t>
      </w:r>
      <w:r w:rsidR="007D14DC" w:rsidRPr="007D14DC">
        <w:rPr>
          <w:b/>
        </w:rPr>
        <w:t>o</w:t>
      </w:r>
      <w:r w:rsidR="007D14DC" w:rsidRPr="007D14DC">
        <w:rPr>
          <w:b/>
        </w:rPr>
        <w:t>ne di pazienti con diabete mellito di tipo 2 con e senza piede diabetico e correl</w:t>
      </w:r>
      <w:r w:rsidR="007D14DC" w:rsidRPr="007D14DC">
        <w:rPr>
          <w:b/>
        </w:rPr>
        <w:t>a</w:t>
      </w:r>
      <w:r w:rsidR="007D14DC" w:rsidRPr="007D14DC">
        <w:rPr>
          <w:b/>
        </w:rPr>
        <w:t>zione con gli indici di disfunzione endoteliale e i markers sierologici di adipo-infiammatori.</w:t>
      </w:r>
    </w:p>
    <w:p w14:paraId="6390A4F2" w14:textId="77777777" w:rsidR="00A9404A" w:rsidRPr="007A0B1D" w:rsidRDefault="00A9404A" w:rsidP="00A9404A">
      <w:pPr>
        <w:spacing w:line="360" w:lineRule="auto"/>
        <w:jc w:val="both"/>
        <w:rPr>
          <w:b/>
        </w:rPr>
      </w:pPr>
    </w:p>
    <w:p w14:paraId="3F14D5A5" w14:textId="77777777" w:rsidR="00A9404A" w:rsidRPr="007A0B1D" w:rsidRDefault="00A9404A" w:rsidP="00A9404A">
      <w:pPr>
        <w:spacing w:line="360" w:lineRule="auto"/>
        <w:jc w:val="both"/>
        <w:rPr>
          <w:b/>
        </w:rPr>
      </w:pPr>
      <w:r w:rsidRPr="007A0B1D">
        <w:rPr>
          <w:b/>
        </w:rPr>
        <w:t>7.1 Introduzione</w:t>
      </w:r>
    </w:p>
    <w:p w14:paraId="1D54ECD7" w14:textId="77777777" w:rsidR="00A9404A" w:rsidRPr="007A0B1D" w:rsidRDefault="00A9404A" w:rsidP="00A9404A">
      <w:pPr>
        <w:spacing w:line="360" w:lineRule="auto"/>
        <w:jc w:val="both"/>
      </w:pPr>
      <w:r w:rsidRPr="007A0B1D">
        <w:t>Il diabete mellito è una malattia metabolica caratterizzata clinicamente da iperglic</w:t>
      </w:r>
      <w:r w:rsidRPr="007A0B1D">
        <w:t>e</w:t>
      </w:r>
      <w:r w:rsidRPr="007A0B1D">
        <w:t>mia cronica e da disordini del metabolismo dei lipidi e delle proteine ematiche. Tale patologia è ampiamente correlata a numerose complicanze che compromettono sign</w:t>
      </w:r>
      <w:r w:rsidRPr="007A0B1D">
        <w:t>i</w:t>
      </w:r>
      <w:r w:rsidRPr="007A0B1D">
        <w:t>ficativamente la qualità della vita. Tra le complicanze angiopatiche, le ulcere a carico del piede rappresentano la prima causa di ospedalizzazione nei diabetici, con un i</w:t>
      </w:r>
      <w:r w:rsidRPr="007A0B1D">
        <w:t>n</w:t>
      </w:r>
      <w:r w:rsidRPr="007A0B1D">
        <w:t>cremento dei costi nell'ambito dell’assistenza sanitaria (oltre il 20% -40% delle riso</w:t>
      </w:r>
      <w:r w:rsidRPr="007A0B1D">
        <w:t>r</w:t>
      </w:r>
      <w:r w:rsidRPr="007A0B1D">
        <w:t>se sanitarie sono state segnalate come correlate alla cura del piede diabetico). </w:t>
      </w:r>
    </w:p>
    <w:p w14:paraId="5E0EBC09" w14:textId="77777777" w:rsidR="00A9404A" w:rsidRPr="007A0B1D" w:rsidRDefault="00A9404A" w:rsidP="00A9404A">
      <w:pPr>
        <w:spacing w:line="360" w:lineRule="auto"/>
        <w:jc w:val="both"/>
      </w:pPr>
      <w:r w:rsidRPr="007A0B1D">
        <w:t>Diversi studi indicano, inoltre, che le ulcere del piede nei pazienti diabetici sono co</w:t>
      </w:r>
      <w:r w:rsidRPr="007A0B1D">
        <w:t>r</w:t>
      </w:r>
      <w:r w:rsidRPr="007A0B1D">
        <w:t xml:space="preserve">relate a una maggiore mortalità. Infatti, il piede diabetico è una delle principali cause di morbilità nei pazienti diabetici, il cui tasso è circa il doppio di quello dei pazienti senza ulcera del piede </w:t>
      </w:r>
      <w:r w:rsidRPr="007A0B1D">
        <w:rPr>
          <w:vertAlign w:val="superscript"/>
        </w:rPr>
        <w:t>(1-3)</w:t>
      </w:r>
      <w:r w:rsidRPr="007A0B1D">
        <w:t>. </w:t>
      </w:r>
    </w:p>
    <w:p w14:paraId="76508D7E" w14:textId="50779DA2" w:rsidR="00A9404A" w:rsidRDefault="00A9404A" w:rsidP="00A9404A">
      <w:pPr>
        <w:spacing w:line="360" w:lineRule="auto"/>
        <w:jc w:val="both"/>
      </w:pPr>
      <w:r w:rsidRPr="007A0B1D">
        <w:t>Numerose evidenze in letteratura suggeriscono altresì che i pazienti diabetici con complicanze del piede presentino, rispetto ai pazienti diabetici senza piede diabetico, un peggiore profilo di rischio cardiovascolare e cerebrovascolare, una maggiore d</w:t>
      </w:r>
      <w:r w:rsidRPr="007A0B1D">
        <w:t>i</w:t>
      </w:r>
      <w:r w:rsidRPr="007A0B1D">
        <w:t>sfunzione endoteliale e rigidità arteriosa nonché un più esaltato background infia</w:t>
      </w:r>
      <w:r w:rsidRPr="007A0B1D">
        <w:t>m</w:t>
      </w:r>
      <w:r w:rsidRPr="007A0B1D">
        <w:t>matorio. In particolare un pregresso lavoro della nostra scuola ha mostrato un incr</w:t>
      </w:r>
      <w:r w:rsidRPr="007A0B1D">
        <w:t>e</w:t>
      </w:r>
      <w:r w:rsidRPr="007A0B1D">
        <w:lastRenderedPageBreak/>
        <w:t>mento significativo dei livelli sierici di molecole infiammatoria come l’IL-6 in p</w:t>
      </w:r>
      <w:r w:rsidRPr="007A0B1D">
        <w:t>a</w:t>
      </w:r>
      <w:r w:rsidRPr="007A0B1D">
        <w:t xml:space="preserve">zienti con piede diabetico rispetto ai controlli diabetici </w:t>
      </w:r>
      <w:r w:rsidRPr="007A0B1D">
        <w:rPr>
          <w:vertAlign w:val="superscript"/>
        </w:rPr>
        <w:t>(</w:t>
      </w:r>
      <w:r>
        <w:rPr>
          <w:vertAlign w:val="superscript"/>
        </w:rPr>
        <w:t>377</w:t>
      </w:r>
      <w:r w:rsidRPr="007A0B1D">
        <w:rPr>
          <w:vertAlign w:val="superscript"/>
        </w:rPr>
        <w:t>)</w:t>
      </w:r>
      <w:r w:rsidRPr="007A0B1D">
        <w:t>.</w:t>
      </w:r>
    </w:p>
    <w:p w14:paraId="17E73382" w14:textId="63388996" w:rsidR="006A65EC" w:rsidRDefault="006A65EC" w:rsidP="00A9404A">
      <w:pPr>
        <w:spacing w:line="360" w:lineRule="auto"/>
        <w:jc w:val="both"/>
      </w:pPr>
      <w:r w:rsidRPr="007A0B1D">
        <w:rPr>
          <w:b/>
          <w:noProof/>
        </w:rPr>
        <w:drawing>
          <wp:anchor distT="0" distB="0" distL="114300" distR="114300" simplePos="0" relativeHeight="251692032" behindDoc="0" locked="0" layoutInCell="1" allowOverlap="1" wp14:anchorId="03D93EC5" wp14:editId="5A1AF129">
            <wp:simplePos x="0" y="0"/>
            <wp:positionH relativeFrom="margin">
              <wp:posOffset>1028700</wp:posOffset>
            </wp:positionH>
            <wp:positionV relativeFrom="margin">
              <wp:posOffset>571500</wp:posOffset>
            </wp:positionV>
            <wp:extent cx="2926715" cy="1143000"/>
            <wp:effectExtent l="0" t="0" r="0" b="0"/>
            <wp:wrapSquare wrapText="bothSides"/>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7"/>
                    <pic:cNvPicPr/>
                  </pic:nvPicPr>
                  <pic:blipFill>
                    <a:blip r:embed="rId29"/>
                    <a:stretch>
                      <a:fillRect/>
                    </a:stretch>
                  </pic:blipFill>
                  <pic:spPr>
                    <a:xfrm>
                      <a:off x="0" y="0"/>
                      <a:ext cx="2926715" cy="1143000"/>
                    </a:xfrm>
                    <a:prstGeom prst="rect">
                      <a:avLst/>
                    </a:prstGeom>
                  </pic:spPr>
                </pic:pic>
              </a:graphicData>
            </a:graphic>
            <wp14:sizeRelH relativeFrom="margin">
              <wp14:pctWidth>0</wp14:pctWidth>
            </wp14:sizeRelH>
            <wp14:sizeRelV relativeFrom="margin">
              <wp14:pctHeight>0</wp14:pctHeight>
            </wp14:sizeRelV>
          </wp:anchor>
        </w:drawing>
      </w:r>
    </w:p>
    <w:p w14:paraId="1BAFCC09" w14:textId="77777777" w:rsidR="006A65EC" w:rsidRDefault="006A65EC" w:rsidP="00A9404A">
      <w:pPr>
        <w:spacing w:line="360" w:lineRule="auto"/>
        <w:jc w:val="both"/>
      </w:pPr>
    </w:p>
    <w:p w14:paraId="42332586" w14:textId="77777777" w:rsidR="006A65EC" w:rsidRDefault="006A65EC" w:rsidP="00A9404A">
      <w:pPr>
        <w:spacing w:line="360" w:lineRule="auto"/>
        <w:jc w:val="both"/>
      </w:pPr>
    </w:p>
    <w:p w14:paraId="3F335E9F" w14:textId="77777777" w:rsidR="006A65EC" w:rsidRDefault="006A65EC" w:rsidP="00A9404A">
      <w:pPr>
        <w:spacing w:line="360" w:lineRule="auto"/>
        <w:jc w:val="both"/>
      </w:pPr>
    </w:p>
    <w:p w14:paraId="30C1C48B" w14:textId="77777777" w:rsidR="006A65EC" w:rsidRPr="007A0B1D" w:rsidRDefault="006A65EC" w:rsidP="00A9404A">
      <w:pPr>
        <w:spacing w:line="360" w:lineRule="auto"/>
        <w:jc w:val="both"/>
      </w:pPr>
    </w:p>
    <w:p w14:paraId="0B510E04" w14:textId="07B26E27" w:rsidR="00A9404A" w:rsidRPr="007A0B1D" w:rsidRDefault="00A9404A" w:rsidP="00A9404A">
      <w:pPr>
        <w:spacing w:line="360" w:lineRule="auto"/>
        <w:jc w:val="both"/>
      </w:pPr>
      <w:r w:rsidRPr="007A0B1D">
        <w:t>In letteratura si è molto dibattuto sul ruolo della genetica, in particolare delle modif</w:t>
      </w:r>
      <w:r w:rsidRPr="007A0B1D">
        <w:t>i</w:t>
      </w:r>
      <w:r w:rsidRPr="007A0B1D">
        <w:t>che epigenetiche, nella genesi di una delle complicanze più dispendiose e severe del diabete mellito, ovvero il piede diabetico. </w:t>
      </w:r>
    </w:p>
    <w:p w14:paraId="3F937104" w14:textId="77777777" w:rsidR="00A9404A" w:rsidRPr="007A0B1D" w:rsidRDefault="00A9404A" w:rsidP="00A9404A">
      <w:pPr>
        <w:spacing w:line="360" w:lineRule="auto"/>
        <w:jc w:val="both"/>
      </w:pPr>
      <w:r w:rsidRPr="007A0B1D">
        <w:t>Il DCCT (Diabetes Control and Complications Trial) e l’EDIC (Epidemiology of Diabetic Interventions and Complication) sono rispettivamente due studi che hanno mostrato la persistenza della flogosi e delle complicanze vascolari in pazienti diab</w:t>
      </w:r>
      <w:r w:rsidRPr="007A0B1D">
        <w:t>e</w:t>
      </w:r>
      <w:r w:rsidRPr="007A0B1D">
        <w:t>tici sottoposti a terapia insulinica, nonostante l’intensivo controllo dei valori glicem</w:t>
      </w:r>
      <w:r w:rsidRPr="007A0B1D">
        <w:t>i</w:t>
      </w:r>
      <w:r w:rsidRPr="007A0B1D">
        <w:t>ci.</w:t>
      </w:r>
    </w:p>
    <w:p w14:paraId="16637DD3" w14:textId="77777777" w:rsidR="00A9404A" w:rsidRPr="007A0B1D" w:rsidRDefault="00A9404A" w:rsidP="00A9404A">
      <w:pPr>
        <w:spacing w:line="360" w:lineRule="auto"/>
        <w:jc w:val="both"/>
      </w:pPr>
      <w:r w:rsidRPr="007A0B1D">
        <w:t>Sembrerebbe che, nonostante la correzione dei valori glicemici, in alcuni pazienti diabetici l’iperglicemia cronica crei delle modifiche epigenetiche, che prendono il nome di “metabolic memory”</w:t>
      </w:r>
      <w:r>
        <w:t xml:space="preserve"> </w:t>
      </w:r>
      <w:r w:rsidRPr="007A0B1D">
        <w:rPr>
          <w:vertAlign w:val="superscript"/>
        </w:rPr>
        <w:t>(422)</w:t>
      </w:r>
      <w:r w:rsidRPr="007A0B1D">
        <w:t xml:space="preserve">, le quali comportano la formazione delle classiche complicanze vascolari, tra cui il “piede diabetico”. Questa modifiche epigentiche sembrerebbero perpetuare il danno dell’iperglicemia cronica anche in assenza della stessa, agendo a vari livelli, maggiormente a carico dei processi biomolecolari di guarigione dell’ulcera diabetica </w:t>
      </w:r>
      <w:r w:rsidRPr="007A0B1D">
        <w:rPr>
          <w:vertAlign w:val="superscript"/>
        </w:rPr>
        <w:t>(381)</w:t>
      </w:r>
      <w:r w:rsidRPr="007A0B1D">
        <w:t>. </w:t>
      </w:r>
    </w:p>
    <w:p w14:paraId="01DEB331" w14:textId="77777777" w:rsidR="00A9404A" w:rsidRPr="007A0B1D" w:rsidRDefault="00A9404A" w:rsidP="00A9404A">
      <w:pPr>
        <w:spacing w:line="360" w:lineRule="auto"/>
        <w:jc w:val="both"/>
      </w:pPr>
      <w:r w:rsidRPr="007A0B1D">
        <w:t>La persistente iperglicemia cronica comporta una disfunzione delle cellule epitaliali con una conseguente riduzione di fattori pro-angiogenici e ridotta produzione di NO da parte di ENOS. Tale condizione comporta una ridotta vasodilatazione che, comb</w:t>
      </w:r>
      <w:r w:rsidRPr="007A0B1D">
        <w:t>i</w:t>
      </w:r>
      <w:r w:rsidRPr="007A0B1D">
        <w:t>nata con la neuropatia periferica, conduce alla formazione dell’ulcera. </w:t>
      </w:r>
    </w:p>
    <w:p w14:paraId="578D005E" w14:textId="77777777" w:rsidR="00A9404A" w:rsidRPr="007A0B1D" w:rsidRDefault="00A9404A" w:rsidP="00A9404A">
      <w:pPr>
        <w:spacing w:line="360" w:lineRule="auto"/>
        <w:jc w:val="both"/>
      </w:pPr>
      <w:r w:rsidRPr="007A0B1D">
        <w:t>La “metabolic memory” perpetua il suo danno rallentando il processo di guarigione dell’ulcera e favorendo le sovrainfezioni diabetiche. Il processo di guarigione dell’ulcera diabetica si basa su 4 fasi: infiammazione, formazione di tessuto gran</w:t>
      </w:r>
      <w:r w:rsidRPr="007A0B1D">
        <w:t>u</w:t>
      </w:r>
      <w:r w:rsidRPr="007A0B1D">
        <w:t>lomatoso, riepitelizzazione e deposizione di matrice extracellulare con conseguente remodelling. </w:t>
      </w:r>
    </w:p>
    <w:p w14:paraId="5753FE60" w14:textId="77777777" w:rsidR="00A9404A" w:rsidRPr="007A0B1D" w:rsidRDefault="00A9404A" w:rsidP="00A9404A">
      <w:pPr>
        <w:spacing w:line="360" w:lineRule="auto"/>
        <w:jc w:val="both"/>
      </w:pPr>
      <w:r w:rsidRPr="007A0B1D">
        <w:t>La fase infiammatoria è caratterizzata dallo sbilanciamento eccessivo di molecole i</w:t>
      </w:r>
      <w:r w:rsidRPr="007A0B1D">
        <w:t>n</w:t>
      </w:r>
      <w:r w:rsidRPr="007A0B1D">
        <w:t>fiammatorie come IL-6, IL-1 e TNFalfa volte a contrastatare il danno iniziale causato dalla rottura della barriera cutanea dell’ulcera e l’eventule ingresso di germi.</w:t>
      </w:r>
    </w:p>
    <w:p w14:paraId="4C528CC1" w14:textId="77777777" w:rsidR="00A9404A" w:rsidRPr="007A0B1D" w:rsidRDefault="00A9404A" w:rsidP="00A9404A">
      <w:pPr>
        <w:spacing w:line="360" w:lineRule="auto"/>
        <w:jc w:val="both"/>
      </w:pPr>
      <w:r w:rsidRPr="007A0B1D">
        <w:lastRenderedPageBreak/>
        <w:t>La formazione del tessuto granulomatoso è governata dai fattori di crescita come VEGF, PDGF, FGF. Tali fattori inoltre coadiuvano con le molecole infiammatorie come IL-6, IL-1 e TNFalfa al fine di causare la riepitelizzazione e quindi chiudere la breccia epitaliale causata dall’iniziale ulcera. </w:t>
      </w:r>
    </w:p>
    <w:p w14:paraId="15EEA6D3" w14:textId="77777777" w:rsidR="00A9404A" w:rsidRPr="007A0B1D" w:rsidRDefault="00A9404A" w:rsidP="00A9404A">
      <w:pPr>
        <w:spacing w:line="360" w:lineRule="auto"/>
        <w:jc w:val="both"/>
      </w:pPr>
      <w:r w:rsidRPr="007A0B1D">
        <w:t>Infine la differenziazione di fibroblasti e cheratinociti, nonché la conseguente dep</w:t>
      </w:r>
      <w:r w:rsidRPr="007A0B1D">
        <w:t>o</w:t>
      </w:r>
      <w:r w:rsidRPr="007A0B1D">
        <w:t>sizione di matrice extracellulare, permettono il “remodelling” dell’ulcera.  </w:t>
      </w:r>
    </w:p>
    <w:p w14:paraId="7F82B6E7" w14:textId="77777777" w:rsidR="00A9404A" w:rsidRPr="007A0B1D" w:rsidRDefault="00A9404A" w:rsidP="00A9404A">
      <w:pPr>
        <w:spacing w:line="360" w:lineRule="auto"/>
        <w:jc w:val="both"/>
      </w:pPr>
      <w:r w:rsidRPr="007A0B1D">
        <w:t>Le modifiche epigenetiche indotte dalla “metabolic memory” si esplicano su vari ta</w:t>
      </w:r>
      <w:r w:rsidRPr="007A0B1D">
        <w:t>r</w:t>
      </w:r>
      <w:r w:rsidRPr="007A0B1D">
        <w:t xml:space="preserve">get molecolari quali miRNA e polimorfismi a singolo nucleotide di alcune molecole implicate nelle 4 fasi di guargione dell’ulcera diabetica </w:t>
      </w:r>
      <w:r w:rsidRPr="007A0B1D">
        <w:rPr>
          <w:vertAlign w:val="superscript"/>
        </w:rPr>
        <w:t>(367)</w:t>
      </w:r>
      <w:r w:rsidRPr="007A0B1D">
        <w:t>.  </w:t>
      </w:r>
    </w:p>
    <w:p w14:paraId="54AFBC58" w14:textId="77777777" w:rsidR="00A9404A" w:rsidRPr="007A0B1D" w:rsidRDefault="00A9404A" w:rsidP="00A9404A">
      <w:pPr>
        <w:spacing w:line="360" w:lineRule="auto"/>
        <w:jc w:val="both"/>
      </w:pPr>
      <w:r w:rsidRPr="007A0B1D">
        <w:t xml:space="preserve">Negli anni sono stati studiati diversi miRNA implicati nelle modifiche epigenetiche dell’ulcera diabetica. Tra questi sembrerebbero avere un ruolo rilevante la </w:t>
      </w:r>
      <w:r w:rsidRPr="007A0B1D">
        <w:rPr>
          <w:i/>
          <w:iCs/>
        </w:rPr>
        <w:t>deplezione del miRNA 126</w:t>
      </w:r>
      <w:r w:rsidRPr="007A0B1D">
        <w:t xml:space="preserve">, guidata e correlata ad una concomitante </w:t>
      </w:r>
      <w:r w:rsidRPr="007A0B1D">
        <w:rPr>
          <w:i/>
          <w:iCs/>
        </w:rPr>
        <w:t>overespressione del miRNA 503</w:t>
      </w:r>
      <w:r w:rsidRPr="007A0B1D">
        <w:t xml:space="preserve"> indotta dall’iperglicemia cronica. L’overespressione di miRNA 503 comporta una riduzione dell’angiogenesi e una deplezione dei livelli di miRNA 126 che causa una concomitante riduzione del processo di riepitelizzazione. I due meccanismi ag</w:t>
      </w:r>
      <w:r w:rsidRPr="007A0B1D">
        <w:t>i</w:t>
      </w:r>
      <w:r w:rsidRPr="007A0B1D">
        <w:t xml:space="preserve">scono in sincrono causando una mancata guarigione dell’ulcera diabetica. </w:t>
      </w:r>
      <w:r w:rsidRPr="007A0B1D">
        <w:rPr>
          <w:vertAlign w:val="superscript"/>
        </w:rPr>
        <w:t>(368)</w:t>
      </w:r>
      <w:r w:rsidRPr="007A0B1D">
        <w:t>.</w:t>
      </w:r>
    </w:p>
    <w:p w14:paraId="74D962B1" w14:textId="77777777" w:rsidR="00A9404A" w:rsidRPr="007A0B1D" w:rsidRDefault="00A9404A" w:rsidP="00A9404A">
      <w:pPr>
        <w:spacing w:line="360" w:lineRule="auto"/>
        <w:jc w:val="both"/>
      </w:pPr>
      <w:r w:rsidRPr="007A0B1D">
        <w:t xml:space="preserve">Altro miRNA studiato in quanto implicato nella genesi dell’ulcera diabetica è il </w:t>
      </w:r>
      <w:r w:rsidRPr="007A0B1D">
        <w:rPr>
          <w:i/>
          <w:iCs/>
        </w:rPr>
        <w:t>miRNA 217</w:t>
      </w:r>
      <w:r w:rsidRPr="007A0B1D">
        <w:t xml:space="preserve">, correlato nel pathway del HIF-1alpha, ossia il fattore inducibile dall’ipossia. In uno studio in vivo su modelli murini è stato dimostrato che inibendo miRNA 217 si ha un up-regulate del pathway HIF-1alpha, con una promozione dell’angiogenesi e dell’infiammazione con conseguente miglioramento del grado di guarigione dell’ulcera </w:t>
      </w:r>
      <w:r w:rsidRPr="007A0B1D">
        <w:rPr>
          <w:vertAlign w:val="superscript"/>
        </w:rPr>
        <w:t>(388)</w:t>
      </w:r>
      <w:r w:rsidRPr="007A0B1D">
        <w:t>. </w:t>
      </w:r>
    </w:p>
    <w:p w14:paraId="52AC21A0" w14:textId="77777777" w:rsidR="00A9404A" w:rsidRPr="007A0B1D" w:rsidRDefault="00A9404A" w:rsidP="00A9404A">
      <w:pPr>
        <w:spacing w:line="360" w:lineRule="auto"/>
        <w:jc w:val="both"/>
      </w:pPr>
      <w:r w:rsidRPr="007A0B1D">
        <w:t>La memoria metabolica agisce a livello dei polimorfismi a singolo nucleotide di mo</w:t>
      </w:r>
      <w:r w:rsidRPr="007A0B1D">
        <w:t>l</w:t>
      </w:r>
      <w:r w:rsidRPr="007A0B1D">
        <w:t>ti geni implicati nel processo di formazione e guarigione dell’ulcera diabetica. Per anni si sono cercate diverse mutazioni da singolo nucleotide che potessere essere ut</w:t>
      </w:r>
      <w:r w:rsidRPr="007A0B1D">
        <w:t>i</w:t>
      </w:r>
      <w:r w:rsidRPr="007A0B1D">
        <w:t>lizzate come bersaglio terapeutico molecolare nella cura dell’ulcera diabetica. </w:t>
      </w:r>
    </w:p>
    <w:p w14:paraId="3092E4BF" w14:textId="77777777" w:rsidR="00A9404A" w:rsidRPr="007A0B1D" w:rsidRDefault="00A9404A" w:rsidP="00A9404A">
      <w:pPr>
        <w:spacing w:line="360" w:lineRule="auto"/>
        <w:jc w:val="both"/>
      </w:pPr>
      <w:r w:rsidRPr="007A0B1D">
        <w:t xml:space="preserve">La </w:t>
      </w:r>
      <w:r w:rsidRPr="007A0B1D">
        <w:rPr>
          <w:i/>
          <w:iCs/>
        </w:rPr>
        <w:t>fase infiammatoria del processo di guarigione</w:t>
      </w:r>
      <w:r w:rsidRPr="007A0B1D">
        <w:t xml:space="preserve"> dell’ulcera è una delle fasi più st</w:t>
      </w:r>
      <w:r w:rsidRPr="007A0B1D">
        <w:t>u</w:t>
      </w:r>
      <w:r w:rsidRPr="007A0B1D">
        <w:t xml:space="preserve">diate e, in particolare, Dhamodharan e Viswanathan et all., in uno studio del 2015, hanno mostrato come </w:t>
      </w:r>
      <w:r w:rsidRPr="007A0B1D">
        <w:rPr>
          <w:i/>
          <w:iCs/>
        </w:rPr>
        <w:t>SNP rs1800795 del gene IL-6 -G174C</w:t>
      </w:r>
      <w:r w:rsidRPr="007A0B1D">
        <w:t xml:space="preserve"> e lo </w:t>
      </w:r>
      <w:r w:rsidRPr="007A0B1D">
        <w:rPr>
          <w:i/>
          <w:iCs/>
        </w:rPr>
        <w:t>SNP rs1801157 del gene SDF-1/CXCL12 +G801A</w:t>
      </w:r>
      <w:r w:rsidRPr="007A0B1D">
        <w:t xml:space="preserve"> conferissero protezione dal diabete mellito, ma non dal piede diabetico. Hanno inoltre mostrato come lo </w:t>
      </w:r>
      <w:r w:rsidRPr="007A0B1D">
        <w:rPr>
          <w:i/>
          <w:iCs/>
        </w:rPr>
        <w:t>SNP rs1800629 del gene TNF-α -G308A</w:t>
      </w:r>
      <w:r w:rsidRPr="007A0B1D">
        <w:t xml:space="preserve"> conferisse suscettibilità genetica a entrambe le condizioni.  Nello studio è stata anche valutata la correlazione tra tali polimorfismi e i livelli sierici di tali mol</w:t>
      </w:r>
      <w:r w:rsidRPr="007A0B1D">
        <w:t>e</w:t>
      </w:r>
      <w:r w:rsidRPr="007A0B1D">
        <w:t xml:space="preserve">cole </w:t>
      </w:r>
      <w:r w:rsidRPr="007A0B1D">
        <w:rPr>
          <w:vertAlign w:val="superscript"/>
        </w:rPr>
        <w:t>(402)</w:t>
      </w:r>
      <w:r w:rsidRPr="007A0B1D">
        <w:t>. </w:t>
      </w:r>
    </w:p>
    <w:p w14:paraId="0E5E4343" w14:textId="77777777" w:rsidR="00A9404A" w:rsidRPr="007A0B1D" w:rsidRDefault="00A9404A" w:rsidP="00A9404A">
      <w:pPr>
        <w:spacing w:line="360" w:lineRule="auto"/>
        <w:jc w:val="both"/>
      </w:pPr>
      <w:r w:rsidRPr="007A0B1D">
        <w:lastRenderedPageBreak/>
        <w:t xml:space="preserve">In uno studio successivo gli stessi autori decisero di studiare gli SNP delle molecole infiammatorie nei pazienti con piede diabetico e correlarli al grado d’infezione, al grado di profondità delle ulcere e al rischio di amputazione. Si è visto che lo </w:t>
      </w:r>
      <w:r w:rsidRPr="007A0B1D">
        <w:rPr>
          <w:i/>
          <w:iCs/>
        </w:rPr>
        <w:t xml:space="preserve">SNP rs1800795 del gene IL-6 -G174C, </w:t>
      </w:r>
      <w:r w:rsidRPr="007A0B1D">
        <w:t xml:space="preserve">lo </w:t>
      </w:r>
      <w:r w:rsidRPr="007A0B1D">
        <w:rPr>
          <w:i/>
          <w:iCs/>
        </w:rPr>
        <w:t>SNP rs1801157 del gene SDF-1/CXCL12 +G801A</w:t>
      </w:r>
      <w:r w:rsidRPr="007A0B1D">
        <w:t xml:space="preserve"> e lo </w:t>
      </w:r>
      <w:r w:rsidRPr="007A0B1D">
        <w:rPr>
          <w:i/>
          <w:iCs/>
        </w:rPr>
        <w:t>SNP rs1800629 del gene TNF-α -G308A</w:t>
      </w:r>
      <w:r w:rsidRPr="007A0B1D">
        <w:t xml:space="preserve">, fossero associati a infenzioni microbiche severe; inoltre lo </w:t>
      </w:r>
      <w:r w:rsidRPr="007A0B1D">
        <w:rPr>
          <w:i/>
          <w:iCs/>
        </w:rPr>
        <w:t>SNP rs1800629 del gene TNF-α -G308A</w:t>
      </w:r>
      <w:r w:rsidRPr="007A0B1D">
        <w:t xml:space="preserve"> era associato alla severità del grado di ulcera e </w:t>
      </w:r>
      <w:r w:rsidRPr="007A0B1D">
        <w:rPr>
          <w:i/>
          <w:iCs/>
        </w:rPr>
        <w:t xml:space="preserve">SNP rs1801157 del gene SDF-1/CXCL12 +G801A </w:t>
      </w:r>
      <w:r w:rsidRPr="007A0B1D">
        <w:t xml:space="preserve">si associava a maggior tasso d’amputazione </w:t>
      </w:r>
      <w:r w:rsidRPr="000F3483">
        <w:rPr>
          <w:vertAlign w:val="superscript"/>
        </w:rPr>
        <w:t>(387)</w:t>
      </w:r>
      <w:r w:rsidRPr="007A0B1D">
        <w:t>.</w:t>
      </w:r>
    </w:p>
    <w:p w14:paraId="51472CF1" w14:textId="77777777" w:rsidR="00A9404A" w:rsidRPr="007A0B1D" w:rsidRDefault="00A9404A" w:rsidP="00A9404A">
      <w:pPr>
        <w:spacing w:line="360" w:lineRule="auto"/>
        <w:jc w:val="both"/>
      </w:pPr>
      <w:r w:rsidRPr="007A0B1D">
        <w:t xml:space="preserve">Il polimorfismo a singolo nucleotide del gene </w:t>
      </w:r>
      <w:r w:rsidRPr="007A0B1D">
        <w:rPr>
          <w:i/>
          <w:iCs/>
        </w:rPr>
        <w:t>IL-6 -174 G&gt;C</w:t>
      </w:r>
      <w:r w:rsidRPr="007A0B1D">
        <w:t xml:space="preserve"> è stato, inoltre, studiato in una popolazione di diabetici di tipo 2 con e senza complicanze da piede diabetico, in un trial condotto da Erdogan et all nel 2017. Tale lavoro ha mostrato come tale p</w:t>
      </w:r>
      <w:r w:rsidRPr="007A0B1D">
        <w:t>o</w:t>
      </w:r>
      <w:r w:rsidRPr="007A0B1D">
        <w:t>limorfismo possa rappresentare un potenziale marker genetico in quanto sembrerebbe in grado di predire la suscettibilità individuale nello sviluppare l’insorgenza di diab</w:t>
      </w:r>
      <w:r w:rsidRPr="007A0B1D">
        <w:t>e</w:t>
      </w:r>
      <w:r w:rsidRPr="007A0B1D">
        <w:t xml:space="preserve">te mellito ma non di piede diabetico </w:t>
      </w:r>
      <w:r w:rsidRPr="000F3483">
        <w:rPr>
          <w:vertAlign w:val="superscript"/>
        </w:rPr>
        <w:t>(378)</w:t>
      </w:r>
      <w:r w:rsidRPr="007A0B1D">
        <w:t>.</w:t>
      </w:r>
    </w:p>
    <w:p w14:paraId="3293FDF5" w14:textId="77777777" w:rsidR="00A9404A" w:rsidRPr="007A0B1D" w:rsidRDefault="00A9404A" w:rsidP="00A9404A">
      <w:pPr>
        <w:spacing w:line="360" w:lineRule="auto"/>
        <w:jc w:val="both"/>
      </w:pPr>
      <w:r w:rsidRPr="007A0B1D">
        <w:t>Altro processo fondamentale nella formazione dell’ulcera diabetica è la disfunzione endoteliale indotta dall’iperglicemia e la conseguente riduzione di molecole proa</w:t>
      </w:r>
      <w:r w:rsidRPr="007A0B1D">
        <w:t>n</w:t>
      </w:r>
      <w:r w:rsidRPr="007A0B1D">
        <w:t>giogeniche come VEGF e la ridotta produzione di fattori vasodilatatori come NO, dovuti ad una ridotta produzione di ENOS. </w:t>
      </w:r>
    </w:p>
    <w:p w14:paraId="728262C3" w14:textId="77777777" w:rsidR="00A9404A" w:rsidRPr="007A0B1D" w:rsidRDefault="00A9404A" w:rsidP="00A9404A">
      <w:pPr>
        <w:spacing w:line="360" w:lineRule="auto"/>
        <w:jc w:val="both"/>
      </w:pPr>
      <w:r w:rsidRPr="007A0B1D">
        <w:t>Il ruolo dei polimorfismi genetici delle molecole implicate nell’angiogenesi come VEGF e ENOS sono stati molto dibattuti in letteratura nel contesto di danno di ulcera da piede diebatico. </w:t>
      </w:r>
    </w:p>
    <w:p w14:paraId="0F13CCFA" w14:textId="56A2AAD4" w:rsidR="00A9404A" w:rsidRPr="007A0B1D" w:rsidRDefault="00A9404A" w:rsidP="00A9404A">
      <w:pPr>
        <w:spacing w:line="360" w:lineRule="auto"/>
        <w:jc w:val="both"/>
      </w:pPr>
      <w:r w:rsidRPr="007A0B1D">
        <w:t xml:space="preserve">Corapcioglu et al nel 2010 </w:t>
      </w:r>
      <w:r w:rsidRPr="000F3483">
        <w:rPr>
          <w:vertAlign w:val="superscript"/>
        </w:rPr>
        <w:t>(377)</w:t>
      </w:r>
      <w:r w:rsidR="006A65EC">
        <w:rPr>
          <w:vertAlign w:val="superscript"/>
        </w:rPr>
        <w:t xml:space="preserve"> </w:t>
      </w:r>
      <w:r w:rsidRPr="007A0B1D">
        <w:t>hanno studiato l’associazione del polimorfismo a si</w:t>
      </w:r>
      <w:r w:rsidRPr="007A0B1D">
        <w:t>n</w:t>
      </w:r>
      <w:r w:rsidRPr="007A0B1D">
        <w:t xml:space="preserve">golo nucleotide </w:t>
      </w:r>
      <w:r w:rsidRPr="007A0B1D">
        <w:rPr>
          <w:i/>
          <w:iCs/>
        </w:rPr>
        <w:t>SNP rs1799983 del gene ENOS-G894T</w:t>
      </w:r>
      <w:r w:rsidRPr="007A0B1D">
        <w:t xml:space="preserve"> in una popolazione turca diabetica senza e con complicanza da ulcera diabetica. Gli autori hanno tuttavia co</w:t>
      </w:r>
      <w:r w:rsidRPr="007A0B1D">
        <w:t>n</w:t>
      </w:r>
      <w:r w:rsidRPr="007A0B1D">
        <w:t>cluso che tale polimorfismo non fosse associato all’insorgenza di ulcera diabetica o ulteriori complicanze correlate al diabete, eccetto in presenza di malattia cardiov</w:t>
      </w:r>
      <w:r w:rsidRPr="007A0B1D">
        <w:t>a</w:t>
      </w:r>
      <w:r w:rsidRPr="007A0B1D">
        <w:t xml:space="preserve">scolare aterosclerotica </w:t>
      </w:r>
      <w:r w:rsidRPr="000F3483">
        <w:rPr>
          <w:vertAlign w:val="superscript"/>
        </w:rPr>
        <w:t>(377)</w:t>
      </w:r>
      <w:r w:rsidRPr="007A0B1D">
        <w:t>. </w:t>
      </w:r>
    </w:p>
    <w:p w14:paraId="05AB494C" w14:textId="77777777" w:rsidR="00A9404A" w:rsidRPr="007A0B1D" w:rsidRDefault="00A9404A" w:rsidP="00A9404A">
      <w:pPr>
        <w:spacing w:line="360" w:lineRule="auto"/>
        <w:jc w:val="both"/>
      </w:pPr>
      <w:r w:rsidRPr="007A0B1D">
        <w:t>Xiaolei Li et al</w:t>
      </w:r>
      <w:r>
        <w:t xml:space="preserve"> </w:t>
      </w:r>
      <w:r w:rsidRPr="000F3483">
        <w:rPr>
          <w:vertAlign w:val="superscript"/>
        </w:rPr>
        <w:t>(379)</w:t>
      </w:r>
      <w:r w:rsidRPr="007A0B1D">
        <w:t xml:space="preserve"> hanno valutato </w:t>
      </w:r>
      <w:r w:rsidRPr="007A0B1D">
        <w:rPr>
          <w:i/>
          <w:iCs/>
        </w:rPr>
        <w:t>SNP rs699947 del gene VEGF -C2578A</w:t>
      </w:r>
      <w:r w:rsidRPr="007A0B1D">
        <w:t xml:space="preserve"> e </w:t>
      </w:r>
      <w:r w:rsidRPr="007A0B1D">
        <w:rPr>
          <w:i/>
          <w:iCs/>
        </w:rPr>
        <w:t>SNP rs13207351 del gene VEGF -125A</w:t>
      </w:r>
      <w:r w:rsidRPr="007A0B1D">
        <w:t xml:space="preserve"> in una popolazione cinese di pazienti diabetici senza e con complicanza da piede diabetico. Gli autori hanno riscontrato una rid</w:t>
      </w:r>
      <w:r w:rsidRPr="007A0B1D">
        <w:t>u</w:t>
      </w:r>
      <w:r w:rsidRPr="007A0B1D">
        <w:t xml:space="preserve">zione del trend dell’espressione dell’allele A dello </w:t>
      </w:r>
      <w:r w:rsidRPr="007A0B1D">
        <w:rPr>
          <w:i/>
          <w:iCs/>
        </w:rPr>
        <w:t>SNP rs699947 del gene VEGF -C2578A</w:t>
      </w:r>
      <w:r w:rsidRPr="007A0B1D">
        <w:t xml:space="preserve"> nei pazienti con DFS rispetto ai controlli, suggerendo una correlazione di tale polimorfismo con un ridotto rischio di sviluppare piede diabetico </w:t>
      </w:r>
      <w:r w:rsidRPr="007D1977">
        <w:rPr>
          <w:vertAlign w:val="superscript"/>
        </w:rPr>
        <w:t>(382)</w:t>
      </w:r>
      <w:r w:rsidRPr="007A0B1D">
        <w:t>.</w:t>
      </w:r>
    </w:p>
    <w:p w14:paraId="17279E1C" w14:textId="77777777" w:rsidR="00A9404A" w:rsidRPr="007A0B1D" w:rsidRDefault="00A9404A" w:rsidP="00A9404A">
      <w:pPr>
        <w:spacing w:line="360" w:lineRule="auto"/>
        <w:jc w:val="both"/>
      </w:pPr>
      <w:r w:rsidRPr="007A0B1D">
        <w:lastRenderedPageBreak/>
        <w:t>In un lavoro del 2011 Amoli et al riscontrarono che il poli</w:t>
      </w:r>
      <w:r>
        <w:t>mor</w:t>
      </w:r>
      <w:r w:rsidRPr="007A0B1D">
        <w:t>fismo a singolo nucle</w:t>
      </w:r>
      <w:r w:rsidRPr="007A0B1D">
        <w:t>o</w:t>
      </w:r>
      <w:r w:rsidRPr="007A0B1D">
        <w:t xml:space="preserve">tide </w:t>
      </w:r>
      <w:r w:rsidRPr="007A0B1D">
        <w:rPr>
          <w:i/>
          <w:iCs/>
        </w:rPr>
        <w:t>AA 2578 del gene VEGF</w:t>
      </w:r>
      <w:r w:rsidRPr="007A0B1D">
        <w:t xml:space="preserve"> fosse significativamente ridotto in pazienti con DFS r</w:t>
      </w:r>
      <w:r w:rsidRPr="007A0B1D">
        <w:t>i</w:t>
      </w:r>
      <w:r w:rsidRPr="007A0B1D">
        <w:t>spetto ai pazienti diabetici senza menzione di complicanza ulcerativa all’arto inferi</w:t>
      </w:r>
      <w:r w:rsidRPr="007A0B1D">
        <w:t>o</w:t>
      </w:r>
      <w:r w:rsidRPr="007A0B1D">
        <w:t>re e che la frequenza dell’allele A fosse significativamente ridotta rispetto ai contro</w:t>
      </w:r>
      <w:r w:rsidRPr="007A0B1D">
        <w:t>l</w:t>
      </w:r>
      <w:r w:rsidRPr="007A0B1D">
        <w:t xml:space="preserve">li. Gli autori suggerivano quindi che la ridotta frequenza dell’allele A in pazienti con piede diabetico possa conferire un certo ruolo protettivo nella guarigione dell’ulcera in quanto i portatori di questo allele risultano avere un angiogenesi aumentata </w:t>
      </w:r>
      <w:r w:rsidRPr="007D1977">
        <w:rPr>
          <w:vertAlign w:val="superscript"/>
        </w:rPr>
        <w:t>(407)</w:t>
      </w:r>
      <w:r w:rsidRPr="007A0B1D">
        <w:t> </w:t>
      </w:r>
    </w:p>
    <w:p w14:paraId="65E9662C" w14:textId="77777777" w:rsidR="00A9404A" w:rsidRPr="007A0B1D" w:rsidRDefault="00A9404A" w:rsidP="00A9404A">
      <w:pPr>
        <w:spacing w:line="360" w:lineRule="auto"/>
        <w:jc w:val="both"/>
      </w:pPr>
      <w:r w:rsidRPr="007A0B1D">
        <w:t xml:space="preserve">Erdogan et all hanno però ribadito che i polimorfismi </w:t>
      </w:r>
      <w:r w:rsidRPr="007A0B1D">
        <w:rPr>
          <w:i/>
          <w:iCs/>
        </w:rPr>
        <w:t>SNP rs3025039 del gene VEGF C936T</w:t>
      </w:r>
      <w:r w:rsidRPr="007A0B1D">
        <w:t xml:space="preserve"> e </w:t>
      </w:r>
      <w:r w:rsidRPr="007A0B1D">
        <w:rPr>
          <w:i/>
          <w:iCs/>
        </w:rPr>
        <w:t>SNP rs1799983 del gene ENOS-G894T</w:t>
      </w:r>
      <w:r w:rsidRPr="007A0B1D">
        <w:t xml:space="preserve"> non rappresentano un fattore di rischio per insorgenza ne di diabete ne di piede diabetico </w:t>
      </w:r>
      <w:r w:rsidRPr="007D1977">
        <w:rPr>
          <w:vertAlign w:val="superscript"/>
        </w:rPr>
        <w:t>(408)</w:t>
      </w:r>
      <w:r w:rsidRPr="007A0B1D">
        <w:t>.</w:t>
      </w:r>
    </w:p>
    <w:p w14:paraId="46018332" w14:textId="77777777" w:rsidR="00A9404A" w:rsidRPr="007A0B1D" w:rsidRDefault="00A9404A" w:rsidP="00A9404A">
      <w:pPr>
        <w:spacing w:line="360" w:lineRule="auto"/>
        <w:jc w:val="both"/>
      </w:pPr>
      <w:r w:rsidRPr="007A0B1D">
        <w:t xml:space="preserve">Pichu et all in due recenti lavori hanno evidenziato il ruolo dell’Hypoxia inducible factor 1 alpha (HIF-1alpha) nella genesi dell’ulcera diabetica. In particolare è stata riscontrata un’associazione tra lo </w:t>
      </w:r>
      <w:r w:rsidRPr="007A0B1D">
        <w:rPr>
          <w:i/>
          <w:iCs/>
        </w:rPr>
        <w:t>SNP rs11549465 del gene HIF-1alpha C1772T exon 12</w:t>
      </w:r>
      <w:r w:rsidRPr="007A0B1D">
        <w:t xml:space="preserve"> e lo </w:t>
      </w:r>
      <w:r w:rsidRPr="007A0B1D">
        <w:rPr>
          <w:i/>
          <w:iCs/>
        </w:rPr>
        <w:t>SNP rs11549467 del gene HIF-1alpha G1790A exon 12</w:t>
      </w:r>
      <w:r w:rsidRPr="007A0B1D">
        <w:t xml:space="preserve"> e la suscettibil</w:t>
      </w:r>
      <w:r w:rsidRPr="007A0B1D">
        <w:t>i</w:t>
      </w:r>
      <w:r w:rsidRPr="007A0B1D">
        <w:t xml:space="preserve">tà nello sviluppare l’ulcere diabetica a livello del piede, nonché la presenza di ridotti livelli sierici di HIF-1alpha nei DFS rispetto a pazienti diabetici senza complicanze vascolari periferiche e ai controlli sani </w:t>
      </w:r>
      <w:r w:rsidRPr="007D1977">
        <w:rPr>
          <w:vertAlign w:val="superscript"/>
        </w:rPr>
        <w:t>(409-410)</w:t>
      </w:r>
    </w:p>
    <w:p w14:paraId="4312ED81" w14:textId="77777777" w:rsidR="00A9404A" w:rsidRPr="007A0B1D" w:rsidRDefault="00A9404A" w:rsidP="00A9404A">
      <w:pPr>
        <w:spacing w:line="360" w:lineRule="auto"/>
        <w:jc w:val="both"/>
      </w:pPr>
      <w:r w:rsidRPr="007A0B1D">
        <w:t>La Gremlina 1 è un adipochina infiammatoria prodotta dalle cellule del tessuto ad</w:t>
      </w:r>
      <w:r w:rsidRPr="007A0B1D">
        <w:t>i</w:t>
      </w:r>
      <w:r w:rsidRPr="007A0B1D">
        <w:t>poso, muscolare ed epatico in grado di antagonizzare gli effetti dell’insulina. Elevati livelli di tale adipochina sono stati riscontrati nei pazienti con NAFLD alla biopsia epatica e nei pazienti con diabete mellito di tipo 2  e sindrome metabolica e rappr</w:t>
      </w:r>
      <w:r w:rsidRPr="007A0B1D">
        <w:t>e</w:t>
      </w:r>
      <w:r w:rsidRPr="007A0B1D">
        <w:t xml:space="preserve">sentano un marker sierologico innovativo di adipo-infiammazione </w:t>
      </w:r>
      <w:r w:rsidRPr="007D1977">
        <w:rPr>
          <w:vertAlign w:val="superscript"/>
        </w:rPr>
        <w:t>(319)</w:t>
      </w:r>
      <w:r w:rsidRPr="007A0B1D">
        <w:t>. </w:t>
      </w:r>
    </w:p>
    <w:p w14:paraId="482E4D9F" w14:textId="77777777" w:rsidR="00A9404A" w:rsidRPr="007A0B1D" w:rsidRDefault="00A9404A" w:rsidP="00A9404A">
      <w:pPr>
        <w:spacing w:line="360" w:lineRule="auto"/>
        <w:jc w:val="both"/>
      </w:pPr>
      <w:r w:rsidRPr="007A0B1D">
        <w:t>Allo stato dell’arte esistono pochi studi che hanno valutato gli indici surrogati di m</w:t>
      </w:r>
      <w:r w:rsidRPr="007A0B1D">
        <w:t>a</w:t>
      </w:r>
      <w:r w:rsidRPr="007A0B1D">
        <w:t>lattia cardiovascolare come gli indici di funzionalità endoteliale e i livelli sierici di adipochine infiammatorie in una popolazione diabetica con lesioni ulcerative degli arti inferiori.</w:t>
      </w:r>
    </w:p>
    <w:p w14:paraId="3364ABD9" w14:textId="77777777" w:rsidR="00A9404A" w:rsidRPr="007A0B1D" w:rsidRDefault="00A9404A" w:rsidP="00A9404A">
      <w:pPr>
        <w:spacing w:line="360" w:lineRule="auto"/>
        <w:jc w:val="both"/>
      </w:pPr>
      <w:r w:rsidRPr="007A0B1D">
        <w:t>Al meglio delle nostre conoscenze, non esistono in letteratura, studi che hanno corr</w:t>
      </w:r>
      <w:r w:rsidRPr="007A0B1D">
        <w:t>e</w:t>
      </w:r>
      <w:r w:rsidRPr="007A0B1D">
        <w:t>lato le modifiche epigenetiche indotte sui miRNA 126, 305 e 217 e sui polimorfismi a singolo gene di molecole infammatorie come IL-6, TNFalfa e di molecole proang</w:t>
      </w:r>
      <w:r w:rsidRPr="007A0B1D">
        <w:t>i</w:t>
      </w:r>
      <w:r w:rsidRPr="007A0B1D">
        <w:t>geniche come ENOS, VEGF e HIF1alpha con la disfunzione endoteliale, valutata in maniera non invasiva, mediante l’RHI e con i livelli sierici di molecole e adipochine infiammatorie in una popolazione di diabetici senza e con ulcera dell’arto inferiore. </w:t>
      </w:r>
    </w:p>
    <w:p w14:paraId="75020222" w14:textId="77777777" w:rsidR="00A9404A" w:rsidRDefault="00A9404A" w:rsidP="00A9404A">
      <w:pPr>
        <w:spacing w:line="360" w:lineRule="auto"/>
        <w:jc w:val="both"/>
        <w:rPr>
          <w:b/>
        </w:rPr>
      </w:pPr>
    </w:p>
    <w:p w14:paraId="3980674D" w14:textId="77777777" w:rsidR="006A65EC" w:rsidRPr="007A0B1D" w:rsidRDefault="006A65EC" w:rsidP="00A9404A">
      <w:pPr>
        <w:spacing w:line="360" w:lineRule="auto"/>
        <w:jc w:val="both"/>
        <w:rPr>
          <w:b/>
        </w:rPr>
      </w:pPr>
    </w:p>
    <w:p w14:paraId="6918BACD" w14:textId="77777777" w:rsidR="00A9404A" w:rsidRPr="007A0B1D" w:rsidRDefault="00A9404A" w:rsidP="00A9404A">
      <w:pPr>
        <w:pStyle w:val="Paragrafoelenco"/>
        <w:numPr>
          <w:ilvl w:val="1"/>
          <w:numId w:val="22"/>
        </w:numPr>
        <w:spacing w:line="360" w:lineRule="auto"/>
        <w:jc w:val="both"/>
        <w:rPr>
          <w:b/>
          <w:szCs w:val="24"/>
        </w:rPr>
      </w:pPr>
      <w:r w:rsidRPr="007A0B1D">
        <w:rPr>
          <w:b/>
          <w:szCs w:val="24"/>
        </w:rPr>
        <w:lastRenderedPageBreak/>
        <w:t xml:space="preserve">Obiettivi dello studio </w:t>
      </w:r>
    </w:p>
    <w:p w14:paraId="74C32C67" w14:textId="77777777" w:rsidR="00A9404A" w:rsidRPr="007A0B1D" w:rsidRDefault="00A9404A" w:rsidP="00A9404A">
      <w:pPr>
        <w:spacing w:line="360" w:lineRule="auto"/>
        <w:jc w:val="both"/>
      </w:pPr>
      <w:r w:rsidRPr="007A0B1D">
        <w:t>Sulla base di queste premesse, lo scopo del nostro studio sarà quello di valutare se i pazienti diabetici con ulcere del piede (DFS) presentino modifiche epigenetiche sui miRNA e sui polimorfismi a singolo nucleotide delle molecole infiammatorie e proagiogeniche, al fine di evidenziare una possibile predisposizione genetica in tali soggetti nello sviluppare complicanza ulcerative dell’arto inferiore rispetto ad una popolazione di controllo di soggetti diabetici e non diabetici senza menzione di co</w:t>
      </w:r>
      <w:r w:rsidRPr="007A0B1D">
        <w:t>m</w:t>
      </w:r>
      <w:r w:rsidRPr="007A0B1D">
        <w:t>plicanze ulcerative del piede.</w:t>
      </w:r>
    </w:p>
    <w:p w14:paraId="7E8B54C3" w14:textId="67C739FE" w:rsidR="00A9404A" w:rsidRPr="007A0B1D" w:rsidRDefault="00A9404A" w:rsidP="00A9404A">
      <w:pPr>
        <w:spacing w:line="360" w:lineRule="auto"/>
        <w:jc w:val="both"/>
      </w:pPr>
      <w:r w:rsidRPr="007A0B1D">
        <w:t>Altro scopo sarà quindi quello di evidenziare un possibile target terapeutico molec</w:t>
      </w:r>
      <w:r w:rsidRPr="007A0B1D">
        <w:t>o</w:t>
      </w:r>
      <w:r w:rsidRPr="007A0B1D">
        <w:t>lare nella genesi del piede diabetico, nonché quello di evidenziare se queste alter</w:t>
      </w:r>
      <w:r w:rsidRPr="007A0B1D">
        <w:t>a</w:t>
      </w:r>
      <w:r w:rsidRPr="007A0B1D">
        <w:t>zioni possano essere associate ad un pathway infiammatorio più esteso e ad un ma</w:t>
      </w:r>
      <w:r w:rsidRPr="007A0B1D">
        <w:t>g</w:t>
      </w:r>
      <w:r w:rsidRPr="007A0B1D">
        <w:t>gior grado di disfunzione endoteliale.</w:t>
      </w:r>
    </w:p>
    <w:p w14:paraId="423FCC07" w14:textId="77777777" w:rsidR="00A9404A" w:rsidRPr="007A0B1D" w:rsidRDefault="00A9404A" w:rsidP="00A9404A">
      <w:pPr>
        <w:spacing w:line="360" w:lineRule="auto"/>
        <w:jc w:val="both"/>
      </w:pPr>
      <w:r w:rsidRPr="007A0B1D">
        <w:t>Quindi l’obiettivo principale del nostro studio sarà quello di valutare, in una popol</w:t>
      </w:r>
      <w:r w:rsidRPr="007A0B1D">
        <w:t>a</w:t>
      </w:r>
      <w:r w:rsidRPr="007A0B1D">
        <w:t>zione di pazienti diabetici con e senza complicanze del piede rispetto ad una popol</w:t>
      </w:r>
      <w:r w:rsidRPr="007A0B1D">
        <w:t>a</w:t>
      </w:r>
      <w:r w:rsidRPr="007A0B1D">
        <w:t>zione di soggetti sani di controllo, le modifiche epigenetiche sui miRNA 126, 503 e 217 e sui seguenti polimorfismi:</w:t>
      </w:r>
    </w:p>
    <w:p w14:paraId="248306E1" w14:textId="77777777" w:rsidR="00A9404A" w:rsidRPr="007A0B1D" w:rsidRDefault="00A9404A" w:rsidP="00A9404A">
      <w:pPr>
        <w:numPr>
          <w:ilvl w:val="0"/>
          <w:numId w:val="17"/>
        </w:numPr>
        <w:spacing w:line="360" w:lineRule="auto"/>
        <w:jc w:val="both"/>
        <w:rPr>
          <w:i/>
          <w:iCs/>
        </w:rPr>
      </w:pPr>
      <w:r w:rsidRPr="007A0B1D">
        <w:rPr>
          <w:i/>
          <w:iCs/>
        </w:rPr>
        <w:t>SNP rs1800795 del gene IL-6 -G174C</w:t>
      </w:r>
    </w:p>
    <w:p w14:paraId="51ABB383" w14:textId="77777777" w:rsidR="00A9404A" w:rsidRPr="007A0B1D" w:rsidRDefault="00A9404A" w:rsidP="00A9404A">
      <w:pPr>
        <w:numPr>
          <w:ilvl w:val="0"/>
          <w:numId w:val="17"/>
        </w:numPr>
        <w:spacing w:line="360" w:lineRule="auto"/>
        <w:jc w:val="both"/>
        <w:rPr>
          <w:i/>
          <w:iCs/>
        </w:rPr>
      </w:pPr>
      <w:r w:rsidRPr="007A0B1D">
        <w:rPr>
          <w:i/>
          <w:iCs/>
        </w:rPr>
        <w:t>SNP rs1800629 del gene TNF-α -G308A</w:t>
      </w:r>
    </w:p>
    <w:p w14:paraId="43129742" w14:textId="77777777" w:rsidR="00A9404A" w:rsidRPr="007A0B1D" w:rsidRDefault="00A9404A" w:rsidP="00A9404A">
      <w:pPr>
        <w:numPr>
          <w:ilvl w:val="0"/>
          <w:numId w:val="17"/>
        </w:numPr>
        <w:spacing w:line="360" w:lineRule="auto"/>
        <w:jc w:val="both"/>
        <w:rPr>
          <w:i/>
          <w:iCs/>
        </w:rPr>
      </w:pPr>
      <w:r w:rsidRPr="007A0B1D">
        <w:rPr>
          <w:i/>
          <w:iCs/>
        </w:rPr>
        <w:t>SNP rs699947 del gene VEGF-C2578A</w:t>
      </w:r>
    </w:p>
    <w:p w14:paraId="3B41A3AE" w14:textId="77777777" w:rsidR="00A9404A" w:rsidRPr="007A0B1D" w:rsidRDefault="00A9404A" w:rsidP="00A9404A">
      <w:pPr>
        <w:numPr>
          <w:ilvl w:val="0"/>
          <w:numId w:val="17"/>
        </w:numPr>
        <w:spacing w:line="360" w:lineRule="auto"/>
        <w:jc w:val="both"/>
        <w:rPr>
          <w:i/>
          <w:iCs/>
        </w:rPr>
      </w:pPr>
      <w:r w:rsidRPr="007A0B1D">
        <w:rPr>
          <w:i/>
          <w:iCs/>
        </w:rPr>
        <w:t>SNP rs3025039 del gene VEGF C936T</w:t>
      </w:r>
    </w:p>
    <w:p w14:paraId="603128D8" w14:textId="77777777" w:rsidR="00A9404A" w:rsidRPr="007A0B1D" w:rsidRDefault="00A9404A" w:rsidP="00A9404A">
      <w:pPr>
        <w:numPr>
          <w:ilvl w:val="0"/>
          <w:numId w:val="17"/>
        </w:numPr>
        <w:spacing w:line="360" w:lineRule="auto"/>
        <w:jc w:val="both"/>
        <w:rPr>
          <w:i/>
          <w:iCs/>
        </w:rPr>
      </w:pPr>
      <w:r w:rsidRPr="007A0B1D">
        <w:rPr>
          <w:i/>
          <w:iCs/>
        </w:rPr>
        <w:t>SNP rs1799983 del gene ENOS-G894T</w:t>
      </w:r>
    </w:p>
    <w:p w14:paraId="58F8D01E" w14:textId="77777777" w:rsidR="00A9404A" w:rsidRPr="007A0B1D" w:rsidRDefault="00A9404A" w:rsidP="00A9404A">
      <w:pPr>
        <w:numPr>
          <w:ilvl w:val="0"/>
          <w:numId w:val="17"/>
        </w:numPr>
        <w:spacing w:line="360" w:lineRule="auto"/>
        <w:jc w:val="both"/>
        <w:rPr>
          <w:i/>
          <w:iCs/>
        </w:rPr>
      </w:pPr>
      <w:r w:rsidRPr="007A0B1D">
        <w:rPr>
          <w:i/>
          <w:iCs/>
        </w:rPr>
        <w:t>SNP rs11549465 del gene HIF-1alpha C1772T</w:t>
      </w:r>
    </w:p>
    <w:p w14:paraId="5C54ED15" w14:textId="77777777" w:rsidR="00A9404A" w:rsidRPr="007A0B1D" w:rsidRDefault="00A9404A" w:rsidP="00A9404A">
      <w:pPr>
        <w:spacing w:line="360" w:lineRule="auto"/>
        <w:jc w:val="both"/>
      </w:pPr>
      <w:r w:rsidRPr="007A0B1D">
        <w:t>Ulteriore obiettivo sarà quello di valutare eventuali correlazioni tra tali modifiche epigenetiche e i markers sierologi infiammatori (IL-6; TNFalfa, ENOS, VEGF, HIF-1 alpha), i livelli sierici di adipochine infiammatorie (gremlina 1) e gli indici di d</w:t>
      </w:r>
      <w:r w:rsidRPr="007A0B1D">
        <w:t>i</w:t>
      </w:r>
      <w:r w:rsidRPr="007A0B1D">
        <w:t>sfunzione endoteliale nella popolazione di pazienti in studio.</w:t>
      </w:r>
    </w:p>
    <w:p w14:paraId="5649CFED" w14:textId="77777777" w:rsidR="00A9404A" w:rsidRPr="007A0B1D" w:rsidRDefault="00A9404A" w:rsidP="00A9404A">
      <w:pPr>
        <w:spacing w:line="360" w:lineRule="auto"/>
        <w:jc w:val="both"/>
      </w:pPr>
    </w:p>
    <w:p w14:paraId="68BA9B0D" w14:textId="77777777" w:rsidR="00A9404A" w:rsidRPr="007A0B1D" w:rsidRDefault="00A9404A" w:rsidP="00A9404A">
      <w:pPr>
        <w:spacing w:line="360" w:lineRule="auto"/>
        <w:jc w:val="both"/>
      </w:pPr>
      <w:r w:rsidRPr="007A0B1D">
        <w:rPr>
          <w:b/>
          <w:bCs/>
        </w:rPr>
        <w:t xml:space="preserve">6.3 Materiali e metodi </w:t>
      </w:r>
    </w:p>
    <w:p w14:paraId="59DB2766" w14:textId="44A38A73" w:rsidR="00A9404A" w:rsidRPr="007A0B1D" w:rsidRDefault="00A9404A" w:rsidP="00A9404A">
      <w:pPr>
        <w:spacing w:line="360" w:lineRule="auto"/>
        <w:jc w:val="both"/>
      </w:pPr>
      <w:r w:rsidRPr="007A0B1D">
        <w:rPr>
          <w:bCs/>
        </w:rPr>
        <w:t>Abbiamo arruolato tutti i pazienti con lesione ulcerativa diabetica dell’arto inferiore afferenti presso la nostra unita operativa complessa di “Medicina Interna con Stroke Care” del Policlinico P. Giaccone dell’Università di Palermo in un p</w:t>
      </w:r>
      <w:r w:rsidR="00493AD9">
        <w:rPr>
          <w:bCs/>
        </w:rPr>
        <w:t>eriodo compreso tra Marzo 2022 e Dicembre 2023</w:t>
      </w:r>
      <w:r w:rsidRPr="007A0B1D">
        <w:rPr>
          <w:bCs/>
        </w:rPr>
        <w:t xml:space="preserve">.  </w:t>
      </w:r>
    </w:p>
    <w:p w14:paraId="4783608D" w14:textId="77777777" w:rsidR="00A9404A" w:rsidRPr="007A0B1D" w:rsidRDefault="00A9404A" w:rsidP="00A9404A">
      <w:pPr>
        <w:spacing w:line="360" w:lineRule="auto"/>
        <w:jc w:val="both"/>
        <w:rPr>
          <w:bCs/>
        </w:rPr>
      </w:pPr>
      <w:r w:rsidRPr="007A0B1D">
        <w:rPr>
          <w:bCs/>
        </w:rPr>
        <w:t>Durante questo periodo sono stati inoltre reclutati come controlli pazienti diabetici senza menzione di complicanza ulcerative, afferenti presso la nostra UOC per co</w:t>
      </w:r>
      <w:r w:rsidRPr="007A0B1D">
        <w:rPr>
          <w:bCs/>
        </w:rPr>
        <w:t>m</w:t>
      </w:r>
      <w:r w:rsidRPr="007A0B1D">
        <w:rPr>
          <w:bCs/>
        </w:rPr>
        <w:lastRenderedPageBreak/>
        <w:t>plicanze cliniche correlate al diabete (scompenso glicometabolico, ipoglicemia, l</w:t>
      </w:r>
      <w:r w:rsidRPr="007A0B1D">
        <w:rPr>
          <w:bCs/>
        </w:rPr>
        <w:t>e</w:t>
      </w:r>
      <w:r w:rsidRPr="007A0B1D">
        <w:rPr>
          <w:bCs/>
        </w:rPr>
        <w:t xml:space="preserve">sioni cutanee) e una popolazione di controlli sani senza menzione di diabete afferenti presso la nostra divisione per altre cause. </w:t>
      </w:r>
    </w:p>
    <w:p w14:paraId="161BDBAA" w14:textId="77777777" w:rsidR="00A9404A" w:rsidRPr="007A0B1D" w:rsidRDefault="00A9404A" w:rsidP="00A9404A">
      <w:pPr>
        <w:spacing w:line="360" w:lineRule="auto"/>
        <w:jc w:val="both"/>
        <w:rPr>
          <w:bCs/>
        </w:rPr>
      </w:pPr>
      <w:r w:rsidRPr="007A0B1D">
        <w:rPr>
          <w:bCs/>
        </w:rPr>
        <w:t>Tutti i pazienti hanno fornito consenso informato al fine di prendere parte allo studio e alla divulgazione dei dati in accordo ai principi della dichiarazione di Helsinki del 2001.</w:t>
      </w:r>
    </w:p>
    <w:p w14:paraId="45C6C573" w14:textId="77777777" w:rsidR="00A9404A" w:rsidRPr="007A0B1D" w:rsidRDefault="00A9404A" w:rsidP="00A9404A">
      <w:pPr>
        <w:spacing w:line="360" w:lineRule="auto"/>
        <w:jc w:val="both"/>
        <w:rPr>
          <w:i/>
        </w:rPr>
      </w:pPr>
      <w:r w:rsidRPr="007A0B1D">
        <w:t>Venivano esclusi dallo studio tutti i pazienti con malattie infiammatorie o infettive, malattie autoimmuni e/o reumatiche, neoplasie, malattie ematologiche, insufficienza renale o epatica grave, febbre, trattamento con farmaci anti-infiammatori, e osped</w:t>
      </w:r>
      <w:r w:rsidRPr="007A0B1D">
        <w:t>a</w:t>
      </w:r>
      <w:r w:rsidRPr="007A0B1D">
        <w:t xml:space="preserve">lizzazione recente nell’ultimo mese. </w:t>
      </w:r>
    </w:p>
    <w:p w14:paraId="7591AB8F" w14:textId="163E0F91" w:rsidR="00A9404A" w:rsidRDefault="00A9404A" w:rsidP="00A9404A">
      <w:pPr>
        <w:spacing w:line="360" w:lineRule="auto"/>
        <w:jc w:val="both"/>
        <w:rPr>
          <w:bCs/>
        </w:rPr>
      </w:pPr>
      <w:r w:rsidRPr="007A0B1D">
        <w:rPr>
          <w:bCs/>
        </w:rPr>
        <w:t xml:space="preserve">La sindrome da piede diabetico (DFS) è definita, secondo la WHO, come una lesione ulcerativa del piede (caviglia compresa), correlata alla neuropatia e a differenti </w:t>
      </w:r>
      <w:r w:rsidR="003D0C8A">
        <w:rPr>
          <w:bCs/>
        </w:rPr>
        <w:t>gradi di ischemia e infezione (411</w:t>
      </w:r>
      <w:r w:rsidRPr="007A0B1D">
        <w:rPr>
          <w:bCs/>
        </w:rPr>
        <w:t>). La lesione ulcerativa al piede è definita come una l</w:t>
      </w:r>
      <w:r w:rsidRPr="007A0B1D">
        <w:rPr>
          <w:bCs/>
        </w:rPr>
        <w:t>e</w:t>
      </w:r>
      <w:r w:rsidRPr="007A0B1D">
        <w:rPr>
          <w:bCs/>
        </w:rPr>
        <w:t>sione di continuo della pelle che richiede più d</w:t>
      </w:r>
      <w:r w:rsidR="003D0C8A">
        <w:rPr>
          <w:bCs/>
        </w:rPr>
        <w:t>i 14 giorni per la guarigione (412</w:t>
      </w:r>
      <w:r w:rsidRPr="007A0B1D">
        <w:rPr>
          <w:bCs/>
        </w:rPr>
        <w:t xml:space="preserve">). </w:t>
      </w:r>
    </w:p>
    <w:p w14:paraId="13CC22F5" w14:textId="77777777" w:rsidR="003D0C8A" w:rsidRPr="007A0B1D" w:rsidRDefault="003D0C8A" w:rsidP="00A9404A">
      <w:pPr>
        <w:spacing w:line="360" w:lineRule="auto"/>
        <w:jc w:val="both"/>
        <w:rPr>
          <w:bCs/>
        </w:rPr>
      </w:pPr>
    </w:p>
    <w:p w14:paraId="706F8488" w14:textId="77777777" w:rsidR="00A9404A" w:rsidRPr="007A0B1D" w:rsidRDefault="00A9404A" w:rsidP="00A9404A">
      <w:pPr>
        <w:spacing w:line="360" w:lineRule="auto"/>
        <w:jc w:val="both"/>
      </w:pPr>
      <w:r w:rsidRPr="007A0B1D">
        <w:t>Ogni soggetto con piede diabetico è stato abbinato per età (± 3 anni) e sesso, con un soggetto senza piede diabetico e un soggetto sano.</w:t>
      </w:r>
    </w:p>
    <w:p w14:paraId="013C51B7" w14:textId="77777777" w:rsidR="00A9404A" w:rsidRPr="007A0B1D" w:rsidRDefault="00A9404A" w:rsidP="00A9404A">
      <w:pPr>
        <w:spacing w:line="360" w:lineRule="auto"/>
        <w:jc w:val="both"/>
      </w:pPr>
      <w:r w:rsidRPr="007A0B1D">
        <w:t>La neuropatia periferica diabetica è stata valutata raccogliendo le notizie anamnest</w:t>
      </w:r>
      <w:r w:rsidRPr="007A0B1D">
        <w:t>i</w:t>
      </w:r>
      <w:r w:rsidRPr="007A0B1D">
        <w:t xml:space="preserve">che del paziente, mediante la valutazione clinica e tramite dei test diagnostici.  </w:t>
      </w:r>
    </w:p>
    <w:p w14:paraId="02179A26" w14:textId="03428F12" w:rsidR="00A9404A" w:rsidRPr="007A0B1D" w:rsidRDefault="00A9404A" w:rsidP="00A9404A">
      <w:pPr>
        <w:spacing w:line="360" w:lineRule="auto"/>
        <w:jc w:val="both"/>
      </w:pPr>
      <w:r w:rsidRPr="007A0B1D">
        <w:t>Al fine di valutare i sintomi da neuropatia è stato utilizzato il “Ne</w:t>
      </w:r>
      <w:r w:rsidR="003D0C8A">
        <w:t>uropathy Symptom Score” (NSS) (322</w:t>
      </w:r>
      <w:r w:rsidRPr="007A0B1D">
        <w:t>), usato generalmente nella pratica clinica e che ha mostrato elev</w:t>
      </w:r>
      <w:r w:rsidRPr="007A0B1D">
        <w:t>a</w:t>
      </w:r>
      <w:r w:rsidRPr="007A0B1D">
        <w:t>ta validità e sensibilità. Inoltre è stato utilizzato il test al monofilamento di Semmes-Weinstein al fine di stimare la neu</w:t>
      </w:r>
      <w:r w:rsidR="000C7052">
        <w:t>ropatia diabetica periferica (323</w:t>
      </w:r>
      <w:r w:rsidRPr="007A0B1D">
        <w:t>). Un attento es</w:t>
      </w:r>
      <w:r w:rsidRPr="007A0B1D">
        <w:t>a</w:t>
      </w:r>
      <w:r w:rsidRPr="007A0B1D">
        <w:t>me obbiettivo dell’arto inferiore è stato svolto al fine di ricercare la presenza delle seguenti caratteristiche: piede a martello o ad artiglio, deformità di Charcot, limite dell’alluce, teste metatarsali prominenti, alluce valgo, prominenze ossee e angolo c</w:t>
      </w:r>
      <w:r w:rsidRPr="007A0B1D">
        <w:t>a</w:t>
      </w:r>
      <w:r w:rsidRPr="007A0B1D">
        <w:t xml:space="preserve">viglia-alluce misurato con il goniometro. </w:t>
      </w:r>
    </w:p>
    <w:p w14:paraId="5E814DEA" w14:textId="2EBDC1D5" w:rsidR="00A9404A" w:rsidRPr="007A0B1D" w:rsidRDefault="00A9404A" w:rsidP="00A9404A">
      <w:pPr>
        <w:spacing w:line="360" w:lineRule="auto"/>
        <w:jc w:val="both"/>
      </w:pPr>
      <w:r w:rsidRPr="007A0B1D">
        <w:t>La diagnosi di diabete mellito di tipo 2 era basata sui criteri revisionati dell’ Amer</w:t>
      </w:r>
      <w:r w:rsidRPr="007A0B1D">
        <w:t>i</w:t>
      </w:r>
      <w:r w:rsidRPr="007A0B1D">
        <w:t>can Diabetes Association (ADA), utilizzando valori di glicemia casuali &gt; 126 mg/dl  o utilizzando un algoritmo clinico che considerava l’età di insorgenza della patologia , i sintomi e il peso presenti, l’anamnesi familiare, l’inizio del trattamento insulin</w:t>
      </w:r>
      <w:r w:rsidR="000C7052">
        <w:t>ico e storia di chetoacidosi (413</w:t>
      </w:r>
      <w:r w:rsidRPr="007A0B1D">
        <w:t>).</w:t>
      </w:r>
    </w:p>
    <w:p w14:paraId="2196F27F" w14:textId="6171B616" w:rsidR="00A9404A" w:rsidRPr="007A0B1D" w:rsidRDefault="00A9404A" w:rsidP="00A9404A">
      <w:pPr>
        <w:spacing w:line="360" w:lineRule="auto"/>
        <w:jc w:val="both"/>
        <w:rPr>
          <w:bCs/>
        </w:rPr>
      </w:pPr>
      <w:r w:rsidRPr="007A0B1D">
        <w:rPr>
          <w:bCs/>
        </w:rPr>
        <w:t>L’ipertensione è stata definite mediante i criteri ESC 2018 (</w:t>
      </w:r>
      <w:r w:rsidR="000C7052">
        <w:rPr>
          <w:bCs/>
        </w:rPr>
        <w:t>414</w:t>
      </w:r>
      <w:r w:rsidRPr="007A0B1D">
        <w:rPr>
          <w:bCs/>
        </w:rPr>
        <w:t xml:space="preserve">). </w:t>
      </w:r>
    </w:p>
    <w:p w14:paraId="0AC07C85" w14:textId="150E757A" w:rsidR="00A9404A" w:rsidRPr="006A65EC" w:rsidRDefault="00A9404A" w:rsidP="00A9404A">
      <w:pPr>
        <w:spacing w:line="360" w:lineRule="auto"/>
        <w:jc w:val="both"/>
        <w:rPr>
          <w:bCs/>
        </w:rPr>
      </w:pPr>
      <w:r w:rsidRPr="007A0B1D">
        <w:rPr>
          <w:bCs/>
        </w:rPr>
        <w:lastRenderedPageBreak/>
        <w:t xml:space="preserve">La dislipidemia è stata definita tramite i livelli di trigliceridi </w:t>
      </w:r>
      <w:r w:rsidRPr="007A0B1D">
        <w:t>≥150 mg/dl e livelli di Colesterolo HDL(&lt;40 mg/dl) , ri</w:t>
      </w:r>
      <w:r w:rsidR="000C7052">
        <w:t>feriti al sesso del paziente (415</w:t>
      </w:r>
      <w:r w:rsidRPr="007A0B1D">
        <w:t xml:space="preserve">).  </w:t>
      </w:r>
    </w:p>
    <w:p w14:paraId="1575AEFE" w14:textId="77777777" w:rsidR="00A9404A" w:rsidRPr="007A0B1D" w:rsidRDefault="00A9404A" w:rsidP="00A9404A">
      <w:pPr>
        <w:spacing w:line="360" w:lineRule="auto"/>
        <w:jc w:val="both"/>
        <w:rPr>
          <w:b/>
          <w:bCs/>
          <w:iCs/>
        </w:rPr>
      </w:pPr>
      <w:r w:rsidRPr="007A0B1D">
        <w:rPr>
          <w:b/>
          <w:bCs/>
          <w:iCs/>
        </w:rPr>
        <w:t>7.4 Valutazione clinica e laboratoristica</w:t>
      </w:r>
    </w:p>
    <w:p w14:paraId="5EC71459" w14:textId="77777777" w:rsidR="00A9404A" w:rsidRPr="007A0B1D" w:rsidRDefault="00A9404A" w:rsidP="00A9404A">
      <w:pPr>
        <w:spacing w:line="360" w:lineRule="auto"/>
        <w:jc w:val="both"/>
      </w:pPr>
      <w:r w:rsidRPr="007A0B1D">
        <w:t>Sono stati collezionati dati clinici e antroprometrici al momento dell’arruolamento. I pazienti venivano classificati in Obesi (BMI ≥30), in sovrappeso (BMI 25-29.9), normopeso (BMI 18.5-24.9 kg/m2).</w:t>
      </w:r>
    </w:p>
    <w:p w14:paraId="16647E84" w14:textId="77777777" w:rsidR="00A9404A" w:rsidRPr="007A0B1D" w:rsidRDefault="00A9404A" w:rsidP="00A9404A">
      <w:pPr>
        <w:spacing w:line="360" w:lineRule="auto"/>
        <w:jc w:val="both"/>
      </w:pPr>
      <w:r w:rsidRPr="007A0B1D">
        <w:t>Al momento dell’arruolamento veniva prelevato campione di sangue al fine di val</w:t>
      </w:r>
      <w:r w:rsidRPr="007A0B1D">
        <w:t>u</w:t>
      </w:r>
      <w:r w:rsidRPr="007A0B1D">
        <w:t xml:space="preserve">tare i livelli di ALT, trigliceridi, glicemia, colesterolo totale e colesterolo HDL. </w:t>
      </w:r>
    </w:p>
    <w:p w14:paraId="28563BD0" w14:textId="77777777" w:rsidR="00A9404A" w:rsidRPr="007A0B1D" w:rsidRDefault="00A9404A" w:rsidP="00A9404A">
      <w:pPr>
        <w:spacing w:line="360" w:lineRule="auto"/>
        <w:jc w:val="both"/>
        <w:rPr>
          <w:b/>
        </w:rPr>
      </w:pPr>
    </w:p>
    <w:p w14:paraId="0F415456" w14:textId="77777777" w:rsidR="00A9404A" w:rsidRPr="007A0B1D" w:rsidRDefault="00A9404A" w:rsidP="00A9404A">
      <w:pPr>
        <w:spacing w:line="360" w:lineRule="auto"/>
        <w:jc w:val="both"/>
        <w:rPr>
          <w:b/>
        </w:rPr>
      </w:pPr>
      <w:r w:rsidRPr="007A0B1D">
        <w:rPr>
          <w:b/>
        </w:rPr>
        <w:t>7.5 Valutazione delle funzioni cognitive (mini-mental state examination)</w:t>
      </w:r>
    </w:p>
    <w:p w14:paraId="584D1C71" w14:textId="77E02188" w:rsidR="00A9404A" w:rsidRPr="007A0B1D" w:rsidRDefault="00A9404A" w:rsidP="00A9404A">
      <w:pPr>
        <w:spacing w:line="360" w:lineRule="auto"/>
        <w:jc w:val="both"/>
      </w:pPr>
      <w:r w:rsidRPr="007A0B1D">
        <w:t>Veniva somministrato il Mini-Mental State Examination (MMSE), un questionario di 11 domande utile a valutare le 5 maggiori aree cognitive (</w:t>
      </w:r>
      <w:r w:rsidRPr="007A0B1D">
        <w:rPr>
          <w:i/>
        </w:rPr>
        <w:t>linguaggio, attenzione, orientamento, memorizzazione, ripetizione and calcolo).</w:t>
      </w:r>
      <w:r w:rsidRPr="007A0B1D">
        <w:t xml:space="preserve"> Il punteggio Massimo è 30 mentre valori di MMSE inferiori a 24 (23 o piu bassi) risultano essere suggestivi di “mild cognitive impairment” (</w:t>
      </w:r>
      <w:r w:rsidR="000C7052">
        <w:t>416</w:t>
      </w:r>
      <w:r w:rsidRPr="007A0B1D">
        <w:t>)</w:t>
      </w:r>
    </w:p>
    <w:p w14:paraId="2148F38B" w14:textId="77777777" w:rsidR="00A9404A" w:rsidRPr="007A0B1D" w:rsidRDefault="00A9404A" w:rsidP="00A9404A">
      <w:pPr>
        <w:spacing w:line="360" w:lineRule="auto"/>
        <w:jc w:val="both"/>
        <w:rPr>
          <w:b/>
          <w:bCs/>
        </w:rPr>
      </w:pPr>
      <w:r w:rsidRPr="007A0B1D">
        <w:rPr>
          <w:noProof/>
        </w:rPr>
        <w:drawing>
          <wp:inline distT="0" distB="0" distL="0" distR="0" wp14:anchorId="4BBF2B9A" wp14:editId="7FF897B8">
            <wp:extent cx="3570448" cy="4641583"/>
            <wp:effectExtent l="0" t="0" r="0" b="0"/>
            <wp:docPr id="2" name="Picture 2" descr="C:\Users\Alessandro Del Cuore\Desktop\mm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ssandro Del Cuore\Desktop\mmse.jpg"/>
                    <pic:cNvPicPr>
                      <a:picLocks noChangeAspect="1" noChangeArrowheads="1"/>
                    </pic:cNvPicPr>
                  </pic:nvPicPr>
                  <pic:blipFill>
                    <a:blip r:embed="rId30">
                      <a:extLst>
                        <a:ext uri="{BEBA8EAE-BF5A-486C-A8C5-ECC9F3942E4B}">
                          <a14:imgProps xmlns:a14="http://schemas.microsoft.com/office/drawing/2010/main">
                            <a14:imgLayer r:embed="rId31">
                              <a14:imgEffect>
                                <a14:sharpenSoften amount="14000"/>
                              </a14:imgEffect>
                            </a14:imgLayer>
                          </a14:imgProps>
                        </a:ext>
                        <a:ext uri="{28A0092B-C50C-407E-A947-70E740481C1C}">
                          <a14:useLocalDpi xmlns:a14="http://schemas.microsoft.com/office/drawing/2010/main" val="0"/>
                        </a:ext>
                      </a:extLst>
                    </a:blip>
                    <a:srcRect/>
                    <a:stretch>
                      <a:fillRect/>
                    </a:stretch>
                  </pic:blipFill>
                  <pic:spPr bwMode="auto">
                    <a:xfrm>
                      <a:off x="0" y="0"/>
                      <a:ext cx="3585310" cy="4660904"/>
                    </a:xfrm>
                    <a:prstGeom prst="rect">
                      <a:avLst/>
                    </a:prstGeom>
                    <a:noFill/>
                    <a:ln>
                      <a:noFill/>
                    </a:ln>
                  </pic:spPr>
                </pic:pic>
              </a:graphicData>
            </a:graphic>
          </wp:inline>
        </w:drawing>
      </w:r>
    </w:p>
    <w:p w14:paraId="06B3E2D5" w14:textId="77777777" w:rsidR="00A9404A" w:rsidRPr="007A0B1D" w:rsidRDefault="00A9404A" w:rsidP="00A9404A">
      <w:pPr>
        <w:spacing w:line="360" w:lineRule="auto"/>
        <w:jc w:val="both"/>
        <w:rPr>
          <w:b/>
          <w:bCs/>
        </w:rPr>
      </w:pPr>
    </w:p>
    <w:p w14:paraId="1E9CD433" w14:textId="77777777" w:rsidR="00A9404A" w:rsidRPr="007A0B1D" w:rsidRDefault="00A9404A" w:rsidP="00A9404A">
      <w:pPr>
        <w:spacing w:line="360" w:lineRule="auto"/>
        <w:jc w:val="both"/>
        <w:rPr>
          <w:b/>
          <w:bCs/>
        </w:rPr>
      </w:pPr>
    </w:p>
    <w:p w14:paraId="018567C5" w14:textId="77777777" w:rsidR="00A9404A" w:rsidRPr="007A0B1D" w:rsidRDefault="00A9404A" w:rsidP="00A9404A">
      <w:pPr>
        <w:spacing w:line="360" w:lineRule="auto"/>
        <w:jc w:val="both"/>
        <w:rPr>
          <w:b/>
          <w:bCs/>
        </w:rPr>
      </w:pPr>
    </w:p>
    <w:p w14:paraId="75EAAFBA" w14:textId="77777777" w:rsidR="00A9404A" w:rsidRPr="007A0B1D" w:rsidRDefault="00A9404A" w:rsidP="00A9404A">
      <w:pPr>
        <w:spacing w:line="360" w:lineRule="auto"/>
        <w:jc w:val="both"/>
        <w:rPr>
          <w:b/>
          <w:bCs/>
          <w:caps/>
        </w:rPr>
      </w:pPr>
      <w:r w:rsidRPr="007A0B1D">
        <w:rPr>
          <w:b/>
          <w:bCs/>
        </w:rPr>
        <w:t xml:space="preserve">7.6 Valutazione della funzione endoteliale mediante </w:t>
      </w:r>
      <w:r w:rsidRPr="007A0B1D">
        <w:rPr>
          <w:b/>
          <w:bCs/>
          <w:caps/>
        </w:rPr>
        <w:t xml:space="preserve">rh-pat </w:t>
      </w:r>
      <w:r w:rsidRPr="007A0B1D">
        <w:rPr>
          <w:b/>
        </w:rPr>
        <w:t>(Reactive Hyp</w:t>
      </w:r>
      <w:r w:rsidRPr="007A0B1D">
        <w:rPr>
          <w:b/>
        </w:rPr>
        <w:t>e</w:t>
      </w:r>
      <w:r w:rsidRPr="007A0B1D">
        <w:rPr>
          <w:b/>
        </w:rPr>
        <w:t>remia Peripheral Arterial Tonometry)</w:t>
      </w:r>
    </w:p>
    <w:p w14:paraId="4764777F" w14:textId="520C8F5E" w:rsidR="00A9404A" w:rsidRPr="007A0B1D" w:rsidRDefault="00A9404A" w:rsidP="00A9404A">
      <w:pPr>
        <w:spacing w:line="360" w:lineRule="auto"/>
        <w:jc w:val="both"/>
      </w:pPr>
      <w:r w:rsidRPr="007A0B1D">
        <w:t>Il Principio dell’RH-PAT è stato descritto i</w:t>
      </w:r>
      <w:r w:rsidR="000C7052">
        <w:t>n precedenza da alcuni studi (417</w:t>
      </w:r>
      <w:r w:rsidRPr="007A0B1D">
        <w:t>). Rap</w:t>
      </w:r>
      <w:r w:rsidRPr="007A0B1D">
        <w:t>i</w:t>
      </w:r>
      <w:r w:rsidRPr="007A0B1D">
        <w:t>damente, un bracciale della pressione arteriosa è stato piazzato su un arto superiore, mentre il braccio controlaterale veniva usato come controllo. La sonda PAT è stata piazzata su un dito di ognuna delle due mani. Dopo un periodo di 5 minuti di misur</w:t>
      </w:r>
      <w:r w:rsidRPr="007A0B1D">
        <w:t>a</w:t>
      </w:r>
      <w:r w:rsidRPr="007A0B1D">
        <w:t>zione di controllo, il bracciale della pressione veniva gonfiato a 60 mmhg al di sopra della pressione sistolica in precedenza misurata o fino ai 200 mmhg per 5 minuti a dopo veniva sgonfiato al fine di indurre l’iperemia reattiva. I dati dell’RH-PAT sono stati analizzati in maniera digitale tramite il dispositivo Endo-PAT2000 software ve</w:t>
      </w:r>
      <w:r w:rsidRPr="007A0B1D">
        <w:t>r</w:t>
      </w:r>
      <w:r w:rsidRPr="007A0B1D">
        <w:t>sion 3.0.4. L’indice dell’RH-PAT riflette l’estensione dell’ipereremia reattiva ed è stato calcolato come il rapporto tra la media delle ampiezze del segnale PAT al di sopra del primo minuto di misurazione iniziale e dopo 1,5 minuti di misurazione in seguito allo sgonfiaggio del bracciale della pressione (A: Control Arm ; C : Occluded Arm)  fratto la media delle ampiezze del segnale PAT in un periodo di 2,5 minuti prima del gonfiaggio del bracciale della pressione (B : Control Arm ; D : Occluded Arm) . Questo indice RH-PAT chiamato RHI (Reactive Hyperaeremy Index) è espresso dalla formula RHI= (C/D) / (A/B) x correzione basale. Valori di RHI &lt; 1,67 indicano un quadro di disfunzione endoteliale.</w:t>
      </w:r>
    </w:p>
    <w:p w14:paraId="74490AFD" w14:textId="77777777" w:rsidR="00A9404A" w:rsidRPr="007A0B1D" w:rsidRDefault="00A9404A" w:rsidP="00A9404A">
      <w:pPr>
        <w:spacing w:line="360" w:lineRule="auto"/>
        <w:jc w:val="both"/>
      </w:pPr>
    </w:p>
    <w:p w14:paraId="31379388" w14:textId="77777777" w:rsidR="00A9404A" w:rsidRPr="007A0B1D" w:rsidRDefault="00A9404A" w:rsidP="00A9404A">
      <w:pPr>
        <w:pStyle w:val="Paragrafoelenco"/>
        <w:numPr>
          <w:ilvl w:val="1"/>
          <w:numId w:val="23"/>
        </w:numPr>
        <w:spacing w:line="360" w:lineRule="auto"/>
        <w:jc w:val="both"/>
        <w:rPr>
          <w:b/>
          <w:szCs w:val="24"/>
        </w:rPr>
      </w:pPr>
      <w:r w:rsidRPr="007A0B1D">
        <w:rPr>
          <w:b/>
          <w:szCs w:val="24"/>
        </w:rPr>
        <w:t xml:space="preserve">Analisi genetica </w:t>
      </w:r>
    </w:p>
    <w:p w14:paraId="3C23998E" w14:textId="77777777" w:rsidR="00A9404A" w:rsidRPr="007A0B1D" w:rsidRDefault="00A9404A" w:rsidP="00A9404A">
      <w:pPr>
        <w:spacing w:line="360" w:lineRule="auto"/>
        <w:jc w:val="both"/>
        <w:rPr>
          <w:b/>
        </w:rPr>
      </w:pPr>
      <w:r w:rsidRPr="007A0B1D">
        <w:t>Dopo avere ottenuto un consenso informato da parte dei pazienti, verranno raccolti campioni di sangue periferico collezionati in EDTA, o di plasma e di siero e conse</w:t>
      </w:r>
      <w:r w:rsidRPr="007A0B1D">
        <w:t>r</w:t>
      </w:r>
      <w:r w:rsidRPr="007A0B1D">
        <w:t>vati alla temperatura di - 20°C fino al momento dell’estrazione del DNA.</w:t>
      </w:r>
    </w:p>
    <w:p w14:paraId="3CC6AB90" w14:textId="77777777" w:rsidR="00A9404A" w:rsidRPr="007A0B1D" w:rsidRDefault="00A9404A" w:rsidP="00A9404A">
      <w:pPr>
        <w:numPr>
          <w:ilvl w:val="0"/>
          <w:numId w:val="18"/>
        </w:numPr>
        <w:spacing w:line="360" w:lineRule="auto"/>
        <w:jc w:val="both"/>
        <w:rPr>
          <w:b/>
          <w:bCs/>
        </w:rPr>
      </w:pPr>
      <w:r w:rsidRPr="007A0B1D">
        <w:t>Estrazione del DNA da sangue intero:</w:t>
      </w:r>
      <w:r w:rsidRPr="007A0B1D">
        <w:rPr>
          <w:b/>
          <w:bCs/>
        </w:rPr>
        <w:t> </w:t>
      </w:r>
      <w:r w:rsidRPr="007A0B1D">
        <w:t>Il DNA verrà estratto su colonna sfru</w:t>
      </w:r>
      <w:r w:rsidRPr="007A0B1D">
        <w:t>t</w:t>
      </w:r>
      <w:r w:rsidRPr="007A0B1D">
        <w:t>tando il principio della cromatografia per affinità tramite Qia Amp DNA Blood mini Kit (Qiagen). La resa e l'integrità del DNA verrà valutata attr</w:t>
      </w:r>
      <w:r w:rsidRPr="007A0B1D">
        <w:t>a</w:t>
      </w:r>
      <w:r w:rsidRPr="007A0B1D">
        <w:t>verso la misura di densità ottica, con uno spettrofotometro UV (ratio 260/280 nm &lt; 2).</w:t>
      </w:r>
    </w:p>
    <w:p w14:paraId="08F94750" w14:textId="141EA421" w:rsidR="00A9404A" w:rsidRPr="00503E95" w:rsidRDefault="00A9404A" w:rsidP="00503E95">
      <w:pPr>
        <w:numPr>
          <w:ilvl w:val="0"/>
          <w:numId w:val="18"/>
        </w:numPr>
        <w:spacing w:line="360" w:lineRule="auto"/>
        <w:jc w:val="both"/>
        <w:rPr>
          <w:b/>
          <w:bCs/>
        </w:rPr>
      </w:pPr>
      <w:r w:rsidRPr="007A0B1D">
        <w:t>Genotipizzazione mediante saggio di discriminazione allelica in real time PCR:</w:t>
      </w:r>
      <w:r w:rsidRPr="007A0B1D">
        <w:rPr>
          <w:b/>
          <w:bCs/>
        </w:rPr>
        <w:t xml:space="preserve"> </w:t>
      </w:r>
      <w:r w:rsidRPr="007A0B1D">
        <w:t xml:space="preserve">Lo studio dei Polimorfismi a Singolo Nucleotide (SNP) verrà effettuato in Real Time PCR mediante un saggio di discriminazione allelica con sonde </w:t>
      </w:r>
      <w:r w:rsidRPr="007A0B1D">
        <w:lastRenderedPageBreak/>
        <w:t xml:space="preserve">Taqman allele-specifiche contenenti come marcatori i fluorocromi FAM o VIC, che permetteranno di evidenziare le due varianti di sequenza di acido nucleico. </w:t>
      </w:r>
    </w:p>
    <w:p w14:paraId="5E318654" w14:textId="77777777" w:rsidR="00A9404A" w:rsidRPr="007A0B1D" w:rsidRDefault="00A9404A" w:rsidP="00A9404A">
      <w:pPr>
        <w:spacing w:line="360" w:lineRule="auto"/>
        <w:ind w:left="720"/>
        <w:jc w:val="both"/>
        <w:rPr>
          <w:b/>
          <w:bCs/>
        </w:rPr>
      </w:pPr>
      <w:r w:rsidRPr="007A0B1D">
        <w:t>Verranno utilizzati i seguenti assays: </w:t>
      </w:r>
    </w:p>
    <w:p w14:paraId="2CFB1C2F" w14:textId="77777777" w:rsidR="00A9404A" w:rsidRPr="007A0B1D" w:rsidRDefault="00A9404A" w:rsidP="00A9404A">
      <w:pPr>
        <w:numPr>
          <w:ilvl w:val="0"/>
          <w:numId w:val="19"/>
        </w:numPr>
        <w:spacing w:after="240"/>
        <w:jc w:val="both"/>
      </w:pPr>
      <w:r w:rsidRPr="007A0B1D">
        <w:t>SNP rs1800795 del gene IL-6 -174, G&gt;C. </w:t>
      </w:r>
    </w:p>
    <w:p w14:paraId="3874FE7B" w14:textId="77777777" w:rsidR="00A9404A" w:rsidRPr="007A0B1D" w:rsidRDefault="00A9404A" w:rsidP="00A9404A">
      <w:pPr>
        <w:numPr>
          <w:ilvl w:val="0"/>
          <w:numId w:val="19"/>
        </w:numPr>
        <w:spacing w:after="240"/>
        <w:jc w:val="both"/>
      </w:pPr>
      <w:r w:rsidRPr="007A0B1D">
        <w:t>SNP rs1800629 del gene TNF-α-308, G&gt;A. </w:t>
      </w:r>
    </w:p>
    <w:p w14:paraId="7B53927E" w14:textId="77777777" w:rsidR="00A9404A" w:rsidRPr="007A0B1D" w:rsidRDefault="00A9404A" w:rsidP="00A9404A">
      <w:pPr>
        <w:numPr>
          <w:ilvl w:val="0"/>
          <w:numId w:val="19"/>
        </w:numPr>
        <w:spacing w:after="240"/>
        <w:jc w:val="both"/>
      </w:pPr>
      <w:r w:rsidRPr="007A0B1D">
        <w:t>SNP rs699947 del gene VEGF:-2578, C&gt;A</w:t>
      </w:r>
    </w:p>
    <w:p w14:paraId="5027D57F" w14:textId="77777777" w:rsidR="00A9404A" w:rsidRPr="007A0B1D" w:rsidRDefault="00A9404A" w:rsidP="00A9404A">
      <w:pPr>
        <w:numPr>
          <w:ilvl w:val="0"/>
          <w:numId w:val="19"/>
        </w:numPr>
        <w:spacing w:after="240"/>
        <w:jc w:val="both"/>
      </w:pPr>
      <w:r w:rsidRPr="007A0B1D">
        <w:t>SNP rs11549465 del gene HIF-1alpha-1772, C&gt;T</w:t>
      </w:r>
    </w:p>
    <w:p w14:paraId="23364E5E" w14:textId="77777777" w:rsidR="00A9404A" w:rsidRPr="007A0B1D" w:rsidRDefault="00A9404A" w:rsidP="00A9404A">
      <w:pPr>
        <w:numPr>
          <w:ilvl w:val="0"/>
          <w:numId w:val="19"/>
        </w:numPr>
        <w:spacing w:after="240"/>
        <w:jc w:val="both"/>
      </w:pPr>
      <w:r w:rsidRPr="007A0B1D">
        <w:t>SNP del gene ENOS-894, G&gt;T</w:t>
      </w:r>
    </w:p>
    <w:p w14:paraId="4BED7961" w14:textId="55980DF9" w:rsidR="00A9404A" w:rsidRPr="007A0B1D" w:rsidRDefault="00A9404A" w:rsidP="00A9404A">
      <w:pPr>
        <w:spacing w:after="240" w:line="360" w:lineRule="auto"/>
        <w:jc w:val="both"/>
      </w:pPr>
      <w:r w:rsidRPr="007A0B1D">
        <w:t>L’amplificazione verrà effettuata utilizzando la Real Time PCR StepOnePlus, fornita dalla Applied Biosystems e l’analisi dei risultati verrà effettuata tramite il software SDS versione 2.3. </w:t>
      </w:r>
      <w:r w:rsidR="006A65EC">
        <w:t xml:space="preserve"> </w:t>
      </w:r>
      <w:r w:rsidRPr="007A0B1D">
        <w:t>I dati verranno collezionati in un diagramma, che riporterà la fluorescenza associata a ciascuna variante allelica relativa a ciascuno SNP studiato.</w:t>
      </w:r>
      <w:r w:rsidR="006A65EC">
        <w:t xml:space="preserve"> </w:t>
      </w:r>
      <w:r w:rsidRPr="007A0B1D">
        <w:t>Ciascuna seduta di discriminazione allelica verrà validata dall’utilizzo di un campi</w:t>
      </w:r>
      <w:r w:rsidRPr="007A0B1D">
        <w:t>o</w:t>
      </w:r>
      <w:r w:rsidRPr="007A0B1D">
        <w:t>ne omozigote per l’allele 1, un campione omozigote per l’allele 2 e un campione et</w:t>
      </w:r>
      <w:r w:rsidRPr="007A0B1D">
        <w:t>e</w:t>
      </w:r>
      <w:r w:rsidRPr="007A0B1D">
        <w:t>rozigote per i polimorfismi in oggetto, precedentemente determinati con altra met</w:t>
      </w:r>
      <w:r w:rsidRPr="007A0B1D">
        <w:t>o</w:t>
      </w:r>
      <w:r w:rsidRPr="007A0B1D">
        <w:t>dica (sequenziamento). Inoltre verranno inseriti random nella piastra almeno tre NTC (no template control) che contengono tutti i reattivi eccetto il DNA, sostituito da a</w:t>
      </w:r>
      <w:r w:rsidRPr="007A0B1D">
        <w:t>c</w:t>
      </w:r>
      <w:r w:rsidRPr="007A0B1D">
        <w:t>qua DEPC, allo scopo di evidenziare eventuali contaminazioni che invaliderebbero la seduta. Per ciò che concerne l’interpretazione del risultato, la risposta è univoca e d</w:t>
      </w:r>
      <w:r w:rsidRPr="007A0B1D">
        <w:t>e</w:t>
      </w:r>
      <w:r w:rsidRPr="007A0B1D">
        <w:t>finisce lo stato di omozigote per uno o l’altro allele o di eterozigote del soggetto.</w:t>
      </w:r>
      <w:r w:rsidR="006A65EC">
        <w:t xml:space="preserve"> Le frequenza dei genotipi verranno verificate mediante l’equilibrio di Hardy-Weinberg.</w:t>
      </w:r>
    </w:p>
    <w:p w14:paraId="4D35C2E7" w14:textId="319F15FD" w:rsidR="002D664F" w:rsidRPr="002D664F" w:rsidRDefault="00B02700" w:rsidP="002D664F">
      <w:pPr>
        <w:spacing w:after="240" w:line="360" w:lineRule="auto"/>
        <w:jc w:val="both"/>
        <w:rPr>
          <w:b/>
          <w:bCs/>
          <w:lang w:val="en-US"/>
        </w:rPr>
      </w:pPr>
      <w:r>
        <w:rPr>
          <w:b/>
          <w:bCs/>
          <w:lang w:val="en-GB"/>
        </w:rPr>
        <w:t xml:space="preserve">7.7 </w:t>
      </w:r>
      <w:r w:rsidR="002D664F" w:rsidRPr="002D664F">
        <w:rPr>
          <w:b/>
          <w:bCs/>
          <w:lang w:val="en-GB"/>
        </w:rPr>
        <w:t>miRNA ANALYSYS (</w:t>
      </w:r>
      <w:r w:rsidR="002D664F" w:rsidRPr="002D664F">
        <w:rPr>
          <w:b/>
          <w:bCs/>
          <w:lang w:val="en-US"/>
        </w:rPr>
        <w:t>RNA Extraction, Real-Time PCR and Statistical Analysis)</w:t>
      </w:r>
      <w:r>
        <w:rPr>
          <w:b/>
          <w:bCs/>
          <w:lang w:val="en-US"/>
        </w:rPr>
        <w:t xml:space="preserve"> </w:t>
      </w:r>
    </w:p>
    <w:p w14:paraId="1F0B0BD3" w14:textId="2A64F416" w:rsidR="00B2628C" w:rsidRPr="00B2628C" w:rsidRDefault="00360169" w:rsidP="00B2628C">
      <w:pPr>
        <w:spacing w:after="240" w:line="360" w:lineRule="auto"/>
        <w:jc w:val="both"/>
        <w:rPr>
          <w:bCs/>
          <w:lang w:val="en-GB"/>
        </w:rPr>
      </w:pPr>
      <w:r w:rsidRPr="00B2628C">
        <w:rPr>
          <w:bCs/>
          <w:lang w:val="en-GB"/>
        </w:rPr>
        <w:t>L'RNA totale è stato purificato da campioni di siero di 30 pazienti utilizzando il kit miRNeasy Serum/Plasma Kit (codice 217204; Qiagen) e il kit miRCURY LNA RNA Spike-in (codice 339390; Qiagen) disponibili in commercio, secondo le istruzioni del produttore. Per l'espressione dei miRNA, 1 μg di RNA è stato retrotrascritto in cDNA utilizzando il kit miRCURY LNA (codice 339340; QIAGEN) secondo le ra</w:t>
      </w:r>
      <w:r w:rsidRPr="00B2628C">
        <w:rPr>
          <w:bCs/>
          <w:lang w:val="en-GB"/>
        </w:rPr>
        <w:t>c</w:t>
      </w:r>
      <w:r w:rsidRPr="00B2628C">
        <w:rPr>
          <w:bCs/>
          <w:lang w:val="en-GB"/>
        </w:rPr>
        <w:t>comandazioni del produttore. La PCR quantitativa in tempo reale è stata eseguita ut</w:t>
      </w:r>
      <w:r w:rsidRPr="00B2628C">
        <w:rPr>
          <w:bCs/>
          <w:lang w:val="en-GB"/>
        </w:rPr>
        <w:t>i</w:t>
      </w:r>
      <w:r w:rsidRPr="00B2628C">
        <w:rPr>
          <w:bCs/>
          <w:lang w:val="en-GB"/>
        </w:rPr>
        <w:t>lizzando il kit miRCURY LNA SYBR Green PCR (numero di catalogo 339346; Q</w:t>
      </w:r>
      <w:r w:rsidRPr="00B2628C">
        <w:rPr>
          <w:bCs/>
          <w:lang w:val="en-GB"/>
        </w:rPr>
        <w:t>i</w:t>
      </w:r>
      <w:r w:rsidRPr="00B2628C">
        <w:rPr>
          <w:bCs/>
          <w:lang w:val="en-GB"/>
        </w:rPr>
        <w:lastRenderedPageBreak/>
        <w:t xml:space="preserve">agen) e il pannello PCR Custom_miRCURY PCR (formato a 96 pozzetti, numero di catalogo 339330, YCA41200, </w:t>
      </w:r>
      <w:r w:rsidR="002D664F" w:rsidRPr="00B2628C">
        <w:rPr>
          <w:bCs/>
          <w:lang w:val="en-GB"/>
        </w:rPr>
        <w:t xml:space="preserve">Qiagen). </w:t>
      </w:r>
      <w:r w:rsidRPr="00B2628C">
        <w:rPr>
          <w:bCs/>
          <w:lang w:val="en-GB"/>
        </w:rPr>
        <w:t>Le piastre contenevano primer per analizzare 3 target, has-miR-217-5p, has-miR126-3p e has-miR-503-5p3; e 4 geni housekee</w:t>
      </w:r>
      <w:r w:rsidRPr="00B2628C">
        <w:rPr>
          <w:bCs/>
          <w:lang w:val="en-GB"/>
        </w:rPr>
        <w:t>p</w:t>
      </w:r>
      <w:r w:rsidRPr="00B2628C">
        <w:rPr>
          <w:bCs/>
          <w:lang w:val="en-GB"/>
        </w:rPr>
        <w:t>ing: has-miR-93-5P, has-miR-191-5p, has-miR-425-5p e has-miR-451a, come r</w:t>
      </w:r>
      <w:r w:rsidRPr="00B2628C">
        <w:rPr>
          <w:bCs/>
          <w:lang w:val="en-GB"/>
        </w:rPr>
        <w:t>i</w:t>
      </w:r>
      <w:r w:rsidRPr="00B2628C">
        <w:rPr>
          <w:bCs/>
          <w:lang w:val="en-GB"/>
        </w:rPr>
        <w:t>portato nella Tabella supplementare 1. Ino</w:t>
      </w:r>
      <w:r w:rsidRPr="00B2628C">
        <w:rPr>
          <w:bCs/>
          <w:lang w:val="en-GB"/>
        </w:rPr>
        <w:t>l</w:t>
      </w:r>
      <w:r w:rsidRPr="00B2628C">
        <w:rPr>
          <w:bCs/>
          <w:lang w:val="en-GB"/>
        </w:rPr>
        <w:t>tre, ogni piastra contiene 4 spike-in UniSp RNA: UniSp2, UniSp4 (controlli di isolamento dell'RNA), UniSp3 (test di calibr</w:t>
      </w:r>
      <w:r w:rsidRPr="00B2628C">
        <w:rPr>
          <w:bCs/>
          <w:lang w:val="en-GB"/>
        </w:rPr>
        <w:t>a</w:t>
      </w:r>
      <w:r w:rsidRPr="00B2628C">
        <w:rPr>
          <w:bCs/>
          <w:lang w:val="en-GB"/>
        </w:rPr>
        <w:t>zione interpiastra) e UniSp6 (controllo di sintesi cDNA) come riportato nella Tabella supplementare 1. Il ciclo di soglia medio è stato utilizzato per il calcolo dell'espre</w:t>
      </w:r>
      <w:r w:rsidRPr="00B2628C">
        <w:rPr>
          <w:bCs/>
          <w:lang w:val="en-GB"/>
        </w:rPr>
        <w:t>s</w:t>
      </w:r>
      <w:r w:rsidRPr="00B2628C">
        <w:rPr>
          <w:bCs/>
          <w:lang w:val="en-GB"/>
        </w:rPr>
        <w:t>sione relativa utilizzando has-miR-451a come gene di riferimento. I dati sono stati espressi come variazione percentuale utilizzando il metodo 2 − ΔΔCt riferito al gru</w:t>
      </w:r>
      <w:r w:rsidRPr="00B2628C">
        <w:rPr>
          <w:bCs/>
          <w:lang w:val="en-GB"/>
        </w:rPr>
        <w:t>p</w:t>
      </w:r>
      <w:r w:rsidRPr="00B2628C">
        <w:rPr>
          <w:bCs/>
          <w:lang w:val="en-GB"/>
        </w:rPr>
        <w:t xml:space="preserve">po sano o ai pazienti diabetici come gruppo di controllo. </w:t>
      </w:r>
      <w:r w:rsidR="00B2628C" w:rsidRPr="00B2628C">
        <w:rPr>
          <w:bCs/>
          <w:lang w:val="en-GB"/>
        </w:rPr>
        <w:t>Le differenze tra i gruppi sperimentali sono state analizzate m</w:t>
      </w:r>
      <w:r w:rsidR="00B2628C" w:rsidRPr="00B2628C">
        <w:rPr>
          <w:bCs/>
          <w:lang w:val="en-GB"/>
        </w:rPr>
        <w:t>e</w:t>
      </w:r>
      <w:r w:rsidR="00B2628C" w:rsidRPr="00B2628C">
        <w:rPr>
          <w:bCs/>
          <w:lang w:val="en-GB"/>
        </w:rPr>
        <w:t>diante il test t di Student. Il test t di Student per esperimenti indipendenti è stato eseguito per verificare le differenze nell'espressione genica tra i gruppi sperimentali; la correzione di Bonferroni per test di ipotesi mult</w:t>
      </w:r>
      <w:r w:rsidR="00B2628C" w:rsidRPr="00B2628C">
        <w:rPr>
          <w:bCs/>
          <w:lang w:val="en-GB"/>
        </w:rPr>
        <w:t>i</w:t>
      </w:r>
      <w:r w:rsidR="00B2628C" w:rsidRPr="00B2628C">
        <w:rPr>
          <w:bCs/>
          <w:lang w:val="en-GB"/>
        </w:rPr>
        <w:t>ple è stata applicata al test t e il valore P, probabilità di errore falso positivo, è stato utilizzato come criterio primario per la selezione dei geni (valore P di cutoff pari a 0,05 per la significatività statistica), quindi la variazione è stata considerata come misura della significatività biologica. I valori della soglia di ciclo (ct) sono stati i</w:t>
      </w:r>
      <w:r w:rsidR="00B2628C" w:rsidRPr="00B2628C">
        <w:rPr>
          <w:bCs/>
          <w:lang w:val="en-GB"/>
        </w:rPr>
        <w:t>n</w:t>
      </w:r>
      <w:r w:rsidR="00B2628C" w:rsidRPr="00B2628C">
        <w:rPr>
          <w:bCs/>
          <w:lang w:val="en-GB"/>
        </w:rPr>
        <w:t>seriti nel software Web-based PCR Array Data Analysis (https://geneglobe.qiagen.com/it/analyze. Per tutti gli esperimenti, i dati sono stati rappresentati come media ± S.D. La significatività statistica delle differenze tra il singolo gruppo e il controllo relativo è stata valutata mediante un test t di Student a due code. Tutte le analisi statistiche sono state eseguite utilizzando il software stati</w:t>
      </w:r>
      <w:r w:rsidR="00B2628C" w:rsidRPr="00B2628C">
        <w:rPr>
          <w:bCs/>
          <w:lang w:val="en-GB"/>
        </w:rPr>
        <w:t>s</w:t>
      </w:r>
      <w:r w:rsidR="00B2628C" w:rsidRPr="00B2628C">
        <w:rPr>
          <w:bCs/>
          <w:lang w:val="en-GB"/>
        </w:rPr>
        <w:t>tico R versione 4.0.4 (Core 236 Team, 2021).</w:t>
      </w:r>
    </w:p>
    <w:p w14:paraId="6B40E069" w14:textId="77777777" w:rsidR="00A9404A" w:rsidRPr="007A0B1D" w:rsidRDefault="00A9404A" w:rsidP="00A9404A">
      <w:pPr>
        <w:spacing w:line="360" w:lineRule="auto"/>
        <w:jc w:val="both"/>
        <w:rPr>
          <w:b/>
        </w:rPr>
      </w:pPr>
      <w:r w:rsidRPr="007A0B1D">
        <w:rPr>
          <w:b/>
        </w:rPr>
        <w:t>7.8 Analisi biochimica</w:t>
      </w:r>
    </w:p>
    <w:p w14:paraId="71892DAF" w14:textId="58F97989" w:rsidR="00A9404A" w:rsidRDefault="00A9404A" w:rsidP="006A65EC">
      <w:pPr>
        <w:spacing w:after="240" w:line="360" w:lineRule="auto"/>
        <w:jc w:val="both"/>
      </w:pPr>
      <w:r w:rsidRPr="007A0B1D">
        <w:t>I livelli sierici di Gremilina 1, TNFalpha, VEGF, HIFalpha, IL-6 verranno valutati mediante raccolta di campioni ematici. Il siero verrà ottenuto mediante centrifug</w:t>
      </w:r>
      <w:r w:rsidRPr="007A0B1D">
        <w:t>a</w:t>
      </w:r>
      <w:r w:rsidRPr="007A0B1D">
        <w:t>zione a 3000 rpm per 10 min e conservato ad una temperatur</w:t>
      </w:r>
      <w:r>
        <w:t>a</w:t>
      </w:r>
      <w:r w:rsidRPr="007A0B1D">
        <w:t xml:space="preserve"> di -80°C. Tutti i ca</w:t>
      </w:r>
      <w:r w:rsidRPr="007A0B1D">
        <w:t>m</w:t>
      </w:r>
      <w:r w:rsidRPr="007A0B1D">
        <w:t>pioni verranno analizzati nella stessa sessione analitica. Le concentrazioni sieriche di Gremilina 1, TNFalpha, VEGF, HIFalpha, IL-6 </w:t>
      </w:r>
      <w:r>
        <w:t>v</w:t>
      </w:r>
      <w:r w:rsidRPr="007A0B1D">
        <w:t>erranno misurate mediante i rispe</w:t>
      </w:r>
      <w:r w:rsidRPr="007A0B1D">
        <w:t>t</w:t>
      </w:r>
      <w:r w:rsidRPr="007A0B1D">
        <w:t>tivi kit ELISA</w:t>
      </w:r>
      <w:r>
        <w:t xml:space="preserve"> </w:t>
      </w:r>
      <w:r w:rsidRPr="006A65EC">
        <w:t>(Biomatik ® per Gremlina-1, Invitrogen di Thermofisher® per IL-6, TNFalpha, VEGF, HIFalpha)</w:t>
      </w:r>
    </w:p>
    <w:p w14:paraId="2814B5F9" w14:textId="77777777" w:rsidR="00B02700" w:rsidRPr="006A65EC" w:rsidRDefault="00B02700" w:rsidP="006A65EC">
      <w:pPr>
        <w:spacing w:after="240" w:line="360" w:lineRule="auto"/>
        <w:jc w:val="both"/>
        <w:rPr>
          <w:color w:val="FF0000"/>
        </w:rPr>
      </w:pPr>
    </w:p>
    <w:p w14:paraId="36AA7D46" w14:textId="0BFD25EC" w:rsidR="00A9404A" w:rsidRPr="00B02700" w:rsidRDefault="00A9404A" w:rsidP="00B02700">
      <w:pPr>
        <w:pStyle w:val="Paragrafoelenco"/>
        <w:numPr>
          <w:ilvl w:val="1"/>
          <w:numId w:val="35"/>
        </w:numPr>
        <w:spacing w:line="360" w:lineRule="auto"/>
        <w:jc w:val="both"/>
        <w:rPr>
          <w:b/>
        </w:rPr>
      </w:pPr>
      <w:r w:rsidRPr="00B02700">
        <w:rPr>
          <w:b/>
        </w:rPr>
        <w:lastRenderedPageBreak/>
        <w:t xml:space="preserve">Analisi statistica </w:t>
      </w:r>
    </w:p>
    <w:p w14:paraId="4594B315" w14:textId="77777777" w:rsidR="00A9404A" w:rsidRPr="009419A8" w:rsidRDefault="00A9404A" w:rsidP="00A9404A">
      <w:pPr>
        <w:spacing w:line="360" w:lineRule="auto"/>
        <w:jc w:val="both"/>
      </w:pPr>
      <w:r w:rsidRPr="009419A8">
        <w:t>L’analisi statistica quantitative e qualitative dei dati, incluso la statistica descrittiva, è stata eseguita per tutti gli items. Le variabili continue sono espresso come valori m</w:t>
      </w:r>
      <w:r w:rsidRPr="009419A8">
        <w:t>e</w:t>
      </w:r>
      <w:r w:rsidRPr="009419A8">
        <w:t>di ± Deviazione Standard (SD), salvo altre specifiche. Le differenze statistiche di b</w:t>
      </w:r>
      <w:r w:rsidRPr="009419A8">
        <w:t>a</w:t>
      </w:r>
      <w:r w:rsidRPr="009419A8">
        <w:t>se tra i gruppi sono state valutate tramite il test di chi-quadro o il test di Fisher, per quanto riguarda la variabili categoriche e mediante l’analisi univariata della varianza (ANOVA) per quando riguarda le variabili parametriche. L’analisi di regressione l</w:t>
      </w:r>
      <w:r w:rsidRPr="009419A8">
        <w:t>o</w:t>
      </w:r>
      <w:r w:rsidRPr="009419A8">
        <w:t>gistica multi variabile ha esaminato le correlazioni tra le caratteristiche dei pazienti (variabili indipendenti) e i sottogruppi (variabili dipendenti) in un modello di regre</w:t>
      </w:r>
      <w:r w:rsidRPr="009419A8">
        <w:t>s</w:t>
      </w:r>
      <w:r w:rsidRPr="009419A8">
        <w:t xml:space="preserve">sione multipla. Inoltre gli Odds ratio (OR) e i loro intervalli di confidenza al 95% (CIs) sono stati calcolati e aggiustati per la terapia farmacologica come covariazione. L’analisi di correlazione di Pearson è stata condotta al fine di valutare l’associazione tra gli indici di difsunzione endoteliale e le alter variant clinic-laboratoristiche-strumentali nei vari gruppi. I dati sono stati analizzati mediante il SPSS Software 22.0 version (IBM Corp., Armonk, NY, USA). I P-values inferiori a 0,05 sono stati considerati statisticamente significativi. </w:t>
      </w:r>
    </w:p>
    <w:p w14:paraId="74A6FF7F" w14:textId="77777777" w:rsidR="00A9404A" w:rsidRPr="00506417" w:rsidRDefault="00A9404A" w:rsidP="00A9404A">
      <w:pPr>
        <w:spacing w:line="360" w:lineRule="auto"/>
        <w:jc w:val="both"/>
        <w:rPr>
          <w:b/>
          <w:i/>
        </w:rPr>
      </w:pPr>
    </w:p>
    <w:p w14:paraId="45A4A74B" w14:textId="77777777" w:rsidR="00A9404A" w:rsidRPr="00506417" w:rsidRDefault="00A9404A" w:rsidP="00B02700">
      <w:pPr>
        <w:pStyle w:val="Paragrafoelenco"/>
        <w:numPr>
          <w:ilvl w:val="1"/>
          <w:numId w:val="35"/>
        </w:numPr>
        <w:spacing w:line="360" w:lineRule="auto"/>
        <w:jc w:val="both"/>
        <w:rPr>
          <w:b/>
        </w:rPr>
      </w:pPr>
      <w:r w:rsidRPr="00506417">
        <w:rPr>
          <w:b/>
        </w:rPr>
        <w:t xml:space="preserve">Risultati </w:t>
      </w:r>
    </w:p>
    <w:p w14:paraId="482C89E2" w14:textId="432C807C" w:rsidR="006A65EC" w:rsidRPr="006A65EC" w:rsidRDefault="00953B50" w:rsidP="006A65EC">
      <w:pPr>
        <w:spacing w:line="360" w:lineRule="auto"/>
        <w:jc w:val="both"/>
        <w:rPr>
          <w:bCs/>
        </w:rPr>
      </w:pPr>
      <w:r>
        <w:rPr>
          <w:bCs/>
        </w:rPr>
        <w:t>Tra Marzo 2022 e Dicembre 2023</w:t>
      </w:r>
      <w:r w:rsidR="006A65EC" w:rsidRPr="006A65EC">
        <w:rPr>
          <w:bCs/>
        </w:rPr>
        <w:t xml:space="preserve"> è stata arruolata una coorte di 50 pazienti diabetici con piede diabetico afferenti presso la nostra U.O.C. di Medicina Interna con Stroke Care del Policlinico Paolo Giaccone, comparandola con un gruppo di controllo di 40 p</w:t>
      </w:r>
      <w:r w:rsidR="006A65EC" w:rsidRPr="006A65EC">
        <w:rPr>
          <w:bCs/>
        </w:rPr>
        <w:t>a</w:t>
      </w:r>
      <w:r w:rsidR="006A65EC" w:rsidRPr="006A65EC">
        <w:rPr>
          <w:bCs/>
        </w:rPr>
        <w:t>zienti diabetici senza complicanze ulcerativa e con una popolazione di 20 pazienti non diabetici, sempre afferenti presso la nostra UOC per problematiche rispettiv</w:t>
      </w:r>
      <w:r w:rsidR="006A65EC" w:rsidRPr="006A65EC">
        <w:rPr>
          <w:bCs/>
        </w:rPr>
        <w:t>a</w:t>
      </w:r>
      <w:r w:rsidR="006A65EC" w:rsidRPr="006A65EC">
        <w:rPr>
          <w:bCs/>
        </w:rPr>
        <w:t>mente leg</w:t>
      </w:r>
      <w:r w:rsidR="006A65EC" w:rsidRPr="006A65EC">
        <w:rPr>
          <w:bCs/>
        </w:rPr>
        <w:t>a</w:t>
      </w:r>
      <w:r w:rsidR="006A65EC" w:rsidRPr="006A65EC">
        <w:rPr>
          <w:bCs/>
        </w:rPr>
        <w:t>te al diabete e per ulteriori cause.</w:t>
      </w:r>
    </w:p>
    <w:p w14:paraId="6FB272D3" w14:textId="08E1D120" w:rsidR="006A65EC" w:rsidRPr="006A65EC" w:rsidRDefault="006A65EC" w:rsidP="006A65EC">
      <w:pPr>
        <w:spacing w:line="360" w:lineRule="auto"/>
        <w:jc w:val="both"/>
        <w:rPr>
          <w:bCs/>
        </w:rPr>
      </w:pPr>
      <w:r w:rsidRPr="006A65EC">
        <w:rPr>
          <w:bCs/>
        </w:rPr>
        <w:t>Le variabili laboratoristiche, demografiche e generali dei pazienti diabetici con e senza lesioni ulcerative del piede e dei soggetti di cont</w:t>
      </w:r>
      <w:r w:rsidR="00605D85">
        <w:rPr>
          <w:bCs/>
        </w:rPr>
        <w:t>rollo sani sono presenti nella T</w:t>
      </w:r>
      <w:r w:rsidRPr="006A65EC">
        <w:rPr>
          <w:bCs/>
        </w:rPr>
        <w:t>abella 1.</w:t>
      </w:r>
    </w:p>
    <w:p w14:paraId="2BEBECAF" w14:textId="518674D9" w:rsidR="006A65EC" w:rsidRPr="006A65EC" w:rsidRDefault="006A65EC" w:rsidP="006A65EC">
      <w:pPr>
        <w:spacing w:line="360" w:lineRule="auto"/>
        <w:jc w:val="both"/>
        <w:rPr>
          <w:bCs/>
        </w:rPr>
      </w:pPr>
      <w:r w:rsidRPr="006A65EC">
        <w:rPr>
          <w:bCs/>
        </w:rPr>
        <w:t>L’analisi univariata</w:t>
      </w:r>
      <w:r w:rsidR="00605D85">
        <w:rPr>
          <w:bCs/>
        </w:rPr>
        <w:t xml:space="preserve"> (Tabella 2)</w:t>
      </w:r>
      <w:r w:rsidRPr="006A65EC">
        <w:rPr>
          <w:bCs/>
        </w:rPr>
        <w:t xml:space="preserve"> ha evidenziato che i pazienti con piede diabetico r</w:t>
      </w:r>
      <w:r w:rsidRPr="006A65EC">
        <w:rPr>
          <w:bCs/>
        </w:rPr>
        <w:t>i</w:t>
      </w:r>
      <w:r w:rsidRPr="006A65EC">
        <w:rPr>
          <w:bCs/>
        </w:rPr>
        <w:t>spetto ai controlli sani presentavano più bassi valori di RHI (1,42±0,49 vs 2,03 ±0,66; p&lt;0,005) e comparabili valori rispetto alla popolazione diabetica senza co</w:t>
      </w:r>
      <w:r w:rsidRPr="006A65EC">
        <w:rPr>
          <w:bCs/>
        </w:rPr>
        <w:t>m</w:t>
      </w:r>
      <w:r w:rsidRPr="006A65EC">
        <w:rPr>
          <w:bCs/>
        </w:rPr>
        <w:t>plicanza ulcerativa (1,42±0,49 vs 1,67±0,43).</w:t>
      </w:r>
    </w:p>
    <w:p w14:paraId="14E3BBEF" w14:textId="77777777" w:rsidR="006A65EC" w:rsidRPr="006A65EC" w:rsidRDefault="006A65EC" w:rsidP="006A65EC">
      <w:pPr>
        <w:spacing w:line="360" w:lineRule="auto"/>
        <w:jc w:val="both"/>
        <w:rPr>
          <w:bCs/>
        </w:rPr>
      </w:pPr>
      <w:r w:rsidRPr="006A65EC">
        <w:rPr>
          <w:bCs/>
        </w:rPr>
        <w:t>La Coorte di pazienti con ulcera diabetica mostravano rispetto ai controlli sani più basso punteggio al MMSE corretto per età (25,62±3,36 vs 28,7±1,29; p&lt;0,005) ma comparabile punteggio rispetto ai controlli diabetici (25,62±3,36 vs 26,35±3,53).</w:t>
      </w:r>
    </w:p>
    <w:p w14:paraId="3F661D87" w14:textId="28950697" w:rsidR="006A65EC" w:rsidRPr="006A65EC" w:rsidRDefault="006A65EC" w:rsidP="006A65EC">
      <w:pPr>
        <w:spacing w:line="360" w:lineRule="auto"/>
        <w:jc w:val="both"/>
        <w:rPr>
          <w:bCs/>
        </w:rPr>
      </w:pPr>
      <w:r w:rsidRPr="006A65EC">
        <w:rPr>
          <w:bCs/>
        </w:rPr>
        <w:lastRenderedPageBreak/>
        <w:t>I soggetti diabetici con lesion</w:t>
      </w:r>
      <w:r w:rsidR="00B930D4">
        <w:rPr>
          <w:bCs/>
        </w:rPr>
        <w:t>e ulcerativa dell’arto inferiore</w:t>
      </w:r>
      <w:r w:rsidRPr="006A65EC">
        <w:rPr>
          <w:bCs/>
        </w:rPr>
        <w:t xml:space="preserve"> esibivano rispetto ai co</w:t>
      </w:r>
      <w:r w:rsidRPr="006A65EC">
        <w:rPr>
          <w:bCs/>
        </w:rPr>
        <w:t>n</w:t>
      </w:r>
      <w:r w:rsidRPr="006A65EC">
        <w:rPr>
          <w:bCs/>
        </w:rPr>
        <w:t>trolli diabetici e ai controlli sani maggiori valori di citochine infiammatorie come VEGF (191,40±200 pg/mL vs 98,27±56,92 pg/mL vs 71,01±52,96 pg/mL p=0,22), HIF-1alpha (40,18±10,80 ng/mL vs 33,50±6,16 ng/mL vs 33,85±6,84 ng/mL p=0,10) e Gremlina-1 (1,72±0,512 ng/mL vs 1,31±0,21 ng/mL vs 1,11±0,19 ng/mL p&lt; 0,0005) e comparabili valori di IL-6 (25,99±52,73 pg/mL vs 5,04±4,92 pg/mL vs 3,096±1,91 pg/mL p=0,70), TNF-alpha (3,46±3,08 pg/mL vs 2,97±0,71 pg/mL vs 2,15±0,91 pg/mL p= 0,304) ed eNOS (2,47±8,19 ng/mL vs 1,01±1,67 ng/mL vs 1,06±1,19 ng/mL p=1,00).</w:t>
      </w:r>
    </w:p>
    <w:p w14:paraId="4B87A407" w14:textId="0F3FAB32" w:rsidR="006A65EC" w:rsidRPr="006A65EC" w:rsidRDefault="006A65EC" w:rsidP="006A65EC">
      <w:pPr>
        <w:spacing w:line="360" w:lineRule="auto"/>
        <w:jc w:val="both"/>
        <w:rPr>
          <w:bCs/>
        </w:rPr>
      </w:pPr>
      <w:r w:rsidRPr="006A65EC">
        <w:rPr>
          <w:bCs/>
        </w:rPr>
        <w:t>All’analisi intergruppo</w:t>
      </w:r>
      <w:r w:rsidR="00605D85">
        <w:rPr>
          <w:bCs/>
        </w:rPr>
        <w:t xml:space="preserve"> (Tabella 3)</w:t>
      </w:r>
      <w:r w:rsidRPr="006A65EC">
        <w:rPr>
          <w:bCs/>
        </w:rPr>
        <w:t xml:space="preserve"> i pazienti con piede diabetico presentavano</w:t>
      </w:r>
      <w:r w:rsidR="00B930D4">
        <w:rPr>
          <w:bCs/>
        </w:rPr>
        <w:t>,</w:t>
      </w:r>
      <w:r w:rsidRPr="006A65EC">
        <w:rPr>
          <w:bCs/>
        </w:rPr>
        <w:t xml:space="preserve"> r</w:t>
      </w:r>
      <w:r w:rsidRPr="006A65EC">
        <w:rPr>
          <w:bCs/>
        </w:rPr>
        <w:t>i</w:t>
      </w:r>
      <w:r w:rsidRPr="006A65EC">
        <w:rPr>
          <w:bCs/>
        </w:rPr>
        <w:t>spetto ai pazienti diabetici e ai controlli sani un maggior grado di disfunzione endot</w:t>
      </w:r>
      <w:r w:rsidRPr="006A65EC">
        <w:rPr>
          <w:bCs/>
        </w:rPr>
        <w:t>e</w:t>
      </w:r>
      <w:r w:rsidRPr="006A65EC">
        <w:rPr>
          <w:bCs/>
        </w:rPr>
        <w:t>liale (76% vs 70% vs 30%), un maggior utilizzo di Antiaggreganti (68 % vs 35 % vs 30 %) e più alta percentuale di pazienti in atto in trattamento insulinico (82% vs 35% vs 0%).</w:t>
      </w:r>
    </w:p>
    <w:p w14:paraId="2DAC6E2C" w14:textId="7340A8AE" w:rsidR="006A65EC" w:rsidRPr="006A65EC" w:rsidRDefault="006A65EC" w:rsidP="006A65EC">
      <w:pPr>
        <w:spacing w:line="360" w:lineRule="auto"/>
        <w:jc w:val="both"/>
        <w:rPr>
          <w:bCs/>
        </w:rPr>
      </w:pPr>
      <w:r w:rsidRPr="006A65EC">
        <w:rPr>
          <w:bCs/>
        </w:rPr>
        <w:t>I pazienti con complicanza ulcerativa dell’arto inferiore presentavano rispetto ai co</w:t>
      </w:r>
      <w:r w:rsidRPr="006A65EC">
        <w:rPr>
          <w:bCs/>
        </w:rPr>
        <w:t>n</w:t>
      </w:r>
      <w:r w:rsidR="00B930D4">
        <w:rPr>
          <w:bCs/>
        </w:rPr>
        <w:t>trolli sani un maggior tasso d’</w:t>
      </w:r>
      <w:r w:rsidRPr="006A65EC">
        <w:rPr>
          <w:bCs/>
        </w:rPr>
        <w:t>ipertensione arteriosa (76% vs 70%), un maggior grado di dislipidemia (72% vs 38%), una maggiore frequenza di utilizzo di Ace inbit</w:t>
      </w:r>
      <w:r w:rsidRPr="006A65EC">
        <w:rPr>
          <w:bCs/>
        </w:rPr>
        <w:t>o</w:t>
      </w:r>
      <w:r w:rsidRPr="006A65EC">
        <w:rPr>
          <w:bCs/>
        </w:rPr>
        <w:t>ri/Sartani (46 % vs 15%) e di Statine (68% vs 50%).</w:t>
      </w:r>
    </w:p>
    <w:p w14:paraId="4B0B485A" w14:textId="1294071C" w:rsidR="006A65EC" w:rsidRPr="006A65EC" w:rsidRDefault="006A65EC" w:rsidP="006A65EC">
      <w:pPr>
        <w:spacing w:line="360" w:lineRule="auto"/>
        <w:jc w:val="both"/>
        <w:rPr>
          <w:bCs/>
        </w:rPr>
      </w:pPr>
      <w:r w:rsidRPr="006A65EC">
        <w:rPr>
          <w:bCs/>
        </w:rPr>
        <w:t>I pazienti con piede diabetico esibivano rispetto ai soli controlli diabetici</w:t>
      </w:r>
      <w:r w:rsidR="00B930D4">
        <w:rPr>
          <w:bCs/>
        </w:rPr>
        <w:t>,</w:t>
      </w:r>
      <w:r w:rsidRPr="006A65EC">
        <w:rPr>
          <w:bCs/>
        </w:rPr>
        <w:t xml:space="preserve"> una ma</w:t>
      </w:r>
      <w:r w:rsidRPr="006A65EC">
        <w:rPr>
          <w:bCs/>
        </w:rPr>
        <w:t>g</w:t>
      </w:r>
      <w:r w:rsidRPr="006A65EC">
        <w:rPr>
          <w:bCs/>
        </w:rPr>
        <w:t xml:space="preserve">giore percentuale di abitudine tabagica (48% vs 22,50%). </w:t>
      </w:r>
    </w:p>
    <w:p w14:paraId="0AE391A5" w14:textId="0DE73CBC" w:rsidR="006A65EC" w:rsidRPr="006A65EC" w:rsidRDefault="006A65EC" w:rsidP="006A65EC">
      <w:pPr>
        <w:spacing w:line="360" w:lineRule="auto"/>
        <w:jc w:val="both"/>
        <w:rPr>
          <w:bCs/>
        </w:rPr>
      </w:pPr>
      <w:r w:rsidRPr="006A65EC">
        <w:rPr>
          <w:bCs/>
        </w:rPr>
        <w:t>La coorte di pazienti diabetici senza complicanze ulcerative dell’arto inferiore pr</w:t>
      </w:r>
      <w:r w:rsidRPr="006A65EC">
        <w:rPr>
          <w:bCs/>
        </w:rPr>
        <w:t>e</w:t>
      </w:r>
      <w:r w:rsidRPr="006A65EC">
        <w:rPr>
          <w:bCs/>
        </w:rPr>
        <w:t>sentavano rispetto ai pazienti con piede diabetico e ai controlli sani un maggior tasso di utilizzo di metformina e analoghi del GLP-1/anti DPP4 (47,50 % vs 10 % vs 0,57 %).</w:t>
      </w:r>
    </w:p>
    <w:p w14:paraId="21196168" w14:textId="49246BCC" w:rsidR="00B2628C" w:rsidRDefault="006A65EC" w:rsidP="006A65EC">
      <w:pPr>
        <w:spacing w:line="360" w:lineRule="auto"/>
        <w:jc w:val="both"/>
        <w:rPr>
          <w:bCs/>
        </w:rPr>
      </w:pPr>
      <w:r w:rsidRPr="000333AA">
        <w:rPr>
          <w:bCs/>
        </w:rPr>
        <w:t>I pazienti diabetici senza e con complicanza ulcerativa dell’arto inferiore presentav</w:t>
      </w:r>
      <w:r w:rsidRPr="000333AA">
        <w:rPr>
          <w:bCs/>
        </w:rPr>
        <w:t>a</w:t>
      </w:r>
      <w:r w:rsidRPr="000333AA">
        <w:rPr>
          <w:bCs/>
        </w:rPr>
        <w:t>no rispetto alla popolazione di controllo sana una maggiore espressione del polimo</w:t>
      </w:r>
      <w:r w:rsidRPr="000333AA">
        <w:rPr>
          <w:bCs/>
        </w:rPr>
        <w:t>r</w:t>
      </w:r>
      <w:r w:rsidRPr="000333AA">
        <w:rPr>
          <w:bCs/>
        </w:rPr>
        <w:t>fismo VEGFC2578A CC (p=0,001) e una minore espressione del polimorfismo VEGFC257</w:t>
      </w:r>
      <w:r w:rsidR="000333AA">
        <w:rPr>
          <w:bCs/>
        </w:rPr>
        <w:t>8A AC (p&lt;0,005). Vedi tabella 4.</w:t>
      </w:r>
    </w:p>
    <w:p w14:paraId="6D05A70B" w14:textId="500DD483" w:rsidR="002D664F" w:rsidRPr="000333AA" w:rsidRDefault="00B2628C" w:rsidP="006A65EC">
      <w:pPr>
        <w:spacing w:line="360" w:lineRule="auto"/>
        <w:jc w:val="both"/>
        <w:rPr>
          <w:bCs/>
        </w:rPr>
      </w:pPr>
      <w:r w:rsidRPr="00B2628C">
        <w:rPr>
          <w:bCs/>
        </w:rPr>
        <w:t>Inoltre, abbiamo osservato che miR-217-5p e miR-503-5p erano rispettivamente 2,19 volte (p&lt;0,05) e 6,21 volte (p=0,001) più espressi nei pazienti con piede diabetico r</w:t>
      </w:r>
      <w:r w:rsidRPr="00B2628C">
        <w:rPr>
          <w:bCs/>
        </w:rPr>
        <w:t>i</w:t>
      </w:r>
      <w:r w:rsidRPr="00B2628C">
        <w:rPr>
          <w:bCs/>
        </w:rPr>
        <w:t>spetto ai controlli sani</w:t>
      </w:r>
      <w:r>
        <w:rPr>
          <w:bCs/>
        </w:rPr>
        <w:t xml:space="preserve"> (Tabella 5, Grafico 1). Per di più</w:t>
      </w:r>
      <w:r w:rsidRPr="00B2628C">
        <w:rPr>
          <w:bCs/>
        </w:rPr>
        <w:t>, i pazienti diabetici senza complicanze ulcerose agli arti inferiori hanno mostrato un'espressione di miR-217-5p e miR-503-5p rispettivamente 2,41 volte (p=0) e 2,24 volte (p=0,029) superiore r</w:t>
      </w:r>
      <w:r w:rsidRPr="00B2628C">
        <w:rPr>
          <w:bCs/>
        </w:rPr>
        <w:t>i</w:t>
      </w:r>
      <w:r w:rsidRPr="00B2628C">
        <w:rPr>
          <w:bCs/>
        </w:rPr>
        <w:t>spetto ai controlli sani (Tabella 6, Grafico 2). Infine, non abbiamo identificato diff</w:t>
      </w:r>
      <w:r w:rsidRPr="00B2628C">
        <w:rPr>
          <w:bCs/>
        </w:rPr>
        <w:t>e</w:t>
      </w:r>
      <w:r w:rsidRPr="00B2628C">
        <w:rPr>
          <w:bCs/>
        </w:rPr>
        <w:lastRenderedPageBreak/>
        <w:t>renze significative nell'espressione di questi miRNA confrontando i pazienti diabetici con e senza lesioni ulcerative agli arti inferiori (Tabella 7, Grafico 3). Ulteriori par</w:t>
      </w:r>
      <w:r w:rsidRPr="00B2628C">
        <w:rPr>
          <w:bCs/>
        </w:rPr>
        <w:t>a</w:t>
      </w:r>
      <w:r w:rsidRPr="00B2628C">
        <w:rPr>
          <w:bCs/>
        </w:rPr>
        <w:t>metri sono riportati nella Tabella 8.</w:t>
      </w:r>
    </w:p>
    <w:p w14:paraId="47689FFB" w14:textId="3B84CC87" w:rsidR="006A65EC" w:rsidRPr="006A65EC" w:rsidRDefault="006A65EC" w:rsidP="006A65EC">
      <w:pPr>
        <w:spacing w:line="360" w:lineRule="auto"/>
        <w:jc w:val="both"/>
        <w:rPr>
          <w:bCs/>
        </w:rPr>
      </w:pPr>
      <w:r w:rsidRPr="006A65EC">
        <w:rPr>
          <w:bCs/>
        </w:rPr>
        <w:t>All’analisi di regressione multipla</w:t>
      </w:r>
      <w:r w:rsidR="002D664F">
        <w:rPr>
          <w:bCs/>
        </w:rPr>
        <w:t xml:space="preserve"> (Tabella 9</w:t>
      </w:r>
      <w:r w:rsidR="000333AA">
        <w:rPr>
          <w:bCs/>
        </w:rPr>
        <w:t>)</w:t>
      </w:r>
      <w:r w:rsidRPr="006A65EC">
        <w:rPr>
          <w:bCs/>
        </w:rPr>
        <w:t xml:space="preserve"> nei pazienti con piede diabetico rispe</w:t>
      </w:r>
      <w:r w:rsidRPr="006A65EC">
        <w:rPr>
          <w:bCs/>
        </w:rPr>
        <w:t>t</w:t>
      </w:r>
      <w:r w:rsidRPr="006A65EC">
        <w:rPr>
          <w:bCs/>
        </w:rPr>
        <w:t>to ai controlli diabetici e ai controlli sani vi è un’aumentata presenza di valori di RHI &lt; 1,6 (p&lt;0.0005) e MMSE &lt; 24 (p= 0,034), i quali sono rispettivamente indicatori di disfunzione endoteliale e Mild Cognitive Impairment. Per tale motivo un RHI &lt; 1,6 e un MMSE &lt; 24 sono associati a una condizione di piede diabetico e ne risultano quindi essere predittivi.</w:t>
      </w:r>
    </w:p>
    <w:p w14:paraId="13CE42A4" w14:textId="156382CE" w:rsidR="006A65EC" w:rsidRPr="006A65EC" w:rsidRDefault="00B930D4" w:rsidP="006A65EC">
      <w:pPr>
        <w:spacing w:line="360" w:lineRule="auto"/>
        <w:jc w:val="both"/>
        <w:rPr>
          <w:bCs/>
        </w:rPr>
      </w:pPr>
      <w:r>
        <w:rPr>
          <w:bCs/>
        </w:rPr>
        <w:t>Inoltre, u</w:t>
      </w:r>
      <w:r w:rsidR="006A65EC" w:rsidRPr="006A65EC">
        <w:rPr>
          <w:bCs/>
        </w:rPr>
        <w:t>lteriore dato interessante che viene si evince da tale analisi è che la coorte di pazienti diabetici con complicanza ulcerativa dell’arto inferiore rispetto ai controlli sani presentavano un’aumentata presenza di valori di RHI &lt; 1,6 (p&lt;0.0005) e aume</w:t>
      </w:r>
      <w:r w:rsidR="006A65EC" w:rsidRPr="006A65EC">
        <w:rPr>
          <w:bCs/>
        </w:rPr>
        <w:t>n</w:t>
      </w:r>
      <w:r w:rsidR="006A65EC" w:rsidRPr="006A65EC">
        <w:rPr>
          <w:bCs/>
        </w:rPr>
        <w:t xml:space="preserve">tati valori di VEGF (p=0.11) e Gremlina 1 (p=0.002). Quindi valori di RHI &lt; 1,6 e aumentati livelli di VEGF e Gremlina 1 sono associati ad una condizione di piede diabetico rispetto ai controlli sani e ne risultano quindi essere predittivi. </w:t>
      </w:r>
    </w:p>
    <w:p w14:paraId="6ADF5AFA" w14:textId="77777777" w:rsidR="006A65EC" w:rsidRPr="006A65EC" w:rsidRDefault="006A65EC" w:rsidP="006A65EC">
      <w:pPr>
        <w:spacing w:line="360" w:lineRule="auto"/>
        <w:jc w:val="both"/>
        <w:rPr>
          <w:bCs/>
        </w:rPr>
      </w:pPr>
      <w:r w:rsidRPr="006A65EC">
        <w:rPr>
          <w:bCs/>
        </w:rPr>
        <w:t>Inoltre, la coorte di pazienti diabetici senza complicanza ulcerativa dell’arto inferiore rispetto ai controlli sani presentavano un’aumentata espressione di Gremlina 1 (p=0.039) e del Polimorfismo VEGFC2578A CC (p=0.46). Per tale motivo aument</w:t>
      </w:r>
      <w:r w:rsidRPr="006A65EC">
        <w:rPr>
          <w:bCs/>
        </w:rPr>
        <w:t>a</w:t>
      </w:r>
      <w:r w:rsidRPr="006A65EC">
        <w:rPr>
          <w:bCs/>
        </w:rPr>
        <w:t>ti valori Gremlina 1 e l’aumento dell’espressione di VEGFC2578A CC, risultano e</w:t>
      </w:r>
      <w:r w:rsidRPr="006A65EC">
        <w:rPr>
          <w:bCs/>
        </w:rPr>
        <w:t>s</w:t>
      </w:r>
      <w:r w:rsidRPr="006A65EC">
        <w:rPr>
          <w:bCs/>
        </w:rPr>
        <w:t>sere predittivi di diabete rispetto ai controlli sani.</w:t>
      </w:r>
    </w:p>
    <w:p w14:paraId="15B21B04" w14:textId="77777777" w:rsidR="006A65EC" w:rsidRPr="006A65EC" w:rsidRDefault="006A65EC" w:rsidP="006A65EC">
      <w:pPr>
        <w:spacing w:line="360" w:lineRule="auto"/>
        <w:jc w:val="both"/>
        <w:rPr>
          <w:bCs/>
        </w:rPr>
      </w:pPr>
      <w:r w:rsidRPr="006A65EC">
        <w:rPr>
          <w:bCs/>
        </w:rPr>
        <w:t>In fine, in una popolazione con piede diabetico è stata evidenziata rispetto ad una p</w:t>
      </w:r>
      <w:r w:rsidRPr="006A65EC">
        <w:rPr>
          <w:bCs/>
        </w:rPr>
        <w:t>o</w:t>
      </w:r>
      <w:r w:rsidRPr="006A65EC">
        <w:rPr>
          <w:bCs/>
        </w:rPr>
        <w:t>polazione di controllo diabetica senza ulcera diabetica la presenza di aumenti valori di VEGF (p=0.008), HIF (p=0.24) e Gremlina 1 (p=0.10) e un’aumentata presenza di valori di RHI &lt; 1,6. (p=0.19). Tali valori risultano predittivi di piede diabetico rispe</w:t>
      </w:r>
      <w:r w:rsidRPr="006A65EC">
        <w:rPr>
          <w:bCs/>
        </w:rPr>
        <w:t>t</w:t>
      </w:r>
      <w:r w:rsidRPr="006A65EC">
        <w:rPr>
          <w:bCs/>
        </w:rPr>
        <w:t>to ad una popolazione diabetica senza complicanza ulcerativa dell’arto inferiore.</w:t>
      </w:r>
    </w:p>
    <w:p w14:paraId="130AD709" w14:textId="26573DE3" w:rsidR="006A65EC" w:rsidRDefault="006A65EC" w:rsidP="006A65EC">
      <w:pPr>
        <w:spacing w:line="360" w:lineRule="auto"/>
        <w:jc w:val="both"/>
        <w:rPr>
          <w:bCs/>
        </w:rPr>
      </w:pPr>
      <w:r w:rsidRPr="006A65EC">
        <w:rPr>
          <w:bCs/>
        </w:rPr>
        <w:t>All’analisi di correlazione di Pearson minori valori di MMSE sono correlati posit</w:t>
      </w:r>
      <w:r w:rsidRPr="006A65EC">
        <w:rPr>
          <w:bCs/>
        </w:rPr>
        <w:t>i</w:t>
      </w:r>
      <w:r w:rsidRPr="006A65EC">
        <w:rPr>
          <w:bCs/>
        </w:rPr>
        <w:t>vamente con ipertensione arteriosa (p=0,27 e Exp(B)=14,386) e Ictus (p=0,040 e Exp(B)=13,218) mentre sono correlati negativamente con l’uso di metformin</w:t>
      </w:r>
      <w:r w:rsidR="00B930D4">
        <w:rPr>
          <w:bCs/>
        </w:rPr>
        <w:t>a (p=0,038 e Exp(B)=0,031).</w:t>
      </w:r>
      <w:r w:rsidR="002D664F">
        <w:rPr>
          <w:bCs/>
        </w:rPr>
        <w:t xml:space="preserve"> Per maggiori dettagli vedere Tabella 2. </w:t>
      </w:r>
    </w:p>
    <w:p w14:paraId="0B3A7BE6" w14:textId="77777777" w:rsidR="00A9404A" w:rsidRDefault="00A9404A" w:rsidP="00A9404A">
      <w:pPr>
        <w:rPr>
          <w:bCs/>
        </w:rPr>
      </w:pPr>
    </w:p>
    <w:p w14:paraId="2F2648DF" w14:textId="77777777" w:rsidR="00B930D4" w:rsidRPr="00506417" w:rsidRDefault="00B930D4" w:rsidP="00A9404A"/>
    <w:p w14:paraId="5DAFD0BD" w14:textId="77777777" w:rsidR="00A9404A" w:rsidRPr="00136DD6" w:rsidRDefault="00A9404A" w:rsidP="00B02700">
      <w:pPr>
        <w:pStyle w:val="Paragrafoelenco"/>
        <w:numPr>
          <w:ilvl w:val="1"/>
          <w:numId w:val="35"/>
        </w:numPr>
        <w:spacing w:line="360" w:lineRule="auto"/>
        <w:ind w:left="284"/>
        <w:jc w:val="both"/>
        <w:rPr>
          <w:b/>
          <w:bCs/>
        </w:rPr>
      </w:pPr>
      <w:r w:rsidRPr="00136DD6">
        <w:rPr>
          <w:b/>
          <w:bCs/>
        </w:rPr>
        <w:t>Discussione</w:t>
      </w:r>
    </w:p>
    <w:p w14:paraId="4E1F2BE2" w14:textId="15CE823C" w:rsidR="00B930D4" w:rsidRPr="00B930D4" w:rsidRDefault="00B930D4" w:rsidP="00B930D4">
      <w:pPr>
        <w:spacing w:line="360" w:lineRule="auto"/>
        <w:jc w:val="both"/>
        <w:rPr>
          <w:bCs/>
        </w:rPr>
      </w:pPr>
      <w:r w:rsidRPr="00B930D4">
        <w:rPr>
          <w:bCs/>
        </w:rPr>
        <w:t>Nel nostro studio abbiamo valutato la presenza di modifiche epigenetiche come p</w:t>
      </w:r>
      <w:r w:rsidRPr="00B930D4">
        <w:rPr>
          <w:bCs/>
        </w:rPr>
        <w:t>o</w:t>
      </w:r>
      <w:r w:rsidRPr="00B930D4">
        <w:rPr>
          <w:bCs/>
        </w:rPr>
        <w:t>limorfismi a singolo nucleotide</w:t>
      </w:r>
      <w:r>
        <w:rPr>
          <w:bCs/>
        </w:rPr>
        <w:t xml:space="preserve"> (SNP) e m-RNA</w:t>
      </w:r>
      <w:r w:rsidRPr="00B930D4">
        <w:rPr>
          <w:bCs/>
        </w:rPr>
        <w:t xml:space="preserve"> correlandole ai markers di adipoi</w:t>
      </w:r>
      <w:r w:rsidRPr="00B930D4">
        <w:rPr>
          <w:bCs/>
        </w:rPr>
        <w:t>n</w:t>
      </w:r>
      <w:r w:rsidRPr="00B930D4">
        <w:rPr>
          <w:bCs/>
        </w:rPr>
        <w:lastRenderedPageBreak/>
        <w:t>fiammazione e disfunzione endoteliale in una popolazione diabetica senza e con complicanza ulcerativa dell’arto inferiore.</w:t>
      </w:r>
    </w:p>
    <w:p w14:paraId="1CE35239" w14:textId="77777777" w:rsidR="00B930D4" w:rsidRPr="00B930D4" w:rsidRDefault="00B930D4" w:rsidP="00B930D4">
      <w:pPr>
        <w:spacing w:line="360" w:lineRule="auto"/>
        <w:jc w:val="both"/>
        <w:rPr>
          <w:bCs/>
        </w:rPr>
      </w:pPr>
      <w:r w:rsidRPr="00B930D4">
        <w:rPr>
          <w:bCs/>
        </w:rPr>
        <w:t>Allo stato dell’arte esistono pochi studi che hanno valutato gli indici surrogati di m</w:t>
      </w:r>
      <w:r w:rsidRPr="00B930D4">
        <w:rPr>
          <w:bCs/>
        </w:rPr>
        <w:t>a</w:t>
      </w:r>
      <w:r w:rsidRPr="00B930D4">
        <w:rPr>
          <w:bCs/>
        </w:rPr>
        <w:t>lattia cardiovascolare come gli indici di funzionalità endoteliale e i livelli sierici di adipochine infiammatorie in una popolazione diabetica con lesioni ulcerative degli arti inferiori.</w:t>
      </w:r>
    </w:p>
    <w:p w14:paraId="57D6155E" w14:textId="5EC2DA84" w:rsidR="00B930D4" w:rsidRPr="00B930D4" w:rsidRDefault="00B930D4" w:rsidP="00B930D4">
      <w:pPr>
        <w:spacing w:line="360" w:lineRule="auto"/>
        <w:jc w:val="both"/>
        <w:rPr>
          <w:bCs/>
        </w:rPr>
      </w:pPr>
      <w:r w:rsidRPr="00B930D4">
        <w:rPr>
          <w:bCs/>
        </w:rPr>
        <w:t>Al meglio delle nostre conoscenze, non esistono in letteratura, studi che hanno corr</w:t>
      </w:r>
      <w:r w:rsidRPr="00B930D4">
        <w:rPr>
          <w:bCs/>
        </w:rPr>
        <w:t>e</w:t>
      </w:r>
      <w:r w:rsidRPr="00B930D4">
        <w:rPr>
          <w:bCs/>
        </w:rPr>
        <w:t>lato le modifiche epigenetiche sui polimorfismi a singolo gene di molecole infia</w:t>
      </w:r>
      <w:r w:rsidRPr="00B930D4">
        <w:rPr>
          <w:bCs/>
        </w:rPr>
        <w:t>m</w:t>
      </w:r>
      <w:r w:rsidRPr="00B930D4">
        <w:rPr>
          <w:bCs/>
        </w:rPr>
        <w:t>matorie come IL-6, TNFalfa e di molecole proangigeniche come ENOS, VEGF e HIF1alpha con la disfunzione endoteliale, valutata in maniera non invasiva, mediante l’RHI e con i livelli sierici di molecole infiammatorie sieriche imputate in tali pat</w:t>
      </w:r>
      <w:r w:rsidRPr="00B930D4">
        <w:rPr>
          <w:bCs/>
        </w:rPr>
        <w:t>h</w:t>
      </w:r>
      <w:r w:rsidRPr="00B930D4">
        <w:rPr>
          <w:bCs/>
        </w:rPr>
        <w:t>way e nuove ad</w:t>
      </w:r>
      <w:r w:rsidR="00503E95">
        <w:rPr>
          <w:bCs/>
        </w:rPr>
        <w:t>ipochine infiammatorie come la G</w:t>
      </w:r>
      <w:r w:rsidRPr="00B930D4">
        <w:rPr>
          <w:bCs/>
        </w:rPr>
        <w:t>remlina 1 in una popolazione di diabetici senza e con ulcera dell’arto inferiore.</w:t>
      </w:r>
    </w:p>
    <w:p w14:paraId="4AFEADFC" w14:textId="1C45EE80" w:rsidR="00B930D4" w:rsidRPr="00B930D4" w:rsidRDefault="00B930D4" w:rsidP="00B930D4">
      <w:pPr>
        <w:spacing w:line="360" w:lineRule="auto"/>
        <w:jc w:val="both"/>
        <w:rPr>
          <w:bCs/>
        </w:rPr>
      </w:pPr>
      <w:r w:rsidRPr="00B930D4">
        <w:rPr>
          <w:bCs/>
        </w:rPr>
        <w:t>Abbiamo mostrato come i pazienti con piede diabetico rispetto ai controlli diabetici senza ulcera al piede ed ai sani presentino una significativa riduzione dei valori di RHI ed un maggior grado di disfunzione endoteliale</w:t>
      </w:r>
      <w:r w:rsidR="00503E95">
        <w:rPr>
          <w:bCs/>
        </w:rPr>
        <w:t>.</w:t>
      </w:r>
      <w:r w:rsidRPr="00B930D4">
        <w:rPr>
          <w:bCs/>
        </w:rPr>
        <w:t xml:space="preserve"> </w:t>
      </w:r>
    </w:p>
    <w:p w14:paraId="27657989" w14:textId="77777777" w:rsidR="00B930D4" w:rsidRPr="00B930D4" w:rsidRDefault="00B930D4" w:rsidP="00B930D4">
      <w:pPr>
        <w:spacing w:line="360" w:lineRule="auto"/>
        <w:jc w:val="both"/>
        <w:rPr>
          <w:bCs/>
        </w:rPr>
      </w:pPr>
      <w:r w:rsidRPr="00B930D4">
        <w:rPr>
          <w:bCs/>
        </w:rPr>
        <w:t>L’arteropatia periferica è uno dei più importanti fattori patogenetici del piede diab</w:t>
      </w:r>
      <w:r w:rsidRPr="00B930D4">
        <w:rPr>
          <w:bCs/>
        </w:rPr>
        <w:t>e</w:t>
      </w:r>
      <w:r w:rsidRPr="00B930D4">
        <w:rPr>
          <w:bCs/>
        </w:rPr>
        <w:t>tico, il cui contributo insieme alle infezioni e alla neuropatia, sembra essere cruciale.</w:t>
      </w:r>
    </w:p>
    <w:p w14:paraId="074FF704" w14:textId="1D82859D" w:rsidR="00B930D4" w:rsidRPr="00B930D4" w:rsidRDefault="000C7052" w:rsidP="00B930D4">
      <w:pPr>
        <w:spacing w:line="360" w:lineRule="auto"/>
        <w:jc w:val="both"/>
        <w:rPr>
          <w:bCs/>
        </w:rPr>
      </w:pPr>
      <w:r>
        <w:rPr>
          <w:bCs/>
        </w:rPr>
        <w:t>Già Siasos et al (418)</w:t>
      </w:r>
      <w:r w:rsidR="00B930D4" w:rsidRPr="00B930D4">
        <w:rPr>
          <w:bCs/>
        </w:rPr>
        <w:t xml:space="preserve"> in uno studio</w:t>
      </w:r>
      <w:r w:rsidR="00503E95">
        <w:rPr>
          <w:bCs/>
        </w:rPr>
        <w:t>,</w:t>
      </w:r>
      <w:r w:rsidR="00B930D4" w:rsidRPr="00B930D4">
        <w:rPr>
          <w:bCs/>
        </w:rPr>
        <w:t xml:space="preserve"> hanno fornito la prima evidenza che il piede di</w:t>
      </w:r>
      <w:r w:rsidR="00B930D4" w:rsidRPr="00B930D4">
        <w:rPr>
          <w:bCs/>
        </w:rPr>
        <w:t>a</w:t>
      </w:r>
      <w:r w:rsidR="00B930D4" w:rsidRPr="00B930D4">
        <w:rPr>
          <w:bCs/>
        </w:rPr>
        <w:t>betico nel diabete mellito di tipo 2</w:t>
      </w:r>
      <w:r w:rsidR="00503E95">
        <w:rPr>
          <w:bCs/>
        </w:rPr>
        <w:t>,</w:t>
      </w:r>
      <w:r w:rsidR="00B930D4" w:rsidRPr="00B930D4">
        <w:rPr>
          <w:bCs/>
        </w:rPr>
        <w:t xml:space="preserve"> è associato con la disfunzione endoteliale. Tutt</w:t>
      </w:r>
      <w:r w:rsidR="00B930D4" w:rsidRPr="00B930D4">
        <w:rPr>
          <w:bCs/>
        </w:rPr>
        <w:t>a</w:t>
      </w:r>
      <w:r w:rsidR="00B930D4" w:rsidRPr="00B930D4">
        <w:rPr>
          <w:bCs/>
        </w:rPr>
        <w:t xml:space="preserve">via solo un altro studio, eseguito dalla nostra </w:t>
      </w:r>
      <w:r>
        <w:rPr>
          <w:bCs/>
        </w:rPr>
        <w:t>scuola (A. Tuttolomondo et al [419</w:t>
      </w:r>
      <w:r w:rsidR="00B930D4" w:rsidRPr="00B930D4">
        <w:rPr>
          <w:bCs/>
        </w:rPr>
        <w:t xml:space="preserve">]), ha esaminato la </w:t>
      </w:r>
      <w:r w:rsidR="000333AA">
        <w:rPr>
          <w:bCs/>
        </w:rPr>
        <w:t>funzione endoteliale tramite l’</w:t>
      </w:r>
      <w:r w:rsidR="00B930D4" w:rsidRPr="00B930D4">
        <w:rPr>
          <w:bCs/>
        </w:rPr>
        <w:t>RH-PAT, perciò i nostri risultati a</w:t>
      </w:r>
      <w:r w:rsidR="00B930D4" w:rsidRPr="00B930D4">
        <w:rPr>
          <w:bCs/>
        </w:rPr>
        <w:t>p</w:t>
      </w:r>
      <w:r w:rsidR="00B930D4" w:rsidRPr="00B930D4">
        <w:rPr>
          <w:bCs/>
        </w:rPr>
        <w:t>paiono essere importanti per validare tale correlazione. A differenza, della più com</w:t>
      </w:r>
      <w:r w:rsidR="00B930D4" w:rsidRPr="00B930D4">
        <w:rPr>
          <w:bCs/>
        </w:rPr>
        <w:t>u</w:t>
      </w:r>
      <w:r w:rsidR="00B930D4" w:rsidRPr="00B930D4">
        <w:rPr>
          <w:bCs/>
        </w:rPr>
        <w:t>ne tecnica usata per misurare la vasodilatazione flusso mediata, l’RH-PAT è tota</w:t>
      </w:r>
      <w:r w:rsidR="00B930D4" w:rsidRPr="00B930D4">
        <w:rPr>
          <w:bCs/>
        </w:rPr>
        <w:t>l</w:t>
      </w:r>
      <w:r w:rsidR="00B930D4" w:rsidRPr="00B930D4">
        <w:rPr>
          <w:bCs/>
        </w:rPr>
        <w:t>mente non operatore dipendente e l’attrezzatura è significativamente meno costosa. Il dispositivo registra i cambiamenti endotelio mediati nell’onda sfigmica digitale c</w:t>
      </w:r>
      <w:r w:rsidR="00B930D4" w:rsidRPr="00B930D4">
        <w:rPr>
          <w:bCs/>
        </w:rPr>
        <w:t>o</w:t>
      </w:r>
      <w:r w:rsidR="00B930D4" w:rsidRPr="00B930D4">
        <w:rPr>
          <w:bCs/>
        </w:rPr>
        <w:t>nosciuta come segnale PAT (Peripheral Arterial Tone), misurata con un paio di nu</w:t>
      </w:r>
      <w:r w:rsidR="00B930D4" w:rsidRPr="00B930D4">
        <w:rPr>
          <w:bCs/>
        </w:rPr>
        <w:t>o</w:t>
      </w:r>
      <w:r w:rsidR="00B930D4" w:rsidRPr="00B930D4">
        <w:rPr>
          <w:bCs/>
        </w:rPr>
        <w:t>vissime sonde pletismografiche di ultima generazione, poste sugli indici di ciascuna del</w:t>
      </w:r>
      <w:r w:rsidR="00503E95">
        <w:rPr>
          <w:bCs/>
        </w:rPr>
        <w:t>le</w:t>
      </w:r>
      <w:r w:rsidR="00B930D4" w:rsidRPr="00B930D4">
        <w:rPr>
          <w:bCs/>
        </w:rPr>
        <w:t xml:space="preserve"> due mani. </w:t>
      </w:r>
    </w:p>
    <w:p w14:paraId="7911FFE3" w14:textId="59EC4183" w:rsidR="00B930D4" w:rsidRPr="00B930D4" w:rsidRDefault="00B930D4" w:rsidP="00B930D4">
      <w:pPr>
        <w:spacing w:line="360" w:lineRule="auto"/>
        <w:jc w:val="both"/>
        <w:rPr>
          <w:bCs/>
        </w:rPr>
      </w:pPr>
      <w:r w:rsidRPr="00B930D4">
        <w:rPr>
          <w:bCs/>
        </w:rPr>
        <w:t>I cambiamenti endotelio mediati nel segnale PAT sono elicitati dalla creazione di una reazione ipereremica a valle, quindi anche i più precoci stadi della patologia vascol</w:t>
      </w:r>
      <w:r w:rsidRPr="00B930D4">
        <w:rPr>
          <w:bCs/>
        </w:rPr>
        <w:t>a</w:t>
      </w:r>
      <w:r w:rsidRPr="00B930D4">
        <w:rPr>
          <w:bCs/>
        </w:rPr>
        <w:t>re potrebbero essere identificati dalla misurazione della funzione endoteliale. La maggiore conseguenza della disfunzione endoteliale è l’inizio di un processo i</w:t>
      </w:r>
      <w:r w:rsidRPr="00B930D4">
        <w:rPr>
          <w:bCs/>
        </w:rPr>
        <w:t>n</w:t>
      </w:r>
      <w:r w:rsidRPr="00B930D4">
        <w:rPr>
          <w:bCs/>
        </w:rPr>
        <w:t>fiammatorio, che porterà alla formazione dell’aterosclerosi e delle sue tardive sequ</w:t>
      </w:r>
      <w:r w:rsidRPr="00B930D4">
        <w:rPr>
          <w:bCs/>
        </w:rPr>
        <w:t>e</w:t>
      </w:r>
      <w:r w:rsidRPr="00B930D4">
        <w:rPr>
          <w:bCs/>
        </w:rPr>
        <w:lastRenderedPageBreak/>
        <w:t xml:space="preserve">le, ovvero la morbilità e la mortalità cardiovascolare. La disfunzione endoteliale è coinvolta in numerosi processi di malattie sistemiche come la disfunzione erettile, la sindrome metabolica, la malattia cerebrovascolare (TIA/Ictus), la preeclampsia, l’insufficienza renale, l’OSAS, </w:t>
      </w:r>
      <w:r w:rsidR="000C7052">
        <w:rPr>
          <w:bCs/>
        </w:rPr>
        <w:t>la claudicatio e la gangrena (420)</w:t>
      </w:r>
      <w:r w:rsidRPr="00B930D4">
        <w:rPr>
          <w:bCs/>
        </w:rPr>
        <w:t>.  La normale fu</w:t>
      </w:r>
      <w:r w:rsidRPr="00B930D4">
        <w:rPr>
          <w:bCs/>
        </w:rPr>
        <w:t>n</w:t>
      </w:r>
      <w:r w:rsidRPr="00B930D4">
        <w:rPr>
          <w:bCs/>
        </w:rPr>
        <w:t>zione endoteliale risulta essere la chiave della salute cardiovascolare in quanto essa ha un ruolo centrale nel mediare il tono e la crescita vasale, svolge altresì un ruolo fondamentale di regolazione del passaggio delle cellule immuni circolanti e nella r</w:t>
      </w:r>
      <w:r w:rsidRPr="00B930D4">
        <w:rPr>
          <w:bCs/>
        </w:rPr>
        <w:t>e</w:t>
      </w:r>
      <w:r w:rsidRPr="00B930D4">
        <w:rPr>
          <w:bCs/>
        </w:rPr>
        <w:t>golazione locale dell’emostasi e della coagulazione. Di contro, l’alterazione più pr</w:t>
      </w:r>
      <w:r w:rsidRPr="00B930D4">
        <w:rPr>
          <w:bCs/>
        </w:rPr>
        <w:t>e</w:t>
      </w:r>
      <w:r w:rsidRPr="00B930D4">
        <w:rPr>
          <w:bCs/>
        </w:rPr>
        <w:t>coce nella maggior parte delle patologie vascolari è proprio la disfunzione endoteli</w:t>
      </w:r>
      <w:r w:rsidRPr="00B930D4">
        <w:rPr>
          <w:bCs/>
        </w:rPr>
        <w:t>a</w:t>
      </w:r>
      <w:r w:rsidRPr="00B930D4">
        <w:rPr>
          <w:bCs/>
        </w:rPr>
        <w:t>le. Nella circolazione arteriosa, un endotelio sano generalmente esercita un’influenza vasodilatatrice sulla muscolatura liscia vasale. Il piede diabetico è una complicanza micro e macrovascolare del diabete. La vasodilatazione endotelio dipendente è ma</w:t>
      </w:r>
      <w:r w:rsidRPr="00B930D4">
        <w:rPr>
          <w:bCs/>
        </w:rPr>
        <w:t>r</w:t>
      </w:r>
      <w:r w:rsidRPr="00B930D4">
        <w:rPr>
          <w:bCs/>
        </w:rPr>
        <w:t>catamente compromessa nelle coronarie dei pazienti con ipertensione, diabete, ipe</w:t>
      </w:r>
      <w:r w:rsidRPr="00B930D4">
        <w:rPr>
          <w:bCs/>
        </w:rPr>
        <w:t>r</w:t>
      </w:r>
      <w:r w:rsidRPr="00B930D4">
        <w:rPr>
          <w:bCs/>
        </w:rPr>
        <w:t>trofia ventricolare e altri fattori di rischio cardiovascolari</w:t>
      </w:r>
      <w:r w:rsidR="000C7052">
        <w:rPr>
          <w:bCs/>
        </w:rPr>
        <w:t xml:space="preserve"> (421)</w:t>
      </w:r>
      <w:r w:rsidRPr="00B930D4">
        <w:rPr>
          <w:bCs/>
        </w:rPr>
        <w:t>. La perdita di questo meccanismo di vasodilatazione può contribuire alla disregolazione del flusso coron</w:t>
      </w:r>
      <w:r w:rsidRPr="00B930D4">
        <w:rPr>
          <w:bCs/>
        </w:rPr>
        <w:t>a</w:t>
      </w:r>
      <w:r w:rsidRPr="00B930D4">
        <w:rPr>
          <w:bCs/>
        </w:rPr>
        <w:t>rico. Inoltre, i più precoci stadi di aterosclerosi epicardica sono associati con una d</w:t>
      </w:r>
      <w:r w:rsidRPr="00B930D4">
        <w:rPr>
          <w:bCs/>
        </w:rPr>
        <w:t>i</w:t>
      </w:r>
      <w:r w:rsidRPr="00B930D4">
        <w:rPr>
          <w:bCs/>
        </w:rPr>
        <w:t>sregolata vasodilatazione endotelio dipendente del microcircolo coronarico, indica</w:t>
      </w:r>
      <w:r w:rsidRPr="00B930D4">
        <w:rPr>
          <w:bCs/>
        </w:rPr>
        <w:t>n</w:t>
      </w:r>
      <w:r w:rsidRPr="00B930D4">
        <w:rPr>
          <w:bCs/>
        </w:rPr>
        <w:t>do che le conseguenze fisiopatologiche della patologia aterosclerotica possono este</w:t>
      </w:r>
      <w:r w:rsidRPr="00B930D4">
        <w:rPr>
          <w:bCs/>
        </w:rPr>
        <w:t>n</w:t>
      </w:r>
      <w:r w:rsidRPr="00B930D4">
        <w:rPr>
          <w:bCs/>
        </w:rPr>
        <w:t>dersi fino al microcircolo coronarico umano</w:t>
      </w:r>
      <w:r w:rsidR="000C7052">
        <w:rPr>
          <w:bCs/>
        </w:rPr>
        <w:t xml:space="preserve"> (422)</w:t>
      </w:r>
      <w:r w:rsidRPr="00B930D4">
        <w:rPr>
          <w:bCs/>
        </w:rPr>
        <w:t>. Quindi</w:t>
      </w:r>
      <w:r w:rsidR="00503E95">
        <w:rPr>
          <w:bCs/>
        </w:rPr>
        <w:t>,</w:t>
      </w:r>
      <w:r w:rsidRPr="00B930D4">
        <w:rPr>
          <w:bCs/>
        </w:rPr>
        <w:t xml:space="preserve"> sia le complicanze micro che macrovascolari del diabete sono ben rappresentate dalla valutazione degli indici di vasodilatazione endotelio dip</w:t>
      </w:r>
      <w:r w:rsidR="00503E95">
        <w:rPr>
          <w:bCs/>
        </w:rPr>
        <w:t xml:space="preserve">endente come il PAT index RHI. </w:t>
      </w:r>
    </w:p>
    <w:p w14:paraId="4292A69E" w14:textId="61733839" w:rsidR="00B930D4" w:rsidRPr="00B930D4" w:rsidRDefault="00B930D4" w:rsidP="00B930D4">
      <w:pPr>
        <w:spacing w:line="360" w:lineRule="auto"/>
        <w:jc w:val="both"/>
        <w:rPr>
          <w:bCs/>
        </w:rPr>
      </w:pPr>
      <w:r w:rsidRPr="00B930D4">
        <w:rPr>
          <w:bCs/>
        </w:rPr>
        <w:t>Sebbene i valori medi di RHI non mostrino differenze tra pazienti diabetici senza e con complicanze ulcerative dell’arto inferiore, in realtà nei DFS vi è un’aumentata presenza di valori di RHI &lt; 1,60</w:t>
      </w:r>
      <w:r w:rsidR="000C7052">
        <w:rPr>
          <w:bCs/>
        </w:rPr>
        <w:t>,</w:t>
      </w:r>
      <w:r w:rsidRPr="00B930D4">
        <w:rPr>
          <w:bCs/>
        </w:rPr>
        <w:t xml:space="preserve"> rispetto ai pazienti diabetici e sani. Tali valori co</w:t>
      </w:r>
      <w:r w:rsidRPr="00B930D4">
        <w:rPr>
          <w:bCs/>
        </w:rPr>
        <w:t>r</w:t>
      </w:r>
      <w:r w:rsidRPr="00B930D4">
        <w:rPr>
          <w:bCs/>
        </w:rPr>
        <w:t>relano con la diagnosi di disfunzione endoteliale, per cui a parità di valori medi di RHI, i pazienti con piede diabetico risultano avere un maggior grado di disfunzione endoteliale in quanto valori inferiori a 1,67 di RHI sono indicativi e predittivi di d</w:t>
      </w:r>
      <w:r w:rsidRPr="00B930D4">
        <w:rPr>
          <w:bCs/>
        </w:rPr>
        <w:t>i</w:t>
      </w:r>
      <w:r w:rsidRPr="00B930D4">
        <w:rPr>
          <w:bCs/>
        </w:rPr>
        <w:t>sfunzione endoteliale. Tali risultati sono perfettamente in linea con i risultati dei n</w:t>
      </w:r>
      <w:r w:rsidRPr="00B930D4">
        <w:rPr>
          <w:bCs/>
        </w:rPr>
        <w:t>o</w:t>
      </w:r>
      <w:r w:rsidRPr="00B930D4">
        <w:rPr>
          <w:bCs/>
        </w:rPr>
        <w:t xml:space="preserve">stri precedenti studi. </w:t>
      </w:r>
    </w:p>
    <w:p w14:paraId="0F0EDEAF" w14:textId="77777777" w:rsidR="00B930D4" w:rsidRPr="00B930D4" w:rsidRDefault="00B930D4" w:rsidP="00B930D4">
      <w:pPr>
        <w:spacing w:line="360" w:lineRule="auto"/>
        <w:jc w:val="both"/>
        <w:rPr>
          <w:bCs/>
        </w:rPr>
      </w:pPr>
      <w:r w:rsidRPr="00B930D4">
        <w:rPr>
          <w:bCs/>
        </w:rPr>
        <w:t>Questo dato potrebbe altresì contribuire a spiegare un’ulteriore nostra evidenza rel</w:t>
      </w:r>
      <w:r w:rsidRPr="00B930D4">
        <w:rPr>
          <w:bCs/>
        </w:rPr>
        <w:t>a</w:t>
      </w:r>
      <w:r w:rsidRPr="00B930D4">
        <w:rPr>
          <w:bCs/>
        </w:rPr>
        <w:t>tiva al riscontro di una peggiore performance cognitiva nei pazienti con piede diab</w:t>
      </w:r>
      <w:r w:rsidRPr="00B930D4">
        <w:rPr>
          <w:bCs/>
        </w:rPr>
        <w:t>e</w:t>
      </w:r>
      <w:r w:rsidRPr="00B930D4">
        <w:rPr>
          <w:bCs/>
        </w:rPr>
        <w:t xml:space="preserve">tico. </w:t>
      </w:r>
    </w:p>
    <w:p w14:paraId="48818689" w14:textId="13CE090C" w:rsidR="00B930D4" w:rsidRPr="00B930D4" w:rsidRDefault="00B930D4" w:rsidP="00B930D4">
      <w:pPr>
        <w:spacing w:line="360" w:lineRule="auto"/>
        <w:jc w:val="both"/>
        <w:rPr>
          <w:bCs/>
        </w:rPr>
      </w:pPr>
      <w:r w:rsidRPr="00B930D4">
        <w:rPr>
          <w:bCs/>
        </w:rPr>
        <w:t>Infatti</w:t>
      </w:r>
      <w:r w:rsidR="00503E95">
        <w:rPr>
          <w:bCs/>
        </w:rPr>
        <w:t>,</w:t>
      </w:r>
      <w:r w:rsidRPr="00B930D4">
        <w:rPr>
          <w:bCs/>
        </w:rPr>
        <w:t xml:space="preserve"> abbiamo pure mostrato come i pazienti diabetici senza o con piede diabetico rispetto ai controlli sani presentino mostrino una significativa riduzione del punte</w:t>
      </w:r>
      <w:r w:rsidRPr="00B930D4">
        <w:rPr>
          <w:bCs/>
        </w:rPr>
        <w:t>g</w:t>
      </w:r>
      <w:r w:rsidRPr="00B930D4">
        <w:rPr>
          <w:bCs/>
        </w:rPr>
        <w:lastRenderedPageBreak/>
        <w:t xml:space="preserve">gio di MMSE. Inoltre sebbene non vi siano differenza tra i valori medi di MMSE tra pazienti con piede diabetico e controlli diabetici, all’analisi di regressione multipla i DFS rispetto ai controlli diabetici e sani, presentano un maggior tasso di valori di MMSE inferiori a 24, valora indicativo di Mild Cognitive Impairment e quindi di precoce declino cognitivo. </w:t>
      </w:r>
    </w:p>
    <w:p w14:paraId="2C1320FE" w14:textId="4C278C0B" w:rsidR="00B930D4" w:rsidRPr="00B930D4" w:rsidRDefault="00B930D4" w:rsidP="00B930D4">
      <w:pPr>
        <w:spacing w:line="360" w:lineRule="auto"/>
        <w:jc w:val="both"/>
        <w:rPr>
          <w:bCs/>
        </w:rPr>
      </w:pPr>
      <w:r w:rsidRPr="00B930D4">
        <w:rPr>
          <w:bCs/>
        </w:rPr>
        <w:t>In un recente stu</w:t>
      </w:r>
      <w:r w:rsidR="000C7052">
        <w:rPr>
          <w:bCs/>
        </w:rPr>
        <w:t>dio osservazionale trasversale (423)</w:t>
      </w:r>
      <w:r w:rsidRPr="00B930D4">
        <w:rPr>
          <w:bCs/>
        </w:rPr>
        <w:t>, condotto sulla c</w:t>
      </w:r>
      <w:r w:rsidR="000C7052">
        <w:rPr>
          <w:bCs/>
        </w:rPr>
        <w:t>oorte di pazie</w:t>
      </w:r>
      <w:r w:rsidR="000C7052">
        <w:rPr>
          <w:bCs/>
        </w:rPr>
        <w:t>n</w:t>
      </w:r>
      <w:r w:rsidR="000C7052">
        <w:rPr>
          <w:bCs/>
        </w:rPr>
        <w:t xml:space="preserve">ti dello studio </w:t>
      </w:r>
      <w:r w:rsidRPr="00B930D4">
        <w:rPr>
          <w:bCs/>
        </w:rPr>
        <w:t>“ADELAHYDE ”, costituita da pazienti ipertesi con  disturbi di m</w:t>
      </w:r>
      <w:r w:rsidRPr="00B930D4">
        <w:rPr>
          <w:bCs/>
        </w:rPr>
        <w:t>e</w:t>
      </w:r>
      <w:r w:rsidRPr="00B930D4">
        <w:rPr>
          <w:bCs/>
        </w:rPr>
        <w:t>moria, è stata mostrata l’associazione dei cambiamenti arteriolari (ipertrofia e rigidità arteriosa, disfunzione endoteliale) con funzioni cognitive e/o con la presenza di ip</w:t>
      </w:r>
      <w:r w:rsidRPr="00B930D4">
        <w:rPr>
          <w:bCs/>
        </w:rPr>
        <w:t>e</w:t>
      </w:r>
      <w:r w:rsidRPr="00B930D4">
        <w:rPr>
          <w:bCs/>
        </w:rPr>
        <w:t>rintesità della sostanza bianca (WMHs) alla RMN, confermando quindi il ruolo dei fattori vascolari nell’evoluzione della funzione cognitiva e nell’insorgenza della d</w:t>
      </w:r>
      <w:r w:rsidRPr="00B930D4">
        <w:rPr>
          <w:bCs/>
        </w:rPr>
        <w:t>e</w:t>
      </w:r>
      <w:r w:rsidRPr="00B930D4">
        <w:rPr>
          <w:bCs/>
        </w:rPr>
        <w:t>menza. Pertanto nei pazienti ipertesi anziani, le alterazioni vascolari, indipendent</w:t>
      </w:r>
      <w:r w:rsidRPr="00B930D4">
        <w:rPr>
          <w:bCs/>
        </w:rPr>
        <w:t>e</w:t>
      </w:r>
      <w:r w:rsidRPr="00B930D4">
        <w:rPr>
          <w:bCs/>
        </w:rPr>
        <w:t>mente dai livelli di pressione arteriosa possono giocare un ruolo importante nell’ambito dei disturbi della memoria così come le lesioni della sostanza bianca (WHMs). Lo spessore e la rigidità delle arterie cosi come la funzione endoteliale d</w:t>
      </w:r>
      <w:r w:rsidRPr="00B930D4">
        <w:rPr>
          <w:bCs/>
        </w:rPr>
        <w:t>o</w:t>
      </w:r>
      <w:r w:rsidRPr="00B930D4">
        <w:rPr>
          <w:bCs/>
        </w:rPr>
        <w:t>vrebbero essere misurati simultaneamente e potrebbero rappresentare un target add</w:t>
      </w:r>
      <w:r w:rsidRPr="00B930D4">
        <w:rPr>
          <w:bCs/>
        </w:rPr>
        <w:t>i</w:t>
      </w:r>
      <w:r w:rsidRPr="00B930D4">
        <w:rPr>
          <w:bCs/>
        </w:rPr>
        <w:t xml:space="preserve">zionale per la prevenzione dei disturbi della memoria e delle WMHs. </w:t>
      </w:r>
    </w:p>
    <w:p w14:paraId="74E58756" w14:textId="4174F13B" w:rsidR="00B930D4" w:rsidRPr="00B930D4" w:rsidRDefault="00B930D4" w:rsidP="00B930D4">
      <w:pPr>
        <w:spacing w:line="360" w:lineRule="auto"/>
        <w:jc w:val="both"/>
        <w:rPr>
          <w:bCs/>
        </w:rPr>
      </w:pPr>
      <w:r w:rsidRPr="00B930D4">
        <w:rPr>
          <w:bCs/>
        </w:rPr>
        <w:t>Inoltre un ulteriore lavoro della nostra scuola ha confermato la presenza di decad</w:t>
      </w:r>
      <w:r w:rsidRPr="00B930D4">
        <w:rPr>
          <w:bCs/>
        </w:rPr>
        <w:t>i</w:t>
      </w:r>
      <w:r w:rsidRPr="00B930D4">
        <w:rPr>
          <w:bCs/>
        </w:rPr>
        <w:t>mento cognitivo e presenza di un maggior grado di severità e una maggiore predisp</w:t>
      </w:r>
      <w:r w:rsidRPr="00B930D4">
        <w:rPr>
          <w:bCs/>
        </w:rPr>
        <w:t>o</w:t>
      </w:r>
      <w:r w:rsidRPr="00B930D4">
        <w:rPr>
          <w:bCs/>
        </w:rPr>
        <w:t>sizione nello sviluppare lesioni iper</w:t>
      </w:r>
      <w:r w:rsidR="000C7052">
        <w:rPr>
          <w:bCs/>
        </w:rPr>
        <w:t>intense della sostanza bianca (424).</w:t>
      </w:r>
    </w:p>
    <w:p w14:paraId="2485F0FE" w14:textId="7BAE8D1F" w:rsidR="00B930D4" w:rsidRPr="00B930D4" w:rsidRDefault="00B930D4" w:rsidP="00B930D4">
      <w:pPr>
        <w:spacing w:line="360" w:lineRule="auto"/>
        <w:jc w:val="both"/>
        <w:rPr>
          <w:bCs/>
        </w:rPr>
      </w:pPr>
      <w:r w:rsidRPr="00B930D4">
        <w:rPr>
          <w:bCs/>
        </w:rPr>
        <w:t>Ulteriore evidenza del nostro studio è la correlazione positiva tra minori valori di MMSE con ipertensione arteriosa e insorgenza di ictus. Tale correlazione positiva è in linea con un precedente lavoro della nostra scuola, che ha mostrato nei pazienti diabetici con piede diabetico un più alto tasso di declino cognitivo, un maggior n</w:t>
      </w:r>
      <w:r w:rsidRPr="00B930D4">
        <w:rPr>
          <w:bCs/>
        </w:rPr>
        <w:t>u</w:t>
      </w:r>
      <w:r w:rsidRPr="00B930D4">
        <w:rPr>
          <w:bCs/>
        </w:rPr>
        <w:t>mero di lesioni della sostanza bianca e un maggior grad</w:t>
      </w:r>
      <w:r w:rsidR="000C7052">
        <w:rPr>
          <w:bCs/>
        </w:rPr>
        <w:t>o di severità delle stesse (425).</w:t>
      </w:r>
    </w:p>
    <w:p w14:paraId="417B18C4" w14:textId="3AF7BABE" w:rsidR="00B930D4" w:rsidRPr="00B930D4" w:rsidRDefault="00B930D4" w:rsidP="00B930D4">
      <w:pPr>
        <w:spacing w:line="360" w:lineRule="auto"/>
        <w:jc w:val="both"/>
        <w:rPr>
          <w:bCs/>
        </w:rPr>
      </w:pPr>
      <w:r w:rsidRPr="00B930D4">
        <w:rPr>
          <w:bCs/>
        </w:rPr>
        <w:t>In tale studio vi era nei pazienti con piede diabetico una correlazione negativa tra l</w:t>
      </w:r>
      <w:r w:rsidRPr="00B930D4">
        <w:rPr>
          <w:bCs/>
        </w:rPr>
        <w:t>e</w:t>
      </w:r>
      <w:r w:rsidRPr="00B930D4">
        <w:rPr>
          <w:bCs/>
        </w:rPr>
        <w:t>sioni della sostanza bianca e RHI e correlazione positiva tra PWV e lesioni iperinte</w:t>
      </w:r>
      <w:r w:rsidRPr="00B930D4">
        <w:rPr>
          <w:bCs/>
        </w:rPr>
        <w:t>n</w:t>
      </w:r>
      <w:r w:rsidRPr="00B930D4">
        <w:rPr>
          <w:bCs/>
        </w:rPr>
        <w:t>se della sostanza bianca. Il declino del MMSE sembrerebbe essere collegato alla pr</w:t>
      </w:r>
      <w:r w:rsidRPr="00B930D4">
        <w:rPr>
          <w:bCs/>
        </w:rPr>
        <w:t>e</w:t>
      </w:r>
      <w:r w:rsidRPr="00B930D4">
        <w:rPr>
          <w:bCs/>
        </w:rPr>
        <w:t>senza di lesioni della sostanza bianca che risultano positivamente correlata a PWV e negativamente correlata a RHI, entrambi considerati markers surrogati di rischio ca</w:t>
      </w:r>
      <w:r w:rsidRPr="00B930D4">
        <w:rPr>
          <w:bCs/>
        </w:rPr>
        <w:t>r</w:t>
      </w:r>
      <w:r w:rsidRPr="00B930D4">
        <w:rPr>
          <w:bCs/>
        </w:rPr>
        <w:t xml:space="preserve">diovascolare </w:t>
      </w:r>
      <w:r w:rsidR="000C7052">
        <w:rPr>
          <w:bCs/>
        </w:rPr>
        <w:t>e di ipertensione arteriosa (426)</w:t>
      </w:r>
      <w:r w:rsidRPr="00B930D4">
        <w:rPr>
          <w:bCs/>
        </w:rPr>
        <w:t>.</w:t>
      </w:r>
    </w:p>
    <w:p w14:paraId="2A71DE89" w14:textId="733E3CB9" w:rsidR="00B930D4" w:rsidRPr="00B930D4" w:rsidRDefault="00B930D4" w:rsidP="00B930D4">
      <w:pPr>
        <w:spacing w:line="360" w:lineRule="auto"/>
        <w:jc w:val="both"/>
        <w:rPr>
          <w:bCs/>
        </w:rPr>
      </w:pPr>
      <w:r w:rsidRPr="00B930D4">
        <w:rPr>
          <w:bCs/>
        </w:rPr>
        <w:t>Questo link spiegherebbe la correlazione positiva sia con l’Ictus che con l’ipertensione. Una possibile ipotesi che spieghi la correlazione negativa tra bassi v</w:t>
      </w:r>
      <w:r w:rsidRPr="00B930D4">
        <w:rPr>
          <w:bCs/>
        </w:rPr>
        <w:t>a</w:t>
      </w:r>
      <w:r w:rsidRPr="00B930D4">
        <w:rPr>
          <w:bCs/>
        </w:rPr>
        <w:lastRenderedPageBreak/>
        <w:t>lori di MMSE e utilizzo di metformina, è dettata dal fatto che gli elevati valori gl</w:t>
      </w:r>
      <w:r w:rsidRPr="00B930D4">
        <w:rPr>
          <w:bCs/>
        </w:rPr>
        <w:t>i</w:t>
      </w:r>
      <w:r w:rsidRPr="00B930D4">
        <w:rPr>
          <w:bCs/>
        </w:rPr>
        <w:t xml:space="preserve">cemici influiscono sulla comparsa di lesioni microvascolari del circolo cerebrale. L’utilizzo della metfomina con le sue proprietà antiglicemiche ma anche metaboliche nella riduzione del peso potrebbe spiegare come agendo su tali fattori di rischio si possa ridurre l’insorgenza di danno microvascolare cerebrale e quindi </w:t>
      </w:r>
      <w:r w:rsidR="000C7052">
        <w:rPr>
          <w:bCs/>
        </w:rPr>
        <w:t>riduzione del declino cognitivo (427).</w:t>
      </w:r>
    </w:p>
    <w:p w14:paraId="6D73049C" w14:textId="6056E455" w:rsidR="00B930D4" w:rsidRPr="00B930D4" w:rsidRDefault="00B930D4" w:rsidP="00B930D4">
      <w:pPr>
        <w:spacing w:line="360" w:lineRule="auto"/>
        <w:jc w:val="both"/>
        <w:rPr>
          <w:bCs/>
        </w:rPr>
      </w:pPr>
      <w:r w:rsidRPr="00B930D4">
        <w:rPr>
          <w:bCs/>
        </w:rPr>
        <w:t>Si può quindi c</w:t>
      </w:r>
      <w:r w:rsidR="003D7A46">
        <w:rPr>
          <w:bCs/>
        </w:rPr>
        <w:t>oncludere</w:t>
      </w:r>
      <w:r w:rsidRPr="00B930D4">
        <w:rPr>
          <w:bCs/>
        </w:rPr>
        <w:t xml:space="preserve"> che MMSE inferiore a 24 e RHI inferiore a 1,60 risultino essere strettamente associati alla condizione di piede diabetico e quindi predittivi di tale patologie. Nella pratica clinica l’utilizzo di tali tools potrebbe permettere una diagnosi precoce e quindi un maggiore controllo dei fattori di rischio al fine di evit</w:t>
      </w:r>
      <w:r w:rsidRPr="00B930D4">
        <w:rPr>
          <w:bCs/>
        </w:rPr>
        <w:t>a</w:t>
      </w:r>
      <w:r w:rsidRPr="00B930D4">
        <w:rPr>
          <w:bCs/>
        </w:rPr>
        <w:t xml:space="preserve">re l’insorgenza della complicanza ulcerativa dell’arto inferiore. </w:t>
      </w:r>
    </w:p>
    <w:p w14:paraId="7084C284" w14:textId="77777777" w:rsidR="00B930D4" w:rsidRPr="00B930D4" w:rsidRDefault="00B930D4" w:rsidP="00B930D4">
      <w:pPr>
        <w:spacing w:line="360" w:lineRule="auto"/>
        <w:jc w:val="both"/>
        <w:rPr>
          <w:bCs/>
        </w:rPr>
      </w:pPr>
      <w:r w:rsidRPr="00B930D4">
        <w:rPr>
          <w:bCs/>
        </w:rPr>
        <w:t>Abbiamo anche evidenziato come i pazienti con piede diabetico rispetto ai controlli diabetici senza ulcera ed ai sani presentino, un significativo incremento dei livelli sierici di Gremlina 1.</w:t>
      </w:r>
    </w:p>
    <w:p w14:paraId="302726E2" w14:textId="008282A0" w:rsidR="00B930D4" w:rsidRPr="00B930D4" w:rsidRDefault="00B930D4" w:rsidP="00B930D4">
      <w:pPr>
        <w:spacing w:line="360" w:lineRule="auto"/>
        <w:jc w:val="both"/>
        <w:rPr>
          <w:bCs/>
        </w:rPr>
      </w:pPr>
      <w:r w:rsidRPr="00B930D4">
        <w:rPr>
          <w:bCs/>
        </w:rPr>
        <w:t>La Gremlina 1 è un adipochina infiammatoria</w:t>
      </w:r>
      <w:r w:rsidR="003D7A46">
        <w:rPr>
          <w:bCs/>
        </w:rPr>
        <w:t>,</w:t>
      </w:r>
      <w:r w:rsidRPr="00B930D4">
        <w:rPr>
          <w:bCs/>
        </w:rPr>
        <w:t xml:space="preserve"> facente parte della famiglia delle TGF-B, intensamente prodotta dalle cellule del tessuto adiposo, muscolare ed epatico in grado di antagonizzare gli effetti dell’insulina</w:t>
      </w:r>
    </w:p>
    <w:p w14:paraId="690B795A" w14:textId="3B334D63" w:rsidR="00B930D4" w:rsidRPr="00B930D4" w:rsidRDefault="00B930D4" w:rsidP="00B930D4">
      <w:pPr>
        <w:spacing w:line="360" w:lineRule="auto"/>
        <w:jc w:val="both"/>
        <w:rPr>
          <w:bCs/>
        </w:rPr>
      </w:pPr>
      <w:r w:rsidRPr="00B930D4">
        <w:rPr>
          <w:bCs/>
        </w:rPr>
        <w:t>Un r</w:t>
      </w:r>
      <w:r w:rsidR="003D7A46">
        <w:rPr>
          <w:bCs/>
        </w:rPr>
        <w:t xml:space="preserve">ecente lavoro di McMahon et al, </w:t>
      </w:r>
      <w:r w:rsidRPr="00B930D4">
        <w:rPr>
          <w:bCs/>
        </w:rPr>
        <w:t>ha dimostrato come l’espressione della Greml</w:t>
      </w:r>
      <w:r w:rsidRPr="00B930D4">
        <w:rPr>
          <w:bCs/>
        </w:rPr>
        <w:t>i</w:t>
      </w:r>
      <w:r w:rsidRPr="00B930D4">
        <w:rPr>
          <w:bCs/>
        </w:rPr>
        <w:t>na-1 sia aumentata in cellule mesangiali di topo incubate con alti livelli di gluc</w:t>
      </w:r>
      <w:r w:rsidRPr="00B930D4">
        <w:rPr>
          <w:bCs/>
        </w:rPr>
        <w:t>o</w:t>
      </w:r>
      <w:r w:rsidRPr="00B930D4">
        <w:rPr>
          <w:bCs/>
        </w:rPr>
        <w:t xml:space="preserve">sio/TGF-b o in cellule renali in cui i topi sono stati indotti alla nefropatia diabetica </w:t>
      </w:r>
      <w:r w:rsidR="000C7052">
        <w:rPr>
          <w:bCs/>
        </w:rPr>
        <w:t>attraverso la streptozocina (428</w:t>
      </w:r>
      <w:r w:rsidRPr="00B930D4">
        <w:rPr>
          <w:bCs/>
        </w:rPr>
        <w:t>). Lo stesso gruppo ha dimostrato, 3 anni dopo, l’overespressione della gremlina in pazienti affetti da nefropatia diabetica, aprendo così uno scenario volto alla ricerca dell’overespressione della Gremlina-1 in altre condizioni patologiche, come ad esempio nei pazienti con NAFLD alla biopsia epat</w:t>
      </w:r>
      <w:r w:rsidRPr="00B930D4">
        <w:rPr>
          <w:bCs/>
        </w:rPr>
        <w:t>i</w:t>
      </w:r>
      <w:r w:rsidRPr="00B930D4">
        <w:rPr>
          <w:bCs/>
        </w:rPr>
        <w:t>ca e nei pazienti con diabete mellito di tipo 2 e sindrome metabolica e rappresentano un marker sierologico inno</w:t>
      </w:r>
      <w:r w:rsidR="000C7052">
        <w:rPr>
          <w:bCs/>
        </w:rPr>
        <w:t>vativo di adipo-infiammazione (</w:t>
      </w:r>
      <w:r w:rsidRPr="00B930D4">
        <w:rPr>
          <w:bCs/>
        </w:rPr>
        <w:t>4</w:t>
      </w:r>
      <w:r w:rsidR="000C7052">
        <w:rPr>
          <w:bCs/>
        </w:rPr>
        <w:t>29</w:t>
      </w:r>
      <w:r w:rsidRPr="00B930D4">
        <w:rPr>
          <w:bCs/>
        </w:rPr>
        <w:t>).</w:t>
      </w:r>
    </w:p>
    <w:p w14:paraId="783B55F2" w14:textId="774E8BFF" w:rsidR="00B930D4" w:rsidRPr="00B930D4" w:rsidRDefault="00B930D4" w:rsidP="00B930D4">
      <w:pPr>
        <w:spacing w:line="360" w:lineRule="auto"/>
        <w:jc w:val="both"/>
        <w:rPr>
          <w:bCs/>
        </w:rPr>
      </w:pPr>
      <w:r w:rsidRPr="00B930D4">
        <w:rPr>
          <w:bCs/>
        </w:rPr>
        <w:t xml:space="preserve"> Gli studi di Mitola et al</w:t>
      </w:r>
      <w:r w:rsidR="000C7052">
        <w:rPr>
          <w:bCs/>
        </w:rPr>
        <w:t>,</w:t>
      </w:r>
      <w:r w:rsidRPr="00B930D4">
        <w:rPr>
          <w:bCs/>
        </w:rPr>
        <w:t xml:space="preserve"> permisero di identificare il ligando della Gremlina-1: il VEGFR2. Ciò permise di rimarcare il concetto di come la suddetta adipochina, oltre che il ruolo di antagonista del pathway BMP, fosse un vero e proprio fattore pro-angiogeneti</w:t>
      </w:r>
      <w:r w:rsidR="000C7052">
        <w:rPr>
          <w:bCs/>
        </w:rPr>
        <w:t>co, capace di legarsi al VEGF2</w:t>
      </w:r>
      <w:r w:rsidRPr="00B930D4">
        <w:rPr>
          <w:bCs/>
        </w:rPr>
        <w:t xml:space="preserve"> e quindi determinare l’attivazione del p</w:t>
      </w:r>
      <w:r w:rsidRPr="00B930D4">
        <w:rPr>
          <w:bCs/>
        </w:rPr>
        <w:t>a</w:t>
      </w:r>
      <w:r w:rsidRPr="00B930D4">
        <w:rPr>
          <w:bCs/>
        </w:rPr>
        <w:t>thway di signaling proprio in virtù della sua capacità di legare gli eparansolfati (</w:t>
      </w:r>
      <w:r w:rsidR="000C7052">
        <w:rPr>
          <w:bCs/>
        </w:rPr>
        <w:t>430</w:t>
      </w:r>
      <w:r w:rsidRPr="00B930D4">
        <w:rPr>
          <w:bCs/>
        </w:rPr>
        <w:t xml:space="preserve">). </w:t>
      </w:r>
    </w:p>
    <w:p w14:paraId="175D2678" w14:textId="35DC275F" w:rsidR="00B930D4" w:rsidRPr="00B930D4" w:rsidRDefault="00B930D4" w:rsidP="00B930D4">
      <w:pPr>
        <w:spacing w:line="360" w:lineRule="auto"/>
        <w:jc w:val="both"/>
        <w:rPr>
          <w:bCs/>
        </w:rPr>
      </w:pPr>
      <w:r w:rsidRPr="00B930D4">
        <w:rPr>
          <w:bCs/>
        </w:rPr>
        <w:t>Ulteriori conferme riguardo il dosaggio della Gremlina-1 come adipochina infia</w:t>
      </w:r>
      <w:r w:rsidRPr="00B930D4">
        <w:rPr>
          <w:bCs/>
        </w:rPr>
        <w:t>m</w:t>
      </w:r>
      <w:r w:rsidRPr="00B930D4">
        <w:rPr>
          <w:bCs/>
        </w:rPr>
        <w:t>matoria sono suggeriti da</w:t>
      </w:r>
      <w:r w:rsidR="000C7052">
        <w:rPr>
          <w:bCs/>
        </w:rPr>
        <w:t>gli studi di Hedjazifar et al (</w:t>
      </w:r>
      <w:r w:rsidRPr="00B930D4">
        <w:rPr>
          <w:bCs/>
        </w:rPr>
        <w:t>4</w:t>
      </w:r>
      <w:r w:rsidR="000C7052">
        <w:rPr>
          <w:bCs/>
        </w:rPr>
        <w:t>31</w:t>
      </w:r>
      <w:r w:rsidRPr="00B930D4">
        <w:rPr>
          <w:bCs/>
        </w:rPr>
        <w:t>), in cui è stato osservato che i livelli di espressione della Gremlina-1 sono maggiori nel tessuto adiposo visc</w:t>
      </w:r>
      <w:r w:rsidRPr="00B930D4">
        <w:rPr>
          <w:bCs/>
        </w:rPr>
        <w:t>e</w:t>
      </w:r>
      <w:r w:rsidRPr="00B930D4">
        <w:rPr>
          <w:bCs/>
        </w:rPr>
        <w:lastRenderedPageBreak/>
        <w:t>rale, aumentati in condizioni di obesità ed ulteriormente aumentati in pazienti affetti da diabete mellito di tipo 2. Gli stessi autori, scoprirono che la Gremlina-1 possiede un’ultima peculiare attività: antagonizza la segnalazione intracellulare insulino-mediata negli adipociti umani, musc</w:t>
      </w:r>
      <w:r w:rsidR="000C7052">
        <w:rPr>
          <w:bCs/>
        </w:rPr>
        <w:t>olo scheletrico ed epatociti (</w:t>
      </w:r>
      <w:r w:rsidRPr="00B930D4">
        <w:rPr>
          <w:bCs/>
        </w:rPr>
        <w:t>4</w:t>
      </w:r>
      <w:r w:rsidR="000C7052">
        <w:rPr>
          <w:bCs/>
        </w:rPr>
        <w:t>32)</w:t>
      </w:r>
      <w:r w:rsidRPr="00B930D4">
        <w:rPr>
          <w:bCs/>
        </w:rPr>
        <w:t xml:space="preserve">. </w:t>
      </w:r>
    </w:p>
    <w:p w14:paraId="6B997F51" w14:textId="244C8D61" w:rsidR="00B930D4" w:rsidRPr="00B930D4" w:rsidRDefault="00B930D4" w:rsidP="00B930D4">
      <w:pPr>
        <w:spacing w:line="360" w:lineRule="auto"/>
        <w:jc w:val="both"/>
        <w:rPr>
          <w:bCs/>
        </w:rPr>
      </w:pPr>
      <w:r w:rsidRPr="00B930D4">
        <w:rPr>
          <w:bCs/>
        </w:rPr>
        <w:t>Ad oggi non esiste studio che abbia valutato la gremlina-1, in una delle complicanze micro e macro angiopatiche del diabete come l’ulcera dell’arto inferiore, motivo per cui i nostri risultati risultano innovativi in tal senso</w:t>
      </w:r>
      <w:r w:rsidR="000C7052">
        <w:rPr>
          <w:bCs/>
        </w:rPr>
        <w:t>. Come suggerito da Mitola (433)</w:t>
      </w:r>
      <w:r w:rsidRPr="00B930D4">
        <w:rPr>
          <w:bCs/>
        </w:rPr>
        <w:t>, tali livelli potrebbero essere spiegati dalla presenza di elevati valori di VEGF sierici, di cui la gremlina risulta coattivatore inducendo micro-angiogenesi, processo patol</w:t>
      </w:r>
      <w:r w:rsidRPr="00B930D4">
        <w:rPr>
          <w:bCs/>
        </w:rPr>
        <w:t>o</w:t>
      </w:r>
      <w:r w:rsidRPr="00B930D4">
        <w:rPr>
          <w:bCs/>
        </w:rPr>
        <w:t>gico che sta alla base della genesi dell’ulcera diabetica. Inoltre l’incremento di tali valori sierici può essere spiegato dal fatto che la coorte di pazienti con piede diabet</w:t>
      </w:r>
      <w:r w:rsidRPr="00B930D4">
        <w:rPr>
          <w:bCs/>
        </w:rPr>
        <w:t>i</w:t>
      </w:r>
      <w:r w:rsidRPr="00B930D4">
        <w:rPr>
          <w:bCs/>
        </w:rPr>
        <w:t>co presentasse maggiori valori di BMI, che correlano quindi con un’eccessiva pr</w:t>
      </w:r>
      <w:r w:rsidRPr="00B930D4">
        <w:rPr>
          <w:bCs/>
        </w:rPr>
        <w:t>e</w:t>
      </w:r>
      <w:r w:rsidRPr="00B930D4">
        <w:rPr>
          <w:bCs/>
        </w:rPr>
        <w:t>senza di tessuto adiposo e obesità come dim</w:t>
      </w:r>
      <w:r w:rsidR="000C7052">
        <w:rPr>
          <w:bCs/>
        </w:rPr>
        <w:t>ostrato da Hedjazifar et al (</w:t>
      </w:r>
      <w:r w:rsidRPr="00B930D4">
        <w:rPr>
          <w:bCs/>
        </w:rPr>
        <w:t>4</w:t>
      </w:r>
      <w:r w:rsidR="000C7052">
        <w:rPr>
          <w:bCs/>
        </w:rPr>
        <w:t>34)</w:t>
      </w:r>
      <w:r w:rsidRPr="00B930D4">
        <w:rPr>
          <w:bCs/>
        </w:rPr>
        <w:t>.</w:t>
      </w:r>
    </w:p>
    <w:p w14:paraId="7AB62954" w14:textId="35E167D3" w:rsidR="00B930D4" w:rsidRPr="00B930D4" w:rsidRDefault="000C7052" w:rsidP="00B930D4">
      <w:pPr>
        <w:spacing w:line="360" w:lineRule="auto"/>
        <w:jc w:val="both"/>
        <w:rPr>
          <w:bCs/>
        </w:rPr>
      </w:pPr>
      <w:r>
        <w:rPr>
          <w:bCs/>
        </w:rPr>
        <w:t>La G</w:t>
      </w:r>
      <w:r w:rsidR="00B930D4" w:rsidRPr="00B930D4">
        <w:rPr>
          <w:bCs/>
        </w:rPr>
        <w:t>remlina-1 rappresenta il collegamento che potrebbe chiarire le dinamiche inte</w:t>
      </w:r>
      <w:r w:rsidR="00B930D4" w:rsidRPr="00B930D4">
        <w:rPr>
          <w:bCs/>
        </w:rPr>
        <w:t>r</w:t>
      </w:r>
      <w:r w:rsidR="00B930D4" w:rsidRPr="00B930D4">
        <w:rPr>
          <w:bCs/>
        </w:rPr>
        <w:t>correnti tra i fattori pro-angiogenici e di remodelling endoteliale. Essa è stata dim</w:t>
      </w:r>
      <w:r w:rsidR="00B930D4" w:rsidRPr="00B930D4">
        <w:rPr>
          <w:bCs/>
        </w:rPr>
        <w:t>o</w:t>
      </w:r>
      <w:r w:rsidR="00B930D4" w:rsidRPr="00B930D4">
        <w:rPr>
          <w:bCs/>
        </w:rPr>
        <w:t>strata essere un’agonista del recettore del VEGFr2, come già dimostato da Mitola et al (</w:t>
      </w:r>
      <w:r>
        <w:rPr>
          <w:bCs/>
        </w:rPr>
        <w:t>4</w:t>
      </w:r>
      <w:r w:rsidR="00B930D4" w:rsidRPr="00B930D4">
        <w:rPr>
          <w:bCs/>
        </w:rPr>
        <w:t>35), ma la sua peculiarità è rappresentata dal fatto che, quando è presente in forma monomerica, svolge azione di ANTAGONISMO del recettore del VEGF (</w:t>
      </w:r>
      <w:r>
        <w:rPr>
          <w:bCs/>
        </w:rPr>
        <w:t>4</w:t>
      </w:r>
      <w:r w:rsidR="00B930D4" w:rsidRPr="00B930D4">
        <w:rPr>
          <w:bCs/>
        </w:rPr>
        <w:t>36-</w:t>
      </w:r>
      <w:r>
        <w:rPr>
          <w:bCs/>
        </w:rPr>
        <w:t>4</w:t>
      </w:r>
      <w:r w:rsidR="00B930D4" w:rsidRPr="00B930D4">
        <w:rPr>
          <w:bCs/>
        </w:rPr>
        <w:t>37).</w:t>
      </w:r>
    </w:p>
    <w:p w14:paraId="395C72BA" w14:textId="221C8178" w:rsidR="00B930D4" w:rsidRPr="00B930D4" w:rsidRDefault="00B930D4" w:rsidP="00B930D4">
      <w:pPr>
        <w:spacing w:line="360" w:lineRule="auto"/>
        <w:jc w:val="both"/>
        <w:rPr>
          <w:bCs/>
        </w:rPr>
      </w:pPr>
      <w:r w:rsidRPr="00B930D4">
        <w:rPr>
          <w:bCs/>
        </w:rPr>
        <w:t>Queste evidenze potrebbero chiarire ulteriormente l’architettura cito-vascolare in p</w:t>
      </w:r>
      <w:r w:rsidRPr="00B930D4">
        <w:rPr>
          <w:bCs/>
        </w:rPr>
        <w:t>a</w:t>
      </w:r>
      <w:r w:rsidRPr="00B930D4">
        <w:rPr>
          <w:bCs/>
        </w:rPr>
        <w:t>zienti con danno endoteliale, in quanto si altera il pathway di segnalazione del fattore di crescita endoteliale vascolare (VEGF) e si potrebbe chiarire altresì la mancata espressione dell’ossido nitrico sintetasi endoteliale (eNOS), la cui attività ed espre</w:t>
      </w:r>
      <w:r w:rsidRPr="00B930D4">
        <w:rPr>
          <w:bCs/>
        </w:rPr>
        <w:t>s</w:t>
      </w:r>
      <w:r w:rsidRPr="00B930D4">
        <w:rPr>
          <w:bCs/>
        </w:rPr>
        <w:t>sione è stimolata dal VEGF, ma più recentemente è stato riportato che i bone morphogenesis protein, come la suddetta Gremlina-1 (la quale svolge il ruolo di in</w:t>
      </w:r>
      <w:r w:rsidRPr="00B930D4">
        <w:rPr>
          <w:bCs/>
        </w:rPr>
        <w:t>i</w:t>
      </w:r>
      <w:r w:rsidRPr="00B930D4">
        <w:rPr>
          <w:bCs/>
        </w:rPr>
        <w:t>bitore), attraverso il legame con il rispettivo recettore (BMPR2), regolano l’attività di eNOS. Questi risultati sono compatibili con un’azione autocrina della gremlina-1 nelle cellule endoteliali che media la riduzione dell’espressione e attività di eNOS indotto dall’ipossia. Questa riduzione dell’attività di eNOS è funzionalmente impo</w:t>
      </w:r>
      <w:r w:rsidRPr="00B930D4">
        <w:rPr>
          <w:bCs/>
        </w:rPr>
        <w:t>r</w:t>
      </w:r>
      <w:r w:rsidRPr="00B930D4">
        <w:rPr>
          <w:bCs/>
        </w:rPr>
        <w:t>tante, poiché la compromissione indotta dall’ipossia dell’attività endoteliale dell’ossido nitrico sintetasi, contribuisce sia al rimodellamento vascolare, sia il pe</w:t>
      </w:r>
      <w:r w:rsidRPr="00B930D4">
        <w:rPr>
          <w:bCs/>
        </w:rPr>
        <w:t>r</w:t>
      </w:r>
      <w:r w:rsidRPr="00B930D4">
        <w:rPr>
          <w:bCs/>
        </w:rPr>
        <w:t>petuarsi della disfunzione endoteliale che alla vasocostrizione indotta dall’ipossia, come supportato da Rowan et al (</w:t>
      </w:r>
      <w:r w:rsidR="000C7052">
        <w:rPr>
          <w:bCs/>
        </w:rPr>
        <w:t>4</w:t>
      </w:r>
      <w:r w:rsidRPr="00B930D4">
        <w:rPr>
          <w:bCs/>
        </w:rPr>
        <w:t>38), dove hanno analizzato gli effetti della greml</w:t>
      </w:r>
      <w:r w:rsidRPr="00B930D4">
        <w:rPr>
          <w:bCs/>
        </w:rPr>
        <w:t>i</w:t>
      </w:r>
      <w:r w:rsidRPr="00B930D4">
        <w:rPr>
          <w:bCs/>
        </w:rPr>
        <w:t xml:space="preserve">na-1 correlata all’ipossia nell’endotelio microvascolare polmonare. </w:t>
      </w:r>
    </w:p>
    <w:p w14:paraId="2AAA231C" w14:textId="77777777" w:rsidR="00B930D4" w:rsidRPr="00B930D4" w:rsidRDefault="00B930D4" w:rsidP="00B930D4">
      <w:pPr>
        <w:spacing w:line="360" w:lineRule="auto"/>
        <w:jc w:val="both"/>
        <w:rPr>
          <w:bCs/>
        </w:rPr>
      </w:pPr>
      <w:r w:rsidRPr="00B930D4">
        <w:rPr>
          <w:bCs/>
        </w:rPr>
        <w:lastRenderedPageBreak/>
        <w:t>Tali evidenze contribuiscono a spiegare alcuni risultati del nostro studio come l’incremento significativo dei valori di VEGF e HIF nei piedi diabetici e la non pr</w:t>
      </w:r>
      <w:r w:rsidRPr="00B930D4">
        <w:rPr>
          <w:bCs/>
        </w:rPr>
        <w:t>e</w:t>
      </w:r>
      <w:r w:rsidRPr="00B930D4">
        <w:rPr>
          <w:bCs/>
        </w:rPr>
        <w:t>senza di valori significativamente aumentati di ENOS.</w:t>
      </w:r>
    </w:p>
    <w:p w14:paraId="5C11C555" w14:textId="2440934F" w:rsidR="00B930D4" w:rsidRPr="00B930D4" w:rsidRDefault="00B930D4" w:rsidP="00B930D4">
      <w:pPr>
        <w:spacing w:line="360" w:lineRule="auto"/>
        <w:jc w:val="both"/>
        <w:rPr>
          <w:bCs/>
        </w:rPr>
      </w:pPr>
      <w:r w:rsidRPr="00B930D4">
        <w:rPr>
          <w:bCs/>
        </w:rPr>
        <w:t>Quando si parla di meccanismi molecolari che soprastanno al VEGF ed eNOS ,citando la guarigione delle ferite ed ulcere del piede diabetico, non si può non porre l’attenzione anche su HIF-1alpha. Esso è un fattore di trascrizione chiave dipendente dalla concentrazione di ossigeno che può regolare più geni bersaglio e l’espressione di numerosi fattori di crescita pro-angiogenetici, come il VEGF ed eNOS. Si reali</w:t>
      </w:r>
      <w:r w:rsidRPr="00B930D4">
        <w:rPr>
          <w:bCs/>
        </w:rPr>
        <w:t>z</w:t>
      </w:r>
      <w:r w:rsidRPr="00B930D4">
        <w:rPr>
          <w:bCs/>
        </w:rPr>
        <w:t>zano pertanto una varietà di reazioni adattive indotte dall’ipossia, come l’angiogenesi, il metabolismo os</w:t>
      </w:r>
      <w:r w:rsidR="000C7052">
        <w:rPr>
          <w:bCs/>
        </w:rPr>
        <w:t>sidativo e l’apoptosi cellulare</w:t>
      </w:r>
      <w:r w:rsidRPr="00B930D4">
        <w:rPr>
          <w:bCs/>
        </w:rPr>
        <w:t xml:space="preserve"> (</w:t>
      </w:r>
      <w:r w:rsidR="000C7052">
        <w:rPr>
          <w:bCs/>
        </w:rPr>
        <w:t>4</w:t>
      </w:r>
      <w:r w:rsidRPr="00B930D4">
        <w:rPr>
          <w:bCs/>
        </w:rPr>
        <w:t>39). E’ stato riport</w:t>
      </w:r>
      <w:r w:rsidRPr="00B930D4">
        <w:rPr>
          <w:bCs/>
        </w:rPr>
        <w:t>a</w:t>
      </w:r>
      <w:r w:rsidRPr="00B930D4">
        <w:rPr>
          <w:bCs/>
        </w:rPr>
        <w:t>to che il disordine di guarigione delle ulcere diabetiche è causato da una scarsa a</w:t>
      </w:r>
      <w:r w:rsidRPr="00B930D4">
        <w:rPr>
          <w:bCs/>
        </w:rPr>
        <w:t>n</w:t>
      </w:r>
      <w:r w:rsidRPr="00B930D4">
        <w:rPr>
          <w:bCs/>
        </w:rPr>
        <w:t>giogenesi, che non riesce a soddisfare le richieste metaboliche del tessuto di granul</w:t>
      </w:r>
      <w:r w:rsidRPr="00B930D4">
        <w:rPr>
          <w:bCs/>
        </w:rPr>
        <w:t>a</w:t>
      </w:r>
      <w:r w:rsidRPr="00B930D4">
        <w:rPr>
          <w:bCs/>
        </w:rPr>
        <w:t>zione (</w:t>
      </w:r>
      <w:r w:rsidR="000C7052">
        <w:rPr>
          <w:bCs/>
        </w:rPr>
        <w:t>4</w:t>
      </w:r>
      <w:r w:rsidRPr="00B930D4">
        <w:rPr>
          <w:bCs/>
        </w:rPr>
        <w:t>40); ciò potrebbe suggerire come sia probabile che la promozione della a</w:t>
      </w:r>
      <w:r w:rsidRPr="00B930D4">
        <w:rPr>
          <w:bCs/>
        </w:rPr>
        <w:t>n</w:t>
      </w:r>
      <w:r w:rsidRPr="00B930D4">
        <w:rPr>
          <w:bCs/>
        </w:rPr>
        <w:t xml:space="preserve">giogenesi locale potrebbe migliorare il processo di guarigione. Nei diabetici con complicanza micro e macro vascolare, l’insufficiente angiogenesi nella guarigione delle ferite potrebbe essere causata dall’espressione di HIF1-a e delle sue molecole bersaglio. </w:t>
      </w:r>
    </w:p>
    <w:p w14:paraId="30CC37C1" w14:textId="6A887C6D" w:rsidR="00B930D4" w:rsidRPr="00B930D4" w:rsidRDefault="00B930D4" w:rsidP="00B930D4">
      <w:pPr>
        <w:spacing w:line="360" w:lineRule="auto"/>
        <w:jc w:val="both"/>
        <w:rPr>
          <w:bCs/>
        </w:rPr>
      </w:pPr>
      <w:r w:rsidRPr="00B930D4">
        <w:rPr>
          <w:bCs/>
        </w:rPr>
        <w:t>Tali evidenze quindi suggeriscono come la Gremlina-1, sia in grado di stimolare d</w:t>
      </w:r>
      <w:r w:rsidRPr="00B930D4">
        <w:rPr>
          <w:bCs/>
        </w:rPr>
        <w:t>i</w:t>
      </w:r>
      <w:r w:rsidRPr="00B930D4">
        <w:rPr>
          <w:bCs/>
        </w:rPr>
        <w:t>rettamente il VEGF, tramite il recettore VEGFFr2, essendone un costimolatore e di come sia in grado di attivare in maniera diretta e indiretta ENOS, rispettivamente tramite il pathway del VEGF e tramite il legame alla BMP.  Entrambi i suddetti me</w:t>
      </w:r>
      <w:r w:rsidRPr="00B930D4">
        <w:rPr>
          <w:bCs/>
        </w:rPr>
        <w:t>c</w:t>
      </w:r>
      <w:r w:rsidRPr="00B930D4">
        <w:rPr>
          <w:bCs/>
        </w:rPr>
        <w:t>canismi sono a loro volta sottostanti all’espressione di HIF1-alpha, fattore che si re</w:t>
      </w:r>
      <w:r w:rsidRPr="00B930D4">
        <w:rPr>
          <w:bCs/>
        </w:rPr>
        <w:t>n</w:t>
      </w:r>
      <w:r w:rsidRPr="00B930D4">
        <w:rPr>
          <w:bCs/>
        </w:rPr>
        <w:t>de necessario nel processo di guarigione delle ferite del piede diabetico, che, come già assodato sulla base di diversi studi (</w:t>
      </w:r>
      <w:r w:rsidR="000C7052">
        <w:rPr>
          <w:bCs/>
        </w:rPr>
        <w:t>4</w:t>
      </w:r>
      <w:r w:rsidRPr="00B930D4">
        <w:rPr>
          <w:bCs/>
        </w:rPr>
        <w:t>39-</w:t>
      </w:r>
      <w:r w:rsidR="000C7052">
        <w:rPr>
          <w:bCs/>
        </w:rPr>
        <w:t>4</w:t>
      </w:r>
      <w:r w:rsidRPr="00B930D4">
        <w:rPr>
          <w:bCs/>
        </w:rPr>
        <w:t xml:space="preserve">40) risulta alterato in pazienti portatori di piede diabetico. </w:t>
      </w:r>
    </w:p>
    <w:p w14:paraId="2583B3D7" w14:textId="77777777" w:rsidR="00B930D4" w:rsidRPr="00B930D4" w:rsidRDefault="00B930D4" w:rsidP="00B930D4">
      <w:pPr>
        <w:spacing w:line="360" w:lineRule="auto"/>
        <w:jc w:val="both"/>
        <w:rPr>
          <w:bCs/>
        </w:rPr>
      </w:pPr>
      <w:r w:rsidRPr="00B930D4">
        <w:rPr>
          <w:bCs/>
        </w:rPr>
        <w:t>Abbiamo inoltre evidenziato come la Gremilina 1 possa essere una variabile preditt</w:t>
      </w:r>
      <w:r w:rsidRPr="00B930D4">
        <w:rPr>
          <w:bCs/>
        </w:rPr>
        <w:t>i</w:t>
      </w:r>
      <w:r w:rsidRPr="00B930D4">
        <w:rPr>
          <w:bCs/>
        </w:rPr>
        <w:t>va di diagnosi di diabete e di piede diabetico rispetto ad una popolazione sana e di come essa sia anche una molecola predittiva di diagnosi di piede diabetico rispetto ad una popolazione di diabetici senza menzione di complicanze ulcerative dell’arto inf</w:t>
      </w:r>
      <w:r w:rsidRPr="00B930D4">
        <w:rPr>
          <w:bCs/>
        </w:rPr>
        <w:t>e</w:t>
      </w:r>
      <w:r w:rsidRPr="00B930D4">
        <w:rPr>
          <w:bCs/>
        </w:rPr>
        <w:t>riore.</w:t>
      </w:r>
    </w:p>
    <w:p w14:paraId="489718F2" w14:textId="77777777" w:rsidR="00B930D4" w:rsidRPr="00B930D4" w:rsidRDefault="00B930D4" w:rsidP="00B930D4">
      <w:pPr>
        <w:spacing w:line="360" w:lineRule="auto"/>
        <w:jc w:val="both"/>
        <w:rPr>
          <w:bCs/>
        </w:rPr>
      </w:pPr>
      <w:r w:rsidRPr="00B930D4">
        <w:rPr>
          <w:bCs/>
        </w:rPr>
        <w:t>Dunque, la concentrazione di Gremlina 1 circolante, nei pazienti con DFS, potrebbe essere un utile biomarker di adipo-infiammazione in grado non solo di predire di</w:t>
      </w:r>
      <w:r w:rsidRPr="00B930D4">
        <w:rPr>
          <w:bCs/>
        </w:rPr>
        <w:t>a</w:t>
      </w:r>
      <w:r w:rsidRPr="00B930D4">
        <w:rPr>
          <w:bCs/>
        </w:rPr>
        <w:t>gnosi di diabete rispetto ad una popolazione sana ma anche di piede diabetico rispe</w:t>
      </w:r>
      <w:r w:rsidRPr="00B930D4">
        <w:rPr>
          <w:bCs/>
        </w:rPr>
        <w:t>t</w:t>
      </w:r>
      <w:r w:rsidRPr="00B930D4">
        <w:rPr>
          <w:bCs/>
        </w:rPr>
        <w:t xml:space="preserve">to ad una popolazione di controllo senza e con diabete. </w:t>
      </w:r>
    </w:p>
    <w:p w14:paraId="67A4CD95" w14:textId="77777777" w:rsidR="00B930D4" w:rsidRPr="00B930D4" w:rsidRDefault="00B930D4" w:rsidP="00B930D4">
      <w:pPr>
        <w:spacing w:line="360" w:lineRule="auto"/>
        <w:jc w:val="both"/>
        <w:rPr>
          <w:bCs/>
        </w:rPr>
      </w:pPr>
      <w:r w:rsidRPr="00B930D4">
        <w:rPr>
          <w:bCs/>
        </w:rPr>
        <w:lastRenderedPageBreak/>
        <w:t xml:space="preserve">Abbiamo inoltre dimostrato come i pazienti con piede diabetico rispetto ai pazienti diabetici senza complicanza ulcerativa dell’arto inferiore e ai controlli sani, risultino avere maggiori livelli sierici di molecole infiammatorie come HIF alfa e VEGF e comparabili valori di IL-6, TNF alfa ed ENOS. </w:t>
      </w:r>
    </w:p>
    <w:p w14:paraId="386FCCE2" w14:textId="758B2416" w:rsidR="00B930D4" w:rsidRPr="00B930D4" w:rsidRDefault="00B930D4" w:rsidP="00B930D4">
      <w:pPr>
        <w:spacing w:line="360" w:lineRule="auto"/>
        <w:jc w:val="both"/>
        <w:rPr>
          <w:bCs/>
        </w:rPr>
      </w:pPr>
      <w:r w:rsidRPr="00B930D4">
        <w:rPr>
          <w:bCs/>
        </w:rPr>
        <w:t>L’HIF-1, in quanto fattore di trascrizione chiave dipendente dalla concentrazione di ossigeno può regolare più geni bersaglio, in particolare il VEGF. Si realizzano pe</w:t>
      </w:r>
      <w:r w:rsidRPr="00B930D4">
        <w:rPr>
          <w:bCs/>
        </w:rPr>
        <w:t>r</w:t>
      </w:r>
      <w:r w:rsidRPr="00B930D4">
        <w:rPr>
          <w:bCs/>
        </w:rPr>
        <w:t>tanto una varietà di reazioni adattive indotte dall’ipossia, come l’angiogenesi, il m</w:t>
      </w:r>
      <w:r w:rsidRPr="00B930D4">
        <w:rPr>
          <w:bCs/>
        </w:rPr>
        <w:t>e</w:t>
      </w:r>
      <w:r w:rsidRPr="00B930D4">
        <w:rPr>
          <w:bCs/>
        </w:rPr>
        <w:t>t</w:t>
      </w:r>
      <w:r w:rsidR="000C7052">
        <w:rPr>
          <w:bCs/>
        </w:rPr>
        <w:t>abolismo e l’apoptosi cellulare</w:t>
      </w:r>
      <w:r w:rsidRPr="00B930D4">
        <w:rPr>
          <w:bCs/>
        </w:rPr>
        <w:t xml:space="preserve"> (</w:t>
      </w:r>
      <w:r w:rsidR="000C7052">
        <w:rPr>
          <w:bCs/>
        </w:rPr>
        <w:t>4</w:t>
      </w:r>
      <w:r w:rsidRPr="00B930D4">
        <w:rPr>
          <w:bCs/>
        </w:rPr>
        <w:t>41). E’ stata riportato che il disordine di guarigione delle ulcere diabetiche è causato da una scarsa angiogenesi, che non riesce a sodd</w:t>
      </w:r>
      <w:r w:rsidRPr="00B930D4">
        <w:rPr>
          <w:bCs/>
        </w:rPr>
        <w:t>i</w:t>
      </w:r>
      <w:r w:rsidRPr="00B930D4">
        <w:rPr>
          <w:bCs/>
        </w:rPr>
        <w:t>sfare le richieste metaboliche del tessuto di granulazione (</w:t>
      </w:r>
      <w:r w:rsidR="000C7052">
        <w:rPr>
          <w:bCs/>
        </w:rPr>
        <w:t>4</w:t>
      </w:r>
      <w:r w:rsidRPr="00B930D4">
        <w:rPr>
          <w:bCs/>
        </w:rPr>
        <w:t xml:space="preserve">42), suggerendo come sia probabile che la promozione della angiogenesi locale potrebbe migliorare il processo di guarigione.  Sempre sulla base di tali ricerche anche i nostri risultati risultano in linea con questi precedenti studi. </w:t>
      </w:r>
    </w:p>
    <w:p w14:paraId="3413C854" w14:textId="77777777" w:rsidR="00B930D4" w:rsidRPr="00B930D4" w:rsidRDefault="00B930D4" w:rsidP="00B930D4">
      <w:pPr>
        <w:spacing w:line="360" w:lineRule="auto"/>
        <w:jc w:val="both"/>
        <w:rPr>
          <w:bCs/>
        </w:rPr>
      </w:pPr>
      <w:r w:rsidRPr="00B930D4">
        <w:rPr>
          <w:bCs/>
        </w:rPr>
        <w:t>Il VEGF è una molecola coinvolta in varie fasi della fisiopatologia dell’ulcere diab</w:t>
      </w:r>
      <w:r w:rsidRPr="00B930D4">
        <w:rPr>
          <w:bCs/>
        </w:rPr>
        <w:t>e</w:t>
      </w:r>
      <w:r w:rsidRPr="00B930D4">
        <w:rPr>
          <w:bCs/>
        </w:rPr>
        <w:t>tica e in particolare è responsabile della neoangiogenesi e della formazione del tess</w:t>
      </w:r>
      <w:r w:rsidRPr="00B930D4">
        <w:rPr>
          <w:bCs/>
        </w:rPr>
        <w:t>u</w:t>
      </w:r>
      <w:r w:rsidRPr="00B930D4">
        <w:rPr>
          <w:bCs/>
        </w:rPr>
        <w:t>to di granulazione.</w:t>
      </w:r>
    </w:p>
    <w:p w14:paraId="75F90A44" w14:textId="75F44C8F" w:rsidR="00B930D4" w:rsidRPr="00B930D4" w:rsidRDefault="00B930D4" w:rsidP="00B930D4">
      <w:pPr>
        <w:spacing w:line="360" w:lineRule="auto"/>
        <w:jc w:val="both"/>
        <w:rPr>
          <w:bCs/>
        </w:rPr>
      </w:pPr>
      <w:r w:rsidRPr="00B930D4">
        <w:rPr>
          <w:bCs/>
        </w:rPr>
        <w:t>Il nostro studio ha evidenziato elevati valori di VEGF nei pazienti diabetici con e senza complicanza ulcerativa dell’arto inferiore rispetto ai controlli sani. Questo è in linea con ulteriori studi come quello di Zubair M et al</w:t>
      </w:r>
      <w:r w:rsidR="003D7A46">
        <w:rPr>
          <w:bCs/>
        </w:rPr>
        <w:t xml:space="preserve"> (</w:t>
      </w:r>
      <w:r w:rsidR="000C7052">
        <w:rPr>
          <w:bCs/>
        </w:rPr>
        <w:t>4</w:t>
      </w:r>
      <w:r w:rsidR="003D7A46">
        <w:rPr>
          <w:bCs/>
        </w:rPr>
        <w:t>43)</w:t>
      </w:r>
      <w:r w:rsidRPr="00B930D4">
        <w:rPr>
          <w:bCs/>
        </w:rPr>
        <w:t>.</w:t>
      </w:r>
    </w:p>
    <w:p w14:paraId="6E0BC50B" w14:textId="77777777" w:rsidR="00B930D4" w:rsidRPr="00B930D4" w:rsidRDefault="00B930D4" w:rsidP="00B930D4">
      <w:pPr>
        <w:spacing w:line="360" w:lineRule="auto"/>
        <w:jc w:val="both"/>
        <w:rPr>
          <w:bCs/>
        </w:rPr>
      </w:pPr>
      <w:r w:rsidRPr="00B930D4">
        <w:rPr>
          <w:bCs/>
        </w:rPr>
        <w:t>L’incremento del VEGF può essere spiegato non solo dal maggiore back-ground i</w:t>
      </w:r>
      <w:r w:rsidRPr="00B930D4">
        <w:rPr>
          <w:bCs/>
        </w:rPr>
        <w:t>n</w:t>
      </w:r>
      <w:r w:rsidRPr="00B930D4">
        <w:rPr>
          <w:bCs/>
        </w:rPr>
        <w:t>fiammatorio del paziente diabetico con complicanza dell’arto inferiore e dal maggior grado di disfunzione endoteliale ma anche dagli elevati valori di Gremlina-1, la quale essendo un coattivatore del VEGF agisce anche indirettamente sia su ENOS, rid</w:t>
      </w:r>
      <w:r w:rsidRPr="00B930D4">
        <w:rPr>
          <w:bCs/>
        </w:rPr>
        <w:t>u</w:t>
      </w:r>
      <w:r w:rsidRPr="00B930D4">
        <w:rPr>
          <w:bCs/>
        </w:rPr>
        <w:t xml:space="preserve">cendone i valori, che su HIF. </w:t>
      </w:r>
    </w:p>
    <w:p w14:paraId="54931807" w14:textId="77777777" w:rsidR="00B930D4" w:rsidRPr="00B930D4" w:rsidRDefault="00B930D4" w:rsidP="00B930D4">
      <w:pPr>
        <w:spacing w:line="360" w:lineRule="auto"/>
        <w:jc w:val="both"/>
        <w:rPr>
          <w:bCs/>
        </w:rPr>
      </w:pPr>
      <w:r w:rsidRPr="00B930D4">
        <w:rPr>
          <w:bCs/>
        </w:rPr>
        <w:t>Anche il VEGF, come la Gremlina-1 risulta predittivo di diagnosi di piede diabetico rispetto ad una popolazione di controllo senza e con diabete. Alla luce di tale risult</w:t>
      </w:r>
      <w:r w:rsidRPr="00B930D4">
        <w:rPr>
          <w:bCs/>
        </w:rPr>
        <w:t>a</w:t>
      </w:r>
      <w:r w:rsidRPr="00B930D4">
        <w:rPr>
          <w:bCs/>
        </w:rPr>
        <w:t xml:space="preserve">to risulta quindi consigliabile eseguire il dosaggio sierico del VEGF come biomarker infiammatorio sierico predittivo di diagnosi di piede diabetico.  </w:t>
      </w:r>
    </w:p>
    <w:p w14:paraId="2A0DA713" w14:textId="40F97EB9" w:rsidR="00B930D4" w:rsidRPr="00B930D4" w:rsidRDefault="00B930D4" w:rsidP="00B930D4">
      <w:pPr>
        <w:spacing w:line="360" w:lineRule="auto"/>
        <w:jc w:val="both"/>
        <w:rPr>
          <w:bCs/>
        </w:rPr>
      </w:pPr>
      <w:r w:rsidRPr="00B930D4">
        <w:rPr>
          <w:bCs/>
        </w:rPr>
        <w:t>Sebbene a differenza di uno studio precedente della nostra scu</w:t>
      </w:r>
      <w:r w:rsidR="000C7052">
        <w:rPr>
          <w:bCs/>
        </w:rPr>
        <w:t>ola (Tuttolomondo et al.) (419</w:t>
      </w:r>
      <w:r w:rsidR="003D7A46">
        <w:rPr>
          <w:bCs/>
        </w:rPr>
        <w:t>), non siano state evidenziate</w:t>
      </w:r>
      <w:r w:rsidRPr="00B930D4">
        <w:rPr>
          <w:bCs/>
        </w:rPr>
        <w:t xml:space="preserve"> differenze significative tra i 3 gruppi in termini di valori sierici di IL-6 e TNF alpha, i nostri risultati sui markers sierici di infiamm</w:t>
      </w:r>
      <w:r w:rsidRPr="00B930D4">
        <w:rPr>
          <w:bCs/>
        </w:rPr>
        <w:t>a</w:t>
      </w:r>
      <w:r w:rsidRPr="00B930D4">
        <w:rPr>
          <w:bCs/>
        </w:rPr>
        <w:t xml:space="preserve">zione sono comunque in linea il nostro precedente lavoro.  </w:t>
      </w:r>
    </w:p>
    <w:p w14:paraId="68CF5845" w14:textId="77777777" w:rsidR="00B930D4" w:rsidRPr="00B930D4" w:rsidRDefault="00B930D4" w:rsidP="00B930D4">
      <w:pPr>
        <w:spacing w:line="360" w:lineRule="auto"/>
        <w:jc w:val="both"/>
        <w:rPr>
          <w:bCs/>
        </w:rPr>
      </w:pPr>
      <w:r w:rsidRPr="00B930D4">
        <w:rPr>
          <w:bCs/>
        </w:rPr>
        <w:t xml:space="preserve">Questi risultati possono rappresentare il fenotipo biologico e patologico di un asse “adipo-vascolare”, che coinvolge sia meccanismi microvascolari che infiammatori; </w:t>
      </w:r>
      <w:r w:rsidRPr="00B930D4">
        <w:rPr>
          <w:bCs/>
        </w:rPr>
        <w:lastRenderedPageBreak/>
        <w:t xml:space="preserve">inoltre può essere un’ulteriore conferma di come nella patologia diabetica, un ruolo cruciale sia svolto dal microambiente metabolico ed infiammatorio. </w:t>
      </w:r>
    </w:p>
    <w:p w14:paraId="757A3D22" w14:textId="3E7F6137" w:rsidR="00B930D4" w:rsidRPr="00B930D4" w:rsidRDefault="00B930D4" w:rsidP="00B930D4">
      <w:pPr>
        <w:spacing w:line="360" w:lineRule="auto"/>
        <w:jc w:val="both"/>
        <w:rPr>
          <w:bCs/>
        </w:rPr>
      </w:pPr>
      <w:r w:rsidRPr="00B930D4">
        <w:rPr>
          <w:bCs/>
        </w:rPr>
        <w:t>Una possibile spiegazione della non significativa differenza dei livelli sierici di IL-6 e TNF alfa può essere data dal fatto che tali pazienti hanno subito lo stress di un r</w:t>
      </w:r>
      <w:r w:rsidRPr="00B930D4">
        <w:rPr>
          <w:bCs/>
        </w:rPr>
        <w:t>i</w:t>
      </w:r>
      <w:r w:rsidRPr="00B930D4">
        <w:rPr>
          <w:bCs/>
        </w:rPr>
        <w:t>covero per varie patologie, che può quindi influenzare i markers di infiammazione (4</w:t>
      </w:r>
      <w:r w:rsidR="000C7052">
        <w:rPr>
          <w:bCs/>
        </w:rPr>
        <w:t>4</w:t>
      </w:r>
      <w:r w:rsidRPr="00B930D4">
        <w:rPr>
          <w:bCs/>
        </w:rPr>
        <w:t>4). Inoltre i pazienti diabetici con complicanza dell’arto inferiore rispetto ai p</w:t>
      </w:r>
      <w:r w:rsidRPr="00B930D4">
        <w:rPr>
          <w:bCs/>
        </w:rPr>
        <w:t>a</w:t>
      </w:r>
      <w:r w:rsidRPr="00B930D4">
        <w:rPr>
          <w:bCs/>
        </w:rPr>
        <w:t>zienti diabetici e sani facevano un maggior uso di antiaggreganti e insulina, mentre rispetto ai controlli sani facevano un maggior uso di Ace inibitori e statine.</w:t>
      </w:r>
    </w:p>
    <w:p w14:paraId="6D883B08" w14:textId="77777777" w:rsidR="00B930D4" w:rsidRPr="00B930D4" w:rsidRDefault="00B930D4" w:rsidP="00B930D4">
      <w:pPr>
        <w:spacing w:line="360" w:lineRule="auto"/>
        <w:jc w:val="both"/>
        <w:rPr>
          <w:bCs/>
        </w:rPr>
      </w:pPr>
      <w:r w:rsidRPr="00B930D4">
        <w:rPr>
          <w:bCs/>
        </w:rPr>
        <w:t>Tali farmaci sono in grado di agire sul back-ground infiammatorio della placca at</w:t>
      </w:r>
      <w:r w:rsidRPr="00B930D4">
        <w:rPr>
          <w:bCs/>
        </w:rPr>
        <w:t>e</w:t>
      </w:r>
      <w:r w:rsidRPr="00B930D4">
        <w:rPr>
          <w:bCs/>
        </w:rPr>
        <w:t>romasica e del danno micro e macrovascolare.  Inoltre i pazienti con diabete rispetto ai DFS e Sani facevano un maggior uso di metformina e analoghi del GLP-1, farmaci che non agiscono solo sul mero controllo glicemico ma hanno anche azioni anti</w:t>
      </w:r>
      <w:r w:rsidRPr="00B930D4">
        <w:rPr>
          <w:bCs/>
        </w:rPr>
        <w:t>n</w:t>
      </w:r>
      <w:r w:rsidRPr="00B930D4">
        <w:rPr>
          <w:bCs/>
        </w:rPr>
        <w:t xml:space="preserve">fiammatorie. </w:t>
      </w:r>
    </w:p>
    <w:p w14:paraId="1E4DA183" w14:textId="77777777" w:rsidR="00B930D4" w:rsidRPr="00B930D4" w:rsidRDefault="00B930D4" w:rsidP="00B930D4">
      <w:pPr>
        <w:spacing w:line="360" w:lineRule="auto"/>
        <w:jc w:val="both"/>
        <w:rPr>
          <w:bCs/>
        </w:rPr>
      </w:pPr>
      <w:r w:rsidRPr="00B930D4">
        <w:rPr>
          <w:bCs/>
        </w:rPr>
        <w:t>Infine all’interno della popolazione sana erano presenti sia pazienti aterosclerotici che ipertesi e quindi questa potrebbe essere, insieme alle spiegazioni sopracitate un ulteriore altra ragione che giustifichi i comparabili valori sierici di IL-6 e TNF alpha tra i tre gruppi.</w:t>
      </w:r>
    </w:p>
    <w:p w14:paraId="2339DEF5" w14:textId="689D7EEF" w:rsidR="00B930D4" w:rsidRPr="00B930D4" w:rsidRDefault="00B930D4" w:rsidP="00B930D4">
      <w:pPr>
        <w:spacing w:line="360" w:lineRule="auto"/>
        <w:jc w:val="both"/>
        <w:rPr>
          <w:bCs/>
        </w:rPr>
      </w:pPr>
      <w:r w:rsidRPr="00B930D4">
        <w:rPr>
          <w:bCs/>
        </w:rPr>
        <w:t>Ulteriore risultato del nostro lavoro è l’evidenza di una maggiore presenza nei p</w:t>
      </w:r>
      <w:r w:rsidRPr="00B930D4">
        <w:rPr>
          <w:bCs/>
        </w:rPr>
        <w:t>a</w:t>
      </w:r>
      <w:r w:rsidRPr="00B930D4">
        <w:rPr>
          <w:bCs/>
        </w:rPr>
        <w:t>zienti con piede diabetico del polimorfismo del gene VEGF C2578A con una pred</w:t>
      </w:r>
      <w:r w:rsidRPr="00B930D4">
        <w:rPr>
          <w:bCs/>
        </w:rPr>
        <w:t>o</w:t>
      </w:r>
      <w:r w:rsidRPr="00B930D4">
        <w:rPr>
          <w:bCs/>
        </w:rPr>
        <w:t>minanza dell’espressione allelica CC e di una ridotta espressione allelica AC. Tali risultati sono in linea con lo studio di Li X et al (</w:t>
      </w:r>
      <w:r w:rsidR="000C7052">
        <w:rPr>
          <w:bCs/>
        </w:rPr>
        <w:t>4</w:t>
      </w:r>
      <w:r w:rsidRPr="00B930D4">
        <w:rPr>
          <w:bCs/>
        </w:rPr>
        <w:t>12) e Amoli et al (</w:t>
      </w:r>
      <w:r w:rsidR="000C7052">
        <w:rPr>
          <w:bCs/>
        </w:rPr>
        <w:t>4</w:t>
      </w:r>
      <w:r w:rsidRPr="00B930D4">
        <w:rPr>
          <w:bCs/>
        </w:rPr>
        <w:t xml:space="preserve">13) che hanno dimostrato come la minore presenza dell’allele A possa ridurre la suscettibilità all’ulcera diabetica. </w:t>
      </w:r>
    </w:p>
    <w:p w14:paraId="7E2B119A" w14:textId="37C144EF" w:rsidR="00B930D4" w:rsidRPr="00B930D4" w:rsidRDefault="00B930D4" w:rsidP="00B930D4">
      <w:pPr>
        <w:spacing w:line="360" w:lineRule="auto"/>
        <w:jc w:val="both"/>
        <w:rPr>
          <w:bCs/>
        </w:rPr>
      </w:pPr>
      <w:r w:rsidRPr="00B930D4">
        <w:rPr>
          <w:bCs/>
        </w:rPr>
        <w:t>Inoltre Bleda et al (</w:t>
      </w:r>
      <w:r w:rsidR="000C7052">
        <w:rPr>
          <w:bCs/>
        </w:rPr>
        <w:t>4</w:t>
      </w:r>
      <w:r w:rsidRPr="00B930D4">
        <w:rPr>
          <w:bCs/>
        </w:rPr>
        <w:t xml:space="preserve">45) nel 2012 evidenziarono una maggiore espressione di VEGF C2578A CC in una popolazione diabetica di tipo 2 con arteropatia periferica. </w:t>
      </w:r>
    </w:p>
    <w:p w14:paraId="554F2E6A" w14:textId="77777777" w:rsidR="00B930D4" w:rsidRPr="00B930D4" w:rsidRDefault="00B930D4" w:rsidP="00B930D4">
      <w:pPr>
        <w:spacing w:line="360" w:lineRule="auto"/>
        <w:jc w:val="both"/>
        <w:rPr>
          <w:bCs/>
        </w:rPr>
      </w:pPr>
      <w:r w:rsidRPr="00B930D4">
        <w:rPr>
          <w:bCs/>
        </w:rPr>
        <w:t>In tal senso aver dimostrato la presenza di tale polimorfismo in una popolazione m</w:t>
      </w:r>
      <w:r w:rsidRPr="00B930D4">
        <w:rPr>
          <w:bCs/>
        </w:rPr>
        <w:t>e</w:t>
      </w:r>
      <w:r w:rsidRPr="00B930D4">
        <w:rPr>
          <w:bCs/>
        </w:rPr>
        <w:t>diterranea e non soltanto cinese o iraniana, suggerisce come la presenza di tale pol</w:t>
      </w:r>
      <w:r w:rsidRPr="00B930D4">
        <w:rPr>
          <w:bCs/>
        </w:rPr>
        <w:t>i</w:t>
      </w:r>
      <w:r w:rsidRPr="00B930D4">
        <w:rPr>
          <w:bCs/>
        </w:rPr>
        <w:t>morfismo possa essere un candidato alla diagnosi precoce e possibile bersaglio ter</w:t>
      </w:r>
      <w:r w:rsidRPr="00B930D4">
        <w:rPr>
          <w:bCs/>
        </w:rPr>
        <w:t>a</w:t>
      </w:r>
      <w:r w:rsidRPr="00B930D4">
        <w:rPr>
          <w:bCs/>
        </w:rPr>
        <w:t xml:space="preserve">peutico in una popolazione con piede diabetico. Inoltre tale polimorfismo risulta inoltre essere predittivo di diagnosi di diabete e anche in tal senso la ricerca di tale polimorfismo permetterebbe una diagnosi precoce. </w:t>
      </w:r>
    </w:p>
    <w:p w14:paraId="59B480E2" w14:textId="77777777" w:rsidR="00B930D4" w:rsidRPr="00B930D4" w:rsidRDefault="00B930D4" w:rsidP="00B930D4">
      <w:pPr>
        <w:spacing w:line="360" w:lineRule="auto"/>
        <w:jc w:val="both"/>
        <w:rPr>
          <w:bCs/>
        </w:rPr>
      </w:pPr>
      <w:r w:rsidRPr="00B930D4">
        <w:rPr>
          <w:bCs/>
        </w:rPr>
        <w:t>Nel nostro studio non abbiamo evidenziato una presenza significativa dei polimorf</w:t>
      </w:r>
      <w:r w:rsidRPr="00B930D4">
        <w:rPr>
          <w:bCs/>
        </w:rPr>
        <w:t>i</w:t>
      </w:r>
      <w:r w:rsidRPr="00B930D4">
        <w:rPr>
          <w:bCs/>
        </w:rPr>
        <w:t xml:space="preserve">smi  rs1800795 del gene IL-6 -174, G&gt;C,  rs1800629 del gene TNF-α-308, G&gt;A, rs11549465 del gene HIF-1alpha-1772, C&gt;T  e del gene ENOS-894, G&gt;T. </w:t>
      </w:r>
    </w:p>
    <w:p w14:paraId="7CC138E9" w14:textId="1948A356" w:rsidR="00B930D4" w:rsidRPr="00B930D4" w:rsidRDefault="00B930D4" w:rsidP="00B930D4">
      <w:pPr>
        <w:spacing w:line="360" w:lineRule="auto"/>
        <w:jc w:val="both"/>
        <w:rPr>
          <w:bCs/>
        </w:rPr>
      </w:pPr>
      <w:r w:rsidRPr="00B930D4">
        <w:rPr>
          <w:bCs/>
        </w:rPr>
        <w:lastRenderedPageBreak/>
        <w:t>Viswanathan et al (</w:t>
      </w:r>
      <w:r w:rsidR="000C7052">
        <w:rPr>
          <w:bCs/>
        </w:rPr>
        <w:t>40</w:t>
      </w:r>
      <w:r w:rsidRPr="00B930D4">
        <w:rPr>
          <w:bCs/>
        </w:rPr>
        <w:t>9) in uno studio su una popolazione indiana nel 2018, indiv</w:t>
      </w:r>
      <w:r w:rsidRPr="00B930D4">
        <w:rPr>
          <w:bCs/>
        </w:rPr>
        <w:t>i</w:t>
      </w:r>
      <w:r w:rsidRPr="00B930D4">
        <w:rPr>
          <w:bCs/>
        </w:rPr>
        <w:t>duarono che il polimorfismo del gene IL-6 -174, G&gt;C, fosse correlato ad un rischio maggiore di severità di infezione della ferita e ad un peggior grado di stadiazione dell’ulcera e come vi fosse una certa influenza delle citochine infiammatorie sullo stesso SNP. Altresì. Dhamodharan et al (</w:t>
      </w:r>
      <w:r w:rsidR="000C7052">
        <w:rPr>
          <w:bCs/>
        </w:rPr>
        <w:t>40</w:t>
      </w:r>
      <w:r w:rsidRPr="00B930D4">
        <w:rPr>
          <w:bCs/>
        </w:rPr>
        <w:t>8), in uno studio su una popolazione i</w:t>
      </w:r>
      <w:r w:rsidRPr="00B930D4">
        <w:rPr>
          <w:bCs/>
        </w:rPr>
        <w:t>n</w:t>
      </w:r>
      <w:r w:rsidRPr="00B930D4">
        <w:rPr>
          <w:bCs/>
        </w:rPr>
        <w:t>diana con piede diabetico ed Erdogan et al (</w:t>
      </w:r>
      <w:r w:rsidR="000C7052">
        <w:rPr>
          <w:bCs/>
        </w:rPr>
        <w:t>4</w:t>
      </w:r>
      <w:r w:rsidRPr="00B930D4">
        <w:rPr>
          <w:bCs/>
        </w:rPr>
        <w:t>10) in un lavoro su una popolazione tu</w:t>
      </w:r>
      <w:r w:rsidRPr="00B930D4">
        <w:rPr>
          <w:bCs/>
        </w:rPr>
        <w:t>r</w:t>
      </w:r>
      <w:r w:rsidRPr="00B930D4">
        <w:rPr>
          <w:bCs/>
        </w:rPr>
        <w:t>ca con ulcera diabetica, misero in evidenza che tale polimorfismo conferisse un certo grado di protezione contro il diabete ma non contro il piede diabetico. I nostri risult</w:t>
      </w:r>
      <w:r w:rsidRPr="00B930D4">
        <w:rPr>
          <w:bCs/>
        </w:rPr>
        <w:t>a</w:t>
      </w:r>
      <w:r w:rsidRPr="00B930D4">
        <w:rPr>
          <w:bCs/>
        </w:rPr>
        <w:t>ti risultano essere quindi in parte in linea con i lavori di Erdogan e Dham</w:t>
      </w:r>
      <w:r w:rsidR="000C7052">
        <w:rPr>
          <w:bCs/>
        </w:rPr>
        <w:t>odharan</w:t>
      </w:r>
      <w:r w:rsidRPr="00B930D4">
        <w:rPr>
          <w:bCs/>
        </w:rPr>
        <w:t xml:space="preserve"> (</w:t>
      </w:r>
      <w:r w:rsidR="000C7052">
        <w:rPr>
          <w:bCs/>
        </w:rPr>
        <w:t>40</w:t>
      </w:r>
      <w:r w:rsidRPr="00B930D4">
        <w:rPr>
          <w:bCs/>
        </w:rPr>
        <w:t>8-</w:t>
      </w:r>
      <w:r w:rsidR="000C7052">
        <w:rPr>
          <w:bCs/>
        </w:rPr>
        <w:t>410)</w:t>
      </w:r>
      <w:r w:rsidRPr="00B930D4">
        <w:rPr>
          <w:bCs/>
        </w:rPr>
        <w:t>.</w:t>
      </w:r>
    </w:p>
    <w:p w14:paraId="1BB1488B" w14:textId="03F1A029" w:rsidR="00B930D4" w:rsidRPr="00B930D4" w:rsidRDefault="00B930D4" w:rsidP="00B930D4">
      <w:pPr>
        <w:spacing w:line="360" w:lineRule="auto"/>
        <w:jc w:val="both"/>
        <w:rPr>
          <w:bCs/>
        </w:rPr>
      </w:pPr>
      <w:r w:rsidRPr="00B930D4">
        <w:rPr>
          <w:bCs/>
        </w:rPr>
        <w:t>Sempre dal lavoro di Dhamodharan et al (</w:t>
      </w:r>
      <w:r w:rsidR="000C7052">
        <w:rPr>
          <w:bCs/>
        </w:rPr>
        <w:t>40</w:t>
      </w:r>
      <w:r w:rsidRPr="00B930D4">
        <w:rPr>
          <w:bCs/>
        </w:rPr>
        <w:t>8) è stato evidenziato come il SNP del gene TNF-α-308, G&gt;A, conferisse suscettibilità a diabete mellito e neuropatia diab</w:t>
      </w:r>
      <w:r w:rsidRPr="00B930D4">
        <w:rPr>
          <w:bCs/>
        </w:rPr>
        <w:t>e</w:t>
      </w:r>
      <w:r w:rsidRPr="00B930D4">
        <w:rPr>
          <w:bCs/>
        </w:rPr>
        <w:t>tica ma non al piede diabetico. I nostri risultati sono quindi in linea con il lavoro i</w:t>
      </w:r>
      <w:r w:rsidRPr="00B930D4">
        <w:rPr>
          <w:bCs/>
        </w:rPr>
        <w:t>n</w:t>
      </w:r>
      <w:r w:rsidRPr="00B930D4">
        <w:rPr>
          <w:bCs/>
        </w:rPr>
        <w:t xml:space="preserve">diano. </w:t>
      </w:r>
    </w:p>
    <w:p w14:paraId="7B38C6BF" w14:textId="6799E7E2" w:rsidR="00B930D4" w:rsidRPr="00B930D4" w:rsidRDefault="00B930D4" w:rsidP="00B930D4">
      <w:pPr>
        <w:spacing w:line="360" w:lineRule="auto"/>
        <w:jc w:val="both"/>
        <w:rPr>
          <w:bCs/>
        </w:rPr>
      </w:pPr>
      <w:r w:rsidRPr="00B930D4">
        <w:rPr>
          <w:bCs/>
        </w:rPr>
        <w:t>Dal un ulteriore lavoro di Erdogan et al (</w:t>
      </w:r>
      <w:r w:rsidR="000C7052">
        <w:rPr>
          <w:bCs/>
        </w:rPr>
        <w:t>4</w:t>
      </w:r>
      <w:r w:rsidRPr="00B930D4">
        <w:rPr>
          <w:bCs/>
        </w:rPr>
        <w:t>14) in una popolazione turca con piede diabetico, si evince come i polimorfismi di ENOS-894, G&gt;T e VEGF C936T non r</w:t>
      </w:r>
      <w:r w:rsidRPr="00B930D4">
        <w:rPr>
          <w:bCs/>
        </w:rPr>
        <w:t>i</w:t>
      </w:r>
      <w:r w:rsidRPr="00B930D4">
        <w:rPr>
          <w:bCs/>
        </w:rPr>
        <w:t>sultassero essere dei fattori di rischio per insorgenza di piede diabetico. Anche questo lavoro risulta in linea con i nostri risultati.</w:t>
      </w:r>
    </w:p>
    <w:p w14:paraId="4C2D8DD0" w14:textId="1661C2A3" w:rsidR="00B930D4" w:rsidRPr="00B930D4" w:rsidRDefault="00B930D4" w:rsidP="00B930D4">
      <w:pPr>
        <w:spacing w:line="360" w:lineRule="auto"/>
        <w:jc w:val="both"/>
        <w:rPr>
          <w:bCs/>
        </w:rPr>
      </w:pPr>
      <w:r w:rsidRPr="00B930D4">
        <w:rPr>
          <w:bCs/>
        </w:rPr>
        <w:t>Pichu et al (</w:t>
      </w:r>
      <w:r w:rsidR="000C7052">
        <w:rPr>
          <w:bCs/>
        </w:rPr>
        <w:t>4</w:t>
      </w:r>
      <w:r w:rsidRPr="00B930D4">
        <w:rPr>
          <w:bCs/>
        </w:rPr>
        <w:t>16) in un lavoro del 2018 individuarono che l’espressione allelica CT e TT del gene HIFalfa C772T risultasse essere aumentata in una popolazione indiana con piede diabetico. Nel nostro lavoro non è stata individuata una significativa pr</w:t>
      </w:r>
      <w:r w:rsidRPr="00B930D4">
        <w:rPr>
          <w:bCs/>
        </w:rPr>
        <w:t>e</w:t>
      </w:r>
      <w:r w:rsidRPr="00B930D4">
        <w:rPr>
          <w:bCs/>
        </w:rPr>
        <w:t>senza di tale polimorfismo e comunque vi era una prevalenza di CC, quindi i nostri risultati si discostano da tale lavoro, probabilmente per la differenza etnica tra le due popolazioni in esame.</w:t>
      </w:r>
    </w:p>
    <w:p w14:paraId="0AA64B4B" w14:textId="7AF160D8" w:rsidR="00B930D4" w:rsidRPr="00B930D4" w:rsidRDefault="00B930D4" w:rsidP="00B930D4">
      <w:pPr>
        <w:spacing w:line="360" w:lineRule="auto"/>
        <w:jc w:val="both"/>
        <w:rPr>
          <w:bCs/>
        </w:rPr>
      </w:pPr>
      <w:r w:rsidRPr="00B930D4">
        <w:rPr>
          <w:bCs/>
        </w:rPr>
        <w:t>In conclusione per quanto riguarda l’analisi dei polimorfismi genetici, i nostri risult</w:t>
      </w:r>
      <w:r w:rsidRPr="00B930D4">
        <w:rPr>
          <w:bCs/>
        </w:rPr>
        <w:t>a</w:t>
      </w:r>
      <w:r w:rsidRPr="00B930D4">
        <w:rPr>
          <w:bCs/>
        </w:rPr>
        <w:t>ti mostrano come i pazienti con piede diabetico hanno un’aumentata espressione di VEGF C2578A CC e ridotta espressione di VEGF C2578A AC e tali risultati risult</w:t>
      </w:r>
      <w:r w:rsidRPr="00B930D4">
        <w:rPr>
          <w:bCs/>
        </w:rPr>
        <w:t>a</w:t>
      </w:r>
      <w:r w:rsidRPr="00B930D4">
        <w:rPr>
          <w:bCs/>
        </w:rPr>
        <w:t>no in linea con i lavori di Li X e Amoli (</w:t>
      </w:r>
      <w:r w:rsidR="000C7052">
        <w:rPr>
          <w:bCs/>
        </w:rPr>
        <w:t>4</w:t>
      </w:r>
      <w:r w:rsidRPr="00B930D4">
        <w:rPr>
          <w:bCs/>
        </w:rPr>
        <w:t>12-</w:t>
      </w:r>
      <w:r w:rsidR="000C7052">
        <w:rPr>
          <w:bCs/>
        </w:rPr>
        <w:t>4</w:t>
      </w:r>
      <w:r w:rsidRPr="00B930D4">
        <w:rPr>
          <w:bCs/>
        </w:rPr>
        <w:t xml:space="preserve">13), evidenziando un possibile ruolo di marcatore precoce e terapeutico di tale polimorfismo. </w:t>
      </w:r>
    </w:p>
    <w:p w14:paraId="28A330D9" w14:textId="546CD032" w:rsidR="00B930D4" w:rsidRDefault="00B930D4" w:rsidP="00B930D4">
      <w:pPr>
        <w:spacing w:line="360" w:lineRule="auto"/>
        <w:jc w:val="both"/>
        <w:rPr>
          <w:bCs/>
        </w:rPr>
      </w:pPr>
      <w:r w:rsidRPr="00B930D4">
        <w:rPr>
          <w:bCs/>
        </w:rPr>
        <w:t>Inoltre la significativa espressione dei polimorfismi dei geni IL-6 -174, G&gt;C, TNF-α-308, G&gt;A, HIF-1alpha-1772, C&gt;T ed ENOS-894, G&gt;T, è in parte in linea con gli studi di Erdogan, Pichu, Dhamodharan (</w:t>
      </w:r>
      <w:r w:rsidR="000C7052">
        <w:rPr>
          <w:bCs/>
        </w:rPr>
        <w:t>40</w:t>
      </w:r>
      <w:r w:rsidRPr="00B930D4">
        <w:rPr>
          <w:bCs/>
        </w:rPr>
        <w:t>8-</w:t>
      </w:r>
      <w:r w:rsidR="000C7052">
        <w:rPr>
          <w:bCs/>
        </w:rPr>
        <w:t>4</w:t>
      </w:r>
      <w:r w:rsidRPr="00B930D4">
        <w:rPr>
          <w:bCs/>
        </w:rPr>
        <w:t>16) e in parte spiegabile con la diff</w:t>
      </w:r>
      <w:r w:rsidRPr="00B930D4">
        <w:rPr>
          <w:bCs/>
        </w:rPr>
        <w:t>e</w:t>
      </w:r>
      <w:r w:rsidRPr="00B930D4">
        <w:rPr>
          <w:bCs/>
        </w:rPr>
        <w:t xml:space="preserve">renza etnia della popolazione in esame rispetto alla popolazione turca e indiana. </w:t>
      </w:r>
    </w:p>
    <w:p w14:paraId="2B7984C0" w14:textId="6489844C" w:rsidR="002D664F" w:rsidRPr="00B2628C" w:rsidRDefault="00B2628C" w:rsidP="00B2628C">
      <w:pPr>
        <w:spacing w:line="360" w:lineRule="auto"/>
        <w:jc w:val="both"/>
        <w:rPr>
          <w:bCs/>
        </w:rPr>
      </w:pPr>
      <w:r w:rsidRPr="00B2628C">
        <w:rPr>
          <w:bCs/>
        </w:rPr>
        <w:lastRenderedPageBreak/>
        <w:t>Per quanto riguarda l'analisi dell'espressione dei miRNA, abbiamo identificato che miR-217-5p e miR-503-5p erano rispettivamente 2,19 volte e 6,21 volte più espressi nei pazienti con piede diabetico rispetto ai controlli sani. Inoltre, i pazienti diabetici senza complicanze ulcerative agli arti inferiori hanno mostrato un'espressione di miR-217-5p e miR-503-5p rispettivamente 2,41 volte e 2,24 volte superiore rispetto ai controlli sani. Tuttavia, non sono state riscontrate differenze significative nell'</w:t>
      </w:r>
      <w:r w:rsidRPr="00B2628C">
        <w:rPr>
          <w:bCs/>
        </w:rPr>
        <w:t>e</w:t>
      </w:r>
      <w:r w:rsidRPr="00B2628C">
        <w:rPr>
          <w:bCs/>
        </w:rPr>
        <w:t>spressione di questi miRNA confrontando i pazienti diabetici con e senza lesioni u</w:t>
      </w:r>
      <w:r w:rsidRPr="00B2628C">
        <w:rPr>
          <w:bCs/>
        </w:rPr>
        <w:t>l</w:t>
      </w:r>
      <w:r w:rsidRPr="00B2628C">
        <w:rPr>
          <w:bCs/>
        </w:rPr>
        <w:t>cerative agli arti inferiori. Leeper NJ et al. hanno dimostrato che la sovraespressione di miRNA 503 sembra svolgere un ruolo rilevante nella genesi del piede diabetico. L'aumento dell'espressione di miRNA 503 riduce l'angiogenesi e provoca una co</w:t>
      </w:r>
      <w:r w:rsidRPr="00B2628C">
        <w:rPr>
          <w:bCs/>
        </w:rPr>
        <w:t>n</w:t>
      </w:r>
      <w:r w:rsidRPr="00B2628C">
        <w:rPr>
          <w:bCs/>
        </w:rPr>
        <w:t>comitante riduzione del processo di riepitelizzazione. I due meccanismi agiscono in modo sincronizzato, impedendo il processo di guarigione dell'ulcera diabetica (387).</w:t>
      </w:r>
      <w:r w:rsidR="002D664F" w:rsidRPr="002D664F">
        <w:rPr>
          <w:bCs/>
          <w:color w:val="FF0000"/>
          <w:lang w:val="en-GB"/>
        </w:rPr>
        <w:t xml:space="preserve"> </w:t>
      </w:r>
    </w:p>
    <w:p w14:paraId="43558A3A" w14:textId="50BAF8E2" w:rsidR="002D664F" w:rsidRPr="00D460D5" w:rsidRDefault="00D460D5" w:rsidP="00B930D4">
      <w:pPr>
        <w:spacing w:line="360" w:lineRule="auto"/>
        <w:jc w:val="both"/>
        <w:rPr>
          <w:bCs/>
          <w:lang w:val="en-GB"/>
        </w:rPr>
      </w:pPr>
      <w:r w:rsidRPr="00D460D5">
        <w:rPr>
          <w:bCs/>
          <w:lang w:val="en-GB"/>
        </w:rPr>
        <w:t>Il coinvolgimento del miRNA 217 è stato studiato anche nel processo di sviluppo delle ulcere diabetiche. Uno studio in vivo su modelli murini ha dimostrato che l'inibizione del miRNA 217 determina una regolazione positiva della via HIF-1alpha, promuovendo l'angiogenesi e l'infiammazione e migliorando la guarigione delle u</w:t>
      </w:r>
      <w:r w:rsidRPr="00D460D5">
        <w:rPr>
          <w:bCs/>
          <w:lang w:val="en-GB"/>
        </w:rPr>
        <w:t>l</w:t>
      </w:r>
      <w:r w:rsidRPr="00D460D5">
        <w:rPr>
          <w:bCs/>
          <w:lang w:val="en-GB"/>
        </w:rPr>
        <w:t>cere (389). I nostri risultati relativi all'aumento significativo dell'espressione di mi</w:t>
      </w:r>
      <w:r w:rsidRPr="00D460D5">
        <w:rPr>
          <w:bCs/>
          <w:lang w:val="en-GB"/>
        </w:rPr>
        <w:t>R</w:t>
      </w:r>
      <w:r w:rsidRPr="00D460D5">
        <w:rPr>
          <w:bCs/>
          <w:lang w:val="en-GB"/>
        </w:rPr>
        <w:t>NA 217 e miRNA 503 nei pazienti con piede diabetico rispetto ai controlli sani sono in linea con la letteratura. Inoltre, anche i pazienti diabetici senza complicanze ulce</w:t>
      </w:r>
      <w:r w:rsidRPr="00D460D5">
        <w:rPr>
          <w:bCs/>
          <w:lang w:val="en-GB"/>
        </w:rPr>
        <w:t>r</w:t>
      </w:r>
      <w:r w:rsidRPr="00D460D5">
        <w:rPr>
          <w:bCs/>
          <w:lang w:val="en-GB"/>
        </w:rPr>
        <w:t>ative rispetto ai soggetti sani hanno mostrato un aumento dell'espressione di questi miRNA. L'espressione di questi miRNA può agire su vie molecolari sottostanti, come quelle del VEGF e dell'HIF-1 alfa. Queste vie sembrano anche svolgere un r</w:t>
      </w:r>
      <w:r w:rsidRPr="00D460D5">
        <w:rPr>
          <w:bCs/>
          <w:lang w:val="en-GB"/>
        </w:rPr>
        <w:t>u</w:t>
      </w:r>
      <w:r w:rsidRPr="00D460D5">
        <w:rPr>
          <w:bCs/>
          <w:lang w:val="en-GB"/>
        </w:rPr>
        <w:t>olo rilevante in altre complicanze minori del diabete a carico dei vasi sanguigni, come la retinopatia e la nefropatia, di cui soffrivano i nostri pazienti diabetici. Pe</w:t>
      </w:r>
      <w:r w:rsidRPr="00D460D5">
        <w:rPr>
          <w:bCs/>
          <w:lang w:val="en-GB"/>
        </w:rPr>
        <w:t>r</w:t>
      </w:r>
      <w:r w:rsidRPr="00D460D5">
        <w:rPr>
          <w:bCs/>
          <w:lang w:val="en-GB"/>
        </w:rPr>
        <w:t>tanto, questa tesi potrebbe giustificare la differenza non significativa nell'espressione di questi miRNA quando si confrontano pazienti diabetici con e senza lesioni ulcer</w:t>
      </w:r>
      <w:r w:rsidRPr="00D460D5">
        <w:rPr>
          <w:bCs/>
          <w:lang w:val="en-GB"/>
        </w:rPr>
        <w:t>a</w:t>
      </w:r>
      <w:r w:rsidRPr="00D460D5">
        <w:rPr>
          <w:bCs/>
          <w:lang w:val="en-GB"/>
        </w:rPr>
        <w:t>tive degli arti inferiori.</w:t>
      </w:r>
    </w:p>
    <w:p w14:paraId="446C5189" w14:textId="0BD7636C" w:rsidR="005524E9" w:rsidRPr="002D664F" w:rsidRDefault="002D664F" w:rsidP="0046528D">
      <w:pPr>
        <w:spacing w:line="360" w:lineRule="auto"/>
        <w:jc w:val="both"/>
        <w:rPr>
          <w:color w:val="000000" w:themeColor="text1"/>
        </w:rPr>
      </w:pPr>
      <w:r w:rsidRPr="002D664F">
        <w:rPr>
          <w:bCs/>
          <w:color w:val="000000" w:themeColor="text1"/>
        </w:rPr>
        <w:t>Serviranno comunque ulteriori studi volti a chiarire l’effettiva utilità di tali polimo</w:t>
      </w:r>
      <w:r w:rsidRPr="002D664F">
        <w:rPr>
          <w:bCs/>
          <w:color w:val="000000" w:themeColor="text1"/>
        </w:rPr>
        <w:t>r</w:t>
      </w:r>
      <w:r w:rsidRPr="002D664F">
        <w:rPr>
          <w:bCs/>
          <w:color w:val="000000" w:themeColor="text1"/>
        </w:rPr>
        <w:t>fismi come markers precoci di malattia e/o bersagli terapeutici in vari contesti etnici nei pazienti con piede diabetico.</w:t>
      </w:r>
    </w:p>
    <w:p w14:paraId="5D357BA2" w14:textId="77777777" w:rsidR="003D7A46" w:rsidRPr="00376FD4" w:rsidRDefault="003D7A46" w:rsidP="0046528D">
      <w:pPr>
        <w:spacing w:line="360" w:lineRule="auto"/>
        <w:jc w:val="both"/>
        <w:rPr>
          <w:b/>
          <w:bCs/>
          <w:color w:val="00B0F0"/>
        </w:rPr>
      </w:pPr>
    </w:p>
    <w:p w14:paraId="1986138B" w14:textId="6D67DBE8" w:rsidR="00943310" w:rsidRPr="0046528D" w:rsidRDefault="00C335B5" w:rsidP="0046528D">
      <w:pPr>
        <w:spacing w:line="360" w:lineRule="auto"/>
        <w:jc w:val="both"/>
        <w:rPr>
          <w:b/>
          <w:bCs/>
        </w:rPr>
      </w:pPr>
      <w:r w:rsidRPr="0046528D">
        <w:rPr>
          <w:b/>
          <w:bCs/>
        </w:rPr>
        <w:t>7</w:t>
      </w:r>
      <w:r w:rsidR="00B126FB" w:rsidRPr="0046528D">
        <w:rPr>
          <w:b/>
          <w:bCs/>
        </w:rPr>
        <w:t>.12 Conclusioni</w:t>
      </w:r>
    </w:p>
    <w:p w14:paraId="7701A59E" w14:textId="45EB4E10" w:rsidR="00D460D5" w:rsidRPr="00D460D5" w:rsidRDefault="003D7A46" w:rsidP="002D664F">
      <w:pPr>
        <w:spacing w:line="360" w:lineRule="auto"/>
        <w:jc w:val="both"/>
      </w:pPr>
      <w:r>
        <w:t>Il nostro studio si è posto l’ambizioso obbiettivo di studiare in una popolazione di pazienti con piede diabetico le modifiche epigenetiche a carico dei mirna e dei pol</w:t>
      </w:r>
      <w:r>
        <w:t>i</w:t>
      </w:r>
      <w:r>
        <w:lastRenderedPageBreak/>
        <w:t>morfismi a singolo nucleotide di geni insiti nel processo fisiopatogenetico di form</w:t>
      </w:r>
      <w:r>
        <w:t>a</w:t>
      </w:r>
      <w:r>
        <w:t>zione dell’ulcera diabetica, correlandoli con i markers sierici e strumentali di adipo-infiammazione. Nei pazienti con piede diabetico abbiamo dimostrato una prepond</w:t>
      </w:r>
      <w:r>
        <w:t>e</w:t>
      </w:r>
      <w:r>
        <w:t>rante espressione del polimorfismo VEGF C2578A CC e una ridotta espressione dell’allele AC. Tali risultati sono in linea con lo studio di Li X et al e Amoli et al (</w:t>
      </w:r>
      <w:r w:rsidR="000C7052">
        <w:t>4</w:t>
      </w:r>
      <w:r>
        <w:t>12-</w:t>
      </w:r>
      <w:r w:rsidR="000C7052">
        <w:t>4</w:t>
      </w:r>
      <w:r>
        <w:t>13) che hanno evidenziato come la minore presenza dell’allele A possa ridurre la suscettibilità all’ulcera diabetica e con lo studio di Bleda et al (</w:t>
      </w:r>
      <w:r w:rsidR="000C7052">
        <w:t>445)</w:t>
      </w:r>
      <w:r>
        <w:t xml:space="preserve"> che ha mostr</w:t>
      </w:r>
      <w:r>
        <w:t>a</w:t>
      </w:r>
      <w:r>
        <w:t>to la maggiore espressione del polimorfismo CC di tale gene in una popolazione di</w:t>
      </w:r>
      <w:r>
        <w:t>a</w:t>
      </w:r>
      <w:r>
        <w:t xml:space="preserve">betico con arteropatia periferica. Tale polimorfismo inoltre come si evince dai nostri risultati sembrerebbe essere predittivo di diagnosi di diabete, ribadendo quindi la possibile utilità nella diagnosi precoce e nel trattamento del piede diabetico, ma sono chiaramente necessari futuri studi, al fine di confermare la nostra innovativa ipotesi. </w:t>
      </w:r>
    </w:p>
    <w:p w14:paraId="76345404" w14:textId="6F1E9E7E" w:rsidR="002D664F" w:rsidRPr="00D460D5" w:rsidRDefault="00D460D5" w:rsidP="003D7A46">
      <w:pPr>
        <w:spacing w:line="360" w:lineRule="auto"/>
        <w:jc w:val="both"/>
        <w:rPr>
          <w:lang w:val="en-GB"/>
        </w:rPr>
      </w:pPr>
      <w:r w:rsidRPr="00D460D5">
        <w:rPr>
          <w:lang w:val="en-GB"/>
        </w:rPr>
        <w:t>Inoltre, per quanto riguarda l'analisi dell'espressione dei miRNA, abbiamo riscontrato una sovraespressione di miR-217-5p e miR-503-5p nei pazienti diabetici con e senza sindrome del piede diabetico. Questi risultati sono in linea con i lavori di Leeper NJ et al. e Lin CJ et al., che hanno anch'essi evidenziato la sovraespressione di miR-217-5p e miR-503-5p nel contesto del piede diabetico. Queste modificazioni epigenetiche potrebbero quindi essere utili nella diagnosi precoce del piede diabetico e nel tratt</w:t>
      </w:r>
      <w:r w:rsidRPr="00D460D5">
        <w:rPr>
          <w:lang w:val="en-GB"/>
        </w:rPr>
        <w:t>a</w:t>
      </w:r>
      <w:r w:rsidRPr="00D460D5">
        <w:rPr>
          <w:lang w:val="en-GB"/>
        </w:rPr>
        <w:t>mento dei fattori di rischio. Tuttavia, solo ulteriori studi potranno confermare questa ipotesi.</w:t>
      </w:r>
    </w:p>
    <w:p w14:paraId="006738EA" w14:textId="77777777" w:rsidR="003D7A46" w:rsidRDefault="003D7A46" w:rsidP="003D7A46">
      <w:pPr>
        <w:spacing w:line="360" w:lineRule="auto"/>
        <w:jc w:val="both"/>
      </w:pPr>
      <w:r>
        <w:t>Ulteriore inedito e innovativo risultato del nostro studio è stata la valutazione delle Gremlina-1 in una della complicanza più severe del diabete, l’ulcera dell’arto inferi</w:t>
      </w:r>
      <w:r>
        <w:t>o</w:t>
      </w:r>
      <w:r>
        <w:t xml:space="preserve">re. Abbiamo mostrato un significativo aumento della Gremlina-1 nella popolazione di pazienti con piede diabetico e come tale adipochina infiammatoria sia un marker predittivo di diagnosi di piede diabetico. Ad oggi non esiste studio che abbia valutato tale adipochina infiammatoria nel piede diabetico e il che come già ribadito, rende i nostri risultati innovativi in letteratura. </w:t>
      </w:r>
    </w:p>
    <w:p w14:paraId="12FF1EE2" w14:textId="2C7185D9" w:rsidR="003D7A46" w:rsidRDefault="003D7A46" w:rsidP="003D7A46">
      <w:pPr>
        <w:spacing w:line="360" w:lineRule="auto"/>
        <w:jc w:val="both"/>
      </w:pPr>
      <w:r>
        <w:t>I pazienti con piede diabetico presentavano un maggior grado di disfunzione endot</w:t>
      </w:r>
      <w:r>
        <w:t>e</w:t>
      </w:r>
      <w:r>
        <w:t>liale e declino cognitivo, valutati rispettivamente con RHI e MMSE. In linea con i risultati dei nostri precedenti lavori (</w:t>
      </w:r>
      <w:r w:rsidR="00605D85">
        <w:t>419</w:t>
      </w:r>
      <w:r>
        <w:t>,</w:t>
      </w:r>
      <w:r w:rsidR="00605D85">
        <w:t>4</w:t>
      </w:r>
      <w:r>
        <w:t>31), la valutazione della disfunzione end</w:t>
      </w:r>
      <w:r>
        <w:t>o</w:t>
      </w:r>
      <w:r>
        <w:t>teliale in modalità non invasiva si è dimostrata un fondamentale marker precoce di rischio cardiovascolare nei pazienti con piede diabetico. Infatti, valori inferiori a 1,6 di RHI sono risultati predittivi di diagnosi di piede diabetico. Anche la precoce val</w:t>
      </w:r>
      <w:r>
        <w:t>u</w:t>
      </w:r>
      <w:r>
        <w:t>tazione del declino cognitivo tramite MMSE, ha prodotto risultati interessanti nel n</w:t>
      </w:r>
      <w:r>
        <w:t>o</w:t>
      </w:r>
      <w:r>
        <w:lastRenderedPageBreak/>
        <w:t>stro studio. In linea con quanto dimostrato in nostri precedenti lavori, i pazienti con piede diabetico hanno presentato un maggior grado di declino cognitivo. Come ev</w:t>
      </w:r>
      <w:r>
        <w:t>i</w:t>
      </w:r>
      <w:r>
        <w:t>denziato da Tuttolomondo et al (4</w:t>
      </w:r>
      <w:r w:rsidR="00605D85">
        <w:t>19</w:t>
      </w:r>
      <w:r>
        <w:t>,</w:t>
      </w:r>
      <w:r w:rsidR="00605D85">
        <w:t>4</w:t>
      </w:r>
      <w:r>
        <w:t>31), i pazienti con piede diabetico presentav</w:t>
      </w:r>
      <w:r>
        <w:t>a</w:t>
      </w:r>
      <w:r>
        <w:t>no ridotti valori di MMSE ed un aumentato numero e maggiore severità delle lesioni della sostanza bianca alla RMN encefalo. Il fatto che minori valori di MMSE siano correlati positivamente con la presenza di ipertensione e ictus, da valore alla nostra tesi di un maggior coinvolgimento del microcircolo cerebrale in tali pazienti e come l’MMSE inferiore a 24 risulti come non mai un marker predittivo di diagnosi di pi</w:t>
      </w:r>
      <w:r>
        <w:t>e</w:t>
      </w:r>
      <w:r>
        <w:t xml:space="preserve">de diabetico. </w:t>
      </w:r>
    </w:p>
    <w:p w14:paraId="60508E95" w14:textId="234A694B" w:rsidR="003D7A46" w:rsidRDefault="003D7A46" w:rsidP="003D7A46">
      <w:pPr>
        <w:spacing w:line="360" w:lineRule="auto"/>
        <w:jc w:val="both"/>
      </w:pPr>
      <w:r>
        <w:t>Infine abbiamo dimostrato che i pazienti con piede diabetico presentano livelli sierici significativamente aumentati di VEGF e HIF alpha. Tali molecole risultano avere un ruolo di fondamentale importanza nella genesi dell’ulcera diabetica e risultano essere predittive rispettivamente di diagnosi di piede diabetico rispetto ai controlli sani e diabetici e predittive di piede diabetico rispetto ai controlli diabetici senza compl</w:t>
      </w:r>
      <w:r>
        <w:t>i</w:t>
      </w:r>
      <w:r>
        <w:t>canza ulcerativa. Tali livelli sembrerebbero essere aumentati per un maggior back-ground infiammatorio del piede diabetico e soprattutto per la presenza di elevati v</w:t>
      </w:r>
      <w:r>
        <w:t>a</w:t>
      </w:r>
      <w:r>
        <w:t>lori di Gremlina-1, in grado di stimolare e coadiuvare l’azione del VEGF e stimolare indirettamente la produzione di HIF (</w:t>
      </w:r>
      <w:r w:rsidR="00605D85">
        <w:t>4</w:t>
      </w:r>
      <w:r>
        <w:t>39-</w:t>
      </w:r>
      <w:r w:rsidR="00605D85">
        <w:t>4</w:t>
      </w:r>
      <w:r>
        <w:t xml:space="preserve">40).   </w:t>
      </w:r>
    </w:p>
    <w:p w14:paraId="0D7AC11B" w14:textId="77777777" w:rsidR="003D7A46" w:rsidRDefault="003D7A46" w:rsidP="003D7A46">
      <w:pPr>
        <w:spacing w:line="360" w:lineRule="auto"/>
        <w:jc w:val="both"/>
      </w:pPr>
      <w:r>
        <w:t>In conclusione abbiamo dimostrato in una popolazione con piede diabetico un’aumentata espressione del polimorfismo VEGF C2578A CC, livelli significat</w:t>
      </w:r>
      <w:r>
        <w:t>i</w:t>
      </w:r>
      <w:r>
        <w:t>vamente elevati di markers sierici di adipo infiammazione come Gremlina-1, VEGF, HIF e una maggior grado di disfunzione endoteliale e di declino cognitivo. Molti di questi biomarkers sono risultati utili e predittivi alla diagnosi di piede diabetico, ino</w:t>
      </w:r>
      <w:r>
        <w:t>l</w:t>
      </w:r>
      <w:r>
        <w:t>tre l’individuazione di un polimorfismo a singolo nucleotide, potrebbe permettere una individuazione precoce della malattia con più stretto controllo dei fattori di r</w:t>
      </w:r>
      <w:r>
        <w:t>i</w:t>
      </w:r>
      <w:r>
        <w:t>schio e potrebbe anche diventare un possibile bersaglio terapeutico della terapia g</w:t>
      </w:r>
      <w:r>
        <w:t>e</w:t>
      </w:r>
      <w:r>
        <w:t>nica. Soltanto nuovi e futuri studi, potranno supportare e confermare i nostri dati e mostrarci nuovi scenari clinici e terapeutici nel piede diabetico.</w:t>
      </w:r>
    </w:p>
    <w:p w14:paraId="29421E8A" w14:textId="77777777" w:rsidR="008C240D" w:rsidRDefault="008C240D" w:rsidP="00193A7D">
      <w:pPr>
        <w:spacing w:line="360" w:lineRule="auto"/>
        <w:jc w:val="both"/>
      </w:pPr>
    </w:p>
    <w:p w14:paraId="21E9E83F" w14:textId="77777777" w:rsidR="003D7A46" w:rsidRPr="00C15FCE" w:rsidRDefault="003D7A46" w:rsidP="00193A7D">
      <w:pPr>
        <w:spacing w:line="360" w:lineRule="auto"/>
        <w:jc w:val="both"/>
        <w:rPr>
          <w:b/>
        </w:rPr>
      </w:pPr>
    </w:p>
    <w:p w14:paraId="67D47A7A" w14:textId="6AA8EBCE" w:rsidR="008C240D" w:rsidRDefault="00FF584A" w:rsidP="00193A7D">
      <w:pPr>
        <w:spacing w:line="360" w:lineRule="auto"/>
        <w:jc w:val="both"/>
        <w:rPr>
          <w:b/>
        </w:rPr>
      </w:pPr>
      <w:r w:rsidRPr="00C15FCE">
        <w:rPr>
          <w:b/>
        </w:rPr>
        <w:t xml:space="preserve">RINGRAZIAMENTI </w:t>
      </w:r>
    </w:p>
    <w:p w14:paraId="4177E14D" w14:textId="77777777" w:rsidR="00C15FCE" w:rsidRDefault="00C15FCE" w:rsidP="00193A7D">
      <w:pPr>
        <w:spacing w:line="360" w:lineRule="auto"/>
        <w:jc w:val="both"/>
        <w:rPr>
          <w:b/>
        </w:rPr>
      </w:pPr>
    </w:p>
    <w:p w14:paraId="2F0B260F" w14:textId="38E4146A" w:rsidR="00C15FCE" w:rsidRPr="006B1697" w:rsidRDefault="00C15FCE" w:rsidP="00193A7D">
      <w:pPr>
        <w:spacing w:line="360" w:lineRule="auto"/>
        <w:jc w:val="both"/>
        <w:rPr>
          <w:i/>
        </w:rPr>
      </w:pPr>
      <w:r w:rsidRPr="006B1697">
        <w:rPr>
          <w:i/>
        </w:rPr>
        <w:t xml:space="preserve">Alla fine di questo lungo percorso desidero ringraziare mia moglie Marika che per anni mi ha supportato e sostenuto nelle fatiche e nell’ardore della mia professione. </w:t>
      </w:r>
      <w:r w:rsidR="00D3498F">
        <w:rPr>
          <w:i/>
        </w:rPr>
        <w:lastRenderedPageBreak/>
        <w:t>Un ringraziamento particolare ai miei piccolo figlioletti</w:t>
      </w:r>
      <w:r w:rsidRPr="006B1697">
        <w:rPr>
          <w:i/>
        </w:rPr>
        <w:t xml:space="preserve"> Leo</w:t>
      </w:r>
      <w:r w:rsidR="00D3498F">
        <w:rPr>
          <w:i/>
        </w:rPr>
        <w:t xml:space="preserve"> e Vitto</w:t>
      </w:r>
      <w:r w:rsidRPr="006B1697">
        <w:rPr>
          <w:i/>
        </w:rPr>
        <w:t xml:space="preserve">, gioia e ragione della mia esistenza e ai miei genitori e mio fratello che mi hanno sempre supportato. </w:t>
      </w:r>
      <w:r w:rsidR="00DC1398">
        <w:rPr>
          <w:i/>
        </w:rPr>
        <w:t xml:space="preserve">Un ulteriore ringraziamento ai miei suoceri e la famiglia di mia moglie. </w:t>
      </w:r>
      <w:r w:rsidRPr="006B1697">
        <w:rPr>
          <w:i/>
        </w:rPr>
        <w:t>Desidero inoltre ringraziare il prof Tuttolomo</w:t>
      </w:r>
      <w:r w:rsidRPr="006B1697">
        <w:rPr>
          <w:i/>
        </w:rPr>
        <w:t>n</w:t>
      </w:r>
      <w:r w:rsidRPr="006B1697">
        <w:rPr>
          <w:i/>
        </w:rPr>
        <w:t>do, maestro e mentore professionale e di vita, che ha permesso ad un giovane studente di crescere fino a diventare un vero intern</w:t>
      </w:r>
      <w:r w:rsidRPr="006B1697">
        <w:rPr>
          <w:i/>
        </w:rPr>
        <w:t>i</w:t>
      </w:r>
      <w:r w:rsidRPr="006B1697">
        <w:rPr>
          <w:i/>
        </w:rPr>
        <w:t xml:space="preserve">sta. Un doveroso tributo va al mancato Prof Pinto, storico direttore e mentore. </w:t>
      </w:r>
      <w:r w:rsidR="00F031C8" w:rsidRPr="006B1697">
        <w:rPr>
          <w:i/>
        </w:rPr>
        <w:t>Ri</w:t>
      </w:r>
      <w:r w:rsidR="00F031C8" w:rsidRPr="006B1697">
        <w:rPr>
          <w:i/>
        </w:rPr>
        <w:t>n</w:t>
      </w:r>
      <w:r w:rsidR="00F031C8" w:rsidRPr="006B1697">
        <w:rPr>
          <w:i/>
        </w:rPr>
        <w:t>graziamenti vanno al Prof Di Raimondo, Alla Prof.ssa Di Chiara e al Dott Miceli con cui abbiamo condivi</w:t>
      </w:r>
      <w:r w:rsidR="00DC1398">
        <w:rPr>
          <w:i/>
        </w:rPr>
        <w:t>so la g</w:t>
      </w:r>
      <w:r w:rsidR="00DC1398">
        <w:rPr>
          <w:i/>
        </w:rPr>
        <w:t>e</w:t>
      </w:r>
      <w:r w:rsidR="00DC1398">
        <w:rPr>
          <w:i/>
        </w:rPr>
        <w:t xml:space="preserve">stione di numerosi pazienti. </w:t>
      </w:r>
      <w:r w:rsidRPr="006B1697">
        <w:rPr>
          <w:i/>
        </w:rPr>
        <w:t>Un ringraziamento va fatto ai miei compagni di viaggio della stanza 4-5, il mio gemello Mario, con cui a</w:t>
      </w:r>
      <w:r w:rsidRPr="006B1697">
        <w:rPr>
          <w:i/>
        </w:rPr>
        <w:t>b</w:t>
      </w:r>
      <w:r w:rsidRPr="006B1697">
        <w:rPr>
          <w:i/>
        </w:rPr>
        <w:t>biamo condiviso tutto il percorso da quando eravamo studenti, Valerio membro dei tre moschettieri e amico sincero, Carlo amico e maestro, Irene e Anna che da se</w:t>
      </w:r>
      <w:r w:rsidRPr="006B1697">
        <w:rPr>
          <w:i/>
        </w:rPr>
        <w:t>m</w:t>
      </w:r>
      <w:r w:rsidRPr="006B1697">
        <w:rPr>
          <w:i/>
        </w:rPr>
        <w:t>pre mi hanno inondato di consigli e insegnato un metodo. Vorrei ringraziare le nu</w:t>
      </w:r>
      <w:r w:rsidRPr="006B1697">
        <w:rPr>
          <w:i/>
        </w:rPr>
        <w:t>o</w:t>
      </w:r>
      <w:r w:rsidRPr="006B1697">
        <w:rPr>
          <w:i/>
        </w:rPr>
        <w:t>ve generazioni: Maria Grazia, Renata, Gaetano, Federica, Marco, Rosario e Stef</w:t>
      </w:r>
      <w:r w:rsidRPr="006B1697">
        <w:rPr>
          <w:i/>
        </w:rPr>
        <w:t>a</w:t>
      </w:r>
      <w:r w:rsidRPr="006B1697">
        <w:rPr>
          <w:i/>
        </w:rPr>
        <w:t>nia, allievi preziosi di cui abbiamo avuto il merito di contribuire in parte alla loro formazi</w:t>
      </w:r>
      <w:r w:rsidRPr="006B1697">
        <w:rPr>
          <w:i/>
        </w:rPr>
        <w:t>o</w:t>
      </w:r>
      <w:r w:rsidRPr="006B1697">
        <w:rPr>
          <w:i/>
        </w:rPr>
        <w:t>ne. Vorrei ringraziare i compagni d’arme con cui abbiamo condiviso gioie e dolori e abbiamo passato insieme innumerevoli ore nelle guardie e fuori dal reparto come Gaia, Mariaconcetta e Maria Grazia Bas</w:t>
      </w:r>
      <w:r w:rsidR="00DC1398">
        <w:rPr>
          <w:i/>
        </w:rPr>
        <w:t xml:space="preserve">so (storica Partner in Crime). </w:t>
      </w:r>
      <w:r w:rsidRPr="006B1697">
        <w:rPr>
          <w:i/>
        </w:rPr>
        <w:t>Un ringraziamento doveroso a tutti i colleghi strutturati, inferimieri e Oss della 2601 che in tutti questi anni mi hanno fatto sentire a casa e hanno reso tale UOC una s</w:t>
      </w:r>
      <w:r w:rsidRPr="006B1697">
        <w:rPr>
          <w:i/>
        </w:rPr>
        <w:t>e</w:t>
      </w:r>
      <w:r w:rsidRPr="006B1697">
        <w:rPr>
          <w:i/>
        </w:rPr>
        <w:t xml:space="preserve">conda famiglia. Se è vero che </w:t>
      </w:r>
      <w:r w:rsidR="00F031C8" w:rsidRPr="006B1697">
        <w:rPr>
          <w:i/>
        </w:rPr>
        <w:t>si è stati bene, mia speranza è sempre quella di torn</w:t>
      </w:r>
      <w:r w:rsidR="00F031C8" w:rsidRPr="006B1697">
        <w:rPr>
          <w:i/>
        </w:rPr>
        <w:t>a</w:t>
      </w:r>
      <w:r w:rsidR="00F031C8" w:rsidRPr="006B1697">
        <w:rPr>
          <w:i/>
        </w:rPr>
        <w:t xml:space="preserve">re. </w:t>
      </w:r>
    </w:p>
    <w:p w14:paraId="6D6B235C" w14:textId="42388558" w:rsidR="00FF584A" w:rsidRDefault="00FF584A" w:rsidP="00193A7D">
      <w:pPr>
        <w:spacing w:line="360" w:lineRule="auto"/>
        <w:jc w:val="both"/>
        <w:rPr>
          <w:b/>
        </w:rPr>
      </w:pPr>
    </w:p>
    <w:p w14:paraId="7AEF278B" w14:textId="77777777" w:rsidR="00D3498F" w:rsidRDefault="00D3498F" w:rsidP="00193A7D">
      <w:pPr>
        <w:spacing w:line="360" w:lineRule="auto"/>
        <w:jc w:val="both"/>
        <w:rPr>
          <w:b/>
        </w:rPr>
      </w:pPr>
    </w:p>
    <w:p w14:paraId="43CCFF53" w14:textId="77777777" w:rsidR="00D3498F" w:rsidRDefault="00D3498F" w:rsidP="00193A7D">
      <w:pPr>
        <w:spacing w:line="360" w:lineRule="auto"/>
        <w:jc w:val="both"/>
        <w:rPr>
          <w:b/>
        </w:rPr>
      </w:pPr>
    </w:p>
    <w:p w14:paraId="2A6BE87F" w14:textId="77777777" w:rsidR="00D3498F" w:rsidRPr="00C15FCE" w:rsidRDefault="00D3498F" w:rsidP="00193A7D">
      <w:pPr>
        <w:spacing w:line="360" w:lineRule="auto"/>
        <w:jc w:val="both"/>
        <w:rPr>
          <w:b/>
        </w:rPr>
      </w:pPr>
    </w:p>
    <w:p w14:paraId="0D6063CD" w14:textId="299DAA95" w:rsidR="00FF584A" w:rsidRDefault="00605D85" w:rsidP="00193A7D">
      <w:pPr>
        <w:spacing w:line="360" w:lineRule="auto"/>
        <w:jc w:val="both"/>
        <w:rPr>
          <w:b/>
        </w:rPr>
      </w:pPr>
      <w:r w:rsidRPr="00C15FCE">
        <w:rPr>
          <w:b/>
        </w:rPr>
        <w:t>TABELLE</w:t>
      </w:r>
    </w:p>
    <w:p w14:paraId="2A6518C7" w14:textId="77777777" w:rsidR="00D3498F" w:rsidRDefault="00D3498F" w:rsidP="00193A7D">
      <w:pPr>
        <w:spacing w:line="360" w:lineRule="auto"/>
        <w:jc w:val="both"/>
        <w:rPr>
          <w:b/>
        </w:rPr>
      </w:pPr>
    </w:p>
    <w:p w14:paraId="418A54DD" w14:textId="1FBB543E" w:rsidR="00D3498F" w:rsidRDefault="00D3498F" w:rsidP="00193A7D">
      <w:pPr>
        <w:spacing w:line="360" w:lineRule="auto"/>
        <w:jc w:val="both"/>
        <w:rPr>
          <w:b/>
        </w:rPr>
      </w:pPr>
      <w:r w:rsidRPr="00D3498F">
        <w:rPr>
          <w:b/>
          <w:lang w:val="en-US"/>
        </w:rPr>
        <w:t>Table 1. Demographic and clinical variables in Diabetes Mellitus type 2 patients with and without Diabetic Foot Syndrome and in healthy controls</w:t>
      </w:r>
    </w:p>
    <w:p w14:paraId="03744D5C" w14:textId="77777777" w:rsidR="00D3498F" w:rsidRDefault="00D3498F" w:rsidP="00193A7D">
      <w:pPr>
        <w:spacing w:line="360" w:lineRule="auto"/>
        <w:jc w:val="both"/>
        <w:rPr>
          <w:b/>
        </w:rPr>
      </w:pPr>
    </w:p>
    <w:tbl>
      <w:tblPr>
        <w:tblStyle w:val="GridTable5DarkAccent5"/>
        <w:tblW w:w="9776" w:type="dxa"/>
        <w:tblLook w:val="04A0" w:firstRow="1" w:lastRow="0" w:firstColumn="1" w:lastColumn="0" w:noHBand="0" w:noVBand="1"/>
      </w:tblPr>
      <w:tblGrid>
        <w:gridCol w:w="3007"/>
        <w:gridCol w:w="1164"/>
        <w:gridCol w:w="1164"/>
        <w:gridCol w:w="1180"/>
        <w:gridCol w:w="3261"/>
      </w:tblGrid>
      <w:tr w:rsidR="00D3498F" w:rsidRPr="007B29CC" w14:paraId="77A5D0C8" w14:textId="77777777" w:rsidTr="00D349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76" w:type="dxa"/>
            <w:gridSpan w:val="5"/>
          </w:tcPr>
          <w:p w14:paraId="5D5A98D3" w14:textId="77777777" w:rsidR="00D3498F" w:rsidRPr="00E75DC3" w:rsidRDefault="00D3498F" w:rsidP="00D3498F">
            <w:pPr>
              <w:jc w:val="both"/>
              <w:rPr>
                <w:rFonts w:ascii="Arial" w:hAnsi="Arial" w:cs="Arial"/>
                <w:b w:val="0"/>
                <w:bCs w:val="0"/>
                <w:i/>
                <w:sz w:val="18"/>
                <w:szCs w:val="18"/>
                <w:lang w:val="en-US"/>
              </w:rPr>
            </w:pPr>
            <w:r w:rsidRPr="00E75DC3">
              <w:rPr>
                <w:rFonts w:ascii="Arial" w:hAnsi="Arial" w:cs="Arial"/>
                <w:sz w:val="18"/>
                <w:szCs w:val="18"/>
                <w:lang w:val="en-US"/>
              </w:rPr>
              <w:t>Table 1. Demographic and clinical variables in Diabetes Mellitus type 2 patients with and without Diabetic Foot Syndrome and in healthy controls</w:t>
            </w:r>
          </w:p>
        </w:tc>
      </w:tr>
      <w:tr w:rsidR="00D3498F" w:rsidRPr="00E75DC3" w14:paraId="60C8EE81"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2F478BB5" w14:textId="77777777" w:rsidR="00D3498F" w:rsidRPr="00E75DC3" w:rsidRDefault="00D3498F" w:rsidP="00D3498F">
            <w:pPr>
              <w:jc w:val="both"/>
              <w:rPr>
                <w:rFonts w:ascii="Arial" w:hAnsi="Arial" w:cs="Arial"/>
                <w:b w:val="0"/>
                <w:bCs w:val="0"/>
                <w:i/>
                <w:iCs/>
                <w:sz w:val="18"/>
                <w:szCs w:val="18"/>
                <w:lang w:val="en-US"/>
              </w:rPr>
            </w:pPr>
            <w:r w:rsidRPr="00E75DC3">
              <w:rPr>
                <w:rFonts w:ascii="Arial" w:hAnsi="Arial" w:cs="Arial"/>
                <w:sz w:val="18"/>
                <w:szCs w:val="18"/>
                <w:lang w:val="en-US"/>
              </w:rPr>
              <w:t>Variables</w:t>
            </w:r>
          </w:p>
        </w:tc>
        <w:tc>
          <w:tcPr>
            <w:tcW w:w="1164" w:type="dxa"/>
          </w:tcPr>
          <w:p w14:paraId="66C76CC1"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lang w:val="en-US"/>
              </w:rPr>
            </w:pPr>
            <w:r w:rsidRPr="00E75DC3">
              <w:rPr>
                <w:rFonts w:ascii="Arial" w:hAnsi="Arial" w:cs="Arial"/>
                <w:b/>
                <w:bCs/>
                <w:sz w:val="18"/>
                <w:szCs w:val="18"/>
                <w:lang w:val="en-US"/>
              </w:rPr>
              <w:t>DFS</w:t>
            </w:r>
          </w:p>
          <w:p w14:paraId="0BA40554"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lang w:val="en-US"/>
              </w:rPr>
            </w:pPr>
            <w:r w:rsidRPr="00E75DC3">
              <w:rPr>
                <w:rFonts w:ascii="Arial" w:hAnsi="Arial" w:cs="Arial"/>
                <w:b/>
                <w:bCs/>
                <w:sz w:val="18"/>
                <w:szCs w:val="18"/>
                <w:lang w:val="en-US"/>
              </w:rPr>
              <w:t>(n=50)</w:t>
            </w:r>
          </w:p>
        </w:tc>
        <w:tc>
          <w:tcPr>
            <w:tcW w:w="1164" w:type="dxa"/>
          </w:tcPr>
          <w:p w14:paraId="2E6D197F"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lang w:val="en-US"/>
              </w:rPr>
            </w:pPr>
            <w:r w:rsidRPr="00E75DC3">
              <w:rPr>
                <w:rFonts w:ascii="Arial" w:hAnsi="Arial" w:cs="Arial"/>
                <w:b/>
                <w:bCs/>
                <w:sz w:val="18"/>
                <w:szCs w:val="18"/>
                <w:lang w:val="en-US"/>
              </w:rPr>
              <w:t>NDFS (n=40)</w:t>
            </w:r>
          </w:p>
        </w:tc>
        <w:tc>
          <w:tcPr>
            <w:tcW w:w="1180" w:type="dxa"/>
          </w:tcPr>
          <w:p w14:paraId="2A77D689"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lang w:val="en-US"/>
              </w:rPr>
            </w:pPr>
            <w:r w:rsidRPr="00E75DC3">
              <w:rPr>
                <w:rFonts w:ascii="Arial" w:hAnsi="Arial" w:cs="Arial"/>
                <w:b/>
                <w:bCs/>
                <w:sz w:val="18"/>
                <w:szCs w:val="18"/>
                <w:lang w:val="en-US"/>
              </w:rPr>
              <w:t>Controls (n=20)</w:t>
            </w:r>
          </w:p>
        </w:tc>
        <w:tc>
          <w:tcPr>
            <w:tcW w:w="3261" w:type="dxa"/>
          </w:tcPr>
          <w:p w14:paraId="526DFE7D"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lang w:val="en-US"/>
              </w:rPr>
            </w:pPr>
            <w:r w:rsidRPr="00E75DC3">
              <w:rPr>
                <w:rFonts w:ascii="Arial" w:hAnsi="Arial" w:cs="Arial"/>
                <w:b/>
                <w:bCs/>
                <w:sz w:val="18"/>
                <w:szCs w:val="18"/>
                <w:lang w:val="en-US"/>
              </w:rPr>
              <w:t>p</w:t>
            </w:r>
          </w:p>
        </w:tc>
      </w:tr>
      <w:tr w:rsidR="00D3498F" w:rsidRPr="00E75DC3" w14:paraId="49A95931"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1772B6B0"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Sex M/F</w:t>
            </w:r>
          </w:p>
        </w:tc>
        <w:tc>
          <w:tcPr>
            <w:tcW w:w="1164" w:type="dxa"/>
          </w:tcPr>
          <w:p w14:paraId="26D74007"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27/13</w:t>
            </w:r>
          </w:p>
        </w:tc>
        <w:tc>
          <w:tcPr>
            <w:tcW w:w="1164" w:type="dxa"/>
          </w:tcPr>
          <w:p w14:paraId="2AC007F6"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37/13</w:t>
            </w:r>
          </w:p>
        </w:tc>
        <w:tc>
          <w:tcPr>
            <w:tcW w:w="1180" w:type="dxa"/>
          </w:tcPr>
          <w:p w14:paraId="23FE43C8"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12/8</w:t>
            </w:r>
          </w:p>
        </w:tc>
        <w:tc>
          <w:tcPr>
            <w:tcW w:w="3261" w:type="dxa"/>
          </w:tcPr>
          <w:p w14:paraId="6C7B1A35"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0,524</w:t>
            </w:r>
          </w:p>
        </w:tc>
      </w:tr>
      <w:tr w:rsidR="00D3498F" w:rsidRPr="00E75DC3" w14:paraId="37DFFD8B"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00CF830C"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lastRenderedPageBreak/>
              <w:t>Hypertension (n/%)</w:t>
            </w:r>
          </w:p>
        </w:tc>
        <w:tc>
          <w:tcPr>
            <w:tcW w:w="1164" w:type="dxa"/>
          </w:tcPr>
          <w:p w14:paraId="33E31975"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38/76</w:t>
            </w:r>
          </w:p>
        </w:tc>
        <w:tc>
          <w:tcPr>
            <w:tcW w:w="1164" w:type="dxa"/>
          </w:tcPr>
          <w:p w14:paraId="2A547CE4"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29/70</w:t>
            </w:r>
          </w:p>
        </w:tc>
        <w:tc>
          <w:tcPr>
            <w:tcW w:w="1180" w:type="dxa"/>
          </w:tcPr>
          <w:p w14:paraId="0647FE93"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8/40</w:t>
            </w:r>
          </w:p>
        </w:tc>
        <w:tc>
          <w:tcPr>
            <w:tcW w:w="3261" w:type="dxa"/>
          </w:tcPr>
          <w:p w14:paraId="12FE1107"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0,014</w:t>
            </w:r>
          </w:p>
        </w:tc>
      </w:tr>
      <w:tr w:rsidR="00D3498F" w:rsidRPr="00E75DC3" w14:paraId="25D4955E"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270E7DF9"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Cardiovascular events (n/%)</w:t>
            </w:r>
          </w:p>
        </w:tc>
        <w:tc>
          <w:tcPr>
            <w:tcW w:w="1164" w:type="dxa"/>
          </w:tcPr>
          <w:p w14:paraId="72038BBA"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18/36</w:t>
            </w:r>
          </w:p>
        </w:tc>
        <w:tc>
          <w:tcPr>
            <w:tcW w:w="1164" w:type="dxa"/>
          </w:tcPr>
          <w:p w14:paraId="0D144959"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12/22</w:t>
            </w:r>
          </w:p>
        </w:tc>
        <w:tc>
          <w:tcPr>
            <w:tcW w:w="1180" w:type="dxa"/>
          </w:tcPr>
          <w:p w14:paraId="5E4E88AA"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4/20</w:t>
            </w:r>
          </w:p>
        </w:tc>
        <w:tc>
          <w:tcPr>
            <w:tcW w:w="3261" w:type="dxa"/>
          </w:tcPr>
          <w:p w14:paraId="05DDB77B"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0.407</w:t>
            </w:r>
          </w:p>
        </w:tc>
      </w:tr>
      <w:tr w:rsidR="00D3498F" w:rsidRPr="00E75DC3" w14:paraId="6F26A155"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67730D04"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Stroke (n/%)</w:t>
            </w:r>
          </w:p>
        </w:tc>
        <w:tc>
          <w:tcPr>
            <w:tcW w:w="1164" w:type="dxa"/>
          </w:tcPr>
          <w:p w14:paraId="43C73270"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5/10</w:t>
            </w:r>
          </w:p>
        </w:tc>
        <w:tc>
          <w:tcPr>
            <w:tcW w:w="1164" w:type="dxa"/>
          </w:tcPr>
          <w:p w14:paraId="4BE6C050"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12/22</w:t>
            </w:r>
          </w:p>
        </w:tc>
        <w:tc>
          <w:tcPr>
            <w:tcW w:w="1180" w:type="dxa"/>
          </w:tcPr>
          <w:p w14:paraId="6E6C9DCB"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2/10</w:t>
            </w:r>
          </w:p>
        </w:tc>
        <w:tc>
          <w:tcPr>
            <w:tcW w:w="3261" w:type="dxa"/>
          </w:tcPr>
          <w:p w14:paraId="57EE61B1"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0.407</w:t>
            </w:r>
          </w:p>
        </w:tc>
      </w:tr>
      <w:tr w:rsidR="00D3498F" w:rsidRPr="00E75DC3" w14:paraId="33C55826"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38083882"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Dyslipidemia (n/%)</w:t>
            </w:r>
          </w:p>
        </w:tc>
        <w:tc>
          <w:tcPr>
            <w:tcW w:w="1164" w:type="dxa"/>
          </w:tcPr>
          <w:p w14:paraId="2E6CAC2B"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36/72</w:t>
            </w:r>
          </w:p>
        </w:tc>
        <w:tc>
          <w:tcPr>
            <w:tcW w:w="1164" w:type="dxa"/>
          </w:tcPr>
          <w:p w14:paraId="1A15B867"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18/38</w:t>
            </w:r>
          </w:p>
        </w:tc>
        <w:tc>
          <w:tcPr>
            <w:tcW w:w="1180" w:type="dxa"/>
          </w:tcPr>
          <w:p w14:paraId="4E500588"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4/20</w:t>
            </w:r>
          </w:p>
        </w:tc>
        <w:tc>
          <w:tcPr>
            <w:tcW w:w="3261" w:type="dxa"/>
          </w:tcPr>
          <w:p w14:paraId="6EF1227F" w14:textId="77777777" w:rsidR="00D3498F" w:rsidRPr="00E75DC3" w:rsidRDefault="00D3498F" w:rsidP="00D3498F">
            <w:pPr>
              <w:ind w:right="-113"/>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&lt;0.0005</w:t>
            </w:r>
          </w:p>
        </w:tc>
      </w:tr>
      <w:tr w:rsidR="00D3498F" w:rsidRPr="00E75DC3" w14:paraId="6A9380B7"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34D386F1"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Smoking (n/%)</w:t>
            </w:r>
          </w:p>
        </w:tc>
        <w:tc>
          <w:tcPr>
            <w:tcW w:w="1164" w:type="dxa"/>
          </w:tcPr>
          <w:p w14:paraId="31EC9CED"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fldChar w:fldCharType="begin"/>
            </w:r>
            <w:r w:rsidRPr="00E75DC3">
              <w:rPr>
                <w:rFonts w:ascii="Arial" w:hAnsi="Arial" w:cs="Arial"/>
                <w:sz w:val="18"/>
                <w:szCs w:val="18"/>
                <w:lang w:val="en-US"/>
              </w:rPr>
              <w:instrText xml:space="preserve"> / \# "0" </w:instrText>
            </w:r>
            <w:r w:rsidRPr="00E75DC3">
              <w:rPr>
                <w:rFonts w:ascii="Arial" w:hAnsi="Arial" w:cs="Arial"/>
                <w:sz w:val="18"/>
                <w:szCs w:val="18"/>
                <w:lang w:val="en-US"/>
              </w:rPr>
              <w:fldChar w:fldCharType="end"/>
            </w:r>
            <w:r w:rsidRPr="00E75DC3">
              <w:rPr>
                <w:rFonts w:ascii="Arial" w:hAnsi="Arial" w:cs="Arial"/>
                <w:sz w:val="18"/>
                <w:szCs w:val="18"/>
                <w:lang w:val="en-US"/>
              </w:rPr>
              <w:t xml:space="preserve"> 24/48</w:t>
            </w:r>
          </w:p>
        </w:tc>
        <w:tc>
          <w:tcPr>
            <w:tcW w:w="1164" w:type="dxa"/>
          </w:tcPr>
          <w:p w14:paraId="5D4CED9D"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9/23</w:t>
            </w:r>
          </w:p>
        </w:tc>
        <w:tc>
          <w:tcPr>
            <w:tcW w:w="1180" w:type="dxa"/>
          </w:tcPr>
          <w:p w14:paraId="6B447EBE"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9/45</w:t>
            </w:r>
          </w:p>
        </w:tc>
        <w:tc>
          <w:tcPr>
            <w:tcW w:w="3261" w:type="dxa"/>
          </w:tcPr>
          <w:p w14:paraId="3DBF2FA4"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0.008</w:t>
            </w:r>
          </w:p>
        </w:tc>
      </w:tr>
      <w:tr w:rsidR="00D3498F" w:rsidRPr="00E75DC3" w14:paraId="547B8350"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37BDDA07"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Beta-blockade (n/%)</w:t>
            </w:r>
          </w:p>
        </w:tc>
        <w:tc>
          <w:tcPr>
            <w:tcW w:w="1164" w:type="dxa"/>
          </w:tcPr>
          <w:p w14:paraId="09620774"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19/38</w:t>
            </w:r>
          </w:p>
        </w:tc>
        <w:tc>
          <w:tcPr>
            <w:tcW w:w="1164" w:type="dxa"/>
          </w:tcPr>
          <w:p w14:paraId="10C49681"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16/40</w:t>
            </w:r>
          </w:p>
        </w:tc>
        <w:tc>
          <w:tcPr>
            <w:tcW w:w="1180" w:type="dxa"/>
          </w:tcPr>
          <w:p w14:paraId="60CE9087"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5/25</w:t>
            </w:r>
          </w:p>
        </w:tc>
        <w:tc>
          <w:tcPr>
            <w:tcW w:w="3261" w:type="dxa"/>
          </w:tcPr>
          <w:p w14:paraId="6F8B77B0"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0.529</w:t>
            </w:r>
          </w:p>
        </w:tc>
      </w:tr>
      <w:tr w:rsidR="00D3498F" w:rsidRPr="00E75DC3" w14:paraId="084BC05F"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21696EF4"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Calcium channel blockers (n/%)</w:t>
            </w:r>
          </w:p>
        </w:tc>
        <w:tc>
          <w:tcPr>
            <w:tcW w:w="1164" w:type="dxa"/>
          </w:tcPr>
          <w:p w14:paraId="64D246C7"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14/28</w:t>
            </w:r>
          </w:p>
        </w:tc>
        <w:tc>
          <w:tcPr>
            <w:tcW w:w="1164" w:type="dxa"/>
          </w:tcPr>
          <w:p w14:paraId="71F22CB6"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7/18</w:t>
            </w:r>
          </w:p>
        </w:tc>
        <w:tc>
          <w:tcPr>
            <w:tcW w:w="1180" w:type="dxa"/>
          </w:tcPr>
          <w:p w14:paraId="72AA3BF3"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5/25</w:t>
            </w:r>
          </w:p>
        </w:tc>
        <w:tc>
          <w:tcPr>
            <w:tcW w:w="3261" w:type="dxa"/>
          </w:tcPr>
          <w:p w14:paraId="07CAC09B"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0.555</w:t>
            </w:r>
          </w:p>
        </w:tc>
      </w:tr>
      <w:tr w:rsidR="00D3498F" w:rsidRPr="00E75DC3" w14:paraId="29F4570D"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5D1FA99E"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 xml:space="preserve">ACE inhibitors or ARB (n/%) </w:t>
            </w:r>
          </w:p>
        </w:tc>
        <w:tc>
          <w:tcPr>
            <w:tcW w:w="1164" w:type="dxa"/>
          </w:tcPr>
          <w:p w14:paraId="22BAF994"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23/46</w:t>
            </w:r>
          </w:p>
        </w:tc>
        <w:tc>
          <w:tcPr>
            <w:tcW w:w="1164" w:type="dxa"/>
          </w:tcPr>
          <w:p w14:paraId="7A055ACF"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17/40</w:t>
            </w:r>
          </w:p>
        </w:tc>
        <w:tc>
          <w:tcPr>
            <w:tcW w:w="1180" w:type="dxa"/>
          </w:tcPr>
          <w:p w14:paraId="3A79B24F"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3/15</w:t>
            </w:r>
          </w:p>
        </w:tc>
        <w:tc>
          <w:tcPr>
            <w:tcW w:w="3261" w:type="dxa"/>
          </w:tcPr>
          <w:p w14:paraId="69BA44F5"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0.052</w:t>
            </w:r>
          </w:p>
        </w:tc>
      </w:tr>
      <w:tr w:rsidR="00D3498F" w:rsidRPr="00E75DC3" w14:paraId="758D669C"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1DBC64B8"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Statin (n/%)</w:t>
            </w:r>
          </w:p>
        </w:tc>
        <w:tc>
          <w:tcPr>
            <w:tcW w:w="1164" w:type="dxa"/>
          </w:tcPr>
          <w:p w14:paraId="5F7095E6"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34/68</w:t>
            </w:r>
          </w:p>
        </w:tc>
        <w:tc>
          <w:tcPr>
            <w:tcW w:w="1164" w:type="dxa"/>
          </w:tcPr>
          <w:p w14:paraId="7D337516"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19/50</w:t>
            </w:r>
          </w:p>
        </w:tc>
        <w:tc>
          <w:tcPr>
            <w:tcW w:w="1180" w:type="dxa"/>
          </w:tcPr>
          <w:p w14:paraId="3A1FD9B5"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5/25</w:t>
            </w:r>
          </w:p>
        </w:tc>
        <w:tc>
          <w:tcPr>
            <w:tcW w:w="3261" w:type="dxa"/>
          </w:tcPr>
          <w:p w14:paraId="72EFD363"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0.004</w:t>
            </w:r>
          </w:p>
        </w:tc>
      </w:tr>
      <w:tr w:rsidR="00D3498F" w:rsidRPr="00E75DC3" w14:paraId="47B5A023"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4CA6735F"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Antiplates drugs (n/%)</w:t>
            </w:r>
          </w:p>
        </w:tc>
        <w:tc>
          <w:tcPr>
            <w:tcW w:w="1164" w:type="dxa"/>
          </w:tcPr>
          <w:p w14:paraId="28A4D15D"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34/68</w:t>
            </w:r>
          </w:p>
        </w:tc>
        <w:tc>
          <w:tcPr>
            <w:tcW w:w="1164" w:type="dxa"/>
          </w:tcPr>
          <w:p w14:paraId="5600AC0F"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14/35</w:t>
            </w:r>
          </w:p>
        </w:tc>
        <w:tc>
          <w:tcPr>
            <w:tcW w:w="1180" w:type="dxa"/>
          </w:tcPr>
          <w:p w14:paraId="72D59C07"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6/30</w:t>
            </w:r>
          </w:p>
        </w:tc>
        <w:tc>
          <w:tcPr>
            <w:tcW w:w="3261" w:type="dxa"/>
          </w:tcPr>
          <w:p w14:paraId="07CFBDEB" w14:textId="77777777" w:rsidR="00D3498F" w:rsidRPr="00E75DC3" w:rsidRDefault="00D3498F" w:rsidP="00D3498F">
            <w:pPr>
              <w:ind w:right="-112"/>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0.001</w:t>
            </w:r>
          </w:p>
        </w:tc>
      </w:tr>
      <w:tr w:rsidR="00D3498F" w:rsidRPr="00E75DC3" w14:paraId="49B6E1C5"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1DCD284C"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GLP1 agonist or anti-DPP4 (n/%)</w:t>
            </w:r>
          </w:p>
        </w:tc>
        <w:tc>
          <w:tcPr>
            <w:tcW w:w="1164" w:type="dxa"/>
          </w:tcPr>
          <w:p w14:paraId="628FAD52"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5/10</w:t>
            </w:r>
          </w:p>
        </w:tc>
        <w:tc>
          <w:tcPr>
            <w:tcW w:w="1164" w:type="dxa"/>
          </w:tcPr>
          <w:p w14:paraId="3CF90818"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19/48</w:t>
            </w:r>
          </w:p>
        </w:tc>
        <w:tc>
          <w:tcPr>
            <w:tcW w:w="1180" w:type="dxa"/>
          </w:tcPr>
          <w:p w14:paraId="38B84A60"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w:t>
            </w:r>
          </w:p>
        </w:tc>
        <w:tc>
          <w:tcPr>
            <w:tcW w:w="3261" w:type="dxa"/>
          </w:tcPr>
          <w:p w14:paraId="110A0D8F"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0.000</w:t>
            </w:r>
          </w:p>
        </w:tc>
      </w:tr>
      <w:tr w:rsidR="00D3498F" w:rsidRPr="00E75DC3" w14:paraId="64B97C06"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08000C99" w14:textId="77777777" w:rsidR="00D3498F" w:rsidRPr="00E75DC3" w:rsidRDefault="00D3498F" w:rsidP="00D3498F">
            <w:pPr>
              <w:jc w:val="both"/>
              <w:rPr>
                <w:rFonts w:ascii="Arial" w:hAnsi="Arial" w:cs="Arial"/>
                <w:i/>
                <w:iCs/>
                <w:sz w:val="18"/>
                <w:szCs w:val="18"/>
              </w:rPr>
            </w:pPr>
            <w:r w:rsidRPr="00E75DC3">
              <w:rPr>
                <w:rFonts w:ascii="Arial" w:hAnsi="Arial" w:cs="Arial"/>
                <w:sz w:val="18"/>
                <w:szCs w:val="18"/>
              </w:rPr>
              <w:t>Sulfonylurea</w:t>
            </w:r>
            <w:r>
              <w:rPr>
                <w:rFonts w:ascii="Arial" w:hAnsi="Arial" w:cs="Arial"/>
                <w:sz w:val="18"/>
                <w:szCs w:val="18"/>
              </w:rPr>
              <w:t xml:space="preserve"> </w:t>
            </w:r>
            <w:r w:rsidRPr="00E75DC3">
              <w:rPr>
                <w:rFonts w:ascii="Arial" w:hAnsi="Arial" w:cs="Arial"/>
                <w:sz w:val="18"/>
                <w:szCs w:val="18"/>
                <w:lang w:val="en-US"/>
              </w:rPr>
              <w:t>(n/%)</w:t>
            </w:r>
          </w:p>
        </w:tc>
        <w:tc>
          <w:tcPr>
            <w:tcW w:w="1164" w:type="dxa"/>
          </w:tcPr>
          <w:p w14:paraId="04F00EBF"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2/4</w:t>
            </w:r>
          </w:p>
        </w:tc>
        <w:tc>
          <w:tcPr>
            <w:tcW w:w="1164" w:type="dxa"/>
          </w:tcPr>
          <w:p w14:paraId="08725B9B"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5/13</w:t>
            </w:r>
          </w:p>
        </w:tc>
        <w:tc>
          <w:tcPr>
            <w:tcW w:w="1180" w:type="dxa"/>
          </w:tcPr>
          <w:p w14:paraId="2630EED9"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w:t>
            </w:r>
          </w:p>
        </w:tc>
        <w:tc>
          <w:tcPr>
            <w:tcW w:w="3261" w:type="dxa"/>
          </w:tcPr>
          <w:p w14:paraId="3E47D4BF"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0,103</w:t>
            </w:r>
          </w:p>
        </w:tc>
      </w:tr>
      <w:tr w:rsidR="00D3498F" w:rsidRPr="00E75DC3" w14:paraId="4D88404F"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3007" w:type="dxa"/>
          </w:tcPr>
          <w:p w14:paraId="3AD7EDD0" w14:textId="77777777" w:rsidR="00D3498F" w:rsidRPr="00E75DC3" w:rsidRDefault="00D3498F" w:rsidP="00D3498F">
            <w:pPr>
              <w:jc w:val="both"/>
              <w:rPr>
                <w:rFonts w:ascii="Arial" w:hAnsi="Arial" w:cs="Arial"/>
                <w:i/>
                <w:iCs/>
                <w:sz w:val="18"/>
                <w:szCs w:val="18"/>
                <w:lang w:val="en-US"/>
              </w:rPr>
            </w:pPr>
            <w:r w:rsidRPr="00E75DC3">
              <w:rPr>
                <w:rFonts w:ascii="Arial" w:hAnsi="Arial" w:cs="Arial"/>
                <w:sz w:val="18"/>
                <w:szCs w:val="18"/>
                <w:lang w:val="en-US"/>
              </w:rPr>
              <w:t>Metformin (n/%)</w:t>
            </w:r>
          </w:p>
        </w:tc>
        <w:tc>
          <w:tcPr>
            <w:tcW w:w="1164" w:type="dxa"/>
          </w:tcPr>
          <w:p w14:paraId="08CB132A"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9/18</w:t>
            </w:r>
          </w:p>
        </w:tc>
        <w:tc>
          <w:tcPr>
            <w:tcW w:w="1164" w:type="dxa"/>
          </w:tcPr>
          <w:p w14:paraId="71AAFA7C"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22/50</w:t>
            </w:r>
          </w:p>
        </w:tc>
        <w:tc>
          <w:tcPr>
            <w:tcW w:w="1180" w:type="dxa"/>
          </w:tcPr>
          <w:p w14:paraId="47586B25"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1/5</w:t>
            </w:r>
          </w:p>
        </w:tc>
        <w:tc>
          <w:tcPr>
            <w:tcW w:w="3261" w:type="dxa"/>
          </w:tcPr>
          <w:p w14:paraId="26134D46" w14:textId="77777777" w:rsidR="00D3498F" w:rsidRPr="00E75DC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&lt;0.0005</w:t>
            </w:r>
          </w:p>
        </w:tc>
      </w:tr>
      <w:tr w:rsidR="00D3498F" w:rsidRPr="00E75DC3" w14:paraId="46F5CDD3"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3007" w:type="dxa"/>
          </w:tcPr>
          <w:p w14:paraId="7F17F448" w14:textId="77777777" w:rsidR="00D3498F" w:rsidRPr="00E75DC3" w:rsidRDefault="00D3498F" w:rsidP="00D3498F">
            <w:pPr>
              <w:jc w:val="both"/>
              <w:rPr>
                <w:rFonts w:ascii="Arial" w:hAnsi="Arial" w:cs="Arial"/>
                <w:sz w:val="18"/>
                <w:szCs w:val="18"/>
                <w:lang w:val="en-US"/>
              </w:rPr>
            </w:pPr>
            <w:r w:rsidRPr="00E75DC3">
              <w:rPr>
                <w:rFonts w:ascii="Arial" w:hAnsi="Arial" w:cs="Arial"/>
                <w:sz w:val="18"/>
                <w:szCs w:val="18"/>
                <w:lang w:val="en-US"/>
              </w:rPr>
              <w:t>Insulin therapy (n/%)</w:t>
            </w:r>
          </w:p>
        </w:tc>
        <w:tc>
          <w:tcPr>
            <w:tcW w:w="1164" w:type="dxa"/>
          </w:tcPr>
          <w:p w14:paraId="55036956"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41/82</w:t>
            </w:r>
          </w:p>
        </w:tc>
        <w:tc>
          <w:tcPr>
            <w:tcW w:w="1164" w:type="dxa"/>
          </w:tcPr>
          <w:p w14:paraId="7EECF9C1"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13/35</w:t>
            </w:r>
          </w:p>
        </w:tc>
        <w:tc>
          <w:tcPr>
            <w:tcW w:w="1180" w:type="dxa"/>
          </w:tcPr>
          <w:p w14:paraId="6436686F"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0/0</w:t>
            </w:r>
          </w:p>
        </w:tc>
        <w:tc>
          <w:tcPr>
            <w:tcW w:w="3261" w:type="dxa"/>
          </w:tcPr>
          <w:p w14:paraId="165145F7" w14:textId="77777777" w:rsidR="00D3498F" w:rsidRPr="00E75DC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E75DC3">
              <w:rPr>
                <w:rFonts w:ascii="Arial" w:hAnsi="Arial" w:cs="Arial"/>
                <w:sz w:val="18"/>
                <w:szCs w:val="18"/>
                <w:lang w:val="en-US"/>
              </w:rPr>
              <w:t>&lt;0.0005</w:t>
            </w:r>
          </w:p>
        </w:tc>
      </w:tr>
    </w:tbl>
    <w:p w14:paraId="5EE6013A" w14:textId="77777777" w:rsidR="00D3498F" w:rsidRDefault="00D3498F" w:rsidP="00D3498F"/>
    <w:p w14:paraId="38C9E54A" w14:textId="77777777" w:rsidR="00D3498F" w:rsidRDefault="00D3498F" w:rsidP="00D3498F"/>
    <w:p w14:paraId="346E0BD8" w14:textId="77777777" w:rsidR="00D3498F" w:rsidRDefault="00D3498F" w:rsidP="00D3498F"/>
    <w:p w14:paraId="7CC92DA3" w14:textId="77777777" w:rsidR="00D3498F" w:rsidRDefault="00D3498F" w:rsidP="00D3498F"/>
    <w:p w14:paraId="4CE8D40E" w14:textId="77777777" w:rsidR="00D3498F" w:rsidRDefault="00D3498F" w:rsidP="00D3498F"/>
    <w:p w14:paraId="1B1BF115" w14:textId="77777777" w:rsidR="00D3498F" w:rsidRDefault="00D3498F" w:rsidP="00D3498F"/>
    <w:p w14:paraId="19FC7DDC" w14:textId="77777777" w:rsidR="00D3498F" w:rsidRDefault="00D3498F" w:rsidP="00D3498F"/>
    <w:p w14:paraId="0675227D" w14:textId="77777777" w:rsidR="00D3498F" w:rsidRDefault="00D3498F" w:rsidP="00D3498F"/>
    <w:p w14:paraId="56B8C66A" w14:textId="266EA0D1" w:rsidR="00D3498F" w:rsidRPr="00D3498F" w:rsidRDefault="00D3498F" w:rsidP="00D3498F">
      <w:pPr>
        <w:rPr>
          <w:b/>
        </w:rPr>
      </w:pPr>
      <w:r w:rsidRPr="00D3498F">
        <w:rPr>
          <w:b/>
          <w:lang w:val="en-US"/>
        </w:rPr>
        <w:t>Table 2. Results of one-way analysis of variance for diabetes mellitus type 2 p</w:t>
      </w:r>
      <w:r w:rsidRPr="00D3498F">
        <w:rPr>
          <w:b/>
          <w:lang w:val="en-US"/>
        </w:rPr>
        <w:t>a</w:t>
      </w:r>
      <w:r w:rsidRPr="00D3498F">
        <w:rPr>
          <w:b/>
          <w:lang w:val="en-US"/>
        </w:rPr>
        <w:t>tients with and without diabetic foot syndrome and for controls</w:t>
      </w:r>
    </w:p>
    <w:p w14:paraId="6D70C75D" w14:textId="77777777" w:rsidR="00D3498F" w:rsidRPr="00D3498F" w:rsidRDefault="00D3498F" w:rsidP="00D3498F">
      <w:pPr>
        <w:rPr>
          <w:b/>
        </w:rPr>
      </w:pPr>
    </w:p>
    <w:p w14:paraId="1A9D20EA" w14:textId="77777777" w:rsidR="00D3498F" w:rsidRDefault="00D3498F" w:rsidP="00D3498F"/>
    <w:tbl>
      <w:tblPr>
        <w:tblStyle w:val="GridTable5DarkAccent5"/>
        <w:tblpPr w:leftFromText="141" w:rightFromText="141" w:vertAnchor="text" w:horzAnchor="margin" w:tblpXSpec="center" w:tblpY="-85"/>
        <w:tblW w:w="9793" w:type="dxa"/>
        <w:tblLayout w:type="fixed"/>
        <w:tblLook w:val="04A0" w:firstRow="1" w:lastRow="0" w:firstColumn="1" w:lastColumn="0" w:noHBand="0" w:noVBand="1"/>
      </w:tblPr>
      <w:tblGrid>
        <w:gridCol w:w="2943"/>
        <w:gridCol w:w="1418"/>
        <w:gridCol w:w="1417"/>
        <w:gridCol w:w="1560"/>
        <w:gridCol w:w="2455"/>
      </w:tblGrid>
      <w:tr w:rsidR="00D3498F" w:rsidRPr="00A65113" w14:paraId="728337B6" w14:textId="77777777" w:rsidTr="00D349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93" w:type="dxa"/>
            <w:gridSpan w:val="5"/>
          </w:tcPr>
          <w:p w14:paraId="09A0A268"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Table 2. Results of one-way analysis of variance for diabetes mellitus type 2 patients with and without diabetic foot syndrome and for controls</w:t>
            </w:r>
          </w:p>
        </w:tc>
      </w:tr>
      <w:tr w:rsidR="00D3498F" w:rsidRPr="00A65113" w14:paraId="24E0769D"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2EFD2958"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Variables</w:t>
            </w:r>
          </w:p>
        </w:tc>
        <w:tc>
          <w:tcPr>
            <w:tcW w:w="1418" w:type="dxa"/>
          </w:tcPr>
          <w:p w14:paraId="4127E1EC"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US"/>
              </w:rPr>
            </w:pPr>
            <w:r w:rsidRPr="00A65113">
              <w:rPr>
                <w:rFonts w:ascii="Arial" w:hAnsi="Arial" w:cs="Arial"/>
                <w:b/>
                <w:sz w:val="18"/>
                <w:szCs w:val="18"/>
                <w:lang w:val="en-US"/>
              </w:rPr>
              <w:t>DFS</w:t>
            </w:r>
          </w:p>
          <w:p w14:paraId="3212E31E"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US"/>
              </w:rPr>
            </w:pPr>
            <w:r w:rsidRPr="00A65113">
              <w:rPr>
                <w:rFonts w:ascii="Arial" w:hAnsi="Arial" w:cs="Arial"/>
                <w:b/>
                <w:sz w:val="18"/>
                <w:szCs w:val="18"/>
                <w:lang w:val="en-US"/>
              </w:rPr>
              <w:t>(n=50)</w:t>
            </w:r>
          </w:p>
        </w:tc>
        <w:tc>
          <w:tcPr>
            <w:tcW w:w="1417" w:type="dxa"/>
          </w:tcPr>
          <w:p w14:paraId="199FBB36"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US"/>
              </w:rPr>
            </w:pPr>
            <w:r w:rsidRPr="00A65113">
              <w:rPr>
                <w:rFonts w:ascii="Arial" w:hAnsi="Arial" w:cs="Arial"/>
                <w:b/>
                <w:sz w:val="18"/>
                <w:szCs w:val="18"/>
                <w:lang w:val="en-US"/>
              </w:rPr>
              <w:t>NDFS</w:t>
            </w:r>
          </w:p>
          <w:p w14:paraId="1FDDBAC5"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US"/>
              </w:rPr>
            </w:pPr>
            <w:r w:rsidRPr="00A65113">
              <w:rPr>
                <w:rFonts w:ascii="Arial" w:hAnsi="Arial" w:cs="Arial"/>
                <w:b/>
                <w:sz w:val="18"/>
                <w:szCs w:val="18"/>
                <w:lang w:val="en-US"/>
              </w:rPr>
              <w:t>(n=30)</w:t>
            </w:r>
          </w:p>
        </w:tc>
        <w:tc>
          <w:tcPr>
            <w:tcW w:w="1560" w:type="dxa"/>
          </w:tcPr>
          <w:p w14:paraId="1852DB3B"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US"/>
              </w:rPr>
            </w:pPr>
            <w:r w:rsidRPr="00A65113">
              <w:rPr>
                <w:rFonts w:ascii="Arial" w:hAnsi="Arial" w:cs="Arial"/>
                <w:b/>
                <w:sz w:val="18"/>
                <w:szCs w:val="18"/>
                <w:lang w:val="en-US"/>
              </w:rPr>
              <w:t xml:space="preserve">Controls </w:t>
            </w:r>
          </w:p>
          <w:p w14:paraId="3DB11ABC"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US"/>
              </w:rPr>
            </w:pPr>
            <w:r w:rsidRPr="00A65113">
              <w:rPr>
                <w:rFonts w:ascii="Arial" w:hAnsi="Arial" w:cs="Arial"/>
                <w:b/>
                <w:sz w:val="18"/>
                <w:szCs w:val="18"/>
                <w:lang w:val="en-US"/>
              </w:rPr>
              <w:t>(n=30)</w:t>
            </w:r>
          </w:p>
        </w:tc>
        <w:tc>
          <w:tcPr>
            <w:tcW w:w="2455" w:type="dxa"/>
          </w:tcPr>
          <w:p w14:paraId="4E5B6FE5"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US"/>
              </w:rPr>
            </w:pPr>
            <w:r w:rsidRPr="00A65113">
              <w:rPr>
                <w:rFonts w:ascii="Arial" w:hAnsi="Arial" w:cs="Arial"/>
                <w:b/>
                <w:sz w:val="18"/>
                <w:szCs w:val="18"/>
                <w:lang w:val="en-US"/>
              </w:rPr>
              <w:t>p</w:t>
            </w:r>
          </w:p>
        </w:tc>
      </w:tr>
      <w:tr w:rsidR="00D3498F" w:rsidRPr="00A65113" w14:paraId="6D4787BC"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52333761"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Age (years) (mean ± SD)</w:t>
            </w:r>
          </w:p>
        </w:tc>
        <w:tc>
          <w:tcPr>
            <w:tcW w:w="1418" w:type="dxa"/>
          </w:tcPr>
          <w:p w14:paraId="11E075FC"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68,08±9.81</w:t>
            </w:r>
          </w:p>
        </w:tc>
        <w:tc>
          <w:tcPr>
            <w:tcW w:w="1417" w:type="dxa"/>
          </w:tcPr>
          <w:p w14:paraId="6B1AEDAE"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66.95±11,92</w:t>
            </w:r>
          </w:p>
        </w:tc>
        <w:tc>
          <w:tcPr>
            <w:tcW w:w="1560" w:type="dxa"/>
          </w:tcPr>
          <w:p w14:paraId="031D21B4"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67.05±13,82</w:t>
            </w:r>
          </w:p>
        </w:tc>
        <w:tc>
          <w:tcPr>
            <w:tcW w:w="2455" w:type="dxa"/>
          </w:tcPr>
          <w:p w14:paraId="0FA2A2AD"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0.881</w:t>
            </w:r>
          </w:p>
        </w:tc>
      </w:tr>
      <w:tr w:rsidR="00D3498F" w:rsidRPr="00A65113" w14:paraId="01C1528F"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6C2F33AD"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SBP (mmHg)</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69DE61C4"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130.34±17.52</w:t>
            </w:r>
          </w:p>
        </w:tc>
        <w:tc>
          <w:tcPr>
            <w:tcW w:w="1417" w:type="dxa"/>
          </w:tcPr>
          <w:p w14:paraId="13598807"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129.37±17.25</w:t>
            </w:r>
          </w:p>
        </w:tc>
        <w:tc>
          <w:tcPr>
            <w:tcW w:w="1560" w:type="dxa"/>
          </w:tcPr>
          <w:p w14:paraId="6CC436A1"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125.00±12.24</w:t>
            </w:r>
          </w:p>
        </w:tc>
        <w:tc>
          <w:tcPr>
            <w:tcW w:w="2455" w:type="dxa"/>
          </w:tcPr>
          <w:p w14:paraId="3E70A045"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0.47</w:t>
            </w:r>
          </w:p>
        </w:tc>
      </w:tr>
      <w:tr w:rsidR="00D3498F" w:rsidRPr="00A65113" w14:paraId="5A45208C"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7088E31B"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DBP (mmHg)</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4E7D74A0"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72.22±10.40</w:t>
            </w:r>
          </w:p>
        </w:tc>
        <w:tc>
          <w:tcPr>
            <w:tcW w:w="1417" w:type="dxa"/>
          </w:tcPr>
          <w:p w14:paraId="3DF00B98"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74.85±14,64</w:t>
            </w:r>
          </w:p>
        </w:tc>
        <w:tc>
          <w:tcPr>
            <w:tcW w:w="1560" w:type="dxa"/>
          </w:tcPr>
          <w:p w14:paraId="3CF9AE85"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74.500±10,85</w:t>
            </w:r>
          </w:p>
        </w:tc>
        <w:tc>
          <w:tcPr>
            <w:tcW w:w="2455" w:type="dxa"/>
          </w:tcPr>
          <w:p w14:paraId="51A8F829"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0.59</w:t>
            </w:r>
          </w:p>
        </w:tc>
      </w:tr>
      <w:tr w:rsidR="00D3498F" w:rsidRPr="00A65113" w14:paraId="3A5554D7"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28FE8B07"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lastRenderedPageBreak/>
              <w:t>Height (cm)</w:t>
            </w:r>
            <w:r w:rsidRPr="00A65113">
              <w:rPr>
                <w:rFonts w:ascii="Arial" w:eastAsiaTheme="minorHAnsi" w:hAnsi="Arial" w:cs="Arial"/>
                <w:bCs w:val="0"/>
                <w:sz w:val="18"/>
                <w:szCs w:val="18"/>
                <w:lang w:val="en-US"/>
              </w:rPr>
              <w:t xml:space="preserve"> (</w:t>
            </w:r>
            <w:r w:rsidRPr="00A65113">
              <w:rPr>
                <w:rFonts w:ascii="Arial" w:hAnsi="Arial" w:cs="Arial"/>
                <w:bCs w:val="0"/>
                <w:sz w:val="18"/>
                <w:szCs w:val="18"/>
                <w:lang w:val="en-US"/>
              </w:rPr>
              <w:t>mean ± SD)</w:t>
            </w:r>
          </w:p>
        </w:tc>
        <w:tc>
          <w:tcPr>
            <w:tcW w:w="1418" w:type="dxa"/>
          </w:tcPr>
          <w:p w14:paraId="48286229"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167.96 ± 15,19</w:t>
            </w:r>
          </w:p>
        </w:tc>
        <w:tc>
          <w:tcPr>
            <w:tcW w:w="1417" w:type="dxa"/>
          </w:tcPr>
          <w:p w14:paraId="504A97D5"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169.90±7,71</w:t>
            </w:r>
          </w:p>
        </w:tc>
        <w:tc>
          <w:tcPr>
            <w:tcW w:w="1560" w:type="dxa"/>
          </w:tcPr>
          <w:p w14:paraId="58AFB785"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164.20±7,82</w:t>
            </w:r>
          </w:p>
        </w:tc>
        <w:tc>
          <w:tcPr>
            <w:tcW w:w="2455" w:type="dxa"/>
          </w:tcPr>
          <w:p w14:paraId="68204DCB"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0.21</w:t>
            </w:r>
          </w:p>
        </w:tc>
      </w:tr>
      <w:tr w:rsidR="00D3498F" w:rsidRPr="00A65113" w14:paraId="7E99932B"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76A48BC0"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 xml:space="preserve">Weight (kg) </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2192482D"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82.98±19.87</w:t>
            </w:r>
          </w:p>
        </w:tc>
        <w:tc>
          <w:tcPr>
            <w:tcW w:w="1417" w:type="dxa"/>
          </w:tcPr>
          <w:p w14:paraId="03E7B0E8"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83.80±22.19</w:t>
            </w:r>
          </w:p>
        </w:tc>
        <w:tc>
          <w:tcPr>
            <w:tcW w:w="1560" w:type="dxa"/>
          </w:tcPr>
          <w:p w14:paraId="6A7A5D7D"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72.75±13.16</w:t>
            </w:r>
          </w:p>
        </w:tc>
        <w:tc>
          <w:tcPr>
            <w:tcW w:w="2455" w:type="dxa"/>
          </w:tcPr>
          <w:p w14:paraId="736180DD"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0.95</w:t>
            </w:r>
          </w:p>
        </w:tc>
      </w:tr>
      <w:tr w:rsidR="00D3498F" w:rsidRPr="00A65113" w14:paraId="39ED9280"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64AFE69C"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BMI (kg/m</w:t>
            </w:r>
            <w:r w:rsidRPr="00A65113">
              <w:rPr>
                <w:rFonts w:ascii="Arial" w:hAnsi="Arial" w:cs="Arial"/>
                <w:bCs w:val="0"/>
                <w:sz w:val="18"/>
                <w:szCs w:val="18"/>
                <w:vertAlign w:val="superscript"/>
                <w:lang w:val="en-US"/>
              </w:rPr>
              <w:t>2</w:t>
            </w:r>
            <w:r w:rsidRPr="00A65113">
              <w:rPr>
                <w:rFonts w:ascii="Arial" w:hAnsi="Arial" w:cs="Arial"/>
                <w:bCs w:val="0"/>
                <w:sz w:val="18"/>
                <w:szCs w:val="18"/>
                <w:lang w:val="en-US"/>
              </w:rPr>
              <w:t xml:space="preserve">) </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4B2ED09A"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28.58±6.32</w:t>
            </w:r>
          </w:p>
        </w:tc>
        <w:tc>
          <w:tcPr>
            <w:tcW w:w="1417" w:type="dxa"/>
          </w:tcPr>
          <w:p w14:paraId="5E058D4B"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28,98±6.54</w:t>
            </w:r>
          </w:p>
        </w:tc>
        <w:tc>
          <w:tcPr>
            <w:tcW w:w="1560" w:type="dxa"/>
          </w:tcPr>
          <w:p w14:paraId="160A5EEC"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27.11±5.61</w:t>
            </w:r>
          </w:p>
        </w:tc>
        <w:tc>
          <w:tcPr>
            <w:tcW w:w="2455" w:type="dxa"/>
          </w:tcPr>
          <w:p w14:paraId="26E8540F" w14:textId="77777777" w:rsidR="00D3498F" w:rsidRPr="00A65113" w:rsidRDefault="00D3498F" w:rsidP="00D3498F">
            <w:pPr>
              <w:ind w:right="-131"/>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0.54</w:t>
            </w:r>
          </w:p>
        </w:tc>
      </w:tr>
      <w:tr w:rsidR="00D3498F" w:rsidRPr="00A65113" w14:paraId="5B0BE687"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6A1A042D"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RHI</w:t>
            </w:r>
            <w:r>
              <w:rPr>
                <w:rFonts w:ascii="Arial" w:hAnsi="Arial" w:cs="Arial"/>
                <w:bCs w:val="0"/>
                <w:sz w:val="18"/>
                <w:szCs w:val="18"/>
                <w:lang w:val="en-US"/>
              </w:rPr>
              <w:t xml:space="preserve"> </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031F1DB9"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1.42±0.49</w:t>
            </w:r>
          </w:p>
        </w:tc>
        <w:tc>
          <w:tcPr>
            <w:tcW w:w="1417" w:type="dxa"/>
          </w:tcPr>
          <w:p w14:paraId="5BC400D9"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1.67±0.43</w:t>
            </w:r>
          </w:p>
        </w:tc>
        <w:tc>
          <w:tcPr>
            <w:tcW w:w="1560" w:type="dxa"/>
          </w:tcPr>
          <w:p w14:paraId="096158FC"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2.03±0.66</w:t>
            </w:r>
          </w:p>
        </w:tc>
        <w:tc>
          <w:tcPr>
            <w:tcW w:w="2455" w:type="dxa"/>
          </w:tcPr>
          <w:p w14:paraId="769F5EFC"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&lt;0.0005</w:t>
            </w:r>
          </w:p>
        </w:tc>
      </w:tr>
      <w:tr w:rsidR="00D3498F" w:rsidRPr="00A65113" w14:paraId="08C535C3"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7297A1FB"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 xml:space="preserve">MMSE </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3E2E0B53"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25.62±3.36</w:t>
            </w:r>
          </w:p>
        </w:tc>
        <w:tc>
          <w:tcPr>
            <w:tcW w:w="1417" w:type="dxa"/>
          </w:tcPr>
          <w:p w14:paraId="077553C9"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26.35±3.53</w:t>
            </w:r>
          </w:p>
        </w:tc>
        <w:tc>
          <w:tcPr>
            <w:tcW w:w="1560" w:type="dxa"/>
          </w:tcPr>
          <w:p w14:paraId="3B1BF753"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29,00±1,29</w:t>
            </w:r>
          </w:p>
        </w:tc>
        <w:tc>
          <w:tcPr>
            <w:tcW w:w="2455" w:type="dxa"/>
          </w:tcPr>
          <w:p w14:paraId="3AEBF28F" w14:textId="77777777" w:rsidR="00D3498F" w:rsidRPr="00A65113" w:rsidRDefault="00D3498F" w:rsidP="00D3498F">
            <w:pPr>
              <w:ind w:right="-127"/>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&lt;0.0005</w:t>
            </w:r>
          </w:p>
        </w:tc>
      </w:tr>
      <w:tr w:rsidR="00D3498F" w:rsidRPr="00A65113" w14:paraId="10C6CD29"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10AC3D34"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HbA</w:t>
            </w:r>
            <w:r w:rsidRPr="00A65113">
              <w:rPr>
                <w:rFonts w:ascii="Arial" w:hAnsi="Arial" w:cs="Arial"/>
                <w:bCs w:val="0"/>
                <w:sz w:val="18"/>
                <w:szCs w:val="18"/>
                <w:vertAlign w:val="subscript"/>
                <w:lang w:val="en-US"/>
              </w:rPr>
              <w:t xml:space="preserve">1c </w:t>
            </w:r>
            <w:r w:rsidRPr="00A65113">
              <w:rPr>
                <w:rFonts w:ascii="Arial" w:hAnsi="Arial" w:cs="Arial"/>
                <w:bCs w:val="0"/>
                <w:sz w:val="18"/>
                <w:szCs w:val="18"/>
                <w:lang w:val="en-US"/>
              </w:rPr>
              <w:t>(%) (mean ± SD)</w:t>
            </w:r>
          </w:p>
        </w:tc>
        <w:tc>
          <w:tcPr>
            <w:tcW w:w="1418" w:type="dxa"/>
          </w:tcPr>
          <w:p w14:paraId="3AB4B2AE"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8.07±1.46</w:t>
            </w:r>
          </w:p>
        </w:tc>
        <w:tc>
          <w:tcPr>
            <w:tcW w:w="1417" w:type="dxa"/>
          </w:tcPr>
          <w:p w14:paraId="41379F4B"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lang w:val="en-US"/>
              </w:rPr>
              <w:t>7.68±2.02</w:t>
            </w:r>
          </w:p>
        </w:tc>
        <w:tc>
          <w:tcPr>
            <w:tcW w:w="1560" w:type="dxa"/>
          </w:tcPr>
          <w:p w14:paraId="0DE6D12C"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rPr>
              <w:t>5,89</w:t>
            </w:r>
            <w:r w:rsidRPr="00A65113">
              <w:rPr>
                <w:rFonts w:ascii="Arial" w:hAnsi="Arial" w:cs="Arial"/>
                <w:sz w:val="18"/>
                <w:szCs w:val="18"/>
                <w:lang w:val="en-US"/>
              </w:rPr>
              <w:t>±0,57</w:t>
            </w:r>
          </w:p>
        </w:tc>
        <w:tc>
          <w:tcPr>
            <w:tcW w:w="2455" w:type="dxa"/>
          </w:tcPr>
          <w:p w14:paraId="6AF33F0D"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0.32</w:t>
            </w:r>
          </w:p>
        </w:tc>
      </w:tr>
      <w:tr w:rsidR="00D3498F" w:rsidRPr="00A65113" w14:paraId="2D803022"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35B9660D"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IL-6</w:t>
            </w:r>
            <w:r>
              <w:rPr>
                <w:rFonts w:ascii="Arial" w:hAnsi="Arial" w:cs="Arial"/>
                <w:bCs w:val="0"/>
                <w:sz w:val="18"/>
                <w:szCs w:val="18"/>
                <w:lang w:val="en-US"/>
              </w:rPr>
              <w:t xml:space="preserve"> </w:t>
            </w:r>
            <w:r w:rsidRPr="00A65113">
              <w:rPr>
                <w:rFonts w:ascii="Arial" w:hAnsi="Arial" w:cs="Arial"/>
                <w:bCs w:val="0"/>
                <w:sz w:val="18"/>
                <w:szCs w:val="18"/>
                <w:lang w:val="en-US"/>
              </w:rPr>
              <w:t xml:space="preserve">(pg/mL) </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SD)</w:t>
            </w:r>
          </w:p>
        </w:tc>
        <w:tc>
          <w:tcPr>
            <w:tcW w:w="1418" w:type="dxa"/>
          </w:tcPr>
          <w:p w14:paraId="248CD77E"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25,99±52,73</w:t>
            </w:r>
          </w:p>
        </w:tc>
        <w:tc>
          <w:tcPr>
            <w:tcW w:w="1417" w:type="dxa"/>
          </w:tcPr>
          <w:p w14:paraId="4A33BD49"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5,04±4,92</w:t>
            </w:r>
          </w:p>
        </w:tc>
        <w:tc>
          <w:tcPr>
            <w:tcW w:w="1560" w:type="dxa"/>
          </w:tcPr>
          <w:p w14:paraId="3DF1826B"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3,09±1,91</w:t>
            </w:r>
          </w:p>
        </w:tc>
        <w:tc>
          <w:tcPr>
            <w:tcW w:w="2455" w:type="dxa"/>
          </w:tcPr>
          <w:p w14:paraId="75252819"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0.70</w:t>
            </w:r>
          </w:p>
        </w:tc>
      </w:tr>
      <w:tr w:rsidR="00D3498F" w:rsidRPr="00A65113" w14:paraId="0CF2E477"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29C3554E"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TNF-alpha (pg/mL)(mean ± SD)</w:t>
            </w:r>
          </w:p>
        </w:tc>
        <w:tc>
          <w:tcPr>
            <w:tcW w:w="1418" w:type="dxa"/>
          </w:tcPr>
          <w:p w14:paraId="45AC59B7"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3,46±3,08</w:t>
            </w:r>
          </w:p>
        </w:tc>
        <w:tc>
          <w:tcPr>
            <w:tcW w:w="1417" w:type="dxa"/>
          </w:tcPr>
          <w:p w14:paraId="7FFAAD26"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2,97±0,71</w:t>
            </w:r>
          </w:p>
        </w:tc>
        <w:tc>
          <w:tcPr>
            <w:tcW w:w="1560" w:type="dxa"/>
          </w:tcPr>
          <w:p w14:paraId="4ED18BAE"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2,15±0,90</w:t>
            </w:r>
          </w:p>
        </w:tc>
        <w:tc>
          <w:tcPr>
            <w:tcW w:w="2455" w:type="dxa"/>
          </w:tcPr>
          <w:p w14:paraId="57E87C3C"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0.304</w:t>
            </w:r>
          </w:p>
        </w:tc>
      </w:tr>
      <w:tr w:rsidR="00D3498F" w:rsidRPr="00A65113" w14:paraId="3A12F4DD"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5D335476" w14:textId="77777777" w:rsidR="00D3498F" w:rsidRPr="00A65113" w:rsidRDefault="00D3498F" w:rsidP="00D3498F">
            <w:pPr>
              <w:jc w:val="both"/>
              <w:rPr>
                <w:rFonts w:ascii="Arial" w:hAnsi="Arial" w:cs="Arial"/>
                <w:bCs w:val="0"/>
                <w:i/>
                <w:iCs/>
                <w:sz w:val="18"/>
                <w:szCs w:val="18"/>
                <w:lang w:val="en-US"/>
              </w:rPr>
            </w:pPr>
            <w:r w:rsidRPr="00A65113">
              <w:rPr>
                <w:rFonts w:ascii="Arial" w:eastAsiaTheme="minorHAnsi" w:hAnsi="Arial" w:cs="Arial"/>
                <w:bCs w:val="0"/>
                <w:sz w:val="18"/>
                <w:szCs w:val="18"/>
                <w:lang w:val="en-US"/>
              </w:rPr>
              <w:t xml:space="preserve">VEGF </w:t>
            </w:r>
            <w:r w:rsidRPr="00A65113">
              <w:rPr>
                <w:rFonts w:ascii="Arial" w:hAnsi="Arial" w:cs="Arial"/>
                <w:bCs w:val="0"/>
                <w:sz w:val="18"/>
                <w:szCs w:val="18"/>
                <w:lang w:val="en-US"/>
              </w:rPr>
              <w:t>(pg/mL)</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153C2BA8"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191,40±200</w:t>
            </w:r>
          </w:p>
        </w:tc>
        <w:tc>
          <w:tcPr>
            <w:tcW w:w="1417" w:type="dxa"/>
          </w:tcPr>
          <w:p w14:paraId="40637804"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98,27±56,92</w:t>
            </w:r>
          </w:p>
        </w:tc>
        <w:tc>
          <w:tcPr>
            <w:tcW w:w="1560" w:type="dxa"/>
          </w:tcPr>
          <w:p w14:paraId="42FFFCD5"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71,01±52,59</w:t>
            </w:r>
          </w:p>
        </w:tc>
        <w:tc>
          <w:tcPr>
            <w:tcW w:w="2455" w:type="dxa"/>
          </w:tcPr>
          <w:p w14:paraId="719346E0"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0.022</w:t>
            </w:r>
          </w:p>
        </w:tc>
      </w:tr>
      <w:tr w:rsidR="00D3498F" w:rsidRPr="00A65113" w14:paraId="2CE95181"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044894EF"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eNOS (ng/mL)(mean ± SD)</w:t>
            </w:r>
          </w:p>
        </w:tc>
        <w:tc>
          <w:tcPr>
            <w:tcW w:w="1418" w:type="dxa"/>
          </w:tcPr>
          <w:p w14:paraId="6F8655B6"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2,47±8,19</w:t>
            </w:r>
          </w:p>
        </w:tc>
        <w:tc>
          <w:tcPr>
            <w:tcW w:w="1417" w:type="dxa"/>
          </w:tcPr>
          <w:p w14:paraId="0F930C80"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1,01±1,67</w:t>
            </w:r>
          </w:p>
        </w:tc>
        <w:tc>
          <w:tcPr>
            <w:tcW w:w="1560" w:type="dxa"/>
          </w:tcPr>
          <w:p w14:paraId="175334D6"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1,063±1,19</w:t>
            </w:r>
          </w:p>
        </w:tc>
        <w:tc>
          <w:tcPr>
            <w:tcW w:w="2455" w:type="dxa"/>
          </w:tcPr>
          <w:p w14:paraId="6E1EC144"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0.606</w:t>
            </w:r>
          </w:p>
        </w:tc>
      </w:tr>
      <w:tr w:rsidR="00D3498F" w:rsidRPr="00A65113" w14:paraId="53BA6E39" w14:textId="77777777" w:rsidTr="00D3498F">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943" w:type="dxa"/>
          </w:tcPr>
          <w:p w14:paraId="0DE888D3"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HIF-1alpha (ng/mL)</w:t>
            </w:r>
            <w:r w:rsidRPr="00A65113">
              <w:rPr>
                <w:rFonts w:ascii="Arial" w:eastAsiaTheme="minorHAnsi" w:hAnsi="Arial" w:cs="Arial"/>
                <w:bCs w:val="0"/>
                <w:sz w:val="18"/>
                <w:szCs w:val="18"/>
                <w:lang w:val="en-US"/>
              </w:rPr>
              <w:t>(</w:t>
            </w:r>
            <w:r w:rsidRPr="00A65113">
              <w:rPr>
                <w:rFonts w:ascii="Arial" w:hAnsi="Arial" w:cs="Arial"/>
                <w:bCs w:val="0"/>
                <w:sz w:val="18"/>
                <w:szCs w:val="18"/>
                <w:lang w:val="en-US"/>
              </w:rPr>
              <w:t>mean ± SD)</w:t>
            </w:r>
          </w:p>
        </w:tc>
        <w:tc>
          <w:tcPr>
            <w:tcW w:w="1418" w:type="dxa"/>
          </w:tcPr>
          <w:p w14:paraId="2CD5BAA7"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40,18±10,80</w:t>
            </w:r>
          </w:p>
        </w:tc>
        <w:tc>
          <w:tcPr>
            <w:tcW w:w="1417" w:type="dxa"/>
          </w:tcPr>
          <w:p w14:paraId="1E6674C2"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33,50±6,16</w:t>
            </w:r>
          </w:p>
        </w:tc>
        <w:tc>
          <w:tcPr>
            <w:tcW w:w="1560" w:type="dxa"/>
          </w:tcPr>
          <w:p w14:paraId="5B99F304"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33,85±6,84</w:t>
            </w:r>
          </w:p>
        </w:tc>
        <w:tc>
          <w:tcPr>
            <w:tcW w:w="2455" w:type="dxa"/>
          </w:tcPr>
          <w:p w14:paraId="3C0CD7AA" w14:textId="77777777" w:rsidR="00D3498F" w:rsidRPr="00A65113"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0.010</w:t>
            </w:r>
          </w:p>
        </w:tc>
      </w:tr>
      <w:tr w:rsidR="00D3498F" w:rsidRPr="00A65113" w14:paraId="4CF9646A" w14:textId="77777777" w:rsidTr="00D3498F">
        <w:trPr>
          <w:trHeight w:val="537"/>
        </w:trPr>
        <w:tc>
          <w:tcPr>
            <w:cnfStyle w:val="001000000000" w:firstRow="0" w:lastRow="0" w:firstColumn="1" w:lastColumn="0" w:oddVBand="0" w:evenVBand="0" w:oddHBand="0" w:evenHBand="0" w:firstRowFirstColumn="0" w:firstRowLastColumn="0" w:lastRowFirstColumn="0" w:lastRowLastColumn="0"/>
            <w:tcW w:w="2943" w:type="dxa"/>
          </w:tcPr>
          <w:p w14:paraId="322355E7" w14:textId="77777777" w:rsidR="00D3498F" w:rsidRPr="00A65113" w:rsidRDefault="00D3498F" w:rsidP="00D3498F">
            <w:pPr>
              <w:jc w:val="both"/>
              <w:rPr>
                <w:rFonts w:ascii="Arial" w:hAnsi="Arial" w:cs="Arial"/>
                <w:bCs w:val="0"/>
                <w:i/>
                <w:iCs/>
                <w:sz w:val="18"/>
                <w:szCs w:val="18"/>
                <w:lang w:val="en-US"/>
              </w:rPr>
            </w:pPr>
            <w:r w:rsidRPr="00A65113">
              <w:rPr>
                <w:rFonts w:ascii="Arial" w:hAnsi="Arial" w:cs="Arial"/>
                <w:bCs w:val="0"/>
                <w:sz w:val="18"/>
                <w:szCs w:val="18"/>
                <w:lang w:val="en-US"/>
              </w:rPr>
              <w:t>Gremlina-1 (ng/mL)(mean ± SD)</w:t>
            </w:r>
          </w:p>
        </w:tc>
        <w:tc>
          <w:tcPr>
            <w:tcW w:w="1418" w:type="dxa"/>
          </w:tcPr>
          <w:p w14:paraId="10A3468D"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rPr>
              <w:t>1,72</w:t>
            </w:r>
            <w:r w:rsidRPr="00A65113">
              <w:rPr>
                <w:rFonts w:ascii="Arial" w:hAnsi="Arial" w:cs="Arial"/>
                <w:sz w:val="18"/>
                <w:szCs w:val="18"/>
                <w:lang w:val="en-US"/>
              </w:rPr>
              <w:t>±0,512</w:t>
            </w:r>
          </w:p>
        </w:tc>
        <w:tc>
          <w:tcPr>
            <w:tcW w:w="1417" w:type="dxa"/>
          </w:tcPr>
          <w:p w14:paraId="62D65B93"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rPr>
              <w:t>1,31</w:t>
            </w:r>
            <w:r w:rsidRPr="00A65113">
              <w:rPr>
                <w:rFonts w:ascii="Arial" w:hAnsi="Arial" w:cs="Arial"/>
                <w:sz w:val="18"/>
                <w:szCs w:val="18"/>
                <w:lang w:val="en-US"/>
              </w:rPr>
              <w:t>±0,21</w:t>
            </w:r>
          </w:p>
        </w:tc>
        <w:tc>
          <w:tcPr>
            <w:tcW w:w="1560" w:type="dxa"/>
          </w:tcPr>
          <w:p w14:paraId="5483F3C3"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rPr>
              <w:t>1,11</w:t>
            </w:r>
            <w:r w:rsidRPr="00A65113">
              <w:rPr>
                <w:rFonts w:ascii="Arial" w:hAnsi="Arial" w:cs="Arial"/>
                <w:sz w:val="18"/>
                <w:szCs w:val="18"/>
                <w:lang w:val="en-US"/>
              </w:rPr>
              <w:t>±0,19</w:t>
            </w:r>
          </w:p>
        </w:tc>
        <w:tc>
          <w:tcPr>
            <w:tcW w:w="2455" w:type="dxa"/>
          </w:tcPr>
          <w:p w14:paraId="652B661D" w14:textId="77777777" w:rsidR="00D3498F" w:rsidRPr="00A65113"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A65113">
              <w:rPr>
                <w:rFonts w:ascii="Arial" w:hAnsi="Arial" w:cs="Arial"/>
                <w:sz w:val="18"/>
                <w:szCs w:val="18"/>
                <w:lang w:val="en-US"/>
              </w:rPr>
              <w:t>&lt;0.0005</w:t>
            </w:r>
          </w:p>
        </w:tc>
      </w:tr>
    </w:tbl>
    <w:p w14:paraId="168E1658" w14:textId="77777777" w:rsidR="00D3498F" w:rsidRDefault="00D3498F" w:rsidP="00D3498F"/>
    <w:p w14:paraId="63FBEDA8" w14:textId="77777777" w:rsidR="00D3498F" w:rsidRDefault="00D3498F" w:rsidP="00D3498F"/>
    <w:p w14:paraId="52D92F01" w14:textId="77777777" w:rsidR="00D3498F" w:rsidRDefault="00D3498F" w:rsidP="00D3498F"/>
    <w:p w14:paraId="70ED258F" w14:textId="77777777" w:rsidR="00D3498F" w:rsidRDefault="00D3498F" w:rsidP="00D3498F"/>
    <w:p w14:paraId="54C6C3E0" w14:textId="77777777" w:rsidR="00D3498F" w:rsidRDefault="00D3498F" w:rsidP="00D3498F"/>
    <w:p w14:paraId="68555BFD" w14:textId="77777777" w:rsidR="00D3498F" w:rsidRDefault="00D3498F" w:rsidP="00D3498F"/>
    <w:p w14:paraId="2DB6DD2A" w14:textId="77777777" w:rsidR="00D3498F" w:rsidRDefault="00D3498F" w:rsidP="00D3498F"/>
    <w:p w14:paraId="5B4F6F72" w14:textId="77777777" w:rsidR="00D3498F" w:rsidRDefault="00D3498F" w:rsidP="00D3498F"/>
    <w:p w14:paraId="1173446E" w14:textId="77777777" w:rsidR="00D3498F" w:rsidRDefault="00D3498F" w:rsidP="00D3498F"/>
    <w:p w14:paraId="0E14E58A" w14:textId="77777777" w:rsidR="00D3498F" w:rsidRDefault="00D3498F" w:rsidP="00D3498F"/>
    <w:p w14:paraId="46DCE9AF" w14:textId="77777777" w:rsidR="00D3498F" w:rsidRPr="00D3498F" w:rsidRDefault="00D3498F" w:rsidP="00D3498F"/>
    <w:p w14:paraId="565F45BD" w14:textId="77777777" w:rsidR="00D3498F" w:rsidRPr="00D3498F" w:rsidRDefault="00D3498F" w:rsidP="00D3498F"/>
    <w:p w14:paraId="2795784C" w14:textId="77777777" w:rsidR="00D3498F" w:rsidRDefault="00D3498F" w:rsidP="00D3498F"/>
    <w:p w14:paraId="2C34B934" w14:textId="77777777" w:rsidR="00D3498F" w:rsidRPr="00D3498F" w:rsidRDefault="00D3498F" w:rsidP="00D3498F">
      <w:pPr>
        <w:rPr>
          <w:b/>
          <w:lang w:val="en-US"/>
        </w:rPr>
      </w:pPr>
      <w:r w:rsidRPr="00D3498F">
        <w:rPr>
          <w:b/>
          <w:lang w:val="en-US"/>
        </w:rPr>
        <w:t>Table 3. Results of inter-group analysis</w:t>
      </w:r>
    </w:p>
    <w:p w14:paraId="3A29C8D7" w14:textId="77777777" w:rsidR="00D3498F" w:rsidRPr="00D3498F" w:rsidRDefault="00D3498F" w:rsidP="00D3498F"/>
    <w:p w14:paraId="674FC1CA" w14:textId="77777777" w:rsidR="00D3498F" w:rsidRPr="00D3498F" w:rsidRDefault="00D3498F" w:rsidP="00D3498F"/>
    <w:p w14:paraId="6268FADB" w14:textId="77777777" w:rsidR="00D3498F" w:rsidRPr="00D3498F" w:rsidRDefault="00D3498F" w:rsidP="00D3498F"/>
    <w:p w14:paraId="0E1BF7D5" w14:textId="77777777" w:rsidR="00D3498F" w:rsidRPr="00D3498F" w:rsidRDefault="00D3498F" w:rsidP="00D3498F"/>
    <w:p w14:paraId="2710710E" w14:textId="77777777" w:rsidR="00D3498F" w:rsidRPr="00D3498F" w:rsidRDefault="00D3498F" w:rsidP="00D3498F"/>
    <w:p w14:paraId="1C49E44A" w14:textId="3CCDE2C7" w:rsidR="00D3498F" w:rsidRDefault="00D3498F" w:rsidP="00D3498F"/>
    <w:p w14:paraId="4181CB14" w14:textId="53776CCB" w:rsidR="00D3498F" w:rsidRPr="00D3498F" w:rsidRDefault="00D3498F" w:rsidP="00D3498F">
      <w:pPr>
        <w:rPr>
          <w:b/>
          <w:lang w:val="en-US"/>
        </w:rPr>
      </w:pPr>
    </w:p>
    <w:tbl>
      <w:tblPr>
        <w:tblStyle w:val="GridTable5DarkAccent5"/>
        <w:tblpPr w:leftFromText="141" w:rightFromText="141" w:vertAnchor="text" w:horzAnchor="page" w:tblpXSpec="center" w:tblpY="-1412"/>
        <w:tblW w:w="5137" w:type="pct"/>
        <w:tblLook w:val="04A0" w:firstRow="1" w:lastRow="0" w:firstColumn="1" w:lastColumn="0" w:noHBand="0" w:noVBand="1"/>
      </w:tblPr>
      <w:tblGrid>
        <w:gridCol w:w="2165"/>
        <w:gridCol w:w="787"/>
        <w:gridCol w:w="787"/>
        <w:gridCol w:w="787"/>
        <w:gridCol w:w="487"/>
        <w:gridCol w:w="687"/>
        <w:gridCol w:w="887"/>
        <w:gridCol w:w="857"/>
        <w:gridCol w:w="1223"/>
      </w:tblGrid>
      <w:tr w:rsidR="00D3498F" w:rsidRPr="002E3A4C" w14:paraId="046079D4" w14:textId="77777777" w:rsidTr="00D3498F">
        <w:trPr>
          <w:cnfStyle w:val="100000000000" w:firstRow="1" w:lastRow="0" w:firstColumn="0" w:lastColumn="0" w:oddVBand="0" w:evenVBand="0" w:oddHBand="0"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5000" w:type="pct"/>
            <w:gridSpan w:val="9"/>
          </w:tcPr>
          <w:p w14:paraId="72B397AC" w14:textId="77777777" w:rsidR="00D3498F" w:rsidRPr="00A65113" w:rsidRDefault="00D3498F" w:rsidP="00D3498F">
            <w:pPr>
              <w:spacing w:line="360" w:lineRule="auto"/>
              <w:jc w:val="both"/>
              <w:rPr>
                <w:rFonts w:ascii="Arial" w:hAnsi="Arial" w:cs="Arial"/>
                <w:sz w:val="18"/>
                <w:szCs w:val="18"/>
                <w:lang w:val="en-US"/>
              </w:rPr>
            </w:pPr>
            <w:r w:rsidRPr="00A65113">
              <w:rPr>
                <w:rFonts w:ascii="Arial" w:hAnsi="Arial" w:cs="Arial"/>
                <w:sz w:val="18"/>
                <w:szCs w:val="18"/>
                <w:lang w:val="en-US"/>
              </w:rPr>
              <w:lastRenderedPageBreak/>
              <w:t>Table 3. Results of inter-group analysis</w:t>
            </w:r>
          </w:p>
          <w:p w14:paraId="6ECE88BC" w14:textId="77777777" w:rsidR="00D3498F" w:rsidRPr="007B29CC" w:rsidRDefault="00D3498F" w:rsidP="00D3498F">
            <w:pPr>
              <w:autoSpaceDE w:val="0"/>
              <w:adjustRightInd w:val="0"/>
              <w:spacing w:line="320" w:lineRule="atLeast"/>
              <w:ind w:left="60" w:right="60"/>
              <w:jc w:val="center"/>
              <w:rPr>
                <w:rFonts w:ascii="Arial" w:hAnsi="Arial" w:cs="Arial"/>
                <w:sz w:val="18"/>
                <w:szCs w:val="18"/>
                <w:lang w:val="en-US"/>
              </w:rPr>
            </w:pPr>
            <w:r w:rsidRPr="007B29CC">
              <w:rPr>
                <w:rFonts w:ascii="Arial" w:hAnsi="Arial" w:cs="Arial"/>
                <w:sz w:val="18"/>
                <w:szCs w:val="18"/>
                <w:lang w:val="en-US"/>
              </w:rPr>
              <w:t>Parameter Estimates</w:t>
            </w:r>
          </w:p>
        </w:tc>
      </w:tr>
      <w:tr w:rsidR="00D3498F" w:rsidRPr="007B29CC" w14:paraId="25A763BB" w14:textId="77777777" w:rsidTr="00D3498F">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1411" w:type="pct"/>
            <w:vMerge w:val="restart"/>
          </w:tcPr>
          <w:p w14:paraId="042E724A" w14:textId="77777777" w:rsidR="00D3498F" w:rsidRPr="002E3A4C" w:rsidRDefault="00D3498F" w:rsidP="00D3498F">
            <w:pPr>
              <w:autoSpaceDE w:val="0"/>
              <w:adjustRightInd w:val="0"/>
              <w:spacing w:line="320" w:lineRule="atLeast"/>
              <w:ind w:left="60" w:right="60"/>
              <w:rPr>
                <w:rFonts w:ascii="Arial" w:hAnsi="Arial" w:cs="Arial"/>
                <w:color w:val="000000"/>
                <w:sz w:val="18"/>
                <w:szCs w:val="18"/>
                <w:lang w:val="en-US"/>
              </w:rPr>
            </w:pPr>
            <w:r w:rsidRPr="007B29CC">
              <w:rPr>
                <w:rFonts w:ascii="Arial" w:hAnsi="Arial" w:cs="Arial"/>
                <w:sz w:val="18"/>
                <w:szCs w:val="18"/>
                <w:lang w:val="en-US"/>
              </w:rPr>
              <w:t>MMSE</w:t>
            </w:r>
            <w:r>
              <w:rPr>
                <w:rFonts w:ascii="Arial" w:hAnsi="Arial" w:cs="Arial"/>
                <w:sz w:val="18"/>
                <w:szCs w:val="18"/>
                <w:lang w:val="en-US"/>
              </w:rPr>
              <w:t xml:space="preserve"> </w:t>
            </w:r>
            <w:r w:rsidRPr="007B29CC">
              <w:rPr>
                <w:rFonts w:ascii="Arial" w:hAnsi="Arial" w:cs="Arial"/>
                <w:sz w:val="18"/>
                <w:szCs w:val="18"/>
                <w:lang w:val="en-US"/>
              </w:rPr>
              <w:t>SCORE</w:t>
            </w:r>
            <w:r w:rsidRPr="007B29CC">
              <w:rPr>
                <w:rFonts w:ascii="Arial" w:hAnsi="Arial" w:cs="Arial"/>
                <w:sz w:val="18"/>
                <w:szCs w:val="18"/>
                <w:vertAlign w:val="superscript"/>
                <w:lang w:val="en-US"/>
              </w:rPr>
              <w:t>a</w:t>
            </w:r>
          </w:p>
        </w:tc>
        <w:tc>
          <w:tcPr>
            <w:tcW w:w="438" w:type="pct"/>
            <w:vMerge w:val="restart"/>
          </w:tcPr>
          <w:p w14:paraId="04E3442C" w14:textId="77777777" w:rsidR="00D3498F" w:rsidRPr="002E3A4C" w:rsidRDefault="00D3498F" w:rsidP="00D3498F">
            <w:pPr>
              <w:autoSpaceDE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B</w:t>
            </w:r>
          </w:p>
        </w:tc>
        <w:tc>
          <w:tcPr>
            <w:tcW w:w="398" w:type="pct"/>
            <w:vMerge w:val="restart"/>
          </w:tcPr>
          <w:p w14:paraId="1DBB03CF" w14:textId="77777777" w:rsidR="00D3498F" w:rsidRPr="002E3A4C" w:rsidRDefault="00D3498F" w:rsidP="00D3498F">
            <w:pPr>
              <w:autoSpaceDE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Std. Error</w:t>
            </w:r>
          </w:p>
        </w:tc>
        <w:tc>
          <w:tcPr>
            <w:tcW w:w="398" w:type="pct"/>
            <w:vMerge w:val="restart"/>
          </w:tcPr>
          <w:p w14:paraId="2A8DDC0A" w14:textId="77777777" w:rsidR="00D3498F" w:rsidRPr="002E3A4C" w:rsidRDefault="00D3498F" w:rsidP="00D3498F">
            <w:pPr>
              <w:autoSpaceDE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Wald</w:t>
            </w:r>
          </w:p>
        </w:tc>
        <w:tc>
          <w:tcPr>
            <w:tcW w:w="246" w:type="pct"/>
            <w:vMerge w:val="restart"/>
          </w:tcPr>
          <w:p w14:paraId="1F3F3C2F" w14:textId="77777777" w:rsidR="00D3498F" w:rsidRPr="002E3A4C" w:rsidRDefault="00D3498F" w:rsidP="00D3498F">
            <w:pPr>
              <w:autoSpaceDE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df</w:t>
            </w:r>
          </w:p>
        </w:tc>
        <w:tc>
          <w:tcPr>
            <w:tcW w:w="347" w:type="pct"/>
            <w:vMerge w:val="restart"/>
          </w:tcPr>
          <w:p w14:paraId="57F494AA" w14:textId="77777777" w:rsidR="00D3498F" w:rsidRPr="002E3A4C" w:rsidRDefault="00D3498F" w:rsidP="00D3498F">
            <w:pPr>
              <w:autoSpaceDE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Sig.</w:t>
            </w:r>
          </w:p>
        </w:tc>
        <w:tc>
          <w:tcPr>
            <w:tcW w:w="451" w:type="pct"/>
            <w:vMerge w:val="restart"/>
          </w:tcPr>
          <w:p w14:paraId="5CF8236F" w14:textId="77777777" w:rsidR="00D3498F" w:rsidRPr="002E3A4C" w:rsidRDefault="00D3498F" w:rsidP="00D3498F">
            <w:pPr>
              <w:autoSpaceDE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Exp(B)</w:t>
            </w:r>
          </w:p>
        </w:tc>
        <w:tc>
          <w:tcPr>
            <w:tcW w:w="1311" w:type="pct"/>
            <w:gridSpan w:val="2"/>
          </w:tcPr>
          <w:p w14:paraId="367445D2" w14:textId="77777777" w:rsidR="00D3498F" w:rsidRPr="002E3A4C" w:rsidRDefault="00D3498F" w:rsidP="00D3498F">
            <w:pPr>
              <w:autoSpaceDE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95% Confidence I</w:t>
            </w:r>
            <w:r w:rsidRPr="002E3A4C">
              <w:rPr>
                <w:rFonts w:ascii="Arial" w:hAnsi="Arial" w:cs="Arial"/>
                <w:color w:val="000000"/>
                <w:sz w:val="18"/>
                <w:szCs w:val="18"/>
                <w:lang w:val="en-US"/>
              </w:rPr>
              <w:t>n</w:t>
            </w:r>
            <w:r w:rsidRPr="002E3A4C">
              <w:rPr>
                <w:rFonts w:ascii="Arial" w:hAnsi="Arial" w:cs="Arial"/>
                <w:color w:val="000000"/>
                <w:sz w:val="18"/>
                <w:szCs w:val="18"/>
                <w:lang w:val="en-US"/>
              </w:rPr>
              <w:t>terval for Exp(B)</w:t>
            </w:r>
          </w:p>
        </w:tc>
      </w:tr>
      <w:tr w:rsidR="00D3498F" w:rsidRPr="002E3A4C" w14:paraId="47649117" w14:textId="77777777" w:rsidTr="00D3498F">
        <w:trPr>
          <w:trHeight w:val="84"/>
        </w:trPr>
        <w:tc>
          <w:tcPr>
            <w:cnfStyle w:val="001000000000" w:firstRow="0" w:lastRow="0" w:firstColumn="1" w:lastColumn="0" w:oddVBand="0" w:evenVBand="0" w:oddHBand="0" w:evenHBand="0" w:firstRowFirstColumn="0" w:firstRowLastColumn="0" w:lastRowFirstColumn="0" w:lastRowLastColumn="0"/>
            <w:tcW w:w="1411" w:type="pct"/>
            <w:vMerge/>
          </w:tcPr>
          <w:p w14:paraId="21A9B9A1" w14:textId="77777777" w:rsidR="00D3498F" w:rsidRPr="002E3A4C" w:rsidRDefault="00D3498F" w:rsidP="00D3498F">
            <w:pPr>
              <w:autoSpaceDE w:val="0"/>
              <w:adjustRightInd w:val="0"/>
              <w:rPr>
                <w:rFonts w:ascii="Arial" w:hAnsi="Arial" w:cs="Arial"/>
                <w:color w:val="000000"/>
                <w:sz w:val="18"/>
                <w:szCs w:val="18"/>
                <w:lang w:val="en-US"/>
              </w:rPr>
            </w:pPr>
          </w:p>
        </w:tc>
        <w:tc>
          <w:tcPr>
            <w:tcW w:w="438" w:type="pct"/>
            <w:vMerge/>
          </w:tcPr>
          <w:p w14:paraId="07430DEA" w14:textId="77777777" w:rsidR="00D3498F" w:rsidRPr="002E3A4C" w:rsidRDefault="00D3498F" w:rsidP="00D3498F">
            <w:pPr>
              <w:autoSpaceDE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tcW w:w="398" w:type="pct"/>
            <w:vMerge/>
          </w:tcPr>
          <w:p w14:paraId="327974DE" w14:textId="77777777" w:rsidR="00D3498F" w:rsidRPr="002E3A4C" w:rsidRDefault="00D3498F" w:rsidP="00D3498F">
            <w:pPr>
              <w:autoSpaceDE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tcW w:w="398" w:type="pct"/>
            <w:vMerge/>
          </w:tcPr>
          <w:p w14:paraId="78853E97" w14:textId="77777777" w:rsidR="00D3498F" w:rsidRPr="002E3A4C" w:rsidRDefault="00D3498F" w:rsidP="00D3498F">
            <w:pPr>
              <w:autoSpaceDE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tcW w:w="246" w:type="pct"/>
            <w:vMerge/>
          </w:tcPr>
          <w:p w14:paraId="2ABF0DCF" w14:textId="77777777" w:rsidR="00D3498F" w:rsidRPr="002E3A4C" w:rsidRDefault="00D3498F" w:rsidP="00D3498F">
            <w:pPr>
              <w:autoSpaceDE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tcW w:w="347" w:type="pct"/>
            <w:vMerge/>
          </w:tcPr>
          <w:p w14:paraId="7E8187DA" w14:textId="77777777" w:rsidR="00D3498F" w:rsidRPr="002E3A4C" w:rsidRDefault="00D3498F" w:rsidP="00D3498F">
            <w:pPr>
              <w:autoSpaceDE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tcW w:w="451" w:type="pct"/>
            <w:vMerge/>
          </w:tcPr>
          <w:p w14:paraId="4A45A53D" w14:textId="77777777" w:rsidR="00D3498F" w:rsidRPr="002E3A4C" w:rsidRDefault="00D3498F" w:rsidP="00D3498F">
            <w:pPr>
              <w:autoSpaceDE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tcW w:w="444" w:type="pct"/>
          </w:tcPr>
          <w:p w14:paraId="6CE0F67D" w14:textId="77777777" w:rsidR="00D3498F" w:rsidRPr="002E3A4C" w:rsidRDefault="00D3498F" w:rsidP="00D3498F">
            <w:pPr>
              <w:autoSpaceDE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Lower Bound</w:t>
            </w:r>
          </w:p>
        </w:tc>
        <w:tc>
          <w:tcPr>
            <w:tcW w:w="867" w:type="pct"/>
          </w:tcPr>
          <w:p w14:paraId="0D5D17BE" w14:textId="77777777" w:rsidR="00D3498F" w:rsidRPr="002E3A4C" w:rsidRDefault="00D3498F" w:rsidP="00D3498F">
            <w:pPr>
              <w:autoSpaceDE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 xml:space="preserve">Upper </w:t>
            </w:r>
            <w:r w:rsidRPr="002E3A4C">
              <w:rPr>
                <w:rFonts w:ascii="Arial" w:hAnsi="Arial" w:cs="Arial"/>
                <w:color w:val="000000"/>
                <w:sz w:val="18"/>
                <w:szCs w:val="18"/>
                <w:lang w:val="en-US"/>
              </w:rPr>
              <w:br/>
              <w:t>Bound</w:t>
            </w:r>
          </w:p>
        </w:tc>
      </w:tr>
      <w:tr w:rsidR="00D3498F" w:rsidRPr="002E3A4C" w14:paraId="4D2CFF12"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val="restart"/>
          </w:tcPr>
          <w:p w14:paraId="781EFA9D"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Intercept</w:t>
            </w:r>
          </w:p>
          <w:p w14:paraId="57816261"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S</w:t>
            </w:r>
            <w:r>
              <w:rPr>
                <w:rFonts w:ascii="Arial" w:hAnsi="Arial" w:cs="Arial"/>
                <w:sz w:val="18"/>
                <w:szCs w:val="18"/>
              </w:rPr>
              <w:t>ex</w:t>
            </w:r>
          </w:p>
          <w:p w14:paraId="19A7FB22"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Age</w:t>
            </w:r>
          </w:p>
          <w:p w14:paraId="5C59FD4C"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Pas</w:t>
            </w:r>
          </w:p>
          <w:p w14:paraId="0357446C"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Pad</w:t>
            </w:r>
          </w:p>
          <w:p w14:paraId="45E8A7B8"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BMI</w:t>
            </w:r>
          </w:p>
          <w:p w14:paraId="09771870"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Endothelial fun</w:t>
            </w:r>
            <w:r>
              <w:rPr>
                <w:rFonts w:ascii="Arial" w:hAnsi="Arial" w:cs="Arial"/>
                <w:sz w:val="18"/>
                <w:szCs w:val="18"/>
              </w:rPr>
              <w:t>c</w:t>
            </w:r>
            <w:r>
              <w:rPr>
                <w:rFonts w:ascii="Arial" w:hAnsi="Arial" w:cs="Arial"/>
                <w:sz w:val="18"/>
                <w:szCs w:val="18"/>
              </w:rPr>
              <w:t>tionn</w:t>
            </w:r>
          </w:p>
          <w:p w14:paraId="38F124F4"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Ipertension</w:t>
            </w:r>
          </w:p>
          <w:p w14:paraId="16237B30"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CV</w:t>
            </w:r>
            <w:r>
              <w:rPr>
                <w:rFonts w:ascii="Arial" w:hAnsi="Arial" w:cs="Arial"/>
                <w:sz w:val="18"/>
                <w:szCs w:val="18"/>
              </w:rPr>
              <w:t xml:space="preserve"> Events</w:t>
            </w:r>
          </w:p>
          <w:p w14:paraId="6A398C0B"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Stroke</w:t>
            </w:r>
          </w:p>
          <w:p w14:paraId="3CBE7742"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Dyslipidemia</w:t>
            </w:r>
          </w:p>
          <w:p w14:paraId="71F20314"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HB1AC</w:t>
            </w:r>
          </w:p>
          <w:p w14:paraId="6C6D09E1"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Smoke</w:t>
            </w:r>
          </w:p>
          <w:p w14:paraId="2E20E112"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Beta-blockers</w:t>
            </w:r>
          </w:p>
          <w:p w14:paraId="3E672B68"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Calcium antagonist</w:t>
            </w:r>
          </w:p>
          <w:p w14:paraId="16F913A5"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ACE</w:t>
            </w:r>
            <w:r>
              <w:rPr>
                <w:rFonts w:ascii="Arial" w:hAnsi="Arial" w:cs="Arial"/>
                <w:sz w:val="18"/>
                <w:szCs w:val="18"/>
              </w:rPr>
              <w:t xml:space="preserve"> </w:t>
            </w:r>
            <w:r w:rsidRPr="007B29CC">
              <w:rPr>
                <w:rFonts w:ascii="Arial" w:hAnsi="Arial" w:cs="Arial"/>
                <w:sz w:val="18"/>
                <w:szCs w:val="18"/>
              </w:rPr>
              <w:t>I</w:t>
            </w:r>
            <w:r>
              <w:rPr>
                <w:rFonts w:ascii="Arial" w:hAnsi="Arial" w:cs="Arial"/>
                <w:sz w:val="18"/>
                <w:szCs w:val="18"/>
              </w:rPr>
              <w:t xml:space="preserve">/ </w:t>
            </w:r>
            <w:r w:rsidRPr="007B29CC">
              <w:rPr>
                <w:rFonts w:ascii="Arial" w:hAnsi="Arial" w:cs="Arial"/>
                <w:sz w:val="18"/>
                <w:szCs w:val="18"/>
              </w:rPr>
              <w:t>Sartan</w:t>
            </w:r>
            <w:r>
              <w:rPr>
                <w:rFonts w:ascii="Arial" w:hAnsi="Arial" w:cs="Arial"/>
                <w:sz w:val="18"/>
                <w:szCs w:val="18"/>
              </w:rPr>
              <w:t>s</w:t>
            </w:r>
          </w:p>
          <w:p w14:paraId="6C7352C4"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Statin</w:t>
            </w:r>
            <w:r>
              <w:rPr>
                <w:rFonts w:ascii="Arial" w:hAnsi="Arial" w:cs="Arial"/>
                <w:sz w:val="18"/>
                <w:szCs w:val="18"/>
              </w:rPr>
              <w:t>s</w:t>
            </w:r>
          </w:p>
          <w:p w14:paraId="1F3B2164"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Antiplatelets</w:t>
            </w:r>
          </w:p>
          <w:p w14:paraId="3A7CBA4B"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GLP1</w:t>
            </w:r>
            <w:r>
              <w:rPr>
                <w:rFonts w:ascii="Arial" w:hAnsi="Arial" w:cs="Arial"/>
                <w:sz w:val="18"/>
                <w:szCs w:val="18"/>
              </w:rPr>
              <w:t xml:space="preserve"> A/ </w:t>
            </w:r>
            <w:r w:rsidRPr="007B29CC">
              <w:rPr>
                <w:rFonts w:ascii="Arial" w:hAnsi="Arial" w:cs="Arial"/>
                <w:sz w:val="18"/>
                <w:szCs w:val="18"/>
              </w:rPr>
              <w:t>Anti</w:t>
            </w:r>
            <w:r>
              <w:rPr>
                <w:rFonts w:ascii="Arial" w:hAnsi="Arial" w:cs="Arial"/>
                <w:sz w:val="18"/>
                <w:szCs w:val="18"/>
              </w:rPr>
              <w:t>-</w:t>
            </w:r>
            <w:r w:rsidRPr="007B29CC">
              <w:rPr>
                <w:rFonts w:ascii="Arial" w:hAnsi="Arial" w:cs="Arial"/>
                <w:sz w:val="18"/>
                <w:szCs w:val="18"/>
              </w:rPr>
              <w:t>DPP4</w:t>
            </w:r>
          </w:p>
          <w:p w14:paraId="5E03953A"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Pr>
                <w:rFonts w:ascii="Arial" w:hAnsi="Arial" w:cs="Arial"/>
                <w:sz w:val="18"/>
                <w:szCs w:val="18"/>
              </w:rPr>
              <w:t>Sulfonylureas</w:t>
            </w:r>
          </w:p>
          <w:p w14:paraId="4A80C4EF"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rPr>
            </w:pPr>
            <w:r w:rsidRPr="007B29CC">
              <w:rPr>
                <w:rFonts w:ascii="Arial" w:hAnsi="Arial" w:cs="Arial"/>
                <w:sz w:val="18"/>
                <w:szCs w:val="18"/>
              </w:rPr>
              <w:t>Metformin</w:t>
            </w:r>
          </w:p>
          <w:p w14:paraId="490FF01F" w14:textId="77777777" w:rsidR="00D3498F" w:rsidRPr="007B29CC" w:rsidRDefault="00D3498F" w:rsidP="00D3498F">
            <w:pPr>
              <w:autoSpaceDE w:val="0"/>
              <w:adjustRightInd w:val="0"/>
              <w:spacing w:line="320" w:lineRule="atLeast"/>
              <w:ind w:left="60" w:right="60"/>
              <w:jc w:val="both"/>
              <w:rPr>
                <w:rFonts w:ascii="Arial" w:hAnsi="Arial" w:cs="Arial"/>
                <w:b w:val="0"/>
                <w:bCs w:val="0"/>
                <w:sz w:val="18"/>
                <w:szCs w:val="18"/>
                <w:lang w:val="en-US"/>
              </w:rPr>
            </w:pPr>
            <w:r>
              <w:rPr>
                <w:rFonts w:ascii="Arial" w:hAnsi="Arial" w:cs="Arial"/>
                <w:sz w:val="18"/>
                <w:szCs w:val="18"/>
                <w:lang w:val="en-US"/>
              </w:rPr>
              <w:t>Insulin</w:t>
            </w:r>
          </w:p>
          <w:p w14:paraId="037BB34D"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r w:rsidRPr="007B29CC">
              <w:rPr>
                <w:rFonts w:ascii="Arial" w:hAnsi="Arial" w:cs="Arial"/>
                <w:sz w:val="18"/>
                <w:szCs w:val="18"/>
                <w:lang w:val="en-US"/>
              </w:rPr>
              <w:t>RHI</w:t>
            </w:r>
          </w:p>
        </w:tc>
        <w:tc>
          <w:tcPr>
            <w:tcW w:w="438" w:type="pct"/>
          </w:tcPr>
          <w:p w14:paraId="3B9A42E0"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1,317</w:t>
            </w:r>
          </w:p>
        </w:tc>
        <w:tc>
          <w:tcPr>
            <w:tcW w:w="398" w:type="pct"/>
          </w:tcPr>
          <w:p w14:paraId="2804642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5,034</w:t>
            </w:r>
          </w:p>
        </w:tc>
        <w:tc>
          <w:tcPr>
            <w:tcW w:w="398" w:type="pct"/>
          </w:tcPr>
          <w:p w14:paraId="4B838276"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,068</w:t>
            </w:r>
          </w:p>
        </w:tc>
        <w:tc>
          <w:tcPr>
            <w:tcW w:w="246" w:type="pct"/>
          </w:tcPr>
          <w:p w14:paraId="0F30D597"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5F7ECAD6"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,794</w:t>
            </w:r>
          </w:p>
        </w:tc>
        <w:tc>
          <w:tcPr>
            <w:tcW w:w="451" w:type="pct"/>
          </w:tcPr>
          <w:p w14:paraId="1E384A70" w14:textId="77777777" w:rsidR="00D3498F" w:rsidRPr="002E3A4C" w:rsidRDefault="00D3498F" w:rsidP="00D3498F">
            <w:pPr>
              <w:autoSpaceDE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lang w:val="en-US"/>
              </w:rPr>
            </w:pPr>
          </w:p>
        </w:tc>
        <w:tc>
          <w:tcPr>
            <w:tcW w:w="444" w:type="pct"/>
          </w:tcPr>
          <w:p w14:paraId="708C643B" w14:textId="77777777" w:rsidR="00D3498F" w:rsidRPr="002E3A4C" w:rsidRDefault="00D3498F" w:rsidP="00D3498F">
            <w:pPr>
              <w:autoSpaceDE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lang w:val="en-US"/>
              </w:rPr>
            </w:pPr>
          </w:p>
        </w:tc>
        <w:tc>
          <w:tcPr>
            <w:tcW w:w="867" w:type="pct"/>
          </w:tcPr>
          <w:p w14:paraId="54EE1874" w14:textId="77777777" w:rsidR="00D3498F" w:rsidRPr="002E3A4C" w:rsidRDefault="00D3498F" w:rsidP="00D3498F">
            <w:pPr>
              <w:autoSpaceDE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lang w:val="en-US"/>
              </w:rPr>
            </w:pPr>
          </w:p>
        </w:tc>
      </w:tr>
      <w:tr w:rsidR="00D3498F" w:rsidRPr="002E3A4C" w14:paraId="236212B2"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524222B7"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4E3AA3C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,302</w:t>
            </w:r>
          </w:p>
        </w:tc>
        <w:tc>
          <w:tcPr>
            <w:tcW w:w="398" w:type="pct"/>
          </w:tcPr>
          <w:p w14:paraId="3AA97583"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,908</w:t>
            </w:r>
          </w:p>
        </w:tc>
        <w:tc>
          <w:tcPr>
            <w:tcW w:w="398" w:type="pct"/>
          </w:tcPr>
          <w:p w14:paraId="120DFE3B"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,111</w:t>
            </w:r>
          </w:p>
        </w:tc>
        <w:tc>
          <w:tcPr>
            <w:tcW w:w="246" w:type="pct"/>
          </w:tcPr>
          <w:p w14:paraId="3DDED688"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28D8E29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,739</w:t>
            </w:r>
          </w:p>
        </w:tc>
        <w:tc>
          <w:tcPr>
            <w:tcW w:w="451" w:type="pct"/>
          </w:tcPr>
          <w:p w14:paraId="237A9E9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1,353</w:t>
            </w:r>
          </w:p>
        </w:tc>
        <w:tc>
          <w:tcPr>
            <w:tcW w:w="444" w:type="pct"/>
          </w:tcPr>
          <w:p w14:paraId="3223D75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,228</w:t>
            </w:r>
          </w:p>
        </w:tc>
        <w:tc>
          <w:tcPr>
            <w:tcW w:w="867" w:type="pct"/>
          </w:tcPr>
          <w:p w14:paraId="2409B499"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8,025</w:t>
            </w:r>
          </w:p>
        </w:tc>
      </w:tr>
      <w:tr w:rsidR="00D3498F" w:rsidRPr="002E3A4C" w14:paraId="7937626A"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04740A96"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72C6E0C0"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,095</w:t>
            </w:r>
          </w:p>
        </w:tc>
        <w:tc>
          <w:tcPr>
            <w:tcW w:w="398" w:type="pct"/>
          </w:tcPr>
          <w:p w14:paraId="52A911CC"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,054</w:t>
            </w:r>
          </w:p>
        </w:tc>
        <w:tc>
          <w:tcPr>
            <w:tcW w:w="398" w:type="pct"/>
          </w:tcPr>
          <w:p w14:paraId="3B1C9640"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3,041</w:t>
            </w:r>
          </w:p>
        </w:tc>
        <w:tc>
          <w:tcPr>
            <w:tcW w:w="246" w:type="pct"/>
          </w:tcPr>
          <w:p w14:paraId="52BCF89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369A269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,081</w:t>
            </w:r>
          </w:p>
        </w:tc>
        <w:tc>
          <w:tcPr>
            <w:tcW w:w="451" w:type="pct"/>
          </w:tcPr>
          <w:p w14:paraId="52C7C90C"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1,099</w:t>
            </w:r>
          </w:p>
        </w:tc>
        <w:tc>
          <w:tcPr>
            <w:tcW w:w="444" w:type="pct"/>
          </w:tcPr>
          <w:p w14:paraId="5578A8CD"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,988</w:t>
            </w:r>
          </w:p>
        </w:tc>
        <w:tc>
          <w:tcPr>
            <w:tcW w:w="867" w:type="pct"/>
          </w:tcPr>
          <w:p w14:paraId="10F09957"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1,223</w:t>
            </w:r>
          </w:p>
        </w:tc>
      </w:tr>
      <w:tr w:rsidR="00D3498F" w:rsidRPr="002E3A4C" w14:paraId="3BBBFFFE"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5CC7651B"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687EAC86"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-,063</w:t>
            </w:r>
          </w:p>
        </w:tc>
        <w:tc>
          <w:tcPr>
            <w:tcW w:w="398" w:type="pct"/>
          </w:tcPr>
          <w:p w14:paraId="5EAD8A36"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,038</w:t>
            </w:r>
          </w:p>
        </w:tc>
        <w:tc>
          <w:tcPr>
            <w:tcW w:w="398" w:type="pct"/>
          </w:tcPr>
          <w:p w14:paraId="429C2B49"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2,655</w:t>
            </w:r>
          </w:p>
        </w:tc>
        <w:tc>
          <w:tcPr>
            <w:tcW w:w="246" w:type="pct"/>
          </w:tcPr>
          <w:p w14:paraId="7C35580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257FBDF8"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,103</w:t>
            </w:r>
          </w:p>
        </w:tc>
        <w:tc>
          <w:tcPr>
            <w:tcW w:w="451" w:type="pct"/>
          </w:tcPr>
          <w:p w14:paraId="30A7A571"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,939</w:t>
            </w:r>
          </w:p>
        </w:tc>
        <w:tc>
          <w:tcPr>
            <w:tcW w:w="444" w:type="pct"/>
          </w:tcPr>
          <w:p w14:paraId="2A82AB6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,871</w:t>
            </w:r>
          </w:p>
        </w:tc>
        <w:tc>
          <w:tcPr>
            <w:tcW w:w="867" w:type="pct"/>
          </w:tcPr>
          <w:p w14:paraId="71F76A75"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1,013</w:t>
            </w:r>
          </w:p>
        </w:tc>
      </w:tr>
      <w:tr w:rsidR="00D3498F" w:rsidRPr="002E3A4C" w14:paraId="298BC2DE"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365885EC"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7D166F9E"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,021</w:t>
            </w:r>
          </w:p>
        </w:tc>
        <w:tc>
          <w:tcPr>
            <w:tcW w:w="398" w:type="pct"/>
          </w:tcPr>
          <w:p w14:paraId="60C50C2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,039</w:t>
            </w:r>
          </w:p>
        </w:tc>
        <w:tc>
          <w:tcPr>
            <w:tcW w:w="398" w:type="pct"/>
          </w:tcPr>
          <w:p w14:paraId="026F91C8"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,300</w:t>
            </w:r>
          </w:p>
        </w:tc>
        <w:tc>
          <w:tcPr>
            <w:tcW w:w="246" w:type="pct"/>
          </w:tcPr>
          <w:p w14:paraId="0D384AD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439B37B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,584</w:t>
            </w:r>
          </w:p>
        </w:tc>
        <w:tc>
          <w:tcPr>
            <w:tcW w:w="451" w:type="pct"/>
          </w:tcPr>
          <w:p w14:paraId="34B5B872"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1,022</w:t>
            </w:r>
          </w:p>
        </w:tc>
        <w:tc>
          <w:tcPr>
            <w:tcW w:w="444" w:type="pct"/>
          </w:tcPr>
          <w:p w14:paraId="3A71CED2"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,946</w:t>
            </w:r>
          </w:p>
        </w:tc>
        <w:tc>
          <w:tcPr>
            <w:tcW w:w="867" w:type="pct"/>
          </w:tcPr>
          <w:p w14:paraId="3B182D3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1,103</w:t>
            </w:r>
          </w:p>
        </w:tc>
      </w:tr>
      <w:tr w:rsidR="00D3498F" w:rsidRPr="002E3A4C" w14:paraId="78840695"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71BF8C59"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5C781A08"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-,082</w:t>
            </w:r>
          </w:p>
        </w:tc>
        <w:tc>
          <w:tcPr>
            <w:tcW w:w="398" w:type="pct"/>
          </w:tcPr>
          <w:p w14:paraId="068B8DB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,065</w:t>
            </w:r>
          </w:p>
        </w:tc>
        <w:tc>
          <w:tcPr>
            <w:tcW w:w="398" w:type="pct"/>
          </w:tcPr>
          <w:p w14:paraId="32C91D3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1,589</w:t>
            </w:r>
          </w:p>
        </w:tc>
        <w:tc>
          <w:tcPr>
            <w:tcW w:w="246" w:type="pct"/>
          </w:tcPr>
          <w:p w14:paraId="6871CDF8"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70F795E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,208</w:t>
            </w:r>
          </w:p>
        </w:tc>
        <w:tc>
          <w:tcPr>
            <w:tcW w:w="451" w:type="pct"/>
          </w:tcPr>
          <w:p w14:paraId="653DE36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,922</w:t>
            </w:r>
          </w:p>
        </w:tc>
        <w:tc>
          <w:tcPr>
            <w:tcW w:w="444" w:type="pct"/>
          </w:tcPr>
          <w:p w14:paraId="124AD53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,812</w:t>
            </w:r>
          </w:p>
        </w:tc>
        <w:tc>
          <w:tcPr>
            <w:tcW w:w="867" w:type="pct"/>
          </w:tcPr>
          <w:p w14:paraId="5BE197A9"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1,046</w:t>
            </w:r>
          </w:p>
        </w:tc>
      </w:tr>
      <w:tr w:rsidR="00D3498F" w:rsidRPr="002E3A4C" w14:paraId="52E1A64F" w14:textId="77777777" w:rsidTr="00D3498F">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1411" w:type="pct"/>
            <w:vMerge/>
          </w:tcPr>
          <w:p w14:paraId="7BFD7A50"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464A366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-1,491</w:t>
            </w:r>
          </w:p>
        </w:tc>
        <w:tc>
          <w:tcPr>
            <w:tcW w:w="398" w:type="pct"/>
          </w:tcPr>
          <w:p w14:paraId="2815606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1,059</w:t>
            </w:r>
          </w:p>
        </w:tc>
        <w:tc>
          <w:tcPr>
            <w:tcW w:w="398" w:type="pct"/>
          </w:tcPr>
          <w:p w14:paraId="571F896F"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1,983</w:t>
            </w:r>
          </w:p>
        </w:tc>
        <w:tc>
          <w:tcPr>
            <w:tcW w:w="246" w:type="pct"/>
          </w:tcPr>
          <w:p w14:paraId="6FE84E7F"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3E1862E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,159</w:t>
            </w:r>
          </w:p>
        </w:tc>
        <w:tc>
          <w:tcPr>
            <w:tcW w:w="451" w:type="pct"/>
          </w:tcPr>
          <w:p w14:paraId="4897596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,225</w:t>
            </w:r>
          </w:p>
        </w:tc>
        <w:tc>
          <w:tcPr>
            <w:tcW w:w="444" w:type="pct"/>
          </w:tcPr>
          <w:p w14:paraId="714D158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,028</w:t>
            </w:r>
          </w:p>
        </w:tc>
        <w:tc>
          <w:tcPr>
            <w:tcW w:w="867" w:type="pct"/>
          </w:tcPr>
          <w:p w14:paraId="353F27A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1,794</w:t>
            </w:r>
          </w:p>
        </w:tc>
      </w:tr>
      <w:tr w:rsidR="00D3498F" w:rsidRPr="002E3A4C" w14:paraId="4F1E64A4"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35B600B6"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2246220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2,666</w:t>
            </w:r>
          </w:p>
        </w:tc>
        <w:tc>
          <w:tcPr>
            <w:tcW w:w="398" w:type="pct"/>
          </w:tcPr>
          <w:p w14:paraId="7795480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1,208</w:t>
            </w:r>
          </w:p>
        </w:tc>
        <w:tc>
          <w:tcPr>
            <w:tcW w:w="398" w:type="pct"/>
          </w:tcPr>
          <w:p w14:paraId="34FA1A2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4,873</w:t>
            </w:r>
          </w:p>
        </w:tc>
        <w:tc>
          <w:tcPr>
            <w:tcW w:w="246" w:type="pct"/>
          </w:tcPr>
          <w:p w14:paraId="79CB092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7D2A66EB"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,027</w:t>
            </w:r>
          </w:p>
        </w:tc>
        <w:tc>
          <w:tcPr>
            <w:tcW w:w="451" w:type="pct"/>
          </w:tcPr>
          <w:p w14:paraId="5EBB3217"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14,386</w:t>
            </w:r>
          </w:p>
        </w:tc>
        <w:tc>
          <w:tcPr>
            <w:tcW w:w="444" w:type="pct"/>
          </w:tcPr>
          <w:p w14:paraId="4E7D8BC6"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1,348</w:t>
            </w:r>
          </w:p>
        </w:tc>
        <w:tc>
          <w:tcPr>
            <w:tcW w:w="867" w:type="pct"/>
          </w:tcPr>
          <w:p w14:paraId="41680897"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153,499</w:t>
            </w:r>
          </w:p>
        </w:tc>
      </w:tr>
      <w:tr w:rsidR="00D3498F" w:rsidRPr="002E3A4C" w14:paraId="7AAFC600"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5C07D4F9"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338235C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-,116</w:t>
            </w:r>
          </w:p>
        </w:tc>
        <w:tc>
          <w:tcPr>
            <w:tcW w:w="398" w:type="pct"/>
          </w:tcPr>
          <w:p w14:paraId="25565E5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,887</w:t>
            </w:r>
          </w:p>
        </w:tc>
        <w:tc>
          <w:tcPr>
            <w:tcW w:w="398" w:type="pct"/>
          </w:tcPr>
          <w:p w14:paraId="7D6E5F9C"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,017</w:t>
            </w:r>
          </w:p>
        </w:tc>
        <w:tc>
          <w:tcPr>
            <w:tcW w:w="246" w:type="pct"/>
          </w:tcPr>
          <w:p w14:paraId="0E56D75D"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3490CFA5"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,896</w:t>
            </w:r>
          </w:p>
        </w:tc>
        <w:tc>
          <w:tcPr>
            <w:tcW w:w="451" w:type="pct"/>
          </w:tcPr>
          <w:p w14:paraId="327AC402"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,890</w:t>
            </w:r>
          </w:p>
        </w:tc>
        <w:tc>
          <w:tcPr>
            <w:tcW w:w="444" w:type="pct"/>
          </w:tcPr>
          <w:p w14:paraId="2ABE5D1D"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,157</w:t>
            </w:r>
          </w:p>
        </w:tc>
        <w:tc>
          <w:tcPr>
            <w:tcW w:w="867" w:type="pct"/>
          </w:tcPr>
          <w:p w14:paraId="6406F9F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5,063</w:t>
            </w:r>
          </w:p>
        </w:tc>
      </w:tr>
      <w:tr w:rsidR="00D3498F" w:rsidRPr="002E3A4C" w14:paraId="5E77564B"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444BEF54"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302930C6"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2,582</w:t>
            </w:r>
          </w:p>
        </w:tc>
        <w:tc>
          <w:tcPr>
            <w:tcW w:w="398" w:type="pct"/>
          </w:tcPr>
          <w:p w14:paraId="3740EBC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1,259</w:t>
            </w:r>
          </w:p>
        </w:tc>
        <w:tc>
          <w:tcPr>
            <w:tcW w:w="398" w:type="pct"/>
          </w:tcPr>
          <w:p w14:paraId="50A30970"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4,202</w:t>
            </w:r>
          </w:p>
        </w:tc>
        <w:tc>
          <w:tcPr>
            <w:tcW w:w="246" w:type="pct"/>
          </w:tcPr>
          <w:p w14:paraId="19ADF218"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412D457B"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,040</w:t>
            </w:r>
          </w:p>
        </w:tc>
        <w:tc>
          <w:tcPr>
            <w:tcW w:w="451" w:type="pct"/>
          </w:tcPr>
          <w:p w14:paraId="00CF5375"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13,218</w:t>
            </w:r>
          </w:p>
        </w:tc>
        <w:tc>
          <w:tcPr>
            <w:tcW w:w="444" w:type="pct"/>
          </w:tcPr>
          <w:p w14:paraId="2CC165D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1,120</w:t>
            </w:r>
          </w:p>
        </w:tc>
        <w:tc>
          <w:tcPr>
            <w:tcW w:w="867" w:type="pct"/>
          </w:tcPr>
          <w:p w14:paraId="126C43F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156,029</w:t>
            </w:r>
          </w:p>
        </w:tc>
      </w:tr>
      <w:tr w:rsidR="00D3498F" w:rsidRPr="002E3A4C" w14:paraId="78EAD941"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2336665C"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790190D0"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1,795</w:t>
            </w:r>
          </w:p>
        </w:tc>
        <w:tc>
          <w:tcPr>
            <w:tcW w:w="398" w:type="pct"/>
          </w:tcPr>
          <w:p w14:paraId="4C1D8102"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,998</w:t>
            </w:r>
          </w:p>
        </w:tc>
        <w:tc>
          <w:tcPr>
            <w:tcW w:w="398" w:type="pct"/>
          </w:tcPr>
          <w:p w14:paraId="22EB16E6"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3,234</w:t>
            </w:r>
          </w:p>
        </w:tc>
        <w:tc>
          <w:tcPr>
            <w:tcW w:w="246" w:type="pct"/>
          </w:tcPr>
          <w:p w14:paraId="2FDA41FC"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63221E8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,072</w:t>
            </w:r>
          </w:p>
        </w:tc>
        <w:tc>
          <w:tcPr>
            <w:tcW w:w="451" w:type="pct"/>
          </w:tcPr>
          <w:p w14:paraId="2EF969BF"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6,021</w:t>
            </w:r>
          </w:p>
        </w:tc>
        <w:tc>
          <w:tcPr>
            <w:tcW w:w="444" w:type="pct"/>
          </w:tcPr>
          <w:p w14:paraId="315A9C47"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,851</w:t>
            </w:r>
          </w:p>
        </w:tc>
        <w:tc>
          <w:tcPr>
            <w:tcW w:w="867" w:type="pct"/>
          </w:tcPr>
          <w:p w14:paraId="7C2A2C1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42,603</w:t>
            </w:r>
          </w:p>
        </w:tc>
      </w:tr>
      <w:tr w:rsidR="00D3498F" w:rsidRPr="002E3A4C" w14:paraId="728345C8"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649D7D89"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08E5D268"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,012</w:t>
            </w:r>
          </w:p>
        </w:tc>
        <w:tc>
          <w:tcPr>
            <w:tcW w:w="398" w:type="pct"/>
          </w:tcPr>
          <w:p w14:paraId="73C586E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,241</w:t>
            </w:r>
          </w:p>
        </w:tc>
        <w:tc>
          <w:tcPr>
            <w:tcW w:w="398" w:type="pct"/>
          </w:tcPr>
          <w:p w14:paraId="7BD4D1F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,003</w:t>
            </w:r>
          </w:p>
        </w:tc>
        <w:tc>
          <w:tcPr>
            <w:tcW w:w="246" w:type="pct"/>
          </w:tcPr>
          <w:p w14:paraId="2E88A5D0"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4B4DDA61"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,959</w:t>
            </w:r>
          </w:p>
        </w:tc>
        <w:tc>
          <w:tcPr>
            <w:tcW w:w="451" w:type="pct"/>
          </w:tcPr>
          <w:p w14:paraId="04BF8F76"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1,012</w:t>
            </w:r>
          </w:p>
        </w:tc>
        <w:tc>
          <w:tcPr>
            <w:tcW w:w="444" w:type="pct"/>
          </w:tcPr>
          <w:p w14:paraId="43EF5BA3"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,632</w:t>
            </w:r>
          </w:p>
        </w:tc>
        <w:tc>
          <w:tcPr>
            <w:tcW w:w="867" w:type="pct"/>
          </w:tcPr>
          <w:p w14:paraId="509B57C7"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1,622</w:t>
            </w:r>
          </w:p>
        </w:tc>
      </w:tr>
      <w:tr w:rsidR="00D3498F" w:rsidRPr="002E3A4C" w14:paraId="39975B8B"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3118F75A"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25D60E8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,395</w:t>
            </w:r>
          </w:p>
        </w:tc>
        <w:tc>
          <w:tcPr>
            <w:tcW w:w="398" w:type="pct"/>
          </w:tcPr>
          <w:p w14:paraId="1FF88B9E"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,793</w:t>
            </w:r>
          </w:p>
        </w:tc>
        <w:tc>
          <w:tcPr>
            <w:tcW w:w="398" w:type="pct"/>
          </w:tcPr>
          <w:p w14:paraId="1D10EAD1"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,248</w:t>
            </w:r>
          </w:p>
        </w:tc>
        <w:tc>
          <w:tcPr>
            <w:tcW w:w="246" w:type="pct"/>
          </w:tcPr>
          <w:p w14:paraId="2D0D132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69A517C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,618</w:t>
            </w:r>
          </w:p>
        </w:tc>
        <w:tc>
          <w:tcPr>
            <w:tcW w:w="451" w:type="pct"/>
          </w:tcPr>
          <w:p w14:paraId="7D8E589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1,484</w:t>
            </w:r>
          </w:p>
        </w:tc>
        <w:tc>
          <w:tcPr>
            <w:tcW w:w="444" w:type="pct"/>
          </w:tcPr>
          <w:p w14:paraId="58E90872"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,314</w:t>
            </w:r>
          </w:p>
        </w:tc>
        <w:tc>
          <w:tcPr>
            <w:tcW w:w="867" w:type="pct"/>
          </w:tcPr>
          <w:p w14:paraId="7EF5DFC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7,023</w:t>
            </w:r>
          </w:p>
        </w:tc>
      </w:tr>
      <w:tr w:rsidR="00D3498F" w:rsidRPr="002E3A4C" w14:paraId="43259A21" w14:textId="77777777" w:rsidTr="00D3498F">
        <w:trPr>
          <w:trHeight w:val="452"/>
        </w:trPr>
        <w:tc>
          <w:tcPr>
            <w:cnfStyle w:val="001000000000" w:firstRow="0" w:lastRow="0" w:firstColumn="1" w:lastColumn="0" w:oddVBand="0" w:evenVBand="0" w:oddHBand="0" w:evenHBand="0" w:firstRowFirstColumn="0" w:firstRowLastColumn="0" w:lastRowFirstColumn="0" w:lastRowLastColumn="0"/>
            <w:tcW w:w="1411" w:type="pct"/>
            <w:vMerge/>
          </w:tcPr>
          <w:p w14:paraId="7E9FB371"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4FB3EEF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-1,282</w:t>
            </w:r>
          </w:p>
        </w:tc>
        <w:tc>
          <w:tcPr>
            <w:tcW w:w="398" w:type="pct"/>
          </w:tcPr>
          <w:p w14:paraId="44E419FB"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,951</w:t>
            </w:r>
          </w:p>
        </w:tc>
        <w:tc>
          <w:tcPr>
            <w:tcW w:w="398" w:type="pct"/>
          </w:tcPr>
          <w:p w14:paraId="7DC58341"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1,814</w:t>
            </w:r>
          </w:p>
        </w:tc>
        <w:tc>
          <w:tcPr>
            <w:tcW w:w="246" w:type="pct"/>
          </w:tcPr>
          <w:p w14:paraId="1D4942F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1E9B867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,178</w:t>
            </w:r>
          </w:p>
        </w:tc>
        <w:tc>
          <w:tcPr>
            <w:tcW w:w="451" w:type="pct"/>
          </w:tcPr>
          <w:p w14:paraId="4F81DFD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,278</w:t>
            </w:r>
          </w:p>
        </w:tc>
        <w:tc>
          <w:tcPr>
            <w:tcW w:w="444" w:type="pct"/>
          </w:tcPr>
          <w:p w14:paraId="44760551"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,043</w:t>
            </w:r>
          </w:p>
        </w:tc>
        <w:tc>
          <w:tcPr>
            <w:tcW w:w="867" w:type="pct"/>
          </w:tcPr>
          <w:p w14:paraId="7EB6BAB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1,792</w:t>
            </w:r>
          </w:p>
        </w:tc>
      </w:tr>
      <w:tr w:rsidR="00D3498F" w:rsidRPr="002E3A4C" w14:paraId="6BF12434"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1496BEE1"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76257DE0"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-,842</w:t>
            </w:r>
          </w:p>
        </w:tc>
        <w:tc>
          <w:tcPr>
            <w:tcW w:w="398" w:type="pct"/>
          </w:tcPr>
          <w:p w14:paraId="175AE6CD"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1,000</w:t>
            </w:r>
          </w:p>
        </w:tc>
        <w:tc>
          <w:tcPr>
            <w:tcW w:w="398" w:type="pct"/>
          </w:tcPr>
          <w:p w14:paraId="1554F3A8"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,710</w:t>
            </w:r>
          </w:p>
        </w:tc>
        <w:tc>
          <w:tcPr>
            <w:tcW w:w="246" w:type="pct"/>
          </w:tcPr>
          <w:p w14:paraId="77143BCF"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5E4774D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,400</w:t>
            </w:r>
          </w:p>
        </w:tc>
        <w:tc>
          <w:tcPr>
            <w:tcW w:w="451" w:type="pct"/>
          </w:tcPr>
          <w:p w14:paraId="765AA46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,431</w:t>
            </w:r>
          </w:p>
        </w:tc>
        <w:tc>
          <w:tcPr>
            <w:tcW w:w="444" w:type="pct"/>
          </w:tcPr>
          <w:p w14:paraId="0E6157F7"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,061</w:t>
            </w:r>
          </w:p>
        </w:tc>
        <w:tc>
          <w:tcPr>
            <w:tcW w:w="867" w:type="pct"/>
          </w:tcPr>
          <w:p w14:paraId="477844B8"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3,057</w:t>
            </w:r>
          </w:p>
        </w:tc>
      </w:tr>
      <w:tr w:rsidR="00D3498F" w:rsidRPr="002E3A4C" w14:paraId="50420CB3"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1D06C52C"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27C6DA37"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-,544</w:t>
            </w:r>
          </w:p>
        </w:tc>
        <w:tc>
          <w:tcPr>
            <w:tcW w:w="398" w:type="pct"/>
          </w:tcPr>
          <w:p w14:paraId="12AE306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,854</w:t>
            </w:r>
          </w:p>
        </w:tc>
        <w:tc>
          <w:tcPr>
            <w:tcW w:w="398" w:type="pct"/>
          </w:tcPr>
          <w:p w14:paraId="3F845AC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,405</w:t>
            </w:r>
          </w:p>
        </w:tc>
        <w:tc>
          <w:tcPr>
            <w:tcW w:w="246" w:type="pct"/>
          </w:tcPr>
          <w:p w14:paraId="539C53D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2F4887F7"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,524</w:t>
            </w:r>
          </w:p>
        </w:tc>
        <w:tc>
          <w:tcPr>
            <w:tcW w:w="451" w:type="pct"/>
          </w:tcPr>
          <w:p w14:paraId="0C94DF0F"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,581</w:t>
            </w:r>
          </w:p>
        </w:tc>
        <w:tc>
          <w:tcPr>
            <w:tcW w:w="444" w:type="pct"/>
          </w:tcPr>
          <w:p w14:paraId="463DEB23"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,109</w:t>
            </w:r>
          </w:p>
        </w:tc>
        <w:tc>
          <w:tcPr>
            <w:tcW w:w="867" w:type="pct"/>
          </w:tcPr>
          <w:p w14:paraId="5072696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3,098</w:t>
            </w:r>
          </w:p>
        </w:tc>
      </w:tr>
      <w:tr w:rsidR="00D3498F" w:rsidRPr="002E3A4C" w14:paraId="64FABED1"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10EE1409"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18834B0E"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-,111</w:t>
            </w:r>
          </w:p>
        </w:tc>
        <w:tc>
          <w:tcPr>
            <w:tcW w:w="398" w:type="pct"/>
          </w:tcPr>
          <w:p w14:paraId="7FE30AE2"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,857</w:t>
            </w:r>
          </w:p>
        </w:tc>
        <w:tc>
          <w:tcPr>
            <w:tcW w:w="398" w:type="pct"/>
          </w:tcPr>
          <w:p w14:paraId="44258626"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,017</w:t>
            </w:r>
          </w:p>
        </w:tc>
        <w:tc>
          <w:tcPr>
            <w:tcW w:w="246" w:type="pct"/>
          </w:tcPr>
          <w:p w14:paraId="6E9837FE"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60A90375"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,897</w:t>
            </w:r>
          </w:p>
        </w:tc>
        <w:tc>
          <w:tcPr>
            <w:tcW w:w="451" w:type="pct"/>
          </w:tcPr>
          <w:p w14:paraId="4EF686D4"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,895</w:t>
            </w:r>
          </w:p>
        </w:tc>
        <w:tc>
          <w:tcPr>
            <w:tcW w:w="444" w:type="pct"/>
          </w:tcPr>
          <w:p w14:paraId="629F5F5C"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,167</w:t>
            </w:r>
          </w:p>
        </w:tc>
        <w:tc>
          <w:tcPr>
            <w:tcW w:w="867" w:type="pct"/>
          </w:tcPr>
          <w:p w14:paraId="171A3F4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4,805</w:t>
            </w:r>
          </w:p>
        </w:tc>
      </w:tr>
      <w:tr w:rsidR="00D3498F" w:rsidRPr="002E3A4C" w14:paraId="4182DA29"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027735F7"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325DF6A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-,038</w:t>
            </w:r>
          </w:p>
        </w:tc>
        <w:tc>
          <w:tcPr>
            <w:tcW w:w="398" w:type="pct"/>
          </w:tcPr>
          <w:p w14:paraId="59CB7DA5"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,985</w:t>
            </w:r>
          </w:p>
        </w:tc>
        <w:tc>
          <w:tcPr>
            <w:tcW w:w="398" w:type="pct"/>
          </w:tcPr>
          <w:p w14:paraId="6E9FF6C9"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,002</w:t>
            </w:r>
          </w:p>
        </w:tc>
        <w:tc>
          <w:tcPr>
            <w:tcW w:w="246" w:type="pct"/>
          </w:tcPr>
          <w:p w14:paraId="09CB60A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5A4896C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,969</w:t>
            </w:r>
          </w:p>
        </w:tc>
        <w:tc>
          <w:tcPr>
            <w:tcW w:w="451" w:type="pct"/>
          </w:tcPr>
          <w:p w14:paraId="2DCE1B07"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,962</w:t>
            </w:r>
          </w:p>
        </w:tc>
        <w:tc>
          <w:tcPr>
            <w:tcW w:w="444" w:type="pct"/>
          </w:tcPr>
          <w:p w14:paraId="56EFAC3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,140</w:t>
            </w:r>
          </w:p>
        </w:tc>
        <w:tc>
          <w:tcPr>
            <w:tcW w:w="867" w:type="pct"/>
          </w:tcPr>
          <w:p w14:paraId="43AF920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6,635</w:t>
            </w:r>
          </w:p>
        </w:tc>
      </w:tr>
      <w:tr w:rsidR="00D3498F" w:rsidRPr="002E3A4C" w14:paraId="1C18AC32"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53F81DC7"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709B2EAF"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-,625</w:t>
            </w:r>
          </w:p>
        </w:tc>
        <w:tc>
          <w:tcPr>
            <w:tcW w:w="398" w:type="pct"/>
          </w:tcPr>
          <w:p w14:paraId="0C5AF626"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1,113</w:t>
            </w:r>
          </w:p>
        </w:tc>
        <w:tc>
          <w:tcPr>
            <w:tcW w:w="398" w:type="pct"/>
          </w:tcPr>
          <w:p w14:paraId="18A1CBF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,316</w:t>
            </w:r>
          </w:p>
        </w:tc>
        <w:tc>
          <w:tcPr>
            <w:tcW w:w="246" w:type="pct"/>
          </w:tcPr>
          <w:p w14:paraId="121AE3D4"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2CA303B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,574</w:t>
            </w:r>
          </w:p>
        </w:tc>
        <w:tc>
          <w:tcPr>
            <w:tcW w:w="451" w:type="pct"/>
          </w:tcPr>
          <w:p w14:paraId="04D2A388"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,535</w:t>
            </w:r>
          </w:p>
        </w:tc>
        <w:tc>
          <w:tcPr>
            <w:tcW w:w="444" w:type="pct"/>
          </w:tcPr>
          <w:p w14:paraId="1FD84B4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,060</w:t>
            </w:r>
          </w:p>
        </w:tc>
        <w:tc>
          <w:tcPr>
            <w:tcW w:w="867" w:type="pct"/>
          </w:tcPr>
          <w:p w14:paraId="47CCEFCF"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4,737</w:t>
            </w:r>
          </w:p>
        </w:tc>
      </w:tr>
      <w:tr w:rsidR="00D3498F" w:rsidRPr="002E3A4C" w14:paraId="7764C745"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7992C564"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0EAB754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-1,331</w:t>
            </w:r>
          </w:p>
        </w:tc>
        <w:tc>
          <w:tcPr>
            <w:tcW w:w="398" w:type="pct"/>
          </w:tcPr>
          <w:p w14:paraId="62BE160E"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1,727</w:t>
            </w:r>
          </w:p>
        </w:tc>
        <w:tc>
          <w:tcPr>
            <w:tcW w:w="398" w:type="pct"/>
          </w:tcPr>
          <w:p w14:paraId="3160EFF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,594</w:t>
            </w:r>
          </w:p>
        </w:tc>
        <w:tc>
          <w:tcPr>
            <w:tcW w:w="246" w:type="pct"/>
          </w:tcPr>
          <w:p w14:paraId="6EE22773"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75104F60"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,441</w:t>
            </w:r>
          </w:p>
        </w:tc>
        <w:tc>
          <w:tcPr>
            <w:tcW w:w="451" w:type="pct"/>
          </w:tcPr>
          <w:p w14:paraId="0DC20599"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,264</w:t>
            </w:r>
          </w:p>
        </w:tc>
        <w:tc>
          <w:tcPr>
            <w:tcW w:w="444" w:type="pct"/>
          </w:tcPr>
          <w:p w14:paraId="675D6B76"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,009</w:t>
            </w:r>
          </w:p>
        </w:tc>
        <w:tc>
          <w:tcPr>
            <w:tcW w:w="867" w:type="pct"/>
          </w:tcPr>
          <w:p w14:paraId="05F08681"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7,798</w:t>
            </w:r>
          </w:p>
        </w:tc>
      </w:tr>
      <w:tr w:rsidR="00D3498F" w:rsidRPr="002E3A4C" w14:paraId="4912E9D5"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703D9C0C"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06986D7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-3,469</w:t>
            </w:r>
          </w:p>
        </w:tc>
        <w:tc>
          <w:tcPr>
            <w:tcW w:w="398" w:type="pct"/>
          </w:tcPr>
          <w:p w14:paraId="20AC9134"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1,674</w:t>
            </w:r>
          </w:p>
        </w:tc>
        <w:tc>
          <w:tcPr>
            <w:tcW w:w="398" w:type="pct"/>
          </w:tcPr>
          <w:p w14:paraId="174B2DFE"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4,294</w:t>
            </w:r>
          </w:p>
        </w:tc>
        <w:tc>
          <w:tcPr>
            <w:tcW w:w="246" w:type="pct"/>
          </w:tcPr>
          <w:p w14:paraId="3A30224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63A079DA"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,038</w:t>
            </w:r>
          </w:p>
        </w:tc>
        <w:tc>
          <w:tcPr>
            <w:tcW w:w="451" w:type="pct"/>
          </w:tcPr>
          <w:p w14:paraId="1E6F7B8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,031</w:t>
            </w:r>
          </w:p>
        </w:tc>
        <w:tc>
          <w:tcPr>
            <w:tcW w:w="444" w:type="pct"/>
          </w:tcPr>
          <w:p w14:paraId="35E2FA5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,001</w:t>
            </w:r>
          </w:p>
        </w:tc>
        <w:tc>
          <w:tcPr>
            <w:tcW w:w="867" w:type="pct"/>
          </w:tcPr>
          <w:p w14:paraId="5FAB48C0"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,829</w:t>
            </w:r>
          </w:p>
        </w:tc>
      </w:tr>
      <w:tr w:rsidR="00D3498F" w:rsidRPr="002E3A4C" w14:paraId="2C3CBA80" w14:textId="77777777" w:rsidTr="00D3498F">
        <w:trPr>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75A1626C"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4B49C577"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,086</w:t>
            </w:r>
          </w:p>
        </w:tc>
        <w:tc>
          <w:tcPr>
            <w:tcW w:w="398" w:type="pct"/>
          </w:tcPr>
          <w:p w14:paraId="6829465D"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1,090</w:t>
            </w:r>
          </w:p>
        </w:tc>
        <w:tc>
          <w:tcPr>
            <w:tcW w:w="398" w:type="pct"/>
          </w:tcPr>
          <w:p w14:paraId="127D395A"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,006</w:t>
            </w:r>
          </w:p>
        </w:tc>
        <w:tc>
          <w:tcPr>
            <w:tcW w:w="246" w:type="pct"/>
          </w:tcPr>
          <w:p w14:paraId="690DE3D2"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w:t>
            </w:r>
          </w:p>
        </w:tc>
        <w:tc>
          <w:tcPr>
            <w:tcW w:w="347" w:type="pct"/>
          </w:tcPr>
          <w:p w14:paraId="54E9DCFC"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,937</w:t>
            </w:r>
          </w:p>
        </w:tc>
        <w:tc>
          <w:tcPr>
            <w:tcW w:w="451" w:type="pct"/>
          </w:tcPr>
          <w:p w14:paraId="2ACF8664"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1,089</w:t>
            </w:r>
          </w:p>
        </w:tc>
        <w:tc>
          <w:tcPr>
            <w:tcW w:w="444" w:type="pct"/>
          </w:tcPr>
          <w:p w14:paraId="766371CF"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,129</w:t>
            </w:r>
          </w:p>
        </w:tc>
        <w:tc>
          <w:tcPr>
            <w:tcW w:w="867" w:type="pct"/>
          </w:tcPr>
          <w:p w14:paraId="6011F6FA" w14:textId="77777777" w:rsidR="00D3498F" w:rsidRPr="002E3A4C" w:rsidRDefault="00D3498F" w:rsidP="00D3498F">
            <w:pPr>
              <w:autoSpaceDE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18"/>
                <w:szCs w:val="18"/>
                <w:lang w:val="en-US"/>
              </w:rPr>
            </w:pPr>
            <w:r w:rsidRPr="002E3A4C">
              <w:rPr>
                <w:rFonts w:ascii="Arial" w:hAnsi="Arial" w:cs="Arial"/>
                <w:bCs/>
                <w:color w:val="000000"/>
                <w:sz w:val="18"/>
                <w:szCs w:val="18"/>
                <w:lang w:val="en-US"/>
              </w:rPr>
              <w:t>9,229</w:t>
            </w:r>
          </w:p>
        </w:tc>
      </w:tr>
      <w:tr w:rsidR="00D3498F" w:rsidRPr="002E3A4C" w14:paraId="505D27FE" w14:textId="77777777" w:rsidTr="00D3498F">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411" w:type="pct"/>
            <w:vMerge/>
          </w:tcPr>
          <w:p w14:paraId="30CB86A2" w14:textId="77777777" w:rsidR="00D3498F" w:rsidRPr="00AF1F51" w:rsidRDefault="00D3498F" w:rsidP="00D3498F">
            <w:pPr>
              <w:autoSpaceDE w:val="0"/>
              <w:adjustRightInd w:val="0"/>
              <w:spacing w:line="320" w:lineRule="atLeast"/>
              <w:ind w:left="60" w:right="60"/>
              <w:rPr>
                <w:rFonts w:ascii="Arial" w:hAnsi="Arial" w:cs="Arial"/>
                <w:b w:val="0"/>
                <w:bCs w:val="0"/>
                <w:color w:val="000000" w:themeColor="text1"/>
                <w:sz w:val="18"/>
                <w:szCs w:val="18"/>
                <w:lang w:val="en-US"/>
              </w:rPr>
            </w:pPr>
          </w:p>
        </w:tc>
        <w:tc>
          <w:tcPr>
            <w:tcW w:w="438" w:type="pct"/>
          </w:tcPr>
          <w:p w14:paraId="0AF8CF4B"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-1,324</w:t>
            </w:r>
          </w:p>
        </w:tc>
        <w:tc>
          <w:tcPr>
            <w:tcW w:w="398" w:type="pct"/>
          </w:tcPr>
          <w:p w14:paraId="06352CF1"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,987</w:t>
            </w:r>
          </w:p>
        </w:tc>
        <w:tc>
          <w:tcPr>
            <w:tcW w:w="398" w:type="pct"/>
          </w:tcPr>
          <w:p w14:paraId="4109D1F9"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1,800</w:t>
            </w:r>
          </w:p>
        </w:tc>
        <w:tc>
          <w:tcPr>
            <w:tcW w:w="246" w:type="pct"/>
          </w:tcPr>
          <w:p w14:paraId="30C90EAE"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w:t>
            </w:r>
          </w:p>
        </w:tc>
        <w:tc>
          <w:tcPr>
            <w:tcW w:w="347" w:type="pct"/>
          </w:tcPr>
          <w:p w14:paraId="2C44FF28"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,180</w:t>
            </w:r>
          </w:p>
        </w:tc>
        <w:tc>
          <w:tcPr>
            <w:tcW w:w="451" w:type="pct"/>
          </w:tcPr>
          <w:p w14:paraId="6DFD621E"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,266</w:t>
            </w:r>
          </w:p>
        </w:tc>
        <w:tc>
          <w:tcPr>
            <w:tcW w:w="444" w:type="pct"/>
          </w:tcPr>
          <w:p w14:paraId="2CAA08C5"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,038</w:t>
            </w:r>
          </w:p>
        </w:tc>
        <w:tc>
          <w:tcPr>
            <w:tcW w:w="867" w:type="pct"/>
          </w:tcPr>
          <w:p w14:paraId="121F2863" w14:textId="77777777" w:rsidR="00D3498F" w:rsidRPr="002E3A4C" w:rsidRDefault="00D3498F" w:rsidP="00D3498F">
            <w:pPr>
              <w:autoSpaceDE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lang w:val="en-US"/>
              </w:rPr>
            </w:pPr>
            <w:r w:rsidRPr="002E3A4C">
              <w:rPr>
                <w:rFonts w:ascii="Arial" w:hAnsi="Arial" w:cs="Arial"/>
                <w:color w:val="000000"/>
                <w:sz w:val="18"/>
                <w:szCs w:val="18"/>
                <w:lang w:val="en-US"/>
              </w:rPr>
              <w:t>1,841</w:t>
            </w:r>
          </w:p>
        </w:tc>
      </w:tr>
    </w:tbl>
    <w:p w14:paraId="58476BE5" w14:textId="77777777" w:rsidR="00D3498F" w:rsidRDefault="00D3498F" w:rsidP="00D3498F">
      <w:pPr>
        <w:rPr>
          <w:lang w:val="en-US"/>
        </w:rPr>
      </w:pPr>
    </w:p>
    <w:p w14:paraId="4703072F" w14:textId="77777777" w:rsidR="00D3498F" w:rsidRDefault="00D3498F" w:rsidP="00D3498F">
      <w:pPr>
        <w:rPr>
          <w:lang w:val="en-US"/>
        </w:rPr>
      </w:pPr>
    </w:p>
    <w:p w14:paraId="5A376B7E" w14:textId="77777777" w:rsidR="00D3498F" w:rsidRDefault="00D3498F" w:rsidP="00D3498F">
      <w:pPr>
        <w:rPr>
          <w:lang w:val="en-US"/>
        </w:rPr>
      </w:pPr>
    </w:p>
    <w:tbl>
      <w:tblPr>
        <w:tblStyle w:val="GridTable5DarkAccent5"/>
        <w:tblpPr w:leftFromText="141" w:rightFromText="141" w:vertAnchor="text" w:horzAnchor="margin" w:tblpXSpec="center" w:tblpY="57"/>
        <w:tblW w:w="9682" w:type="dxa"/>
        <w:tblLayout w:type="fixed"/>
        <w:tblLook w:val="04A0" w:firstRow="1" w:lastRow="0" w:firstColumn="1" w:lastColumn="0" w:noHBand="0" w:noVBand="1"/>
      </w:tblPr>
      <w:tblGrid>
        <w:gridCol w:w="1229"/>
        <w:gridCol w:w="1856"/>
        <w:gridCol w:w="1025"/>
        <w:gridCol w:w="1212"/>
        <w:gridCol w:w="1274"/>
        <w:gridCol w:w="3086"/>
      </w:tblGrid>
      <w:tr w:rsidR="00D3498F" w:rsidRPr="00D3220C" w14:paraId="7E6B9701" w14:textId="77777777" w:rsidTr="00D3498F">
        <w:trPr>
          <w:cnfStyle w:val="100000000000" w:firstRow="1" w:lastRow="0" w:firstColumn="0" w:lastColumn="0" w:oddVBand="0" w:evenVBand="0" w:oddHBand="0"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1229" w:type="dxa"/>
            <w:hideMark/>
          </w:tcPr>
          <w:p w14:paraId="1B239D50" w14:textId="77777777" w:rsidR="00D3498F" w:rsidRPr="00E75DC3" w:rsidRDefault="00D3498F" w:rsidP="00D3498F">
            <w:pPr>
              <w:rPr>
                <w:rFonts w:ascii="Arial" w:hAnsi="Arial" w:cs="Arial"/>
                <w:sz w:val="18"/>
                <w:szCs w:val="18"/>
              </w:rPr>
            </w:pPr>
            <w:r w:rsidRPr="00E75DC3">
              <w:rPr>
                <w:rFonts w:ascii="Arial" w:hAnsi="Arial" w:cs="Arial"/>
                <w:sz w:val="18"/>
                <w:szCs w:val="18"/>
              </w:rPr>
              <w:t>SNP</w:t>
            </w:r>
          </w:p>
        </w:tc>
        <w:tc>
          <w:tcPr>
            <w:tcW w:w="1856" w:type="dxa"/>
            <w:hideMark/>
          </w:tcPr>
          <w:p w14:paraId="4056C60D" w14:textId="77777777" w:rsidR="00D3498F" w:rsidRPr="00E75DC3"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ALLELIC VARIANT</w:t>
            </w:r>
            <w:r w:rsidRPr="00E75DC3">
              <w:rPr>
                <w:rFonts w:ascii="Arial" w:hAnsi="Arial" w:cs="Arial"/>
                <w:sz w:val="18"/>
                <w:szCs w:val="18"/>
              </w:rPr>
              <w:t xml:space="preserve"> </w:t>
            </w:r>
          </w:p>
        </w:tc>
        <w:tc>
          <w:tcPr>
            <w:tcW w:w="1025" w:type="dxa"/>
            <w:hideMark/>
          </w:tcPr>
          <w:p w14:paraId="5BF8BF35" w14:textId="77777777" w:rsidR="00D3498F" w:rsidRPr="00E75DC3"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75DC3">
              <w:rPr>
                <w:rFonts w:ascii="Arial" w:hAnsi="Arial" w:cs="Arial"/>
                <w:sz w:val="18"/>
                <w:szCs w:val="18"/>
              </w:rPr>
              <w:t xml:space="preserve">DFS </w:t>
            </w:r>
            <w:r w:rsidRPr="00E75DC3">
              <w:rPr>
                <w:rFonts w:ascii="Arial" w:hAnsi="Arial" w:cs="Arial"/>
                <w:sz w:val="18"/>
                <w:szCs w:val="18"/>
              </w:rPr>
              <w:br/>
              <w:t>(n=50)</w:t>
            </w:r>
          </w:p>
        </w:tc>
        <w:tc>
          <w:tcPr>
            <w:tcW w:w="1212" w:type="dxa"/>
            <w:hideMark/>
          </w:tcPr>
          <w:p w14:paraId="70CC2FF7" w14:textId="77777777" w:rsidR="00D3498F" w:rsidRPr="00E75DC3"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75DC3">
              <w:rPr>
                <w:rFonts w:ascii="Arial" w:hAnsi="Arial" w:cs="Arial"/>
                <w:sz w:val="18"/>
                <w:szCs w:val="18"/>
              </w:rPr>
              <w:t xml:space="preserve">NDFS </w:t>
            </w:r>
            <w:r w:rsidRPr="00E75DC3">
              <w:rPr>
                <w:rFonts w:ascii="Arial" w:hAnsi="Arial" w:cs="Arial"/>
                <w:sz w:val="18"/>
                <w:szCs w:val="18"/>
              </w:rPr>
              <w:br/>
              <w:t>(n=40)</w:t>
            </w:r>
          </w:p>
        </w:tc>
        <w:tc>
          <w:tcPr>
            <w:tcW w:w="1274" w:type="dxa"/>
            <w:hideMark/>
          </w:tcPr>
          <w:p w14:paraId="6458FD28" w14:textId="77777777" w:rsidR="00D3498F" w:rsidRPr="00E75DC3"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75DC3">
              <w:rPr>
                <w:rFonts w:ascii="Arial" w:hAnsi="Arial" w:cs="Arial"/>
                <w:sz w:val="18"/>
                <w:szCs w:val="18"/>
              </w:rPr>
              <w:t xml:space="preserve">Control </w:t>
            </w:r>
            <w:r w:rsidRPr="00E75DC3">
              <w:rPr>
                <w:rFonts w:ascii="Arial" w:hAnsi="Arial" w:cs="Arial"/>
                <w:sz w:val="18"/>
                <w:szCs w:val="18"/>
              </w:rPr>
              <w:br/>
              <w:t>(n=20)</w:t>
            </w:r>
          </w:p>
        </w:tc>
        <w:tc>
          <w:tcPr>
            <w:tcW w:w="3086" w:type="dxa"/>
            <w:hideMark/>
          </w:tcPr>
          <w:p w14:paraId="44F4CD0F" w14:textId="77777777" w:rsidR="00D3498F" w:rsidRPr="00E75DC3"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75DC3">
              <w:rPr>
                <w:rFonts w:ascii="Arial" w:hAnsi="Arial" w:cs="Arial"/>
                <w:sz w:val="18"/>
                <w:szCs w:val="18"/>
              </w:rPr>
              <w:t>p</w:t>
            </w:r>
          </w:p>
        </w:tc>
      </w:tr>
      <w:tr w:rsidR="00D3498F" w:rsidRPr="00DE1B60" w14:paraId="23C5C3B7" w14:textId="77777777" w:rsidTr="00D3498F">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29" w:type="dxa"/>
            <w:vMerge w:val="restart"/>
            <w:hideMark/>
          </w:tcPr>
          <w:p w14:paraId="008D0A69" w14:textId="77777777" w:rsidR="00D3498F" w:rsidRPr="00DE1B60" w:rsidRDefault="00D3498F" w:rsidP="00D3498F">
            <w:pPr>
              <w:rPr>
                <w:rFonts w:ascii="Arial" w:hAnsi="Arial" w:cs="Arial"/>
                <w:sz w:val="18"/>
                <w:szCs w:val="18"/>
              </w:rPr>
            </w:pPr>
            <w:r w:rsidRPr="00DE1B60">
              <w:rPr>
                <w:rFonts w:ascii="Arial" w:hAnsi="Arial" w:cs="Arial"/>
                <w:sz w:val="18"/>
                <w:szCs w:val="18"/>
              </w:rPr>
              <w:t>IL – 6</w:t>
            </w:r>
            <w:r w:rsidRPr="00DE1B60">
              <w:rPr>
                <w:rFonts w:ascii="Arial" w:hAnsi="Arial" w:cs="Arial"/>
                <w:sz w:val="18"/>
                <w:szCs w:val="18"/>
              </w:rPr>
              <w:br/>
              <w:t>n/%</w:t>
            </w:r>
          </w:p>
        </w:tc>
        <w:tc>
          <w:tcPr>
            <w:tcW w:w="1856" w:type="dxa"/>
            <w:hideMark/>
          </w:tcPr>
          <w:p w14:paraId="3DD51A2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GG</w:t>
            </w:r>
          </w:p>
        </w:tc>
        <w:tc>
          <w:tcPr>
            <w:tcW w:w="1025" w:type="dxa"/>
            <w:hideMark/>
          </w:tcPr>
          <w:p w14:paraId="335983B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35/70</w:t>
            </w:r>
          </w:p>
        </w:tc>
        <w:tc>
          <w:tcPr>
            <w:tcW w:w="1212" w:type="dxa"/>
            <w:hideMark/>
          </w:tcPr>
          <w:p w14:paraId="0C1DF8B7"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20/63</w:t>
            </w:r>
          </w:p>
        </w:tc>
        <w:tc>
          <w:tcPr>
            <w:tcW w:w="1274" w:type="dxa"/>
            <w:hideMark/>
          </w:tcPr>
          <w:p w14:paraId="74DB4F08"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10/53</w:t>
            </w:r>
          </w:p>
        </w:tc>
        <w:tc>
          <w:tcPr>
            <w:tcW w:w="3086" w:type="dxa"/>
            <w:hideMark/>
          </w:tcPr>
          <w:p w14:paraId="1C73DBD9"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0.317</w:t>
            </w:r>
          </w:p>
        </w:tc>
      </w:tr>
      <w:tr w:rsidR="00D3498F" w:rsidRPr="00DE1B60" w14:paraId="524C4F61" w14:textId="77777777" w:rsidTr="00D3498F">
        <w:trPr>
          <w:trHeight w:val="347"/>
        </w:trPr>
        <w:tc>
          <w:tcPr>
            <w:cnfStyle w:val="001000000000" w:firstRow="0" w:lastRow="0" w:firstColumn="1" w:lastColumn="0" w:oddVBand="0" w:evenVBand="0" w:oddHBand="0" w:evenHBand="0" w:firstRowFirstColumn="0" w:firstRowLastColumn="0" w:lastRowFirstColumn="0" w:lastRowLastColumn="0"/>
            <w:tcW w:w="1229" w:type="dxa"/>
            <w:vMerge/>
            <w:hideMark/>
          </w:tcPr>
          <w:p w14:paraId="74F1F993" w14:textId="77777777" w:rsidR="00D3498F" w:rsidRPr="00DE1B60" w:rsidRDefault="00D3498F" w:rsidP="00D3498F">
            <w:pPr>
              <w:rPr>
                <w:rFonts w:ascii="Arial" w:hAnsi="Arial" w:cs="Arial"/>
                <w:sz w:val="18"/>
                <w:szCs w:val="18"/>
              </w:rPr>
            </w:pPr>
          </w:p>
        </w:tc>
        <w:tc>
          <w:tcPr>
            <w:tcW w:w="1856" w:type="dxa"/>
            <w:hideMark/>
          </w:tcPr>
          <w:p w14:paraId="0200822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GC</w:t>
            </w:r>
          </w:p>
        </w:tc>
        <w:tc>
          <w:tcPr>
            <w:tcW w:w="1025" w:type="dxa"/>
            <w:hideMark/>
          </w:tcPr>
          <w:p w14:paraId="688DCE7C"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14/30</w:t>
            </w:r>
          </w:p>
        </w:tc>
        <w:tc>
          <w:tcPr>
            <w:tcW w:w="1212" w:type="dxa"/>
            <w:hideMark/>
          </w:tcPr>
          <w:p w14:paraId="23374D5B"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11/34</w:t>
            </w:r>
          </w:p>
        </w:tc>
        <w:tc>
          <w:tcPr>
            <w:tcW w:w="1274" w:type="dxa"/>
            <w:hideMark/>
          </w:tcPr>
          <w:p w14:paraId="1B9F7287"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7/32</w:t>
            </w:r>
          </w:p>
        </w:tc>
        <w:tc>
          <w:tcPr>
            <w:tcW w:w="3086" w:type="dxa"/>
            <w:hideMark/>
          </w:tcPr>
          <w:p w14:paraId="4EF9700C"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0,816</w:t>
            </w:r>
          </w:p>
        </w:tc>
      </w:tr>
      <w:tr w:rsidR="00D3498F" w:rsidRPr="00DE1B60" w14:paraId="4206D4CA" w14:textId="77777777" w:rsidTr="00D3498F">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1229" w:type="dxa"/>
            <w:vMerge/>
            <w:hideMark/>
          </w:tcPr>
          <w:p w14:paraId="548E1FF8" w14:textId="77777777" w:rsidR="00D3498F" w:rsidRPr="00DE1B60" w:rsidRDefault="00D3498F" w:rsidP="00D3498F">
            <w:pPr>
              <w:rPr>
                <w:rFonts w:ascii="Arial" w:hAnsi="Arial" w:cs="Arial"/>
                <w:sz w:val="18"/>
                <w:szCs w:val="18"/>
              </w:rPr>
            </w:pPr>
          </w:p>
        </w:tc>
        <w:tc>
          <w:tcPr>
            <w:tcW w:w="1856" w:type="dxa"/>
            <w:hideMark/>
          </w:tcPr>
          <w:p w14:paraId="6B6D3DD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CC</w:t>
            </w:r>
          </w:p>
        </w:tc>
        <w:tc>
          <w:tcPr>
            <w:tcW w:w="1025" w:type="dxa"/>
            <w:hideMark/>
          </w:tcPr>
          <w:p w14:paraId="58EB4025"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2/2</w:t>
            </w:r>
          </w:p>
        </w:tc>
        <w:tc>
          <w:tcPr>
            <w:tcW w:w="1212" w:type="dxa"/>
            <w:hideMark/>
          </w:tcPr>
          <w:p w14:paraId="5408A4D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1/3</w:t>
            </w:r>
          </w:p>
        </w:tc>
        <w:tc>
          <w:tcPr>
            <w:tcW w:w="1274" w:type="dxa"/>
            <w:hideMark/>
          </w:tcPr>
          <w:p w14:paraId="6AA84D9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3/16</w:t>
            </w:r>
          </w:p>
        </w:tc>
        <w:tc>
          <w:tcPr>
            <w:tcW w:w="3086" w:type="dxa"/>
            <w:hideMark/>
          </w:tcPr>
          <w:p w14:paraId="55B5FF0F"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0,175</w:t>
            </w:r>
          </w:p>
        </w:tc>
      </w:tr>
      <w:tr w:rsidR="00D3498F" w:rsidRPr="00DE1B60" w14:paraId="3429FE39" w14:textId="77777777" w:rsidTr="00D3498F">
        <w:trPr>
          <w:trHeight w:val="306"/>
        </w:trPr>
        <w:tc>
          <w:tcPr>
            <w:cnfStyle w:val="001000000000" w:firstRow="0" w:lastRow="0" w:firstColumn="1" w:lastColumn="0" w:oddVBand="0" w:evenVBand="0" w:oddHBand="0" w:evenHBand="0" w:firstRowFirstColumn="0" w:firstRowLastColumn="0" w:lastRowFirstColumn="0" w:lastRowLastColumn="0"/>
            <w:tcW w:w="1229" w:type="dxa"/>
            <w:vMerge w:val="restart"/>
            <w:hideMark/>
          </w:tcPr>
          <w:p w14:paraId="1B1E2A45" w14:textId="77777777" w:rsidR="00D3498F" w:rsidRPr="00DE1B60" w:rsidRDefault="00D3498F" w:rsidP="00D3498F">
            <w:pPr>
              <w:rPr>
                <w:rFonts w:ascii="Arial" w:hAnsi="Arial" w:cs="Arial"/>
                <w:sz w:val="18"/>
                <w:szCs w:val="18"/>
              </w:rPr>
            </w:pPr>
            <w:r w:rsidRPr="00DE1B60">
              <w:rPr>
                <w:rFonts w:ascii="Arial" w:hAnsi="Arial" w:cs="Arial"/>
                <w:sz w:val="18"/>
                <w:szCs w:val="18"/>
              </w:rPr>
              <w:t>TNF-</w:t>
            </w:r>
            <w:r w:rsidRPr="00DE1B60">
              <w:rPr>
                <w:rFonts w:ascii="Arial" w:hAnsi="Arial" w:cs="Arial"/>
                <w:sz w:val="18"/>
                <w:szCs w:val="18"/>
                <w:lang w:val="el-GR"/>
              </w:rPr>
              <w:t>α</w:t>
            </w:r>
          </w:p>
          <w:p w14:paraId="6F484738" w14:textId="77777777" w:rsidR="00D3498F" w:rsidRPr="00DE1B60" w:rsidRDefault="00D3498F" w:rsidP="00D3498F">
            <w:pPr>
              <w:rPr>
                <w:rFonts w:ascii="Arial" w:hAnsi="Arial" w:cs="Arial"/>
                <w:sz w:val="18"/>
                <w:szCs w:val="18"/>
              </w:rPr>
            </w:pPr>
            <w:r w:rsidRPr="00DE1B60">
              <w:rPr>
                <w:rFonts w:ascii="Arial" w:hAnsi="Arial" w:cs="Arial"/>
                <w:sz w:val="18"/>
                <w:szCs w:val="18"/>
              </w:rPr>
              <w:t>n/%</w:t>
            </w:r>
          </w:p>
        </w:tc>
        <w:tc>
          <w:tcPr>
            <w:tcW w:w="1856" w:type="dxa"/>
            <w:hideMark/>
          </w:tcPr>
          <w:p w14:paraId="42E12B5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GG</w:t>
            </w:r>
          </w:p>
        </w:tc>
        <w:tc>
          <w:tcPr>
            <w:tcW w:w="1025" w:type="dxa"/>
            <w:hideMark/>
          </w:tcPr>
          <w:p w14:paraId="5348E6D9"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44/87</w:t>
            </w:r>
          </w:p>
        </w:tc>
        <w:tc>
          <w:tcPr>
            <w:tcW w:w="1212" w:type="dxa"/>
            <w:hideMark/>
          </w:tcPr>
          <w:p w14:paraId="2ECCF3C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26/81</w:t>
            </w:r>
          </w:p>
        </w:tc>
        <w:tc>
          <w:tcPr>
            <w:tcW w:w="1274" w:type="dxa"/>
            <w:hideMark/>
          </w:tcPr>
          <w:p w14:paraId="07B167E0"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19/59</w:t>
            </w:r>
          </w:p>
        </w:tc>
        <w:tc>
          <w:tcPr>
            <w:tcW w:w="3086" w:type="dxa"/>
            <w:hideMark/>
          </w:tcPr>
          <w:p w14:paraId="3BEAA789" w14:textId="77777777" w:rsidR="00D3498F" w:rsidRPr="00DE1B60" w:rsidRDefault="00D3498F" w:rsidP="00D3498F">
            <w:pPr>
              <w:ind w:right="75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 xml:space="preserve">               </w:t>
            </w:r>
            <w:r w:rsidRPr="00DE1B60">
              <w:rPr>
                <w:rFonts w:ascii="Arial" w:hAnsi="Arial" w:cs="Arial"/>
                <w:sz w:val="18"/>
                <w:szCs w:val="18"/>
              </w:rPr>
              <w:t>0,390</w:t>
            </w:r>
          </w:p>
        </w:tc>
      </w:tr>
      <w:tr w:rsidR="00D3498F" w:rsidRPr="00DE1B60" w14:paraId="07CC1303" w14:textId="77777777" w:rsidTr="00D3498F">
        <w:trPr>
          <w:cnfStyle w:val="000000100000" w:firstRow="0" w:lastRow="0" w:firstColumn="0" w:lastColumn="0" w:oddVBand="0" w:evenVBand="0" w:oddHBand="1" w:evenHBand="0" w:firstRowFirstColumn="0" w:firstRowLastColumn="0" w:lastRowFirstColumn="0" w:lastRowLastColumn="0"/>
          <w:trHeight w:val="338"/>
        </w:trPr>
        <w:tc>
          <w:tcPr>
            <w:cnfStyle w:val="001000000000" w:firstRow="0" w:lastRow="0" w:firstColumn="1" w:lastColumn="0" w:oddVBand="0" w:evenVBand="0" w:oddHBand="0" w:evenHBand="0" w:firstRowFirstColumn="0" w:firstRowLastColumn="0" w:lastRowFirstColumn="0" w:lastRowLastColumn="0"/>
            <w:tcW w:w="1229" w:type="dxa"/>
            <w:vMerge/>
            <w:hideMark/>
          </w:tcPr>
          <w:p w14:paraId="4A0AA72D" w14:textId="77777777" w:rsidR="00D3498F" w:rsidRPr="00DE1B60" w:rsidRDefault="00D3498F" w:rsidP="00D3498F">
            <w:pPr>
              <w:rPr>
                <w:rFonts w:ascii="Arial" w:hAnsi="Arial" w:cs="Arial"/>
                <w:sz w:val="18"/>
                <w:szCs w:val="18"/>
              </w:rPr>
            </w:pPr>
          </w:p>
        </w:tc>
        <w:tc>
          <w:tcPr>
            <w:tcW w:w="1856" w:type="dxa"/>
            <w:hideMark/>
          </w:tcPr>
          <w:p w14:paraId="15BC345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GA</w:t>
            </w:r>
          </w:p>
        </w:tc>
        <w:tc>
          <w:tcPr>
            <w:tcW w:w="1025" w:type="dxa"/>
            <w:hideMark/>
          </w:tcPr>
          <w:p w14:paraId="703133B7"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5/10</w:t>
            </w:r>
          </w:p>
        </w:tc>
        <w:tc>
          <w:tcPr>
            <w:tcW w:w="1212" w:type="dxa"/>
            <w:hideMark/>
          </w:tcPr>
          <w:p w14:paraId="2A99D736"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6/19</w:t>
            </w:r>
          </w:p>
        </w:tc>
        <w:tc>
          <w:tcPr>
            <w:tcW w:w="1274" w:type="dxa"/>
            <w:hideMark/>
          </w:tcPr>
          <w:p w14:paraId="6AE20376"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w:t>
            </w:r>
          </w:p>
        </w:tc>
        <w:tc>
          <w:tcPr>
            <w:tcW w:w="3086" w:type="dxa"/>
            <w:hideMark/>
          </w:tcPr>
          <w:p w14:paraId="7BABC5B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0,112</w:t>
            </w:r>
          </w:p>
        </w:tc>
      </w:tr>
      <w:tr w:rsidR="00D3498F" w:rsidRPr="00DE1B60" w14:paraId="49499B0E" w14:textId="77777777" w:rsidTr="00D3498F">
        <w:trPr>
          <w:trHeight w:val="338"/>
        </w:trPr>
        <w:tc>
          <w:tcPr>
            <w:cnfStyle w:val="001000000000" w:firstRow="0" w:lastRow="0" w:firstColumn="1" w:lastColumn="0" w:oddVBand="0" w:evenVBand="0" w:oddHBand="0" w:evenHBand="0" w:firstRowFirstColumn="0" w:firstRowLastColumn="0" w:lastRowFirstColumn="0" w:lastRowLastColumn="0"/>
            <w:tcW w:w="1229" w:type="dxa"/>
            <w:vMerge/>
            <w:hideMark/>
          </w:tcPr>
          <w:p w14:paraId="3B02095F" w14:textId="77777777" w:rsidR="00D3498F" w:rsidRPr="00DE1B60" w:rsidRDefault="00D3498F" w:rsidP="00D3498F">
            <w:pPr>
              <w:rPr>
                <w:rFonts w:ascii="Arial" w:hAnsi="Arial" w:cs="Arial"/>
                <w:sz w:val="18"/>
                <w:szCs w:val="18"/>
              </w:rPr>
            </w:pPr>
          </w:p>
        </w:tc>
        <w:tc>
          <w:tcPr>
            <w:tcW w:w="1856" w:type="dxa"/>
            <w:hideMark/>
          </w:tcPr>
          <w:p w14:paraId="582E4C9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AG</w:t>
            </w:r>
          </w:p>
        </w:tc>
        <w:tc>
          <w:tcPr>
            <w:tcW w:w="1025" w:type="dxa"/>
            <w:hideMark/>
          </w:tcPr>
          <w:p w14:paraId="033D16D9"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w:t>
            </w:r>
          </w:p>
        </w:tc>
        <w:tc>
          <w:tcPr>
            <w:tcW w:w="1212" w:type="dxa"/>
            <w:hideMark/>
          </w:tcPr>
          <w:p w14:paraId="59A23C13"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w:t>
            </w:r>
          </w:p>
        </w:tc>
        <w:tc>
          <w:tcPr>
            <w:tcW w:w="1274" w:type="dxa"/>
            <w:hideMark/>
          </w:tcPr>
          <w:p w14:paraId="3FE79C6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1/4</w:t>
            </w:r>
          </w:p>
        </w:tc>
        <w:tc>
          <w:tcPr>
            <w:tcW w:w="3086" w:type="dxa"/>
            <w:hideMark/>
          </w:tcPr>
          <w:p w14:paraId="3368747C"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0,196</w:t>
            </w:r>
          </w:p>
        </w:tc>
      </w:tr>
      <w:tr w:rsidR="00D3498F" w:rsidRPr="00DE1B60" w14:paraId="74FEEF09" w14:textId="77777777" w:rsidTr="00D3498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1229" w:type="dxa"/>
            <w:vMerge w:val="restart"/>
            <w:hideMark/>
          </w:tcPr>
          <w:p w14:paraId="27CE320B" w14:textId="77777777" w:rsidR="00D3498F" w:rsidRPr="00DE1B60" w:rsidRDefault="00D3498F" w:rsidP="00D3498F">
            <w:pPr>
              <w:rPr>
                <w:rFonts w:ascii="Arial" w:hAnsi="Arial" w:cs="Arial"/>
                <w:sz w:val="18"/>
                <w:szCs w:val="18"/>
              </w:rPr>
            </w:pPr>
            <w:r w:rsidRPr="00DE1B60">
              <w:rPr>
                <w:rFonts w:ascii="Arial" w:hAnsi="Arial" w:cs="Arial"/>
                <w:sz w:val="18"/>
                <w:szCs w:val="18"/>
              </w:rPr>
              <w:t>VEGF</w:t>
            </w:r>
            <w:r w:rsidRPr="00DE1B60">
              <w:rPr>
                <w:rFonts w:ascii="Arial" w:hAnsi="Arial" w:cs="Arial"/>
                <w:sz w:val="18"/>
                <w:szCs w:val="18"/>
              </w:rPr>
              <w:br/>
              <w:t>2578A</w:t>
            </w:r>
          </w:p>
          <w:p w14:paraId="2C628E30" w14:textId="77777777" w:rsidR="00D3498F" w:rsidRPr="00DE1B60" w:rsidRDefault="00D3498F" w:rsidP="00D3498F">
            <w:pPr>
              <w:rPr>
                <w:rFonts w:ascii="Arial" w:hAnsi="Arial" w:cs="Arial"/>
                <w:sz w:val="18"/>
                <w:szCs w:val="18"/>
              </w:rPr>
            </w:pPr>
            <w:r w:rsidRPr="00DE1B60">
              <w:rPr>
                <w:rFonts w:ascii="Arial" w:hAnsi="Arial" w:cs="Arial"/>
                <w:sz w:val="18"/>
                <w:szCs w:val="18"/>
              </w:rPr>
              <w:t>n/%</w:t>
            </w:r>
          </w:p>
        </w:tc>
        <w:tc>
          <w:tcPr>
            <w:tcW w:w="1856" w:type="dxa"/>
            <w:hideMark/>
          </w:tcPr>
          <w:p w14:paraId="5BF5982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CC</w:t>
            </w:r>
          </w:p>
        </w:tc>
        <w:tc>
          <w:tcPr>
            <w:tcW w:w="1025" w:type="dxa"/>
            <w:hideMark/>
          </w:tcPr>
          <w:p w14:paraId="77DA423D"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37/74</w:t>
            </w:r>
          </w:p>
        </w:tc>
        <w:tc>
          <w:tcPr>
            <w:tcW w:w="1212" w:type="dxa"/>
            <w:hideMark/>
          </w:tcPr>
          <w:p w14:paraId="0B2C21F6"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19/47,5</w:t>
            </w:r>
          </w:p>
        </w:tc>
        <w:tc>
          <w:tcPr>
            <w:tcW w:w="1274" w:type="dxa"/>
            <w:hideMark/>
          </w:tcPr>
          <w:p w14:paraId="371FA153"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1/5</w:t>
            </w:r>
          </w:p>
        </w:tc>
        <w:tc>
          <w:tcPr>
            <w:tcW w:w="3086" w:type="dxa"/>
            <w:hideMark/>
          </w:tcPr>
          <w:p w14:paraId="537CC78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0,001</w:t>
            </w:r>
          </w:p>
        </w:tc>
      </w:tr>
      <w:tr w:rsidR="00D3498F" w:rsidRPr="00DE1B60" w14:paraId="5C2FAA52" w14:textId="77777777" w:rsidTr="00D3498F">
        <w:trPr>
          <w:trHeight w:val="308"/>
        </w:trPr>
        <w:tc>
          <w:tcPr>
            <w:cnfStyle w:val="001000000000" w:firstRow="0" w:lastRow="0" w:firstColumn="1" w:lastColumn="0" w:oddVBand="0" w:evenVBand="0" w:oddHBand="0" w:evenHBand="0" w:firstRowFirstColumn="0" w:firstRowLastColumn="0" w:lastRowFirstColumn="0" w:lastRowLastColumn="0"/>
            <w:tcW w:w="1229" w:type="dxa"/>
            <w:vMerge/>
            <w:hideMark/>
          </w:tcPr>
          <w:p w14:paraId="73253589" w14:textId="77777777" w:rsidR="00D3498F" w:rsidRPr="00DE1B60" w:rsidRDefault="00D3498F" w:rsidP="00D3498F">
            <w:pPr>
              <w:rPr>
                <w:rFonts w:ascii="Arial" w:hAnsi="Arial" w:cs="Arial"/>
                <w:sz w:val="18"/>
                <w:szCs w:val="18"/>
              </w:rPr>
            </w:pPr>
          </w:p>
        </w:tc>
        <w:tc>
          <w:tcPr>
            <w:tcW w:w="1856" w:type="dxa"/>
            <w:hideMark/>
          </w:tcPr>
          <w:p w14:paraId="7583BFF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w:t>
            </w:r>
          </w:p>
        </w:tc>
        <w:tc>
          <w:tcPr>
            <w:tcW w:w="1025" w:type="dxa"/>
            <w:hideMark/>
          </w:tcPr>
          <w:p w14:paraId="5A68D9B9"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10/20</w:t>
            </w:r>
          </w:p>
        </w:tc>
        <w:tc>
          <w:tcPr>
            <w:tcW w:w="1212" w:type="dxa"/>
            <w:hideMark/>
          </w:tcPr>
          <w:p w14:paraId="03756A73"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14/35</w:t>
            </w:r>
          </w:p>
        </w:tc>
        <w:tc>
          <w:tcPr>
            <w:tcW w:w="1274" w:type="dxa"/>
            <w:hideMark/>
          </w:tcPr>
          <w:p w14:paraId="4A8161E4"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6/30</w:t>
            </w:r>
          </w:p>
        </w:tc>
        <w:tc>
          <w:tcPr>
            <w:tcW w:w="3086" w:type="dxa"/>
            <w:hideMark/>
          </w:tcPr>
          <w:p w14:paraId="609556CC"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0,152</w:t>
            </w:r>
          </w:p>
        </w:tc>
      </w:tr>
      <w:tr w:rsidR="00D3498F" w:rsidRPr="00DE1B60" w14:paraId="7B197BF4" w14:textId="77777777" w:rsidTr="00D3498F">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1229" w:type="dxa"/>
            <w:vMerge/>
            <w:hideMark/>
          </w:tcPr>
          <w:p w14:paraId="2BA6004E" w14:textId="77777777" w:rsidR="00D3498F" w:rsidRPr="00DE1B60" w:rsidRDefault="00D3498F" w:rsidP="00D3498F">
            <w:pPr>
              <w:rPr>
                <w:rFonts w:ascii="Arial" w:hAnsi="Arial" w:cs="Arial"/>
                <w:sz w:val="18"/>
                <w:szCs w:val="18"/>
              </w:rPr>
            </w:pPr>
          </w:p>
        </w:tc>
        <w:tc>
          <w:tcPr>
            <w:tcW w:w="1856" w:type="dxa"/>
            <w:hideMark/>
          </w:tcPr>
          <w:p w14:paraId="1A66751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AC</w:t>
            </w:r>
          </w:p>
        </w:tc>
        <w:tc>
          <w:tcPr>
            <w:tcW w:w="1025" w:type="dxa"/>
            <w:hideMark/>
          </w:tcPr>
          <w:p w14:paraId="67A7F65C"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3/6</w:t>
            </w:r>
          </w:p>
        </w:tc>
        <w:tc>
          <w:tcPr>
            <w:tcW w:w="1212" w:type="dxa"/>
            <w:hideMark/>
          </w:tcPr>
          <w:p w14:paraId="31A307EE"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7/17,5</w:t>
            </w:r>
          </w:p>
        </w:tc>
        <w:tc>
          <w:tcPr>
            <w:tcW w:w="1274" w:type="dxa"/>
            <w:hideMark/>
          </w:tcPr>
          <w:p w14:paraId="56740D80"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13/65</w:t>
            </w:r>
          </w:p>
        </w:tc>
        <w:tc>
          <w:tcPr>
            <w:tcW w:w="3086" w:type="dxa"/>
            <w:hideMark/>
          </w:tcPr>
          <w:p w14:paraId="3D36D1C0"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&lt;0,0005</w:t>
            </w:r>
          </w:p>
        </w:tc>
      </w:tr>
      <w:tr w:rsidR="00D3498F" w:rsidRPr="00DE1B60" w14:paraId="773350DD" w14:textId="77777777" w:rsidTr="00D3498F">
        <w:trPr>
          <w:trHeight w:val="358"/>
        </w:trPr>
        <w:tc>
          <w:tcPr>
            <w:cnfStyle w:val="001000000000" w:firstRow="0" w:lastRow="0" w:firstColumn="1" w:lastColumn="0" w:oddVBand="0" w:evenVBand="0" w:oddHBand="0" w:evenHBand="0" w:firstRowFirstColumn="0" w:firstRowLastColumn="0" w:lastRowFirstColumn="0" w:lastRowLastColumn="0"/>
            <w:tcW w:w="1229" w:type="dxa"/>
            <w:vMerge w:val="restart"/>
            <w:hideMark/>
          </w:tcPr>
          <w:p w14:paraId="1BB52B3D" w14:textId="77777777" w:rsidR="00D3498F" w:rsidRPr="00DE1B60" w:rsidRDefault="00D3498F" w:rsidP="00D3498F">
            <w:pPr>
              <w:rPr>
                <w:rFonts w:ascii="Arial" w:hAnsi="Arial" w:cs="Arial"/>
                <w:sz w:val="18"/>
                <w:szCs w:val="18"/>
              </w:rPr>
            </w:pPr>
            <w:r w:rsidRPr="00DE1B60">
              <w:rPr>
                <w:rFonts w:ascii="Arial" w:hAnsi="Arial" w:cs="Arial"/>
                <w:sz w:val="18"/>
                <w:szCs w:val="18"/>
              </w:rPr>
              <w:t>VEGF</w:t>
            </w:r>
          </w:p>
          <w:p w14:paraId="104896B5" w14:textId="77777777" w:rsidR="00D3498F" w:rsidRPr="00DE1B60" w:rsidRDefault="00D3498F" w:rsidP="00D3498F">
            <w:pPr>
              <w:rPr>
                <w:rFonts w:ascii="Arial" w:hAnsi="Arial" w:cs="Arial"/>
                <w:sz w:val="18"/>
                <w:szCs w:val="18"/>
              </w:rPr>
            </w:pPr>
            <w:r w:rsidRPr="00DE1B60">
              <w:rPr>
                <w:rFonts w:ascii="Arial" w:hAnsi="Arial" w:cs="Arial"/>
                <w:sz w:val="18"/>
                <w:szCs w:val="18"/>
              </w:rPr>
              <w:t>C936T</w:t>
            </w:r>
          </w:p>
          <w:p w14:paraId="4BCA6589" w14:textId="77777777" w:rsidR="00D3498F" w:rsidRPr="00DE1B60" w:rsidRDefault="00D3498F" w:rsidP="00D3498F">
            <w:pPr>
              <w:rPr>
                <w:rFonts w:ascii="Arial" w:hAnsi="Arial" w:cs="Arial"/>
                <w:sz w:val="18"/>
                <w:szCs w:val="18"/>
              </w:rPr>
            </w:pPr>
            <w:r w:rsidRPr="00DE1B60">
              <w:rPr>
                <w:rFonts w:ascii="Arial" w:hAnsi="Arial" w:cs="Arial"/>
                <w:sz w:val="18"/>
                <w:szCs w:val="18"/>
              </w:rPr>
              <w:t>n/%</w:t>
            </w:r>
          </w:p>
        </w:tc>
        <w:tc>
          <w:tcPr>
            <w:tcW w:w="1856" w:type="dxa"/>
            <w:hideMark/>
          </w:tcPr>
          <w:p w14:paraId="2EA6130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CC</w:t>
            </w:r>
          </w:p>
        </w:tc>
        <w:tc>
          <w:tcPr>
            <w:tcW w:w="1025" w:type="dxa"/>
            <w:hideMark/>
          </w:tcPr>
          <w:p w14:paraId="3435FB92"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38/77</w:t>
            </w:r>
          </w:p>
        </w:tc>
        <w:tc>
          <w:tcPr>
            <w:tcW w:w="1212" w:type="dxa"/>
            <w:hideMark/>
          </w:tcPr>
          <w:p w14:paraId="1600D0B4"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23/72</w:t>
            </w:r>
          </w:p>
        </w:tc>
        <w:tc>
          <w:tcPr>
            <w:tcW w:w="1274" w:type="dxa"/>
            <w:hideMark/>
          </w:tcPr>
          <w:p w14:paraId="385359DD"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13/46</w:t>
            </w:r>
          </w:p>
        </w:tc>
        <w:tc>
          <w:tcPr>
            <w:tcW w:w="3086" w:type="dxa"/>
            <w:hideMark/>
          </w:tcPr>
          <w:p w14:paraId="70AB5045" w14:textId="77777777" w:rsidR="00D3498F" w:rsidRPr="00DE1B60" w:rsidRDefault="00D3498F" w:rsidP="00D3498F">
            <w:pPr>
              <w:ind w:right="-51"/>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0,645</w:t>
            </w:r>
          </w:p>
        </w:tc>
      </w:tr>
      <w:tr w:rsidR="00D3498F" w:rsidRPr="00DE1B60" w14:paraId="5135DC5F" w14:textId="77777777" w:rsidTr="00D3498F">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29" w:type="dxa"/>
            <w:vMerge/>
            <w:hideMark/>
          </w:tcPr>
          <w:p w14:paraId="06B21A69" w14:textId="77777777" w:rsidR="00D3498F" w:rsidRPr="00DE1B60" w:rsidRDefault="00D3498F" w:rsidP="00D3498F">
            <w:pPr>
              <w:rPr>
                <w:rFonts w:ascii="Arial" w:hAnsi="Arial" w:cs="Arial"/>
                <w:sz w:val="18"/>
                <w:szCs w:val="18"/>
              </w:rPr>
            </w:pPr>
          </w:p>
        </w:tc>
        <w:tc>
          <w:tcPr>
            <w:tcW w:w="1856" w:type="dxa"/>
            <w:hideMark/>
          </w:tcPr>
          <w:p w14:paraId="79ABE5D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CT</w:t>
            </w:r>
          </w:p>
        </w:tc>
        <w:tc>
          <w:tcPr>
            <w:tcW w:w="1025" w:type="dxa"/>
            <w:hideMark/>
          </w:tcPr>
          <w:p w14:paraId="529C5B3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11/21</w:t>
            </w:r>
          </w:p>
        </w:tc>
        <w:tc>
          <w:tcPr>
            <w:tcW w:w="1212" w:type="dxa"/>
            <w:hideMark/>
          </w:tcPr>
          <w:p w14:paraId="53633FBD"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8/25</w:t>
            </w:r>
          </w:p>
        </w:tc>
        <w:tc>
          <w:tcPr>
            <w:tcW w:w="1274" w:type="dxa"/>
            <w:hideMark/>
          </w:tcPr>
          <w:p w14:paraId="219126CE"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6/14</w:t>
            </w:r>
          </w:p>
        </w:tc>
        <w:tc>
          <w:tcPr>
            <w:tcW w:w="3086" w:type="dxa"/>
            <w:hideMark/>
          </w:tcPr>
          <w:p w14:paraId="588A6AF3"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0,754</w:t>
            </w:r>
          </w:p>
        </w:tc>
      </w:tr>
      <w:tr w:rsidR="00D3498F" w:rsidRPr="00DE1B60" w14:paraId="0DAC4E08" w14:textId="77777777" w:rsidTr="00D3498F">
        <w:trPr>
          <w:trHeight w:val="249"/>
        </w:trPr>
        <w:tc>
          <w:tcPr>
            <w:cnfStyle w:val="001000000000" w:firstRow="0" w:lastRow="0" w:firstColumn="1" w:lastColumn="0" w:oddVBand="0" w:evenVBand="0" w:oddHBand="0" w:evenHBand="0" w:firstRowFirstColumn="0" w:firstRowLastColumn="0" w:lastRowFirstColumn="0" w:lastRowLastColumn="0"/>
            <w:tcW w:w="1229" w:type="dxa"/>
            <w:vMerge/>
            <w:hideMark/>
          </w:tcPr>
          <w:p w14:paraId="1A53F82A" w14:textId="77777777" w:rsidR="00D3498F" w:rsidRPr="00DE1B60" w:rsidRDefault="00D3498F" w:rsidP="00D3498F">
            <w:pPr>
              <w:rPr>
                <w:rFonts w:ascii="Arial" w:hAnsi="Arial" w:cs="Arial"/>
                <w:sz w:val="18"/>
                <w:szCs w:val="18"/>
              </w:rPr>
            </w:pPr>
          </w:p>
        </w:tc>
        <w:tc>
          <w:tcPr>
            <w:tcW w:w="1856" w:type="dxa"/>
            <w:hideMark/>
          </w:tcPr>
          <w:p w14:paraId="226419F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TT</w:t>
            </w:r>
          </w:p>
        </w:tc>
        <w:tc>
          <w:tcPr>
            <w:tcW w:w="1025" w:type="dxa"/>
            <w:hideMark/>
          </w:tcPr>
          <w:p w14:paraId="75449668"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 2</w:t>
            </w:r>
          </w:p>
        </w:tc>
        <w:tc>
          <w:tcPr>
            <w:tcW w:w="1212" w:type="dxa"/>
            <w:hideMark/>
          </w:tcPr>
          <w:p w14:paraId="634AFBC8"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1/3</w:t>
            </w:r>
          </w:p>
        </w:tc>
        <w:tc>
          <w:tcPr>
            <w:tcW w:w="1274" w:type="dxa"/>
            <w:hideMark/>
          </w:tcPr>
          <w:p w14:paraId="4EAA05FE"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 4</w:t>
            </w:r>
          </w:p>
        </w:tc>
        <w:tc>
          <w:tcPr>
            <w:tcW w:w="3086" w:type="dxa"/>
            <w:hideMark/>
          </w:tcPr>
          <w:p w14:paraId="6BB4AF0C"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1,000</w:t>
            </w:r>
          </w:p>
        </w:tc>
      </w:tr>
      <w:tr w:rsidR="00D3498F" w:rsidRPr="00DE1B60" w14:paraId="2749FE38" w14:textId="77777777" w:rsidTr="00D3498F">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229" w:type="dxa"/>
            <w:vMerge w:val="restart"/>
            <w:hideMark/>
          </w:tcPr>
          <w:p w14:paraId="263A4753" w14:textId="77777777" w:rsidR="00D3498F" w:rsidRPr="00DE1B60" w:rsidRDefault="00D3498F" w:rsidP="00D3498F">
            <w:pPr>
              <w:rPr>
                <w:rFonts w:ascii="Arial" w:hAnsi="Arial" w:cs="Arial"/>
                <w:sz w:val="18"/>
                <w:szCs w:val="18"/>
              </w:rPr>
            </w:pPr>
            <w:r w:rsidRPr="00DE1B60">
              <w:rPr>
                <w:rFonts w:ascii="Arial" w:hAnsi="Arial" w:cs="Arial"/>
                <w:sz w:val="18"/>
                <w:szCs w:val="18"/>
              </w:rPr>
              <w:t>eNOS</w:t>
            </w:r>
          </w:p>
          <w:p w14:paraId="24CEFA65" w14:textId="77777777" w:rsidR="00D3498F" w:rsidRPr="00DE1B60" w:rsidRDefault="00D3498F" w:rsidP="00D3498F">
            <w:pPr>
              <w:rPr>
                <w:rFonts w:ascii="Arial" w:hAnsi="Arial" w:cs="Arial"/>
                <w:sz w:val="18"/>
                <w:szCs w:val="18"/>
              </w:rPr>
            </w:pPr>
            <w:r w:rsidRPr="00DE1B60">
              <w:rPr>
                <w:rFonts w:ascii="Arial" w:hAnsi="Arial" w:cs="Arial"/>
                <w:sz w:val="18"/>
                <w:szCs w:val="18"/>
              </w:rPr>
              <w:t>n/%</w:t>
            </w:r>
          </w:p>
        </w:tc>
        <w:tc>
          <w:tcPr>
            <w:tcW w:w="1856" w:type="dxa"/>
            <w:hideMark/>
          </w:tcPr>
          <w:p w14:paraId="3368B3D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GG</w:t>
            </w:r>
          </w:p>
        </w:tc>
        <w:tc>
          <w:tcPr>
            <w:tcW w:w="1025" w:type="dxa"/>
            <w:hideMark/>
          </w:tcPr>
          <w:p w14:paraId="52C8B71E"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24/49</w:t>
            </w:r>
          </w:p>
        </w:tc>
        <w:tc>
          <w:tcPr>
            <w:tcW w:w="1212" w:type="dxa"/>
            <w:hideMark/>
          </w:tcPr>
          <w:p w14:paraId="7925DC93"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13/41</w:t>
            </w:r>
          </w:p>
        </w:tc>
        <w:tc>
          <w:tcPr>
            <w:tcW w:w="1274" w:type="dxa"/>
            <w:hideMark/>
          </w:tcPr>
          <w:p w14:paraId="3C8BFC12"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13/45</w:t>
            </w:r>
          </w:p>
        </w:tc>
        <w:tc>
          <w:tcPr>
            <w:tcW w:w="3086" w:type="dxa"/>
            <w:hideMark/>
          </w:tcPr>
          <w:p w14:paraId="6152245D"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0,241</w:t>
            </w:r>
          </w:p>
        </w:tc>
      </w:tr>
      <w:tr w:rsidR="00D3498F" w:rsidRPr="00DE1B60" w14:paraId="5A069114" w14:textId="77777777" w:rsidTr="00D3498F">
        <w:trPr>
          <w:trHeight w:val="277"/>
        </w:trPr>
        <w:tc>
          <w:tcPr>
            <w:cnfStyle w:val="001000000000" w:firstRow="0" w:lastRow="0" w:firstColumn="1" w:lastColumn="0" w:oddVBand="0" w:evenVBand="0" w:oddHBand="0" w:evenHBand="0" w:firstRowFirstColumn="0" w:firstRowLastColumn="0" w:lastRowFirstColumn="0" w:lastRowLastColumn="0"/>
            <w:tcW w:w="1229" w:type="dxa"/>
            <w:vMerge/>
            <w:hideMark/>
          </w:tcPr>
          <w:p w14:paraId="5CAA7C8A" w14:textId="77777777" w:rsidR="00D3498F" w:rsidRPr="00DE1B60" w:rsidRDefault="00D3498F" w:rsidP="00D3498F">
            <w:pPr>
              <w:rPr>
                <w:rFonts w:ascii="Arial" w:hAnsi="Arial" w:cs="Arial"/>
                <w:sz w:val="18"/>
                <w:szCs w:val="18"/>
              </w:rPr>
            </w:pPr>
          </w:p>
        </w:tc>
        <w:tc>
          <w:tcPr>
            <w:tcW w:w="1856" w:type="dxa"/>
            <w:hideMark/>
          </w:tcPr>
          <w:p w14:paraId="13789DF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TT</w:t>
            </w:r>
          </w:p>
        </w:tc>
        <w:tc>
          <w:tcPr>
            <w:tcW w:w="1025" w:type="dxa"/>
            <w:hideMark/>
          </w:tcPr>
          <w:p w14:paraId="154FD7EE"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3/6</w:t>
            </w:r>
          </w:p>
        </w:tc>
        <w:tc>
          <w:tcPr>
            <w:tcW w:w="1212" w:type="dxa"/>
            <w:hideMark/>
          </w:tcPr>
          <w:p w14:paraId="331B93D6"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2/6</w:t>
            </w:r>
          </w:p>
        </w:tc>
        <w:tc>
          <w:tcPr>
            <w:tcW w:w="1274" w:type="dxa"/>
            <w:hideMark/>
          </w:tcPr>
          <w:p w14:paraId="4403526E"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w:t>
            </w:r>
          </w:p>
        </w:tc>
        <w:tc>
          <w:tcPr>
            <w:tcW w:w="3086" w:type="dxa"/>
            <w:hideMark/>
          </w:tcPr>
          <w:p w14:paraId="4E7E300F"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0,652</w:t>
            </w:r>
          </w:p>
        </w:tc>
      </w:tr>
      <w:tr w:rsidR="00D3498F" w:rsidRPr="00DE1B60" w14:paraId="3E35867B" w14:textId="77777777" w:rsidTr="00D3498F">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29" w:type="dxa"/>
            <w:vMerge/>
            <w:hideMark/>
          </w:tcPr>
          <w:p w14:paraId="48F8A01B" w14:textId="77777777" w:rsidR="00D3498F" w:rsidRPr="00DE1B60" w:rsidRDefault="00D3498F" w:rsidP="00D3498F">
            <w:pPr>
              <w:rPr>
                <w:rFonts w:ascii="Arial" w:hAnsi="Arial" w:cs="Arial"/>
                <w:sz w:val="18"/>
                <w:szCs w:val="18"/>
              </w:rPr>
            </w:pPr>
          </w:p>
        </w:tc>
        <w:tc>
          <w:tcPr>
            <w:tcW w:w="1856" w:type="dxa"/>
            <w:hideMark/>
          </w:tcPr>
          <w:p w14:paraId="0522FE9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GT</w:t>
            </w:r>
          </w:p>
        </w:tc>
        <w:tc>
          <w:tcPr>
            <w:tcW w:w="1025" w:type="dxa"/>
            <w:hideMark/>
          </w:tcPr>
          <w:p w14:paraId="2A8E4F23"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23/43</w:t>
            </w:r>
          </w:p>
        </w:tc>
        <w:tc>
          <w:tcPr>
            <w:tcW w:w="1212" w:type="dxa"/>
            <w:hideMark/>
          </w:tcPr>
          <w:p w14:paraId="307EA87D"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17/53</w:t>
            </w:r>
          </w:p>
        </w:tc>
        <w:tc>
          <w:tcPr>
            <w:tcW w:w="1274" w:type="dxa"/>
            <w:hideMark/>
          </w:tcPr>
          <w:p w14:paraId="061294C9"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7/21</w:t>
            </w:r>
          </w:p>
        </w:tc>
        <w:tc>
          <w:tcPr>
            <w:tcW w:w="3086" w:type="dxa"/>
            <w:hideMark/>
          </w:tcPr>
          <w:p w14:paraId="11E2A08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0,459</w:t>
            </w:r>
          </w:p>
        </w:tc>
      </w:tr>
      <w:tr w:rsidR="00D3498F" w:rsidRPr="00DE1B60" w14:paraId="5C8017C3" w14:textId="77777777" w:rsidTr="00D3498F">
        <w:trPr>
          <w:trHeight w:val="308"/>
        </w:trPr>
        <w:tc>
          <w:tcPr>
            <w:cnfStyle w:val="001000000000" w:firstRow="0" w:lastRow="0" w:firstColumn="1" w:lastColumn="0" w:oddVBand="0" w:evenVBand="0" w:oddHBand="0" w:evenHBand="0" w:firstRowFirstColumn="0" w:firstRowLastColumn="0" w:lastRowFirstColumn="0" w:lastRowLastColumn="0"/>
            <w:tcW w:w="1229" w:type="dxa"/>
            <w:vMerge w:val="restart"/>
            <w:hideMark/>
          </w:tcPr>
          <w:p w14:paraId="2674E6F0" w14:textId="77777777" w:rsidR="00D3498F" w:rsidRPr="00DE1B60" w:rsidRDefault="00D3498F" w:rsidP="00D3498F">
            <w:pPr>
              <w:rPr>
                <w:rFonts w:ascii="Arial" w:hAnsi="Arial" w:cs="Arial"/>
                <w:sz w:val="18"/>
                <w:szCs w:val="18"/>
              </w:rPr>
            </w:pPr>
            <w:r w:rsidRPr="00DE1B60">
              <w:rPr>
                <w:rFonts w:ascii="Arial" w:hAnsi="Arial" w:cs="Arial"/>
                <w:sz w:val="18"/>
                <w:szCs w:val="18"/>
              </w:rPr>
              <w:t>HIF-1</w:t>
            </w:r>
            <w:r w:rsidRPr="00DE1B60">
              <w:rPr>
                <w:rFonts w:ascii="Arial" w:hAnsi="Arial" w:cs="Arial"/>
                <w:sz w:val="18"/>
                <w:szCs w:val="18"/>
                <w:lang w:val="el-GR"/>
              </w:rPr>
              <w:t>α</w:t>
            </w:r>
          </w:p>
          <w:p w14:paraId="6DCC5F40" w14:textId="77777777" w:rsidR="00D3498F" w:rsidRPr="00DE1B60" w:rsidRDefault="00D3498F" w:rsidP="00D3498F">
            <w:pPr>
              <w:rPr>
                <w:rFonts w:ascii="Arial" w:hAnsi="Arial" w:cs="Arial"/>
                <w:sz w:val="18"/>
                <w:szCs w:val="18"/>
              </w:rPr>
            </w:pPr>
            <w:r w:rsidRPr="00DE1B60">
              <w:rPr>
                <w:rFonts w:ascii="Arial" w:hAnsi="Arial" w:cs="Arial"/>
                <w:sz w:val="18"/>
                <w:szCs w:val="18"/>
              </w:rPr>
              <w:t>n/%</w:t>
            </w:r>
          </w:p>
        </w:tc>
        <w:tc>
          <w:tcPr>
            <w:tcW w:w="1856" w:type="dxa"/>
            <w:hideMark/>
          </w:tcPr>
          <w:p w14:paraId="546F00D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CC</w:t>
            </w:r>
          </w:p>
        </w:tc>
        <w:tc>
          <w:tcPr>
            <w:tcW w:w="1025" w:type="dxa"/>
            <w:hideMark/>
          </w:tcPr>
          <w:p w14:paraId="417F921E"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37/70</w:t>
            </w:r>
          </w:p>
        </w:tc>
        <w:tc>
          <w:tcPr>
            <w:tcW w:w="1212" w:type="dxa"/>
            <w:hideMark/>
          </w:tcPr>
          <w:p w14:paraId="56155F37"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28/88</w:t>
            </w:r>
          </w:p>
        </w:tc>
        <w:tc>
          <w:tcPr>
            <w:tcW w:w="1274" w:type="dxa"/>
            <w:hideMark/>
          </w:tcPr>
          <w:p w14:paraId="0CF2A46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16/55</w:t>
            </w:r>
          </w:p>
        </w:tc>
        <w:tc>
          <w:tcPr>
            <w:tcW w:w="3086" w:type="dxa"/>
            <w:hideMark/>
          </w:tcPr>
          <w:p w14:paraId="539A2B68"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0,340</w:t>
            </w:r>
          </w:p>
        </w:tc>
      </w:tr>
      <w:tr w:rsidR="00D3498F" w:rsidRPr="00DE1B60" w14:paraId="00ECDA12" w14:textId="77777777" w:rsidTr="00D3498F">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229" w:type="dxa"/>
            <w:vMerge/>
            <w:hideMark/>
          </w:tcPr>
          <w:p w14:paraId="391C6BA8" w14:textId="77777777" w:rsidR="00D3498F" w:rsidRPr="00DE1B60" w:rsidRDefault="00D3498F" w:rsidP="00D3498F">
            <w:pPr>
              <w:rPr>
                <w:rFonts w:ascii="Arial" w:hAnsi="Arial" w:cs="Arial"/>
                <w:sz w:val="18"/>
                <w:szCs w:val="18"/>
              </w:rPr>
            </w:pPr>
          </w:p>
        </w:tc>
        <w:tc>
          <w:tcPr>
            <w:tcW w:w="1856" w:type="dxa"/>
            <w:hideMark/>
          </w:tcPr>
          <w:p w14:paraId="125AE16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CT</w:t>
            </w:r>
          </w:p>
        </w:tc>
        <w:tc>
          <w:tcPr>
            <w:tcW w:w="1025" w:type="dxa"/>
            <w:hideMark/>
          </w:tcPr>
          <w:p w14:paraId="4384F57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13/29</w:t>
            </w:r>
          </w:p>
        </w:tc>
        <w:tc>
          <w:tcPr>
            <w:tcW w:w="1212" w:type="dxa"/>
            <w:hideMark/>
          </w:tcPr>
          <w:p w14:paraId="5EC8DA86"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4/13</w:t>
            </w:r>
          </w:p>
        </w:tc>
        <w:tc>
          <w:tcPr>
            <w:tcW w:w="1274" w:type="dxa"/>
            <w:hideMark/>
          </w:tcPr>
          <w:p w14:paraId="5A7424C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3/7</w:t>
            </w:r>
          </w:p>
        </w:tc>
        <w:tc>
          <w:tcPr>
            <w:tcW w:w="3086" w:type="dxa"/>
            <w:hideMark/>
          </w:tcPr>
          <w:p w14:paraId="34B4389E"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0,277</w:t>
            </w:r>
          </w:p>
        </w:tc>
      </w:tr>
      <w:tr w:rsidR="00D3498F" w:rsidRPr="00DE1B60" w14:paraId="6CEC5029" w14:textId="77777777" w:rsidTr="00D3498F">
        <w:trPr>
          <w:trHeight w:val="40"/>
        </w:trPr>
        <w:tc>
          <w:tcPr>
            <w:cnfStyle w:val="001000000000" w:firstRow="0" w:lastRow="0" w:firstColumn="1" w:lastColumn="0" w:oddVBand="0" w:evenVBand="0" w:oddHBand="0" w:evenHBand="0" w:firstRowFirstColumn="0" w:firstRowLastColumn="0" w:lastRowFirstColumn="0" w:lastRowLastColumn="0"/>
            <w:tcW w:w="1229" w:type="dxa"/>
            <w:vMerge/>
            <w:hideMark/>
          </w:tcPr>
          <w:p w14:paraId="1976A1C2" w14:textId="77777777" w:rsidR="00D3498F" w:rsidRPr="00DE1B60" w:rsidRDefault="00D3498F" w:rsidP="00D3498F">
            <w:pPr>
              <w:rPr>
                <w:rFonts w:ascii="Arial" w:hAnsi="Arial" w:cs="Arial"/>
                <w:sz w:val="18"/>
                <w:szCs w:val="18"/>
              </w:rPr>
            </w:pPr>
          </w:p>
        </w:tc>
        <w:tc>
          <w:tcPr>
            <w:tcW w:w="1856" w:type="dxa"/>
            <w:hideMark/>
          </w:tcPr>
          <w:p w14:paraId="7728525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TT</w:t>
            </w:r>
          </w:p>
        </w:tc>
        <w:tc>
          <w:tcPr>
            <w:tcW w:w="1025" w:type="dxa"/>
            <w:hideMark/>
          </w:tcPr>
          <w:p w14:paraId="60EAAD4D"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w:t>
            </w:r>
          </w:p>
        </w:tc>
        <w:tc>
          <w:tcPr>
            <w:tcW w:w="1212" w:type="dxa"/>
            <w:hideMark/>
          </w:tcPr>
          <w:p w14:paraId="26074A4D"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w:t>
            </w:r>
          </w:p>
        </w:tc>
        <w:tc>
          <w:tcPr>
            <w:tcW w:w="1274" w:type="dxa"/>
            <w:hideMark/>
          </w:tcPr>
          <w:p w14:paraId="00BA31F6"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1/3</w:t>
            </w:r>
          </w:p>
        </w:tc>
        <w:tc>
          <w:tcPr>
            <w:tcW w:w="3086" w:type="dxa"/>
            <w:hideMark/>
          </w:tcPr>
          <w:p w14:paraId="021B5083"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0,196</w:t>
            </w:r>
          </w:p>
        </w:tc>
      </w:tr>
    </w:tbl>
    <w:p w14:paraId="40CC1E6E" w14:textId="77777777" w:rsidR="00D3498F" w:rsidRDefault="00D3498F" w:rsidP="00D3498F">
      <w:pPr>
        <w:rPr>
          <w:lang w:val="en-US"/>
        </w:rPr>
      </w:pPr>
    </w:p>
    <w:p w14:paraId="71B831E8" w14:textId="77777777" w:rsidR="00D3498F" w:rsidRDefault="00D3498F" w:rsidP="00D3498F">
      <w:pPr>
        <w:rPr>
          <w:lang w:val="en-US"/>
        </w:rPr>
      </w:pPr>
    </w:p>
    <w:p w14:paraId="425F8A37" w14:textId="77777777" w:rsidR="00D3498F" w:rsidRDefault="00D3498F" w:rsidP="00D3498F">
      <w:pPr>
        <w:rPr>
          <w:lang w:val="en-US"/>
        </w:rPr>
      </w:pPr>
    </w:p>
    <w:p w14:paraId="66464069" w14:textId="77777777" w:rsidR="00D3498F" w:rsidRDefault="00D3498F" w:rsidP="00D3498F">
      <w:pPr>
        <w:rPr>
          <w:lang w:val="en-US"/>
        </w:rPr>
      </w:pPr>
    </w:p>
    <w:p w14:paraId="3021F395" w14:textId="77777777" w:rsidR="00D3498F" w:rsidRDefault="00D3498F" w:rsidP="00D3498F">
      <w:pPr>
        <w:rPr>
          <w:lang w:val="en-US"/>
        </w:rPr>
      </w:pPr>
    </w:p>
    <w:p w14:paraId="218A6323" w14:textId="77777777" w:rsidR="00D3498F" w:rsidRPr="00DE1B60" w:rsidRDefault="00D3498F" w:rsidP="00D3498F">
      <w:pPr>
        <w:rPr>
          <w:lang w:val="en-US"/>
        </w:rPr>
      </w:pPr>
    </w:p>
    <w:p w14:paraId="5509FE8B" w14:textId="77777777" w:rsidR="00D3498F" w:rsidRDefault="00D3498F" w:rsidP="00D3498F">
      <w:pPr>
        <w:rPr>
          <w:lang w:val="en-US"/>
        </w:rPr>
      </w:pPr>
    </w:p>
    <w:p w14:paraId="7B77099D" w14:textId="77777777" w:rsidR="00D3498F" w:rsidRDefault="00D3498F" w:rsidP="00D3498F">
      <w:pPr>
        <w:rPr>
          <w:lang w:val="en-US"/>
        </w:rPr>
      </w:pPr>
    </w:p>
    <w:p w14:paraId="20B8B430" w14:textId="77777777" w:rsidR="00D3498F" w:rsidRDefault="00D3498F" w:rsidP="00D3498F">
      <w:pPr>
        <w:rPr>
          <w:lang w:val="en-US"/>
        </w:rPr>
      </w:pPr>
    </w:p>
    <w:p w14:paraId="68E55B7E" w14:textId="77777777" w:rsidR="00D3498F" w:rsidRDefault="00D3498F" w:rsidP="00D3498F">
      <w:pPr>
        <w:rPr>
          <w:lang w:val="en-US"/>
        </w:rPr>
      </w:pPr>
    </w:p>
    <w:p w14:paraId="41F3EA9B" w14:textId="77777777" w:rsidR="00D3498F" w:rsidRDefault="00D3498F" w:rsidP="00D3498F">
      <w:pPr>
        <w:rPr>
          <w:lang w:val="en-US"/>
        </w:rPr>
      </w:pPr>
    </w:p>
    <w:p w14:paraId="457C237C" w14:textId="77777777" w:rsidR="00D3498F" w:rsidRDefault="00D3498F" w:rsidP="00D3498F">
      <w:pPr>
        <w:rPr>
          <w:lang w:val="en-US"/>
        </w:rPr>
      </w:pPr>
    </w:p>
    <w:p w14:paraId="466A2A75" w14:textId="77777777" w:rsidR="00D3498F" w:rsidRDefault="00D3498F" w:rsidP="00D3498F">
      <w:pPr>
        <w:rPr>
          <w:lang w:val="en-US"/>
        </w:rPr>
      </w:pPr>
    </w:p>
    <w:p w14:paraId="71EB9F3F" w14:textId="77777777" w:rsidR="00D3498F" w:rsidRDefault="00D3498F" w:rsidP="00D3498F">
      <w:pPr>
        <w:rPr>
          <w:lang w:val="en-US"/>
        </w:rPr>
      </w:pPr>
    </w:p>
    <w:p w14:paraId="77491E6F" w14:textId="77777777" w:rsidR="00D3498F" w:rsidRDefault="00D3498F" w:rsidP="00D3498F">
      <w:pPr>
        <w:rPr>
          <w:lang w:val="en-US"/>
        </w:rPr>
      </w:pPr>
    </w:p>
    <w:p w14:paraId="4B216D8D" w14:textId="77777777" w:rsidR="00D3498F" w:rsidRDefault="00D3498F" w:rsidP="00D3498F">
      <w:pPr>
        <w:rPr>
          <w:lang w:val="en-US"/>
        </w:rPr>
      </w:pPr>
    </w:p>
    <w:p w14:paraId="5C74A358" w14:textId="77777777" w:rsidR="00D3498F" w:rsidRDefault="00D3498F" w:rsidP="00D3498F">
      <w:pPr>
        <w:rPr>
          <w:lang w:val="en-US"/>
        </w:rPr>
      </w:pPr>
    </w:p>
    <w:p w14:paraId="01AB611B" w14:textId="77777777" w:rsidR="00D3498F" w:rsidRDefault="00D3498F" w:rsidP="00D3498F">
      <w:pPr>
        <w:rPr>
          <w:lang w:val="en-US"/>
        </w:rPr>
      </w:pPr>
    </w:p>
    <w:p w14:paraId="26B8FF22" w14:textId="77777777" w:rsidR="00D3498F" w:rsidRDefault="00D3498F" w:rsidP="00D3498F">
      <w:pPr>
        <w:rPr>
          <w:lang w:val="en-US"/>
        </w:rPr>
      </w:pPr>
    </w:p>
    <w:p w14:paraId="22208948" w14:textId="77777777" w:rsidR="00D3498F" w:rsidRDefault="00D3498F" w:rsidP="00D3498F">
      <w:pPr>
        <w:rPr>
          <w:lang w:val="en-US"/>
        </w:rPr>
      </w:pPr>
    </w:p>
    <w:p w14:paraId="553F560A" w14:textId="77777777" w:rsidR="00D3498F" w:rsidRDefault="00D3498F" w:rsidP="00D3498F">
      <w:pPr>
        <w:rPr>
          <w:lang w:val="en-US"/>
        </w:rPr>
      </w:pPr>
    </w:p>
    <w:p w14:paraId="79D49106" w14:textId="77777777" w:rsidR="00D3498F" w:rsidRDefault="00D3498F" w:rsidP="00D3498F">
      <w:pPr>
        <w:rPr>
          <w:lang w:val="en-US"/>
        </w:rPr>
      </w:pPr>
    </w:p>
    <w:p w14:paraId="6ACC99C0" w14:textId="77777777" w:rsidR="00D3498F" w:rsidRDefault="00D3498F" w:rsidP="00D3498F">
      <w:pPr>
        <w:rPr>
          <w:lang w:val="en-US"/>
        </w:rPr>
      </w:pPr>
    </w:p>
    <w:p w14:paraId="46333D48" w14:textId="77777777" w:rsidR="00D3498F" w:rsidRDefault="00D3498F" w:rsidP="00D3498F">
      <w:pPr>
        <w:rPr>
          <w:lang w:val="en-US"/>
        </w:rPr>
      </w:pPr>
    </w:p>
    <w:p w14:paraId="36C2C79A" w14:textId="77777777" w:rsidR="00D3498F" w:rsidRDefault="00D3498F" w:rsidP="00D3498F">
      <w:pPr>
        <w:rPr>
          <w:lang w:val="en-US"/>
        </w:rPr>
      </w:pPr>
    </w:p>
    <w:p w14:paraId="69702D9E" w14:textId="77777777" w:rsidR="00D3498F" w:rsidRDefault="00D3498F" w:rsidP="00D3498F">
      <w:pPr>
        <w:rPr>
          <w:lang w:val="en-US"/>
        </w:rPr>
      </w:pPr>
    </w:p>
    <w:p w14:paraId="0F92FBF7" w14:textId="77777777" w:rsidR="00D3498F" w:rsidRDefault="00D3498F" w:rsidP="00D3498F">
      <w:pPr>
        <w:rPr>
          <w:lang w:val="en-US"/>
        </w:rPr>
      </w:pPr>
    </w:p>
    <w:p w14:paraId="14D8E5FC" w14:textId="77777777" w:rsidR="00D3498F" w:rsidRDefault="00D3498F" w:rsidP="00D3498F">
      <w:pPr>
        <w:rPr>
          <w:lang w:val="en-US"/>
        </w:rPr>
      </w:pPr>
    </w:p>
    <w:p w14:paraId="5FFBB150" w14:textId="77777777" w:rsidR="00D3498F" w:rsidRDefault="00D3498F" w:rsidP="00D3498F">
      <w:pPr>
        <w:rPr>
          <w:lang w:val="en-US"/>
        </w:rPr>
      </w:pPr>
    </w:p>
    <w:p w14:paraId="55CE2FD0" w14:textId="77777777" w:rsidR="00D3498F" w:rsidRDefault="00D3498F" w:rsidP="00D3498F">
      <w:pPr>
        <w:rPr>
          <w:lang w:val="en-US"/>
        </w:rPr>
      </w:pPr>
    </w:p>
    <w:p w14:paraId="620D3206" w14:textId="77777777" w:rsidR="00D3498F" w:rsidRDefault="00D3498F" w:rsidP="00D3498F">
      <w:pPr>
        <w:rPr>
          <w:lang w:val="en-US"/>
        </w:rPr>
      </w:pPr>
    </w:p>
    <w:p w14:paraId="2F450CDD" w14:textId="77777777" w:rsidR="00D3498F" w:rsidRDefault="00D3498F" w:rsidP="00D3498F">
      <w:pPr>
        <w:rPr>
          <w:lang w:val="en-US"/>
        </w:rPr>
      </w:pPr>
    </w:p>
    <w:p w14:paraId="070B375B" w14:textId="77777777" w:rsidR="00D3498F" w:rsidRPr="006A04C7" w:rsidRDefault="00D3498F" w:rsidP="00D3498F">
      <w:pPr>
        <w:spacing w:line="360" w:lineRule="auto"/>
        <w:jc w:val="both"/>
        <w:rPr>
          <w:lang w:val="en-US"/>
        </w:rPr>
      </w:pPr>
      <w:r>
        <w:rPr>
          <w:b/>
          <w:bCs/>
          <w:lang w:val="en-US"/>
        </w:rPr>
        <w:t>Table 5. Results of miRNAs expression</w:t>
      </w:r>
      <w:r w:rsidRPr="00C177CA">
        <w:rPr>
          <w:b/>
          <w:bCs/>
          <w:lang w:val="en-US"/>
        </w:rPr>
        <w:t xml:space="preserve"> analysis in the diabetic foot </w:t>
      </w:r>
      <w:r>
        <w:rPr>
          <w:b/>
          <w:bCs/>
          <w:lang w:val="en-US"/>
        </w:rPr>
        <w:t>patient group versus</w:t>
      </w:r>
      <w:r w:rsidRPr="00C177CA">
        <w:rPr>
          <w:b/>
          <w:bCs/>
          <w:lang w:val="en-US"/>
        </w:rPr>
        <w:t xml:space="preserve"> control group</w:t>
      </w:r>
    </w:p>
    <w:p w14:paraId="545752F5" w14:textId="77777777" w:rsidR="00D3498F" w:rsidRDefault="00D3498F" w:rsidP="00D3498F">
      <w:pPr>
        <w:spacing w:line="360" w:lineRule="auto"/>
        <w:ind w:right="566"/>
        <w:jc w:val="both"/>
        <w:rPr>
          <w:b/>
          <w:bCs/>
          <w:lang w:val="en-US"/>
        </w:rPr>
      </w:pPr>
    </w:p>
    <w:tbl>
      <w:tblPr>
        <w:tblStyle w:val="GridTable5DarkAccent5"/>
        <w:tblpPr w:leftFromText="141" w:rightFromText="141" w:vertAnchor="text" w:horzAnchor="margin" w:tblpY="184"/>
        <w:tblW w:w="9691" w:type="dxa"/>
        <w:tblLook w:val="04A0" w:firstRow="1" w:lastRow="0" w:firstColumn="1" w:lastColumn="0" w:noHBand="0" w:noVBand="1"/>
      </w:tblPr>
      <w:tblGrid>
        <w:gridCol w:w="1135"/>
        <w:gridCol w:w="2179"/>
        <w:gridCol w:w="1248"/>
        <w:gridCol w:w="1679"/>
        <w:gridCol w:w="2194"/>
        <w:gridCol w:w="1256"/>
      </w:tblGrid>
      <w:tr w:rsidR="00D3498F" w:rsidRPr="002F1D4E" w14:paraId="7EECFA2E" w14:textId="77777777" w:rsidTr="00D3498F">
        <w:trPr>
          <w:cnfStyle w:val="100000000000" w:firstRow="1" w:lastRow="0" w:firstColumn="0" w:lastColumn="0" w:oddVBand="0" w:evenVBand="0" w:oddHBand="0"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1135" w:type="dxa"/>
            <w:hideMark/>
          </w:tcPr>
          <w:p w14:paraId="351663FC" w14:textId="77777777" w:rsidR="00D3498F" w:rsidRPr="002F1D4E" w:rsidRDefault="00D3498F" w:rsidP="00D3498F">
            <w:pPr>
              <w:rPr>
                <w:rFonts w:ascii="Arial" w:hAnsi="Arial" w:cs="Arial"/>
                <w:sz w:val="18"/>
                <w:szCs w:val="18"/>
              </w:rPr>
            </w:pPr>
            <w:r>
              <w:rPr>
                <w:rFonts w:ascii="Arial" w:hAnsi="Arial" w:cs="Arial"/>
                <w:sz w:val="18"/>
                <w:szCs w:val="18"/>
              </w:rPr>
              <w:t>Analyses</w:t>
            </w:r>
          </w:p>
        </w:tc>
        <w:tc>
          <w:tcPr>
            <w:tcW w:w="2179" w:type="dxa"/>
            <w:hideMark/>
          </w:tcPr>
          <w:p w14:paraId="3706925D" w14:textId="77777777" w:rsidR="00D3498F" w:rsidRPr="002F1D4E"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Mirna</w:t>
            </w:r>
          </w:p>
        </w:tc>
        <w:tc>
          <w:tcPr>
            <w:tcW w:w="1248" w:type="dxa"/>
            <w:hideMark/>
          </w:tcPr>
          <w:p w14:paraId="1229CF22" w14:textId="77777777" w:rsidR="00D3498F" w:rsidRPr="002F1D4E"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FR</w:t>
            </w:r>
          </w:p>
        </w:tc>
        <w:tc>
          <w:tcPr>
            <w:tcW w:w="1679" w:type="dxa"/>
            <w:hideMark/>
          </w:tcPr>
          <w:p w14:paraId="68FBFA8E" w14:textId="77777777" w:rsidR="00D3498F" w:rsidRPr="002F1D4E"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FC</w:t>
            </w:r>
          </w:p>
        </w:tc>
        <w:tc>
          <w:tcPr>
            <w:tcW w:w="2194" w:type="dxa"/>
            <w:hideMark/>
          </w:tcPr>
          <w:p w14:paraId="25C80410" w14:textId="77777777" w:rsidR="00D3498F" w:rsidRPr="002F1D4E"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Pval</w:t>
            </w:r>
          </w:p>
        </w:tc>
        <w:tc>
          <w:tcPr>
            <w:tcW w:w="1256" w:type="dxa"/>
            <w:hideMark/>
          </w:tcPr>
          <w:p w14:paraId="05509190" w14:textId="77777777" w:rsidR="00D3498F" w:rsidRPr="002F1D4E"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sd</w:t>
            </w:r>
          </w:p>
        </w:tc>
      </w:tr>
      <w:tr w:rsidR="00D3498F" w:rsidRPr="002F1D4E" w14:paraId="4F1FC054" w14:textId="77777777" w:rsidTr="00D3498F">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1135" w:type="dxa"/>
            <w:hideMark/>
          </w:tcPr>
          <w:p w14:paraId="6446B1BE" w14:textId="77777777" w:rsidR="00D3498F" w:rsidRPr="002F1D4E" w:rsidRDefault="00D3498F" w:rsidP="00D3498F">
            <w:pPr>
              <w:rPr>
                <w:rFonts w:ascii="Arial" w:hAnsi="Arial" w:cs="Arial"/>
                <w:sz w:val="18"/>
                <w:szCs w:val="18"/>
              </w:rPr>
            </w:pPr>
            <w:r w:rsidRPr="002F1D4E">
              <w:rPr>
                <w:rFonts w:ascii="Arial" w:hAnsi="Arial" w:cs="Arial"/>
                <w:sz w:val="18"/>
                <w:szCs w:val="18"/>
              </w:rPr>
              <w:lastRenderedPageBreak/>
              <w:t>D</w:t>
            </w:r>
            <w:r>
              <w:rPr>
                <w:rFonts w:ascii="Arial" w:hAnsi="Arial" w:cs="Arial"/>
                <w:sz w:val="18"/>
                <w:szCs w:val="18"/>
              </w:rPr>
              <w:t>FS</w:t>
            </w:r>
            <w:r w:rsidRPr="002F1D4E">
              <w:rPr>
                <w:rFonts w:ascii="Arial" w:hAnsi="Arial" w:cs="Arial"/>
                <w:sz w:val="18"/>
                <w:szCs w:val="18"/>
              </w:rPr>
              <w:t>-CTR</w:t>
            </w:r>
          </w:p>
        </w:tc>
        <w:tc>
          <w:tcPr>
            <w:tcW w:w="2179" w:type="dxa"/>
            <w:hideMark/>
          </w:tcPr>
          <w:p w14:paraId="071DA9C2"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2F1D4E">
              <w:rPr>
                <w:rFonts w:ascii="Arial" w:hAnsi="Arial" w:cs="Arial"/>
                <w:color w:val="343434"/>
                <w:sz w:val="18"/>
                <w:szCs w:val="18"/>
              </w:rPr>
              <w:t>hsa</w:t>
            </w:r>
            <w:r w:rsidRPr="002F1D4E">
              <w:rPr>
                <w:rFonts w:ascii="Arial" w:hAnsi="Arial" w:cs="Arial"/>
                <w:sz w:val="18"/>
                <w:szCs w:val="18"/>
              </w:rPr>
              <w:t>-miR-217-5p</w:t>
            </w:r>
          </w:p>
        </w:tc>
        <w:tc>
          <w:tcPr>
            <w:tcW w:w="1248" w:type="dxa"/>
            <w:noWrap/>
            <w:hideMark/>
          </w:tcPr>
          <w:p w14:paraId="180621E4"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2F1D4E">
              <w:rPr>
                <w:rFonts w:ascii="Arial" w:hAnsi="Arial" w:cs="Arial"/>
                <w:color w:val="000000"/>
                <w:sz w:val="18"/>
                <w:szCs w:val="18"/>
              </w:rPr>
              <w:t>2,190659</w:t>
            </w:r>
          </w:p>
        </w:tc>
        <w:tc>
          <w:tcPr>
            <w:tcW w:w="1679" w:type="dxa"/>
            <w:hideMark/>
          </w:tcPr>
          <w:p w14:paraId="3E4ED3F6"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2F1D4E">
              <w:rPr>
                <w:rFonts w:ascii="Arial" w:hAnsi="Arial" w:cs="Arial"/>
                <w:sz w:val="18"/>
                <w:szCs w:val="18"/>
              </w:rPr>
              <w:t>2,190659</w:t>
            </w:r>
          </w:p>
        </w:tc>
        <w:tc>
          <w:tcPr>
            <w:tcW w:w="2194" w:type="dxa"/>
            <w:hideMark/>
          </w:tcPr>
          <w:p w14:paraId="71265DAE"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7,79</w:t>
            </w:r>
            <w:r w:rsidRPr="002F1D4E">
              <w:rPr>
                <w:rFonts w:ascii="Arial" w:hAnsi="Arial" w:cs="Arial"/>
                <w:sz w:val="18"/>
                <w:szCs w:val="18"/>
              </w:rPr>
              <w:t>-11</w:t>
            </w:r>
          </w:p>
        </w:tc>
        <w:tc>
          <w:tcPr>
            <w:tcW w:w="1256" w:type="dxa"/>
            <w:noWrap/>
            <w:hideMark/>
          </w:tcPr>
          <w:p w14:paraId="67E4C9D4"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2F1D4E">
              <w:rPr>
                <w:rFonts w:ascii="Arial" w:hAnsi="Arial" w:cs="Arial"/>
                <w:color w:val="000000"/>
                <w:sz w:val="18"/>
                <w:szCs w:val="18"/>
              </w:rPr>
              <w:t>0,1960859</w:t>
            </w:r>
          </w:p>
        </w:tc>
      </w:tr>
      <w:tr w:rsidR="00D3498F" w:rsidRPr="002F1D4E" w14:paraId="06DDE227" w14:textId="77777777" w:rsidTr="00D3498F">
        <w:trPr>
          <w:trHeight w:val="739"/>
        </w:trPr>
        <w:tc>
          <w:tcPr>
            <w:cnfStyle w:val="001000000000" w:firstRow="0" w:lastRow="0" w:firstColumn="1" w:lastColumn="0" w:oddVBand="0" w:evenVBand="0" w:oddHBand="0" w:evenHBand="0" w:firstRowFirstColumn="0" w:firstRowLastColumn="0" w:lastRowFirstColumn="0" w:lastRowLastColumn="0"/>
            <w:tcW w:w="1135" w:type="dxa"/>
            <w:hideMark/>
          </w:tcPr>
          <w:p w14:paraId="10222917" w14:textId="77777777" w:rsidR="00D3498F" w:rsidRPr="002F1D4E" w:rsidRDefault="00D3498F" w:rsidP="00D3498F">
            <w:pPr>
              <w:rPr>
                <w:rFonts w:ascii="Arial" w:hAnsi="Arial" w:cs="Arial"/>
                <w:sz w:val="18"/>
                <w:szCs w:val="18"/>
              </w:rPr>
            </w:pPr>
            <w:r w:rsidRPr="002F1D4E">
              <w:rPr>
                <w:rFonts w:ascii="Arial" w:hAnsi="Arial" w:cs="Arial"/>
                <w:sz w:val="18"/>
                <w:szCs w:val="18"/>
              </w:rPr>
              <w:t>D</w:t>
            </w:r>
            <w:r>
              <w:rPr>
                <w:rFonts w:ascii="Arial" w:hAnsi="Arial" w:cs="Arial"/>
                <w:sz w:val="18"/>
                <w:szCs w:val="18"/>
              </w:rPr>
              <w:t>FS</w:t>
            </w:r>
            <w:r w:rsidRPr="002F1D4E">
              <w:rPr>
                <w:rFonts w:ascii="Arial" w:hAnsi="Arial" w:cs="Arial"/>
                <w:sz w:val="18"/>
                <w:szCs w:val="18"/>
              </w:rPr>
              <w:t>-CTR</w:t>
            </w:r>
          </w:p>
        </w:tc>
        <w:tc>
          <w:tcPr>
            <w:tcW w:w="2179" w:type="dxa"/>
            <w:hideMark/>
          </w:tcPr>
          <w:p w14:paraId="098F1147" w14:textId="77777777" w:rsidR="00D3498F" w:rsidRPr="002F1D4E"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hsa-miR-126-3p</w:t>
            </w:r>
          </w:p>
        </w:tc>
        <w:tc>
          <w:tcPr>
            <w:tcW w:w="1248" w:type="dxa"/>
            <w:hideMark/>
          </w:tcPr>
          <w:p w14:paraId="509693EE" w14:textId="77777777" w:rsidR="00D3498F" w:rsidRPr="002F1D4E"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2,256038</w:t>
            </w:r>
          </w:p>
        </w:tc>
        <w:tc>
          <w:tcPr>
            <w:tcW w:w="1679" w:type="dxa"/>
            <w:hideMark/>
          </w:tcPr>
          <w:p w14:paraId="3BB5E1B6" w14:textId="77777777" w:rsidR="00D3498F" w:rsidRPr="002F1D4E"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2,256038</w:t>
            </w:r>
          </w:p>
        </w:tc>
        <w:tc>
          <w:tcPr>
            <w:tcW w:w="2194" w:type="dxa"/>
            <w:hideMark/>
          </w:tcPr>
          <w:p w14:paraId="4BA0CB33" w14:textId="77777777" w:rsidR="00D3498F" w:rsidRPr="00A65113" w:rsidRDefault="00D3498F" w:rsidP="00D3498F">
            <w:pPr>
              <w:ind w:firstLineChars="200" w:firstLine="360"/>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65113">
              <w:rPr>
                <w:rFonts w:ascii="Arial" w:hAnsi="Arial" w:cs="Arial"/>
                <w:sz w:val="18"/>
                <w:szCs w:val="18"/>
              </w:rPr>
              <w:t>0,14960987</w:t>
            </w:r>
          </w:p>
        </w:tc>
        <w:tc>
          <w:tcPr>
            <w:tcW w:w="1256" w:type="dxa"/>
            <w:hideMark/>
          </w:tcPr>
          <w:p w14:paraId="72A03353" w14:textId="77777777" w:rsidR="00D3498F" w:rsidRPr="002F1D4E"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2F1D4E">
              <w:rPr>
                <w:rFonts w:ascii="Arial" w:hAnsi="Arial" w:cs="Arial"/>
                <w:sz w:val="18"/>
                <w:szCs w:val="18"/>
              </w:rPr>
              <w:t>2,4553849</w:t>
            </w:r>
          </w:p>
        </w:tc>
      </w:tr>
      <w:tr w:rsidR="00D3498F" w:rsidRPr="002F1D4E" w14:paraId="2FA663C9" w14:textId="77777777" w:rsidTr="00D3498F">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1135" w:type="dxa"/>
            <w:hideMark/>
          </w:tcPr>
          <w:p w14:paraId="0939B455" w14:textId="77777777" w:rsidR="00D3498F" w:rsidRPr="002F1D4E" w:rsidRDefault="00D3498F" w:rsidP="00D3498F">
            <w:pPr>
              <w:rPr>
                <w:rFonts w:ascii="Arial" w:hAnsi="Arial" w:cs="Arial"/>
                <w:sz w:val="18"/>
                <w:szCs w:val="18"/>
              </w:rPr>
            </w:pPr>
            <w:r w:rsidRPr="002F1D4E">
              <w:rPr>
                <w:rFonts w:ascii="Arial" w:hAnsi="Arial" w:cs="Arial"/>
                <w:sz w:val="18"/>
                <w:szCs w:val="18"/>
              </w:rPr>
              <w:t>D</w:t>
            </w:r>
            <w:r>
              <w:rPr>
                <w:rFonts w:ascii="Arial" w:hAnsi="Arial" w:cs="Arial"/>
                <w:sz w:val="18"/>
                <w:szCs w:val="18"/>
              </w:rPr>
              <w:t>FS</w:t>
            </w:r>
            <w:r w:rsidRPr="002F1D4E">
              <w:rPr>
                <w:rFonts w:ascii="Arial" w:hAnsi="Arial" w:cs="Arial"/>
                <w:sz w:val="18"/>
                <w:szCs w:val="18"/>
              </w:rPr>
              <w:t>-CTR</w:t>
            </w:r>
          </w:p>
        </w:tc>
        <w:tc>
          <w:tcPr>
            <w:tcW w:w="2179" w:type="dxa"/>
            <w:hideMark/>
          </w:tcPr>
          <w:p w14:paraId="05C7E345"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2F1D4E">
              <w:rPr>
                <w:rFonts w:ascii="Arial" w:hAnsi="Arial" w:cs="Arial"/>
                <w:sz w:val="18"/>
                <w:szCs w:val="18"/>
              </w:rPr>
              <w:t>hsa-miR-503-5p</w:t>
            </w:r>
          </w:p>
        </w:tc>
        <w:tc>
          <w:tcPr>
            <w:tcW w:w="1248" w:type="dxa"/>
            <w:hideMark/>
          </w:tcPr>
          <w:p w14:paraId="60667EFE"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2F1D4E">
              <w:rPr>
                <w:rFonts w:ascii="Arial" w:hAnsi="Arial" w:cs="Arial"/>
                <w:sz w:val="18"/>
                <w:szCs w:val="18"/>
              </w:rPr>
              <w:t>6,218755</w:t>
            </w:r>
          </w:p>
        </w:tc>
        <w:tc>
          <w:tcPr>
            <w:tcW w:w="1679" w:type="dxa"/>
            <w:hideMark/>
          </w:tcPr>
          <w:p w14:paraId="5722C790"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2F1D4E">
              <w:rPr>
                <w:rFonts w:ascii="Arial" w:hAnsi="Arial" w:cs="Arial"/>
                <w:sz w:val="18"/>
                <w:szCs w:val="18"/>
              </w:rPr>
              <w:t>6,218755</w:t>
            </w:r>
          </w:p>
        </w:tc>
        <w:tc>
          <w:tcPr>
            <w:tcW w:w="2194" w:type="dxa"/>
            <w:hideMark/>
          </w:tcPr>
          <w:p w14:paraId="6C4ED1BA" w14:textId="77777777" w:rsidR="00D3498F" w:rsidRPr="002F1D4E" w:rsidRDefault="00D3498F" w:rsidP="00D3498F">
            <w:pPr>
              <w:ind w:firstLineChars="200" w:firstLine="360"/>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2F1D4E">
              <w:rPr>
                <w:rFonts w:ascii="Arial" w:hAnsi="Arial" w:cs="Arial"/>
                <w:sz w:val="18"/>
                <w:szCs w:val="18"/>
              </w:rPr>
              <w:t>0,001300872</w:t>
            </w:r>
          </w:p>
        </w:tc>
        <w:tc>
          <w:tcPr>
            <w:tcW w:w="1256" w:type="dxa"/>
            <w:hideMark/>
          </w:tcPr>
          <w:p w14:paraId="26D0B46C" w14:textId="77777777" w:rsidR="00D3498F" w:rsidRPr="002F1D4E"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2F1D4E">
              <w:rPr>
                <w:rFonts w:ascii="Arial" w:hAnsi="Arial" w:cs="Arial"/>
                <w:sz w:val="18"/>
                <w:szCs w:val="18"/>
              </w:rPr>
              <w:t>1,6882705</w:t>
            </w:r>
          </w:p>
        </w:tc>
      </w:tr>
    </w:tbl>
    <w:p w14:paraId="1D4ED39D" w14:textId="77777777" w:rsidR="00D3498F" w:rsidRDefault="00D3498F" w:rsidP="00D3498F">
      <w:pPr>
        <w:spacing w:line="360" w:lineRule="auto"/>
        <w:jc w:val="both"/>
        <w:rPr>
          <w:b/>
          <w:bCs/>
          <w:lang w:val="en-US"/>
        </w:rPr>
      </w:pPr>
    </w:p>
    <w:p w14:paraId="7418ED59" w14:textId="77777777" w:rsidR="00D3498F" w:rsidRDefault="00D3498F" w:rsidP="00D3498F">
      <w:pPr>
        <w:spacing w:line="360" w:lineRule="auto"/>
        <w:jc w:val="both"/>
        <w:rPr>
          <w:b/>
          <w:bCs/>
          <w:lang w:val="en-US"/>
        </w:rPr>
      </w:pPr>
    </w:p>
    <w:p w14:paraId="7B565BD3" w14:textId="77777777" w:rsidR="00D3498F" w:rsidRDefault="00D3498F" w:rsidP="00D3498F">
      <w:pPr>
        <w:spacing w:line="360" w:lineRule="auto"/>
        <w:jc w:val="both"/>
        <w:rPr>
          <w:b/>
          <w:bCs/>
          <w:lang w:val="en-US"/>
        </w:rPr>
      </w:pPr>
    </w:p>
    <w:p w14:paraId="3B0DAE74" w14:textId="77777777" w:rsidR="00D3498F" w:rsidRDefault="00D3498F" w:rsidP="00D3498F">
      <w:pPr>
        <w:spacing w:line="360" w:lineRule="auto"/>
        <w:jc w:val="both"/>
        <w:rPr>
          <w:b/>
          <w:bCs/>
          <w:lang w:val="en-US"/>
        </w:rPr>
      </w:pPr>
    </w:p>
    <w:p w14:paraId="16EA7B46" w14:textId="77777777" w:rsidR="00D3498F" w:rsidRDefault="00D3498F" w:rsidP="00D3498F">
      <w:pPr>
        <w:rPr>
          <w:lang w:val="en-US"/>
        </w:rPr>
      </w:pPr>
    </w:p>
    <w:p w14:paraId="3C87EBD2" w14:textId="77777777" w:rsidR="00D3498F" w:rsidRDefault="00D3498F" w:rsidP="00D3498F">
      <w:pPr>
        <w:rPr>
          <w:lang w:val="en-US"/>
        </w:rPr>
      </w:pPr>
    </w:p>
    <w:p w14:paraId="456EA464" w14:textId="77777777" w:rsidR="00D3498F" w:rsidRDefault="00D3498F" w:rsidP="00D3498F">
      <w:pPr>
        <w:spacing w:line="360" w:lineRule="auto"/>
        <w:jc w:val="both"/>
        <w:rPr>
          <w:b/>
          <w:bCs/>
          <w:lang w:val="en-US"/>
        </w:rPr>
      </w:pPr>
    </w:p>
    <w:p w14:paraId="40A566A5" w14:textId="77777777" w:rsidR="00D3498F" w:rsidRDefault="00D3498F" w:rsidP="00D3498F">
      <w:pPr>
        <w:spacing w:line="360" w:lineRule="auto"/>
        <w:jc w:val="both"/>
        <w:rPr>
          <w:b/>
          <w:bCs/>
          <w:lang w:val="en-US"/>
        </w:rPr>
      </w:pPr>
    </w:p>
    <w:p w14:paraId="245FAB60" w14:textId="77777777" w:rsidR="00D3498F" w:rsidRDefault="00D3498F" w:rsidP="00D3498F">
      <w:pPr>
        <w:spacing w:line="360" w:lineRule="auto"/>
        <w:jc w:val="both"/>
        <w:rPr>
          <w:b/>
          <w:bCs/>
          <w:lang w:val="en-US"/>
        </w:rPr>
      </w:pPr>
    </w:p>
    <w:p w14:paraId="053E36C7" w14:textId="77777777" w:rsidR="00D3498F" w:rsidRDefault="00D3498F" w:rsidP="00D3498F">
      <w:pPr>
        <w:spacing w:line="360" w:lineRule="auto"/>
        <w:jc w:val="both"/>
        <w:rPr>
          <w:b/>
          <w:bCs/>
          <w:lang w:val="en-US"/>
        </w:rPr>
      </w:pPr>
    </w:p>
    <w:p w14:paraId="3EC82CE9" w14:textId="77777777" w:rsidR="00D3498F" w:rsidRDefault="00D3498F" w:rsidP="00D3498F">
      <w:pPr>
        <w:spacing w:line="360" w:lineRule="auto"/>
        <w:jc w:val="both"/>
        <w:rPr>
          <w:b/>
          <w:bCs/>
          <w:lang w:val="en-US"/>
        </w:rPr>
      </w:pPr>
    </w:p>
    <w:p w14:paraId="206FBE76" w14:textId="77777777" w:rsidR="00D3498F" w:rsidRDefault="00D3498F" w:rsidP="00D3498F">
      <w:pPr>
        <w:spacing w:line="360" w:lineRule="auto"/>
        <w:jc w:val="both"/>
        <w:rPr>
          <w:b/>
          <w:bCs/>
          <w:lang w:val="en-US"/>
        </w:rPr>
      </w:pPr>
    </w:p>
    <w:p w14:paraId="79EA8A35" w14:textId="77777777" w:rsidR="00D3498F" w:rsidRDefault="00D3498F" w:rsidP="00D3498F">
      <w:pPr>
        <w:spacing w:line="360" w:lineRule="auto"/>
        <w:jc w:val="both"/>
        <w:rPr>
          <w:b/>
          <w:bCs/>
          <w:lang w:val="en-US"/>
        </w:rPr>
      </w:pPr>
    </w:p>
    <w:p w14:paraId="35C50F30" w14:textId="77777777" w:rsidR="00D3498F" w:rsidRDefault="00D3498F" w:rsidP="00D3498F">
      <w:pPr>
        <w:spacing w:line="360" w:lineRule="auto"/>
        <w:jc w:val="both"/>
        <w:rPr>
          <w:b/>
          <w:bCs/>
          <w:lang w:val="en-US"/>
        </w:rPr>
      </w:pPr>
    </w:p>
    <w:p w14:paraId="63E468B2" w14:textId="77777777" w:rsidR="00D3498F" w:rsidRDefault="00D3498F" w:rsidP="00D3498F">
      <w:pPr>
        <w:spacing w:line="360" w:lineRule="auto"/>
        <w:jc w:val="both"/>
        <w:rPr>
          <w:b/>
          <w:bCs/>
          <w:lang w:val="en-US"/>
        </w:rPr>
      </w:pPr>
    </w:p>
    <w:p w14:paraId="4C9160B6" w14:textId="77777777" w:rsidR="00D3498F" w:rsidRDefault="00D3498F" w:rsidP="00D3498F">
      <w:pPr>
        <w:spacing w:line="360" w:lineRule="auto"/>
        <w:jc w:val="both"/>
        <w:rPr>
          <w:b/>
          <w:bCs/>
          <w:lang w:val="en-US"/>
        </w:rPr>
      </w:pPr>
    </w:p>
    <w:p w14:paraId="0037FD1D" w14:textId="77777777" w:rsidR="00D3498F" w:rsidRDefault="00D3498F" w:rsidP="00D3498F">
      <w:pPr>
        <w:spacing w:line="360" w:lineRule="auto"/>
        <w:jc w:val="both"/>
        <w:rPr>
          <w:b/>
          <w:bCs/>
          <w:lang w:val="en-US"/>
        </w:rPr>
      </w:pPr>
    </w:p>
    <w:p w14:paraId="7EF5F096" w14:textId="77777777" w:rsidR="00D3498F" w:rsidRDefault="00D3498F" w:rsidP="00D3498F">
      <w:pPr>
        <w:spacing w:line="360" w:lineRule="auto"/>
        <w:jc w:val="both"/>
        <w:rPr>
          <w:b/>
          <w:bCs/>
          <w:lang w:val="en-US"/>
        </w:rPr>
      </w:pPr>
    </w:p>
    <w:p w14:paraId="3C1BAD65" w14:textId="77777777" w:rsidR="00D3498F" w:rsidRDefault="00D3498F" w:rsidP="00D3498F">
      <w:pPr>
        <w:spacing w:line="360" w:lineRule="auto"/>
        <w:jc w:val="both"/>
        <w:rPr>
          <w:b/>
          <w:bCs/>
          <w:lang w:val="en-US"/>
        </w:rPr>
      </w:pPr>
    </w:p>
    <w:p w14:paraId="0CD7CA25" w14:textId="77777777" w:rsidR="00D3498F" w:rsidRPr="006A04C7" w:rsidRDefault="00D3498F" w:rsidP="00D3498F">
      <w:pPr>
        <w:spacing w:line="360" w:lineRule="auto"/>
        <w:jc w:val="both"/>
        <w:rPr>
          <w:lang w:val="en-US"/>
        </w:rPr>
      </w:pPr>
      <w:r>
        <w:rPr>
          <w:b/>
          <w:bCs/>
          <w:lang w:val="en-US"/>
        </w:rPr>
        <w:t>Graphic 1. Results of miRNAs expression</w:t>
      </w:r>
      <w:r w:rsidRPr="00C177CA">
        <w:rPr>
          <w:b/>
          <w:bCs/>
          <w:lang w:val="en-US"/>
        </w:rPr>
        <w:t xml:space="preserve"> analysis in the diabetic foot </w:t>
      </w:r>
      <w:r>
        <w:rPr>
          <w:b/>
          <w:bCs/>
          <w:lang w:val="en-US"/>
        </w:rPr>
        <w:t>patient group versus</w:t>
      </w:r>
      <w:r w:rsidRPr="00C177CA">
        <w:rPr>
          <w:b/>
          <w:bCs/>
          <w:lang w:val="en-US"/>
        </w:rPr>
        <w:t xml:space="preserve"> control group</w:t>
      </w:r>
    </w:p>
    <w:p w14:paraId="4D72A7BC" w14:textId="77777777" w:rsidR="00D3498F" w:rsidRDefault="00D3498F" w:rsidP="00D3498F">
      <w:pPr>
        <w:spacing w:line="360" w:lineRule="auto"/>
        <w:jc w:val="both"/>
        <w:rPr>
          <w:b/>
          <w:bCs/>
          <w:lang w:val="en-US"/>
        </w:rPr>
      </w:pPr>
    </w:p>
    <w:p w14:paraId="4299BD46" w14:textId="77777777" w:rsidR="00D3498F" w:rsidRDefault="00D3498F" w:rsidP="00D3498F">
      <w:pPr>
        <w:spacing w:line="360" w:lineRule="auto"/>
        <w:jc w:val="both"/>
        <w:rPr>
          <w:b/>
          <w:bCs/>
          <w:lang w:val="en-US"/>
        </w:rPr>
      </w:pPr>
    </w:p>
    <w:p w14:paraId="1EFF0870" w14:textId="77777777" w:rsidR="00D3498F" w:rsidRDefault="00D3498F" w:rsidP="00D3498F">
      <w:pPr>
        <w:rPr>
          <w:lang w:val="en-US"/>
        </w:rPr>
      </w:pPr>
      <w:r w:rsidRPr="00294BB7">
        <w:rPr>
          <w:b/>
          <w:bCs/>
          <w:noProof/>
        </w:rPr>
        <w:lastRenderedPageBreak/>
        <w:drawing>
          <wp:inline distT="0" distB="0" distL="0" distR="0" wp14:anchorId="64C6C9F3" wp14:editId="393E630B">
            <wp:extent cx="5965570" cy="3270250"/>
            <wp:effectExtent l="0" t="0" r="3810" b="0"/>
            <wp:docPr id="5" name="Picture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027CE1A-2024-810D-2E2F-F6107CF2F2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027CE1A-2024-810D-2E2F-F6107CF2F227}"/>
                        </a:ext>
                      </a:extLst>
                    </pic:cNvPr>
                    <pic:cNvPicPr>
                      <a:picLocks noChangeAspect="1"/>
                    </pic:cNvPicPr>
                  </pic:nvPicPr>
                  <pic:blipFill rotWithShape="1">
                    <a:blip r:embed="rId32"/>
                    <a:srcRect t="4691"/>
                    <a:stretch/>
                  </pic:blipFill>
                  <pic:spPr>
                    <a:xfrm>
                      <a:off x="0" y="0"/>
                      <a:ext cx="6079695" cy="3332812"/>
                    </a:xfrm>
                    <a:prstGeom prst="rect">
                      <a:avLst/>
                    </a:prstGeom>
                  </pic:spPr>
                </pic:pic>
              </a:graphicData>
            </a:graphic>
          </wp:inline>
        </w:drawing>
      </w:r>
    </w:p>
    <w:p w14:paraId="38F37AA4" w14:textId="77777777" w:rsidR="00D3498F" w:rsidRDefault="00D3498F" w:rsidP="00D3498F">
      <w:pPr>
        <w:rPr>
          <w:lang w:val="en-US"/>
        </w:rPr>
      </w:pPr>
    </w:p>
    <w:p w14:paraId="6FB4CA21" w14:textId="77777777" w:rsidR="00D3498F" w:rsidRDefault="00D3498F" w:rsidP="00D3498F">
      <w:pPr>
        <w:rPr>
          <w:lang w:val="en-US"/>
        </w:rPr>
      </w:pPr>
    </w:p>
    <w:p w14:paraId="05BB4B0E" w14:textId="77777777" w:rsidR="00D3498F" w:rsidRDefault="00D3498F" w:rsidP="00D3498F">
      <w:pPr>
        <w:rPr>
          <w:lang w:val="en-US"/>
        </w:rPr>
      </w:pPr>
    </w:p>
    <w:p w14:paraId="7D3AFD52" w14:textId="77777777" w:rsidR="00D3498F" w:rsidRDefault="00D3498F" w:rsidP="00D3498F">
      <w:pPr>
        <w:spacing w:line="360" w:lineRule="auto"/>
        <w:jc w:val="both"/>
        <w:rPr>
          <w:b/>
          <w:bCs/>
          <w:lang w:val="en-US"/>
        </w:rPr>
      </w:pPr>
    </w:p>
    <w:p w14:paraId="5B153D8E" w14:textId="77777777" w:rsidR="00D3498F" w:rsidRDefault="00D3498F" w:rsidP="00D3498F">
      <w:pPr>
        <w:spacing w:line="360" w:lineRule="auto"/>
        <w:jc w:val="both"/>
        <w:rPr>
          <w:b/>
          <w:bCs/>
          <w:lang w:val="en-US"/>
        </w:rPr>
      </w:pPr>
    </w:p>
    <w:p w14:paraId="58E759B6" w14:textId="77777777" w:rsidR="00D3498F" w:rsidRDefault="00D3498F" w:rsidP="00D3498F">
      <w:pPr>
        <w:spacing w:line="360" w:lineRule="auto"/>
        <w:jc w:val="both"/>
        <w:rPr>
          <w:b/>
          <w:bCs/>
          <w:lang w:val="en-US"/>
        </w:rPr>
      </w:pPr>
    </w:p>
    <w:p w14:paraId="3E696EE3" w14:textId="77777777" w:rsidR="00D3498F" w:rsidRDefault="00D3498F" w:rsidP="00D3498F">
      <w:pPr>
        <w:spacing w:line="360" w:lineRule="auto"/>
        <w:jc w:val="both"/>
        <w:rPr>
          <w:b/>
          <w:bCs/>
          <w:lang w:val="en-US"/>
        </w:rPr>
      </w:pPr>
    </w:p>
    <w:p w14:paraId="6DCFD726" w14:textId="77777777" w:rsidR="00D3498F" w:rsidRDefault="00D3498F" w:rsidP="00D3498F">
      <w:pPr>
        <w:spacing w:line="360" w:lineRule="auto"/>
        <w:jc w:val="both"/>
        <w:rPr>
          <w:b/>
          <w:bCs/>
          <w:lang w:val="en-US"/>
        </w:rPr>
      </w:pPr>
    </w:p>
    <w:p w14:paraId="597DC118" w14:textId="77777777" w:rsidR="00D3498F" w:rsidRDefault="00D3498F" w:rsidP="00D3498F">
      <w:pPr>
        <w:spacing w:line="360" w:lineRule="auto"/>
        <w:jc w:val="both"/>
        <w:rPr>
          <w:b/>
          <w:bCs/>
          <w:lang w:val="en-US"/>
        </w:rPr>
      </w:pPr>
    </w:p>
    <w:p w14:paraId="48658BF6" w14:textId="77777777" w:rsidR="00D3498F" w:rsidRDefault="00D3498F" w:rsidP="00D3498F">
      <w:pPr>
        <w:spacing w:line="360" w:lineRule="auto"/>
        <w:jc w:val="both"/>
        <w:rPr>
          <w:b/>
          <w:bCs/>
          <w:lang w:val="en-US"/>
        </w:rPr>
      </w:pPr>
    </w:p>
    <w:p w14:paraId="7AB738D3" w14:textId="77777777" w:rsidR="00D3498F" w:rsidRDefault="00D3498F" w:rsidP="00D3498F">
      <w:pPr>
        <w:spacing w:line="360" w:lineRule="auto"/>
        <w:jc w:val="both"/>
        <w:rPr>
          <w:b/>
          <w:bCs/>
          <w:lang w:val="en-US"/>
        </w:rPr>
      </w:pPr>
    </w:p>
    <w:p w14:paraId="620BFC66" w14:textId="77777777" w:rsidR="00D3498F" w:rsidRDefault="00D3498F" w:rsidP="00D3498F">
      <w:pPr>
        <w:spacing w:line="360" w:lineRule="auto"/>
        <w:jc w:val="both"/>
        <w:rPr>
          <w:b/>
          <w:bCs/>
          <w:lang w:val="en-US"/>
        </w:rPr>
      </w:pPr>
    </w:p>
    <w:p w14:paraId="00DEB7BD" w14:textId="77777777" w:rsidR="00D3498F" w:rsidRDefault="00D3498F" w:rsidP="00D3498F">
      <w:pPr>
        <w:spacing w:line="360" w:lineRule="auto"/>
        <w:jc w:val="both"/>
        <w:rPr>
          <w:b/>
          <w:bCs/>
          <w:lang w:val="en-US"/>
        </w:rPr>
      </w:pPr>
    </w:p>
    <w:p w14:paraId="7B3B8999" w14:textId="77777777" w:rsidR="00D3498F" w:rsidRDefault="00D3498F" w:rsidP="00D3498F">
      <w:pPr>
        <w:spacing w:line="360" w:lineRule="auto"/>
        <w:jc w:val="both"/>
        <w:rPr>
          <w:b/>
          <w:bCs/>
          <w:lang w:val="en-US"/>
        </w:rPr>
      </w:pPr>
    </w:p>
    <w:p w14:paraId="361ABEC6" w14:textId="77777777" w:rsidR="00D3498F" w:rsidRDefault="00D3498F" w:rsidP="00D3498F">
      <w:pPr>
        <w:spacing w:line="360" w:lineRule="auto"/>
        <w:jc w:val="both"/>
        <w:rPr>
          <w:b/>
          <w:bCs/>
          <w:lang w:val="en-US"/>
        </w:rPr>
      </w:pPr>
    </w:p>
    <w:p w14:paraId="3B15919D" w14:textId="77777777" w:rsidR="00D3498F" w:rsidRDefault="00D3498F" w:rsidP="00D3498F">
      <w:pPr>
        <w:spacing w:line="360" w:lineRule="auto"/>
        <w:jc w:val="both"/>
        <w:rPr>
          <w:b/>
          <w:bCs/>
          <w:lang w:val="en-US"/>
        </w:rPr>
      </w:pPr>
    </w:p>
    <w:p w14:paraId="45800C27" w14:textId="77777777" w:rsidR="00D3498F" w:rsidRDefault="00D3498F" w:rsidP="00D3498F">
      <w:pPr>
        <w:spacing w:line="360" w:lineRule="auto"/>
        <w:jc w:val="both"/>
        <w:rPr>
          <w:b/>
          <w:bCs/>
          <w:lang w:val="en-US"/>
        </w:rPr>
      </w:pPr>
    </w:p>
    <w:p w14:paraId="5C5EFF05" w14:textId="77777777" w:rsidR="00D3498F" w:rsidRDefault="00D3498F" w:rsidP="00D3498F">
      <w:pPr>
        <w:spacing w:line="360" w:lineRule="auto"/>
        <w:jc w:val="both"/>
        <w:rPr>
          <w:b/>
          <w:bCs/>
          <w:lang w:val="en-US"/>
        </w:rPr>
      </w:pPr>
    </w:p>
    <w:p w14:paraId="436A4E44" w14:textId="77777777" w:rsidR="00D3498F" w:rsidRPr="006A04C7" w:rsidRDefault="00D3498F" w:rsidP="00D3498F">
      <w:pPr>
        <w:spacing w:line="360" w:lineRule="auto"/>
        <w:jc w:val="both"/>
        <w:rPr>
          <w:lang w:val="en-US"/>
        </w:rPr>
      </w:pPr>
      <w:r>
        <w:rPr>
          <w:b/>
          <w:bCs/>
          <w:lang w:val="en-US"/>
        </w:rPr>
        <w:t>Table 6. Results of miRNAs expression</w:t>
      </w:r>
      <w:r w:rsidRPr="00C177CA">
        <w:rPr>
          <w:b/>
          <w:bCs/>
          <w:lang w:val="en-US"/>
        </w:rPr>
        <w:t xml:space="preserve"> analysis i</w:t>
      </w:r>
      <w:r>
        <w:rPr>
          <w:b/>
          <w:bCs/>
          <w:lang w:val="en-US"/>
        </w:rPr>
        <w:t>n the diabetic</w:t>
      </w:r>
      <w:r w:rsidRPr="00C177CA">
        <w:rPr>
          <w:b/>
          <w:bCs/>
          <w:lang w:val="en-US"/>
        </w:rPr>
        <w:t xml:space="preserve"> </w:t>
      </w:r>
      <w:r>
        <w:rPr>
          <w:b/>
          <w:bCs/>
          <w:lang w:val="en-US"/>
        </w:rPr>
        <w:t>patient group versus</w:t>
      </w:r>
      <w:r w:rsidRPr="00C177CA">
        <w:rPr>
          <w:b/>
          <w:bCs/>
          <w:lang w:val="en-US"/>
        </w:rPr>
        <w:t xml:space="preserve"> control group</w:t>
      </w:r>
    </w:p>
    <w:p w14:paraId="60494C4F" w14:textId="77777777" w:rsidR="00D3498F" w:rsidRDefault="00D3498F" w:rsidP="00D3498F">
      <w:pPr>
        <w:spacing w:line="360" w:lineRule="auto"/>
        <w:jc w:val="both"/>
        <w:rPr>
          <w:b/>
          <w:bCs/>
          <w:lang w:val="en-US"/>
        </w:rPr>
      </w:pPr>
    </w:p>
    <w:tbl>
      <w:tblPr>
        <w:tblStyle w:val="GridTable5DarkAccent5"/>
        <w:tblW w:w="9776" w:type="dxa"/>
        <w:tblLayout w:type="fixed"/>
        <w:tblLook w:val="04A0" w:firstRow="1" w:lastRow="0" w:firstColumn="1" w:lastColumn="0" w:noHBand="0" w:noVBand="1"/>
      </w:tblPr>
      <w:tblGrid>
        <w:gridCol w:w="1134"/>
        <w:gridCol w:w="1696"/>
        <w:gridCol w:w="1986"/>
        <w:gridCol w:w="1860"/>
        <w:gridCol w:w="1399"/>
        <w:gridCol w:w="1701"/>
      </w:tblGrid>
      <w:tr w:rsidR="00D3498F" w:rsidRPr="007027F9" w14:paraId="495873F0" w14:textId="77777777" w:rsidTr="00D3498F">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34" w:type="dxa"/>
            <w:noWrap/>
            <w:hideMark/>
          </w:tcPr>
          <w:p w14:paraId="77016915" w14:textId="77777777" w:rsidR="00D3498F" w:rsidRPr="007027F9" w:rsidRDefault="00D3498F" w:rsidP="00D3498F">
            <w:pPr>
              <w:rPr>
                <w:rFonts w:ascii="Arial" w:hAnsi="Arial" w:cs="Arial"/>
                <w:sz w:val="18"/>
                <w:szCs w:val="18"/>
              </w:rPr>
            </w:pPr>
            <w:r>
              <w:rPr>
                <w:rFonts w:ascii="Arial" w:hAnsi="Arial" w:cs="Arial"/>
                <w:sz w:val="18"/>
                <w:szCs w:val="18"/>
              </w:rPr>
              <w:t>Analyses</w:t>
            </w:r>
          </w:p>
        </w:tc>
        <w:tc>
          <w:tcPr>
            <w:tcW w:w="1696" w:type="dxa"/>
            <w:noWrap/>
            <w:hideMark/>
          </w:tcPr>
          <w:p w14:paraId="0C294A89" w14:textId="77777777" w:rsidR="00D3498F" w:rsidRPr="007027F9"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7027F9">
              <w:rPr>
                <w:rFonts w:ascii="Arial" w:hAnsi="Arial" w:cs="Arial"/>
                <w:sz w:val="18"/>
                <w:szCs w:val="18"/>
              </w:rPr>
              <w:t>Mirna</w:t>
            </w:r>
          </w:p>
        </w:tc>
        <w:tc>
          <w:tcPr>
            <w:tcW w:w="1986" w:type="dxa"/>
            <w:noWrap/>
            <w:hideMark/>
          </w:tcPr>
          <w:p w14:paraId="271D1FA5" w14:textId="77777777" w:rsidR="00D3498F" w:rsidRPr="007027F9"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7027F9">
              <w:rPr>
                <w:rFonts w:ascii="Arial" w:hAnsi="Arial" w:cs="Arial"/>
                <w:sz w:val="18"/>
                <w:szCs w:val="18"/>
              </w:rPr>
              <w:t>FR</w:t>
            </w:r>
          </w:p>
        </w:tc>
        <w:tc>
          <w:tcPr>
            <w:tcW w:w="1860" w:type="dxa"/>
            <w:noWrap/>
            <w:hideMark/>
          </w:tcPr>
          <w:p w14:paraId="2353C76C" w14:textId="77777777" w:rsidR="00D3498F" w:rsidRPr="007027F9"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7027F9">
              <w:rPr>
                <w:rFonts w:ascii="Arial" w:hAnsi="Arial" w:cs="Arial"/>
                <w:sz w:val="18"/>
                <w:szCs w:val="18"/>
              </w:rPr>
              <w:t>FC</w:t>
            </w:r>
          </w:p>
        </w:tc>
        <w:tc>
          <w:tcPr>
            <w:tcW w:w="1399" w:type="dxa"/>
            <w:noWrap/>
            <w:hideMark/>
          </w:tcPr>
          <w:p w14:paraId="601642D7" w14:textId="77777777" w:rsidR="00D3498F" w:rsidRPr="007027F9"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7027F9">
              <w:rPr>
                <w:rFonts w:ascii="Arial" w:hAnsi="Arial" w:cs="Arial"/>
                <w:sz w:val="18"/>
                <w:szCs w:val="18"/>
              </w:rPr>
              <w:t>Pval</w:t>
            </w:r>
          </w:p>
        </w:tc>
        <w:tc>
          <w:tcPr>
            <w:tcW w:w="1701" w:type="dxa"/>
            <w:noWrap/>
            <w:hideMark/>
          </w:tcPr>
          <w:p w14:paraId="510F0C52" w14:textId="77777777" w:rsidR="00D3498F" w:rsidRPr="007027F9"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7027F9">
              <w:rPr>
                <w:rFonts w:ascii="Arial" w:hAnsi="Arial" w:cs="Arial"/>
                <w:sz w:val="18"/>
                <w:szCs w:val="18"/>
              </w:rPr>
              <w:t>sd</w:t>
            </w:r>
          </w:p>
        </w:tc>
      </w:tr>
      <w:tr w:rsidR="00D3498F" w:rsidRPr="007027F9" w14:paraId="098DB45B" w14:textId="77777777" w:rsidTr="00D3498F">
        <w:trPr>
          <w:cnfStyle w:val="000000100000" w:firstRow="0" w:lastRow="0" w:firstColumn="0" w:lastColumn="0" w:oddVBand="0" w:evenVBand="0" w:oddHBand="1" w:evenHBand="0"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1134" w:type="dxa"/>
            <w:noWrap/>
            <w:hideMark/>
          </w:tcPr>
          <w:p w14:paraId="6164A955" w14:textId="77777777" w:rsidR="00D3498F" w:rsidRPr="007027F9" w:rsidRDefault="00D3498F" w:rsidP="00D3498F">
            <w:pPr>
              <w:rPr>
                <w:rFonts w:ascii="Arial" w:hAnsi="Arial" w:cs="Arial"/>
                <w:sz w:val="18"/>
                <w:szCs w:val="18"/>
              </w:rPr>
            </w:pPr>
            <w:r w:rsidRPr="007027F9">
              <w:rPr>
                <w:rFonts w:ascii="Arial" w:hAnsi="Arial" w:cs="Arial"/>
                <w:sz w:val="18"/>
                <w:szCs w:val="18"/>
              </w:rPr>
              <w:lastRenderedPageBreak/>
              <w:t>D</w:t>
            </w:r>
            <w:r>
              <w:rPr>
                <w:rFonts w:ascii="Arial" w:hAnsi="Arial" w:cs="Arial"/>
                <w:sz w:val="18"/>
                <w:szCs w:val="18"/>
              </w:rPr>
              <w:t>M-</w:t>
            </w:r>
            <w:r w:rsidRPr="007027F9">
              <w:rPr>
                <w:rFonts w:ascii="Arial" w:hAnsi="Arial" w:cs="Arial"/>
                <w:sz w:val="18"/>
                <w:szCs w:val="18"/>
              </w:rPr>
              <w:t>CTR</w:t>
            </w:r>
          </w:p>
        </w:tc>
        <w:tc>
          <w:tcPr>
            <w:tcW w:w="1696" w:type="dxa"/>
            <w:noWrap/>
            <w:hideMark/>
          </w:tcPr>
          <w:p w14:paraId="6DC11857"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hsa-miR-217-5p</w:t>
            </w:r>
          </w:p>
        </w:tc>
        <w:tc>
          <w:tcPr>
            <w:tcW w:w="1986" w:type="dxa"/>
            <w:noWrap/>
            <w:hideMark/>
          </w:tcPr>
          <w:p w14:paraId="23CFA21D"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2,413078873000</w:t>
            </w:r>
          </w:p>
        </w:tc>
        <w:tc>
          <w:tcPr>
            <w:tcW w:w="1860" w:type="dxa"/>
            <w:noWrap/>
            <w:hideMark/>
          </w:tcPr>
          <w:p w14:paraId="6F8B0A93"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2,413078873</w:t>
            </w:r>
          </w:p>
        </w:tc>
        <w:tc>
          <w:tcPr>
            <w:tcW w:w="1399" w:type="dxa"/>
            <w:noWrap/>
            <w:hideMark/>
          </w:tcPr>
          <w:p w14:paraId="442193A7"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0</w:t>
            </w:r>
          </w:p>
        </w:tc>
        <w:tc>
          <w:tcPr>
            <w:tcW w:w="1701" w:type="dxa"/>
            <w:noWrap/>
            <w:hideMark/>
          </w:tcPr>
          <w:p w14:paraId="572A3706"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0</w:t>
            </w:r>
          </w:p>
        </w:tc>
      </w:tr>
      <w:tr w:rsidR="00D3498F" w:rsidRPr="007027F9" w14:paraId="72E0D0F0" w14:textId="77777777" w:rsidTr="00D3498F">
        <w:trPr>
          <w:trHeight w:val="605"/>
        </w:trPr>
        <w:tc>
          <w:tcPr>
            <w:cnfStyle w:val="001000000000" w:firstRow="0" w:lastRow="0" w:firstColumn="1" w:lastColumn="0" w:oddVBand="0" w:evenVBand="0" w:oddHBand="0" w:evenHBand="0" w:firstRowFirstColumn="0" w:firstRowLastColumn="0" w:lastRowFirstColumn="0" w:lastRowLastColumn="0"/>
            <w:tcW w:w="1134" w:type="dxa"/>
            <w:noWrap/>
            <w:hideMark/>
          </w:tcPr>
          <w:p w14:paraId="1C4CAC00" w14:textId="77777777" w:rsidR="00D3498F" w:rsidRPr="007027F9" w:rsidRDefault="00D3498F" w:rsidP="00D3498F">
            <w:pPr>
              <w:rPr>
                <w:rFonts w:ascii="Arial" w:hAnsi="Arial" w:cs="Arial"/>
                <w:sz w:val="18"/>
                <w:szCs w:val="18"/>
              </w:rPr>
            </w:pPr>
            <w:r w:rsidRPr="007027F9">
              <w:rPr>
                <w:rFonts w:ascii="Arial" w:hAnsi="Arial" w:cs="Arial"/>
                <w:sz w:val="18"/>
                <w:szCs w:val="18"/>
              </w:rPr>
              <w:t>D</w:t>
            </w:r>
            <w:r>
              <w:rPr>
                <w:rFonts w:ascii="Arial" w:hAnsi="Arial" w:cs="Arial"/>
                <w:sz w:val="18"/>
                <w:szCs w:val="18"/>
              </w:rPr>
              <w:t>M-</w:t>
            </w:r>
            <w:r w:rsidRPr="007027F9">
              <w:rPr>
                <w:rFonts w:ascii="Arial" w:hAnsi="Arial" w:cs="Arial"/>
                <w:sz w:val="18"/>
                <w:szCs w:val="18"/>
              </w:rPr>
              <w:t>CTR</w:t>
            </w:r>
          </w:p>
        </w:tc>
        <w:tc>
          <w:tcPr>
            <w:tcW w:w="1696" w:type="dxa"/>
            <w:noWrap/>
            <w:hideMark/>
          </w:tcPr>
          <w:p w14:paraId="446F4488" w14:textId="77777777" w:rsidR="00D3498F" w:rsidRPr="007027F9"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hsa-miR-126-3p</w:t>
            </w:r>
          </w:p>
        </w:tc>
        <w:tc>
          <w:tcPr>
            <w:tcW w:w="1986" w:type="dxa"/>
            <w:noWrap/>
            <w:hideMark/>
          </w:tcPr>
          <w:p w14:paraId="7BA4E8A6" w14:textId="77777777" w:rsidR="00D3498F" w:rsidRPr="007027F9"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-1,63456326800</w:t>
            </w:r>
          </w:p>
        </w:tc>
        <w:tc>
          <w:tcPr>
            <w:tcW w:w="1860" w:type="dxa"/>
            <w:noWrap/>
            <w:hideMark/>
          </w:tcPr>
          <w:p w14:paraId="007E20F2" w14:textId="77777777" w:rsidR="00D3498F" w:rsidRPr="007027F9"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0,6117842</w:t>
            </w:r>
          </w:p>
        </w:tc>
        <w:tc>
          <w:tcPr>
            <w:tcW w:w="1399" w:type="dxa"/>
            <w:noWrap/>
            <w:hideMark/>
          </w:tcPr>
          <w:p w14:paraId="01C2821D" w14:textId="77777777" w:rsidR="00D3498F" w:rsidRPr="007027F9"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0,290085832</w:t>
            </w:r>
          </w:p>
        </w:tc>
        <w:tc>
          <w:tcPr>
            <w:tcW w:w="1701" w:type="dxa"/>
            <w:noWrap/>
            <w:hideMark/>
          </w:tcPr>
          <w:p w14:paraId="1E064DBB" w14:textId="77777777" w:rsidR="00D3498F" w:rsidRPr="007027F9"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2,107731</w:t>
            </w:r>
          </w:p>
        </w:tc>
      </w:tr>
      <w:tr w:rsidR="00D3498F" w:rsidRPr="007027F9" w14:paraId="3117EE20" w14:textId="77777777" w:rsidTr="00D3498F">
        <w:trPr>
          <w:cnfStyle w:val="000000100000" w:firstRow="0" w:lastRow="0" w:firstColumn="0" w:lastColumn="0" w:oddVBand="0" w:evenVBand="0" w:oddHBand="1" w:evenHBand="0" w:firstRowFirstColumn="0" w:firstRowLastColumn="0" w:lastRowFirstColumn="0" w:lastRowLastColumn="0"/>
          <w:trHeight w:val="611"/>
        </w:trPr>
        <w:tc>
          <w:tcPr>
            <w:cnfStyle w:val="001000000000" w:firstRow="0" w:lastRow="0" w:firstColumn="1" w:lastColumn="0" w:oddVBand="0" w:evenVBand="0" w:oddHBand="0" w:evenHBand="0" w:firstRowFirstColumn="0" w:firstRowLastColumn="0" w:lastRowFirstColumn="0" w:lastRowLastColumn="0"/>
            <w:tcW w:w="1134" w:type="dxa"/>
            <w:noWrap/>
            <w:hideMark/>
          </w:tcPr>
          <w:p w14:paraId="35BC7C1D" w14:textId="77777777" w:rsidR="00D3498F" w:rsidRPr="007027F9" w:rsidRDefault="00D3498F" w:rsidP="00D3498F">
            <w:pPr>
              <w:rPr>
                <w:rFonts w:ascii="Arial" w:hAnsi="Arial" w:cs="Arial"/>
                <w:sz w:val="18"/>
                <w:szCs w:val="18"/>
              </w:rPr>
            </w:pPr>
            <w:r w:rsidRPr="007027F9">
              <w:rPr>
                <w:rFonts w:ascii="Arial" w:hAnsi="Arial" w:cs="Arial"/>
                <w:sz w:val="18"/>
                <w:szCs w:val="18"/>
              </w:rPr>
              <w:t>D</w:t>
            </w:r>
            <w:r>
              <w:rPr>
                <w:rFonts w:ascii="Arial" w:hAnsi="Arial" w:cs="Arial"/>
                <w:sz w:val="18"/>
                <w:szCs w:val="18"/>
              </w:rPr>
              <w:t>M-</w:t>
            </w:r>
            <w:r w:rsidRPr="007027F9">
              <w:rPr>
                <w:rFonts w:ascii="Arial" w:hAnsi="Arial" w:cs="Arial"/>
                <w:sz w:val="18"/>
                <w:szCs w:val="18"/>
              </w:rPr>
              <w:t>CTR</w:t>
            </w:r>
          </w:p>
        </w:tc>
        <w:tc>
          <w:tcPr>
            <w:tcW w:w="1696" w:type="dxa"/>
            <w:noWrap/>
            <w:hideMark/>
          </w:tcPr>
          <w:p w14:paraId="1AF23C94"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hsa-miR-503-5p</w:t>
            </w:r>
          </w:p>
        </w:tc>
        <w:tc>
          <w:tcPr>
            <w:tcW w:w="1986" w:type="dxa"/>
            <w:noWrap/>
            <w:hideMark/>
          </w:tcPr>
          <w:p w14:paraId="5A0ABDA6"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2,2414869230000</w:t>
            </w:r>
          </w:p>
        </w:tc>
        <w:tc>
          <w:tcPr>
            <w:tcW w:w="1860" w:type="dxa"/>
            <w:noWrap/>
            <w:hideMark/>
          </w:tcPr>
          <w:p w14:paraId="691A78DF"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2,241486923</w:t>
            </w:r>
          </w:p>
        </w:tc>
        <w:tc>
          <w:tcPr>
            <w:tcW w:w="1399" w:type="dxa"/>
            <w:noWrap/>
            <w:hideMark/>
          </w:tcPr>
          <w:p w14:paraId="379BEE9C"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0,029880933</w:t>
            </w:r>
          </w:p>
        </w:tc>
        <w:tc>
          <w:tcPr>
            <w:tcW w:w="1701" w:type="dxa"/>
            <w:noWrap/>
            <w:hideMark/>
          </w:tcPr>
          <w:p w14:paraId="741DAA37" w14:textId="77777777" w:rsidR="00D3498F" w:rsidRPr="007027F9"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7027F9">
              <w:rPr>
                <w:rFonts w:ascii="Arial" w:hAnsi="Arial" w:cs="Arial"/>
                <w:color w:val="000000"/>
                <w:sz w:val="18"/>
                <w:szCs w:val="18"/>
              </w:rPr>
              <w:t>0,946892</w:t>
            </w:r>
          </w:p>
        </w:tc>
      </w:tr>
    </w:tbl>
    <w:p w14:paraId="7E171C0F" w14:textId="77777777" w:rsidR="00D3498F" w:rsidRDefault="00D3498F" w:rsidP="00D3498F">
      <w:pPr>
        <w:spacing w:line="360" w:lineRule="auto"/>
        <w:jc w:val="both"/>
        <w:rPr>
          <w:b/>
          <w:bCs/>
          <w:lang w:val="en-US"/>
        </w:rPr>
      </w:pPr>
    </w:p>
    <w:p w14:paraId="579C74DE" w14:textId="77777777" w:rsidR="00D3498F" w:rsidRDefault="00D3498F" w:rsidP="00D3498F">
      <w:pPr>
        <w:spacing w:line="360" w:lineRule="auto"/>
        <w:jc w:val="both"/>
        <w:rPr>
          <w:b/>
          <w:bCs/>
          <w:lang w:val="en-US"/>
        </w:rPr>
      </w:pPr>
    </w:p>
    <w:p w14:paraId="283C4796" w14:textId="77777777" w:rsidR="00D3498F" w:rsidRDefault="00D3498F" w:rsidP="00D3498F">
      <w:pPr>
        <w:spacing w:line="360" w:lineRule="auto"/>
        <w:jc w:val="both"/>
        <w:rPr>
          <w:b/>
          <w:bCs/>
          <w:lang w:val="en-US"/>
        </w:rPr>
      </w:pPr>
    </w:p>
    <w:p w14:paraId="2B92FE4A" w14:textId="77777777" w:rsidR="00D3498F" w:rsidRPr="006A04C7" w:rsidRDefault="00D3498F" w:rsidP="00D3498F">
      <w:pPr>
        <w:spacing w:line="360" w:lineRule="auto"/>
        <w:jc w:val="both"/>
        <w:rPr>
          <w:lang w:val="en-US"/>
        </w:rPr>
      </w:pPr>
      <w:r>
        <w:rPr>
          <w:b/>
          <w:bCs/>
          <w:lang w:val="en-US"/>
        </w:rPr>
        <w:t>Graphic 2. Results of miRNAs expression</w:t>
      </w:r>
      <w:r w:rsidRPr="00C177CA">
        <w:rPr>
          <w:b/>
          <w:bCs/>
          <w:lang w:val="en-US"/>
        </w:rPr>
        <w:t xml:space="preserve"> analysis i</w:t>
      </w:r>
      <w:r>
        <w:rPr>
          <w:b/>
          <w:bCs/>
          <w:lang w:val="en-US"/>
        </w:rPr>
        <w:t>n the diabetic</w:t>
      </w:r>
      <w:r w:rsidRPr="00C177CA">
        <w:rPr>
          <w:b/>
          <w:bCs/>
          <w:lang w:val="en-US"/>
        </w:rPr>
        <w:t xml:space="preserve"> </w:t>
      </w:r>
      <w:r>
        <w:rPr>
          <w:b/>
          <w:bCs/>
          <w:lang w:val="en-US"/>
        </w:rPr>
        <w:t>patient group versus</w:t>
      </w:r>
      <w:r w:rsidRPr="00C177CA">
        <w:rPr>
          <w:b/>
          <w:bCs/>
          <w:lang w:val="en-US"/>
        </w:rPr>
        <w:t xml:space="preserve"> control group</w:t>
      </w:r>
    </w:p>
    <w:p w14:paraId="41322A95" w14:textId="77777777" w:rsidR="00D3498F" w:rsidRDefault="00D3498F" w:rsidP="00D3498F">
      <w:pPr>
        <w:spacing w:line="360" w:lineRule="auto"/>
        <w:jc w:val="both"/>
        <w:rPr>
          <w:b/>
          <w:bCs/>
          <w:lang w:val="en-US"/>
        </w:rPr>
      </w:pPr>
      <w:r w:rsidRPr="00294BB7">
        <w:rPr>
          <w:b/>
          <w:bCs/>
          <w:noProof/>
        </w:rPr>
        <w:drawing>
          <wp:inline distT="0" distB="0" distL="0" distR="0" wp14:anchorId="296A68D3" wp14:editId="72443998">
            <wp:extent cx="5966460" cy="3246755"/>
            <wp:effectExtent l="0" t="0" r="2540" b="4445"/>
            <wp:docPr id="20" name="Picture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126501B-2F40-AF84-2E90-221120E1E1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126501B-2F40-AF84-2E90-221120E1E1E6}"/>
                        </a:ext>
                      </a:extLst>
                    </pic:cNvPr>
                    <pic:cNvPicPr>
                      <a:picLocks noChangeAspect="1"/>
                    </pic:cNvPicPr>
                  </pic:nvPicPr>
                  <pic:blipFill rotWithShape="1">
                    <a:blip r:embed="rId33"/>
                    <a:srcRect t="4374"/>
                    <a:stretch/>
                  </pic:blipFill>
                  <pic:spPr>
                    <a:xfrm>
                      <a:off x="0" y="0"/>
                      <a:ext cx="6017009" cy="3274262"/>
                    </a:xfrm>
                    <a:prstGeom prst="rect">
                      <a:avLst/>
                    </a:prstGeom>
                  </pic:spPr>
                </pic:pic>
              </a:graphicData>
            </a:graphic>
          </wp:inline>
        </w:drawing>
      </w:r>
    </w:p>
    <w:p w14:paraId="3C987DD5" w14:textId="77777777" w:rsidR="00D3498F" w:rsidRDefault="00D3498F" w:rsidP="00D3498F">
      <w:pPr>
        <w:rPr>
          <w:lang w:val="en-US"/>
        </w:rPr>
      </w:pPr>
    </w:p>
    <w:p w14:paraId="412016D7" w14:textId="77777777" w:rsidR="00D3498F" w:rsidRDefault="00D3498F" w:rsidP="00D3498F">
      <w:pPr>
        <w:rPr>
          <w:lang w:val="en-US"/>
        </w:rPr>
      </w:pPr>
    </w:p>
    <w:p w14:paraId="0719145E" w14:textId="77777777" w:rsidR="00D3498F" w:rsidRDefault="00D3498F" w:rsidP="00D3498F">
      <w:pPr>
        <w:rPr>
          <w:lang w:val="en-US"/>
        </w:rPr>
      </w:pPr>
    </w:p>
    <w:p w14:paraId="682F20F4" w14:textId="77777777" w:rsidR="00D3498F" w:rsidRDefault="00D3498F" w:rsidP="00D3498F">
      <w:pPr>
        <w:spacing w:line="360" w:lineRule="auto"/>
        <w:jc w:val="both"/>
        <w:rPr>
          <w:b/>
          <w:bCs/>
          <w:lang w:val="en-US"/>
        </w:rPr>
      </w:pPr>
    </w:p>
    <w:p w14:paraId="7310236E" w14:textId="77777777" w:rsidR="00D3498F" w:rsidRDefault="00D3498F" w:rsidP="00D3498F">
      <w:pPr>
        <w:spacing w:line="360" w:lineRule="auto"/>
        <w:jc w:val="both"/>
        <w:rPr>
          <w:b/>
          <w:bCs/>
          <w:lang w:val="en-US"/>
        </w:rPr>
      </w:pPr>
    </w:p>
    <w:p w14:paraId="4D2C174A" w14:textId="77777777" w:rsidR="00D3498F" w:rsidRDefault="00D3498F" w:rsidP="00D3498F">
      <w:pPr>
        <w:spacing w:line="360" w:lineRule="auto"/>
        <w:jc w:val="both"/>
        <w:rPr>
          <w:b/>
          <w:bCs/>
          <w:lang w:val="en-US"/>
        </w:rPr>
      </w:pPr>
    </w:p>
    <w:p w14:paraId="2F86541D" w14:textId="77777777" w:rsidR="00D3498F" w:rsidRDefault="00D3498F" w:rsidP="00D3498F">
      <w:pPr>
        <w:spacing w:line="360" w:lineRule="auto"/>
        <w:jc w:val="both"/>
        <w:rPr>
          <w:b/>
          <w:bCs/>
          <w:lang w:val="en-US"/>
        </w:rPr>
      </w:pPr>
    </w:p>
    <w:p w14:paraId="4F55BB65" w14:textId="77777777" w:rsidR="00D3498F" w:rsidRDefault="00D3498F" w:rsidP="00D3498F">
      <w:pPr>
        <w:spacing w:line="360" w:lineRule="auto"/>
        <w:jc w:val="both"/>
        <w:rPr>
          <w:b/>
          <w:bCs/>
          <w:lang w:val="en-US"/>
        </w:rPr>
      </w:pPr>
    </w:p>
    <w:p w14:paraId="2702E9E2" w14:textId="77777777" w:rsidR="00D3498F" w:rsidRDefault="00D3498F" w:rsidP="00D3498F">
      <w:pPr>
        <w:spacing w:line="360" w:lineRule="auto"/>
        <w:jc w:val="both"/>
        <w:rPr>
          <w:b/>
          <w:bCs/>
          <w:lang w:val="en-US"/>
        </w:rPr>
      </w:pPr>
    </w:p>
    <w:p w14:paraId="35D354ED" w14:textId="77777777" w:rsidR="00D3498F" w:rsidRPr="006A04C7" w:rsidRDefault="00D3498F" w:rsidP="00D3498F">
      <w:pPr>
        <w:spacing w:line="360" w:lineRule="auto"/>
        <w:jc w:val="both"/>
        <w:rPr>
          <w:lang w:val="en-US"/>
        </w:rPr>
      </w:pPr>
      <w:r>
        <w:rPr>
          <w:b/>
          <w:bCs/>
          <w:lang w:val="en-US"/>
        </w:rPr>
        <w:t>Table 7. Results of miRNAs expression</w:t>
      </w:r>
      <w:r w:rsidRPr="00C177CA">
        <w:rPr>
          <w:b/>
          <w:bCs/>
          <w:lang w:val="en-US"/>
        </w:rPr>
        <w:t xml:space="preserve"> analysis i</w:t>
      </w:r>
      <w:r>
        <w:rPr>
          <w:b/>
          <w:bCs/>
          <w:lang w:val="en-US"/>
        </w:rPr>
        <w:t>n the diabetic foot</w:t>
      </w:r>
      <w:r w:rsidRPr="00C177CA">
        <w:rPr>
          <w:b/>
          <w:bCs/>
          <w:lang w:val="en-US"/>
        </w:rPr>
        <w:t xml:space="preserve"> </w:t>
      </w:r>
      <w:r>
        <w:rPr>
          <w:b/>
          <w:bCs/>
          <w:lang w:val="en-US"/>
        </w:rPr>
        <w:t>patient group versus diabetic</w:t>
      </w:r>
      <w:r w:rsidRPr="00C177CA">
        <w:rPr>
          <w:b/>
          <w:bCs/>
          <w:lang w:val="en-US"/>
        </w:rPr>
        <w:t xml:space="preserve"> group</w:t>
      </w:r>
    </w:p>
    <w:p w14:paraId="076DC910" w14:textId="77777777" w:rsidR="00D3498F" w:rsidRDefault="00D3498F" w:rsidP="00D3498F">
      <w:pPr>
        <w:spacing w:line="360" w:lineRule="auto"/>
        <w:rPr>
          <w:b/>
          <w:bCs/>
          <w:lang w:val="en-US"/>
        </w:rPr>
      </w:pPr>
    </w:p>
    <w:tbl>
      <w:tblPr>
        <w:tblStyle w:val="GridTable5DarkAccent5"/>
        <w:tblW w:w="9811" w:type="dxa"/>
        <w:tblLayout w:type="fixed"/>
        <w:tblLook w:val="00A0" w:firstRow="1" w:lastRow="0" w:firstColumn="1" w:lastColumn="0" w:noHBand="0" w:noVBand="0"/>
      </w:tblPr>
      <w:tblGrid>
        <w:gridCol w:w="1306"/>
        <w:gridCol w:w="1985"/>
        <w:gridCol w:w="1559"/>
        <w:gridCol w:w="1382"/>
        <w:gridCol w:w="1595"/>
        <w:gridCol w:w="1984"/>
      </w:tblGrid>
      <w:tr w:rsidR="00D3498F" w:rsidRPr="00AF1F51" w14:paraId="6E58839F" w14:textId="77777777" w:rsidTr="00D3498F">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1306" w:type="dxa"/>
          </w:tcPr>
          <w:p w14:paraId="19C730CC" w14:textId="77777777" w:rsidR="00D3498F" w:rsidRPr="00630853" w:rsidRDefault="00D3498F" w:rsidP="00D3498F">
            <w:pPr>
              <w:autoSpaceDE w:val="0"/>
              <w:autoSpaceDN w:val="0"/>
              <w:adjustRightInd w:val="0"/>
              <w:rPr>
                <w:rFonts w:ascii="Arial" w:eastAsiaTheme="minorHAnsi" w:hAnsi="Arial" w:cs="Arial"/>
                <w:sz w:val="18"/>
                <w:szCs w:val="18"/>
                <w:lang w:eastAsia="en-US"/>
              </w:rPr>
            </w:pPr>
            <w:r w:rsidRPr="00630853">
              <w:rPr>
                <w:rFonts w:ascii="Arial" w:eastAsiaTheme="minorHAnsi" w:hAnsi="Arial" w:cs="Arial"/>
                <w:sz w:val="18"/>
                <w:szCs w:val="18"/>
                <w:lang w:eastAsia="en-US"/>
              </w:rPr>
              <w:lastRenderedPageBreak/>
              <w:t>Analyses</w:t>
            </w:r>
          </w:p>
        </w:tc>
        <w:tc>
          <w:tcPr>
            <w:cnfStyle w:val="000010000000" w:firstRow="0" w:lastRow="0" w:firstColumn="0" w:lastColumn="0" w:oddVBand="1" w:evenVBand="0" w:oddHBand="0" w:evenHBand="0" w:firstRowFirstColumn="0" w:firstRowLastColumn="0" w:lastRowFirstColumn="0" w:lastRowLastColumn="0"/>
            <w:tcW w:w="1985" w:type="dxa"/>
          </w:tcPr>
          <w:p w14:paraId="09A7CE9D" w14:textId="77777777" w:rsidR="00D3498F" w:rsidRPr="00630853" w:rsidRDefault="00D3498F" w:rsidP="00D3498F">
            <w:pPr>
              <w:autoSpaceDE w:val="0"/>
              <w:autoSpaceDN w:val="0"/>
              <w:adjustRightInd w:val="0"/>
              <w:jc w:val="center"/>
              <w:rPr>
                <w:rFonts w:ascii="Arial" w:eastAsiaTheme="minorHAnsi" w:hAnsi="Arial" w:cs="Arial"/>
                <w:sz w:val="18"/>
                <w:szCs w:val="18"/>
                <w:lang w:eastAsia="en-US"/>
              </w:rPr>
            </w:pPr>
            <w:r w:rsidRPr="00630853">
              <w:rPr>
                <w:rFonts w:ascii="Arial" w:eastAsiaTheme="minorHAnsi" w:hAnsi="Arial" w:cs="Arial"/>
                <w:sz w:val="18"/>
                <w:szCs w:val="18"/>
                <w:lang w:eastAsia="en-US"/>
              </w:rPr>
              <w:t>Mirna</w:t>
            </w:r>
          </w:p>
        </w:tc>
        <w:tc>
          <w:tcPr>
            <w:tcW w:w="1559" w:type="dxa"/>
          </w:tcPr>
          <w:p w14:paraId="05AE21F9" w14:textId="77777777" w:rsidR="00D3498F" w:rsidRPr="00630853" w:rsidRDefault="00D3498F" w:rsidP="00D3498F">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rial" w:eastAsiaTheme="minorHAnsi" w:hAnsi="Arial" w:cs="Arial"/>
                <w:sz w:val="18"/>
                <w:szCs w:val="18"/>
                <w:lang w:eastAsia="en-US"/>
              </w:rPr>
            </w:pPr>
            <w:r w:rsidRPr="00630853">
              <w:rPr>
                <w:rFonts w:ascii="Arial" w:eastAsiaTheme="minorHAnsi" w:hAnsi="Arial" w:cs="Arial"/>
                <w:sz w:val="18"/>
                <w:szCs w:val="18"/>
                <w:lang w:eastAsia="en-US"/>
              </w:rPr>
              <w:t>FR</w:t>
            </w:r>
          </w:p>
        </w:tc>
        <w:tc>
          <w:tcPr>
            <w:cnfStyle w:val="000010000000" w:firstRow="0" w:lastRow="0" w:firstColumn="0" w:lastColumn="0" w:oddVBand="1" w:evenVBand="0" w:oddHBand="0" w:evenHBand="0" w:firstRowFirstColumn="0" w:firstRowLastColumn="0" w:lastRowFirstColumn="0" w:lastRowLastColumn="0"/>
            <w:tcW w:w="1382" w:type="dxa"/>
          </w:tcPr>
          <w:p w14:paraId="045A0522" w14:textId="77777777" w:rsidR="00D3498F" w:rsidRPr="00630853" w:rsidRDefault="00D3498F" w:rsidP="00D3498F">
            <w:pPr>
              <w:autoSpaceDE w:val="0"/>
              <w:autoSpaceDN w:val="0"/>
              <w:adjustRightInd w:val="0"/>
              <w:jc w:val="center"/>
              <w:rPr>
                <w:rFonts w:ascii="Arial" w:eastAsiaTheme="minorHAnsi" w:hAnsi="Arial" w:cs="Arial"/>
                <w:sz w:val="18"/>
                <w:szCs w:val="18"/>
                <w:lang w:eastAsia="en-US"/>
              </w:rPr>
            </w:pPr>
            <w:r w:rsidRPr="00630853">
              <w:rPr>
                <w:rFonts w:ascii="Arial" w:eastAsiaTheme="minorHAnsi" w:hAnsi="Arial" w:cs="Arial"/>
                <w:sz w:val="18"/>
                <w:szCs w:val="18"/>
                <w:lang w:eastAsia="en-US"/>
              </w:rPr>
              <w:t>FC</w:t>
            </w:r>
          </w:p>
        </w:tc>
        <w:tc>
          <w:tcPr>
            <w:tcW w:w="1595" w:type="dxa"/>
          </w:tcPr>
          <w:p w14:paraId="0C839B42" w14:textId="77777777" w:rsidR="00D3498F" w:rsidRPr="00630853" w:rsidRDefault="00D3498F" w:rsidP="00D3498F">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rial" w:eastAsiaTheme="minorHAnsi" w:hAnsi="Arial" w:cs="Arial"/>
                <w:sz w:val="18"/>
                <w:szCs w:val="18"/>
                <w:lang w:eastAsia="en-US"/>
              </w:rPr>
            </w:pPr>
            <w:r w:rsidRPr="00630853">
              <w:rPr>
                <w:rFonts w:ascii="Arial" w:eastAsiaTheme="minorHAnsi" w:hAnsi="Arial" w:cs="Arial"/>
                <w:sz w:val="18"/>
                <w:szCs w:val="18"/>
                <w:lang w:eastAsia="en-US"/>
              </w:rPr>
              <w:t>PvaI</w:t>
            </w:r>
          </w:p>
        </w:tc>
        <w:tc>
          <w:tcPr>
            <w:cnfStyle w:val="000010000000" w:firstRow="0" w:lastRow="0" w:firstColumn="0" w:lastColumn="0" w:oddVBand="1" w:evenVBand="0" w:oddHBand="0" w:evenHBand="0" w:firstRowFirstColumn="0" w:firstRowLastColumn="0" w:lastRowFirstColumn="0" w:lastRowLastColumn="0"/>
            <w:tcW w:w="1984" w:type="dxa"/>
          </w:tcPr>
          <w:p w14:paraId="2FE7E568" w14:textId="77777777" w:rsidR="00D3498F" w:rsidRPr="00630853" w:rsidRDefault="00D3498F" w:rsidP="00D3498F">
            <w:pPr>
              <w:autoSpaceDE w:val="0"/>
              <w:autoSpaceDN w:val="0"/>
              <w:adjustRightInd w:val="0"/>
              <w:jc w:val="center"/>
              <w:rPr>
                <w:rFonts w:ascii="Arial" w:eastAsiaTheme="minorHAnsi" w:hAnsi="Arial" w:cs="Arial"/>
                <w:sz w:val="18"/>
                <w:szCs w:val="18"/>
                <w:lang w:eastAsia="en-US"/>
              </w:rPr>
            </w:pPr>
            <w:r w:rsidRPr="00630853">
              <w:rPr>
                <w:rFonts w:ascii="Arial" w:eastAsiaTheme="minorHAnsi" w:hAnsi="Arial" w:cs="Arial"/>
                <w:sz w:val="18"/>
                <w:szCs w:val="18"/>
                <w:lang w:eastAsia="en-US"/>
              </w:rPr>
              <w:t>sd</w:t>
            </w:r>
          </w:p>
        </w:tc>
      </w:tr>
      <w:tr w:rsidR="00D3498F" w:rsidRPr="00AF1F51" w14:paraId="56FA451D" w14:textId="77777777" w:rsidTr="00D3498F">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1306" w:type="dxa"/>
          </w:tcPr>
          <w:p w14:paraId="54BE577B" w14:textId="77777777" w:rsidR="00D3498F" w:rsidRPr="00630853" w:rsidRDefault="00D3498F" w:rsidP="00D3498F">
            <w:pPr>
              <w:autoSpaceDE w:val="0"/>
              <w:autoSpaceDN w:val="0"/>
              <w:adjustRightInd w:val="0"/>
              <w:rPr>
                <w:rFonts w:ascii="Arial" w:eastAsiaTheme="minorHAnsi" w:hAnsi="Arial" w:cs="Arial"/>
                <w:sz w:val="18"/>
                <w:szCs w:val="18"/>
                <w:lang w:eastAsia="en-US"/>
              </w:rPr>
            </w:pPr>
            <w:r w:rsidRPr="00630853">
              <w:rPr>
                <w:rFonts w:ascii="Arial" w:eastAsiaTheme="minorHAnsi" w:hAnsi="Arial" w:cs="Arial"/>
                <w:sz w:val="18"/>
                <w:szCs w:val="18"/>
                <w:lang w:eastAsia="en-US"/>
              </w:rPr>
              <w:t>DFS-DM</w:t>
            </w:r>
          </w:p>
        </w:tc>
        <w:tc>
          <w:tcPr>
            <w:cnfStyle w:val="000010000000" w:firstRow="0" w:lastRow="0" w:firstColumn="0" w:lastColumn="0" w:oddVBand="1" w:evenVBand="0" w:oddHBand="0" w:evenHBand="0" w:firstRowFirstColumn="0" w:firstRowLastColumn="0" w:lastRowFirstColumn="0" w:lastRowLastColumn="0"/>
            <w:tcW w:w="1985" w:type="dxa"/>
          </w:tcPr>
          <w:p w14:paraId="252EF91B"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hsa-mIR-217-5p</w:t>
            </w:r>
          </w:p>
        </w:tc>
        <w:tc>
          <w:tcPr>
            <w:tcW w:w="1559" w:type="dxa"/>
          </w:tcPr>
          <w:p w14:paraId="1617381C" w14:textId="77777777" w:rsidR="00D3498F" w:rsidRPr="00630853" w:rsidRDefault="00D3498F" w:rsidP="00D3498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-1,101531264</w:t>
            </w:r>
          </w:p>
        </w:tc>
        <w:tc>
          <w:tcPr>
            <w:cnfStyle w:val="000010000000" w:firstRow="0" w:lastRow="0" w:firstColumn="0" w:lastColumn="0" w:oddVBand="1" w:evenVBand="0" w:oddHBand="0" w:evenHBand="0" w:firstRowFirstColumn="0" w:firstRowLastColumn="0" w:lastRowFirstColumn="0" w:lastRowLastColumn="0"/>
            <w:tcW w:w="1382" w:type="dxa"/>
          </w:tcPr>
          <w:p w14:paraId="13D03F99"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0,907827161</w:t>
            </w:r>
          </w:p>
        </w:tc>
        <w:tc>
          <w:tcPr>
            <w:tcW w:w="1595" w:type="dxa"/>
          </w:tcPr>
          <w:p w14:paraId="3724979D" w14:textId="77777777" w:rsidR="00D3498F" w:rsidRPr="00630853" w:rsidRDefault="00D3498F" w:rsidP="00D3498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0,172758738</w:t>
            </w:r>
          </w:p>
        </w:tc>
        <w:tc>
          <w:tcPr>
            <w:cnfStyle w:val="000010000000" w:firstRow="0" w:lastRow="0" w:firstColumn="0" w:lastColumn="0" w:oddVBand="1" w:evenVBand="0" w:oddHBand="0" w:evenHBand="0" w:firstRowFirstColumn="0" w:firstRowLastColumn="0" w:lastRowFirstColumn="0" w:lastRowLastColumn="0"/>
            <w:tcW w:w="1984" w:type="dxa"/>
          </w:tcPr>
          <w:p w14:paraId="11D9435F"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0,240155147</w:t>
            </w:r>
          </w:p>
        </w:tc>
      </w:tr>
      <w:tr w:rsidR="00D3498F" w:rsidRPr="00AF1F51" w14:paraId="67583015" w14:textId="77777777" w:rsidTr="00D3498F">
        <w:trPr>
          <w:trHeight w:val="540"/>
        </w:trPr>
        <w:tc>
          <w:tcPr>
            <w:cnfStyle w:val="001000000000" w:firstRow="0" w:lastRow="0" w:firstColumn="1" w:lastColumn="0" w:oddVBand="0" w:evenVBand="0" w:oddHBand="0" w:evenHBand="0" w:firstRowFirstColumn="0" w:firstRowLastColumn="0" w:lastRowFirstColumn="0" w:lastRowLastColumn="0"/>
            <w:tcW w:w="1306" w:type="dxa"/>
          </w:tcPr>
          <w:p w14:paraId="5A3A4CD0" w14:textId="77777777" w:rsidR="00D3498F" w:rsidRPr="00630853" w:rsidRDefault="00D3498F" w:rsidP="00D3498F">
            <w:pPr>
              <w:autoSpaceDE w:val="0"/>
              <w:autoSpaceDN w:val="0"/>
              <w:adjustRightInd w:val="0"/>
              <w:rPr>
                <w:rFonts w:ascii="Arial" w:eastAsiaTheme="minorHAnsi" w:hAnsi="Arial" w:cs="Arial"/>
                <w:sz w:val="18"/>
                <w:szCs w:val="18"/>
                <w:lang w:eastAsia="en-US"/>
              </w:rPr>
            </w:pPr>
            <w:r w:rsidRPr="00630853">
              <w:rPr>
                <w:rFonts w:ascii="Arial" w:eastAsiaTheme="minorHAnsi" w:hAnsi="Arial" w:cs="Arial"/>
                <w:sz w:val="18"/>
                <w:szCs w:val="18"/>
                <w:lang w:eastAsia="en-US"/>
              </w:rPr>
              <w:t>DFS-DM</w:t>
            </w:r>
          </w:p>
        </w:tc>
        <w:tc>
          <w:tcPr>
            <w:cnfStyle w:val="000010000000" w:firstRow="0" w:lastRow="0" w:firstColumn="0" w:lastColumn="0" w:oddVBand="1" w:evenVBand="0" w:oddHBand="0" w:evenHBand="0" w:firstRowFirstColumn="0" w:firstRowLastColumn="0" w:lastRowFirstColumn="0" w:lastRowLastColumn="0"/>
            <w:tcW w:w="1985" w:type="dxa"/>
          </w:tcPr>
          <w:p w14:paraId="09A1BB41"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hsa-miR-126-3p</w:t>
            </w:r>
          </w:p>
        </w:tc>
        <w:tc>
          <w:tcPr>
            <w:tcW w:w="1559" w:type="dxa"/>
          </w:tcPr>
          <w:p w14:paraId="1C99717A" w14:textId="77777777" w:rsidR="00D3498F" w:rsidRPr="00630853" w:rsidRDefault="00D3498F" w:rsidP="00D3498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3,687636212</w:t>
            </w:r>
          </w:p>
        </w:tc>
        <w:tc>
          <w:tcPr>
            <w:cnfStyle w:val="000010000000" w:firstRow="0" w:lastRow="0" w:firstColumn="0" w:lastColumn="0" w:oddVBand="1" w:evenVBand="0" w:oddHBand="0" w:evenHBand="0" w:firstRowFirstColumn="0" w:firstRowLastColumn="0" w:lastRowFirstColumn="0" w:lastRowLastColumn="0"/>
            <w:tcW w:w="1382" w:type="dxa"/>
          </w:tcPr>
          <w:p w14:paraId="45A30606"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3,687636212</w:t>
            </w:r>
          </w:p>
        </w:tc>
        <w:tc>
          <w:tcPr>
            <w:tcW w:w="1595" w:type="dxa"/>
          </w:tcPr>
          <w:p w14:paraId="1A2AF092" w14:textId="77777777" w:rsidR="00D3498F" w:rsidRPr="00630853" w:rsidRDefault="00D3498F" w:rsidP="00D3498F">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0,161920716</w:t>
            </w:r>
          </w:p>
        </w:tc>
        <w:tc>
          <w:tcPr>
            <w:cnfStyle w:val="000010000000" w:firstRow="0" w:lastRow="0" w:firstColumn="0" w:lastColumn="0" w:oddVBand="1" w:evenVBand="0" w:oddHBand="0" w:evenHBand="0" w:firstRowFirstColumn="0" w:firstRowLastColumn="0" w:lastRowFirstColumn="0" w:lastRowLastColumn="0"/>
            <w:tcW w:w="1984" w:type="dxa"/>
          </w:tcPr>
          <w:p w14:paraId="7C5BC316"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3,093095575</w:t>
            </w:r>
          </w:p>
        </w:tc>
      </w:tr>
      <w:tr w:rsidR="00D3498F" w:rsidRPr="00AF1F51" w14:paraId="0BA46D70" w14:textId="77777777" w:rsidTr="00D3498F">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1306" w:type="dxa"/>
          </w:tcPr>
          <w:p w14:paraId="3D3970AB" w14:textId="77777777" w:rsidR="00D3498F" w:rsidRPr="00630853" w:rsidRDefault="00D3498F" w:rsidP="00D3498F">
            <w:pPr>
              <w:autoSpaceDE w:val="0"/>
              <w:autoSpaceDN w:val="0"/>
              <w:adjustRightInd w:val="0"/>
              <w:rPr>
                <w:rFonts w:ascii="Arial" w:eastAsiaTheme="minorHAnsi" w:hAnsi="Arial" w:cs="Arial"/>
                <w:sz w:val="18"/>
                <w:szCs w:val="18"/>
                <w:lang w:eastAsia="en-US"/>
              </w:rPr>
            </w:pPr>
            <w:r w:rsidRPr="00630853">
              <w:rPr>
                <w:rFonts w:ascii="Arial" w:eastAsiaTheme="minorHAnsi" w:hAnsi="Arial" w:cs="Arial"/>
                <w:sz w:val="18"/>
                <w:szCs w:val="18"/>
                <w:lang w:eastAsia="en-US"/>
              </w:rPr>
              <w:t>DFS-DM</w:t>
            </w:r>
          </w:p>
        </w:tc>
        <w:tc>
          <w:tcPr>
            <w:cnfStyle w:val="000010000000" w:firstRow="0" w:lastRow="0" w:firstColumn="0" w:lastColumn="0" w:oddVBand="1" w:evenVBand="0" w:oddHBand="0" w:evenHBand="0" w:firstRowFirstColumn="0" w:firstRowLastColumn="0" w:lastRowFirstColumn="0" w:lastRowLastColumn="0"/>
            <w:tcW w:w="1985" w:type="dxa"/>
          </w:tcPr>
          <w:p w14:paraId="5FA41E32"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hsa-miR-503-5p</w:t>
            </w:r>
          </w:p>
        </w:tc>
        <w:tc>
          <w:tcPr>
            <w:tcW w:w="1559" w:type="dxa"/>
          </w:tcPr>
          <w:p w14:paraId="36274858" w14:textId="77777777" w:rsidR="00D3498F" w:rsidRPr="00630853" w:rsidRDefault="00D3498F" w:rsidP="00D3498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2,774388046</w:t>
            </w:r>
          </w:p>
        </w:tc>
        <w:tc>
          <w:tcPr>
            <w:cnfStyle w:val="000010000000" w:firstRow="0" w:lastRow="0" w:firstColumn="0" w:lastColumn="0" w:oddVBand="1" w:evenVBand="0" w:oddHBand="0" w:evenHBand="0" w:firstRowFirstColumn="0" w:firstRowLastColumn="0" w:lastRowFirstColumn="0" w:lastRowLastColumn="0"/>
            <w:tcW w:w="1382" w:type="dxa"/>
          </w:tcPr>
          <w:p w14:paraId="1C0F2C31"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2,774388046</w:t>
            </w:r>
          </w:p>
        </w:tc>
        <w:tc>
          <w:tcPr>
            <w:tcW w:w="1595" w:type="dxa"/>
          </w:tcPr>
          <w:p w14:paraId="0D1F0D93" w14:textId="77777777" w:rsidR="00D3498F" w:rsidRPr="00630853" w:rsidRDefault="00D3498F" w:rsidP="00D3498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0,108002414</w:t>
            </w:r>
          </w:p>
        </w:tc>
        <w:tc>
          <w:tcPr>
            <w:cnfStyle w:val="000010000000" w:firstRow="0" w:lastRow="0" w:firstColumn="0" w:lastColumn="0" w:oddVBand="1" w:evenVBand="0" w:oddHBand="0" w:evenHBand="0" w:firstRowFirstColumn="0" w:firstRowLastColumn="0" w:lastRowFirstColumn="0" w:lastRowLastColumn="0"/>
            <w:tcW w:w="1984" w:type="dxa"/>
          </w:tcPr>
          <w:p w14:paraId="7B587599" w14:textId="77777777" w:rsidR="00D3498F" w:rsidRPr="00630853" w:rsidRDefault="00D3498F" w:rsidP="00D3498F">
            <w:pPr>
              <w:autoSpaceDE w:val="0"/>
              <w:autoSpaceDN w:val="0"/>
              <w:adjustRightInd w:val="0"/>
              <w:jc w:val="center"/>
              <w:rPr>
                <w:rFonts w:ascii="Arial" w:eastAsiaTheme="minorHAnsi" w:hAnsi="Arial" w:cs="Arial"/>
                <w:color w:val="000000"/>
                <w:sz w:val="18"/>
                <w:szCs w:val="18"/>
                <w:lang w:eastAsia="en-US"/>
              </w:rPr>
            </w:pPr>
            <w:r w:rsidRPr="00630853">
              <w:rPr>
                <w:rFonts w:ascii="Arial" w:eastAsiaTheme="minorHAnsi" w:hAnsi="Arial" w:cs="Arial"/>
                <w:color w:val="000000"/>
                <w:sz w:val="18"/>
                <w:szCs w:val="18"/>
                <w:lang w:eastAsia="en-US"/>
              </w:rPr>
              <w:t>1,905249426</w:t>
            </w:r>
          </w:p>
        </w:tc>
      </w:tr>
    </w:tbl>
    <w:p w14:paraId="3E072918" w14:textId="77777777" w:rsidR="00D3498F" w:rsidRDefault="00D3498F" w:rsidP="00D3498F">
      <w:pPr>
        <w:spacing w:line="360" w:lineRule="auto"/>
        <w:jc w:val="center"/>
        <w:rPr>
          <w:b/>
          <w:bCs/>
          <w:lang w:val="en-US"/>
        </w:rPr>
      </w:pPr>
    </w:p>
    <w:p w14:paraId="33C05B88" w14:textId="77777777" w:rsidR="00D3498F" w:rsidRDefault="00D3498F" w:rsidP="00D3498F">
      <w:pPr>
        <w:spacing w:line="360" w:lineRule="auto"/>
        <w:jc w:val="both"/>
        <w:rPr>
          <w:b/>
          <w:bCs/>
          <w:lang w:val="en-US"/>
        </w:rPr>
      </w:pPr>
    </w:p>
    <w:p w14:paraId="758433C4" w14:textId="77777777" w:rsidR="00D3498F" w:rsidRPr="006A04C7" w:rsidRDefault="00D3498F" w:rsidP="00D3498F">
      <w:pPr>
        <w:spacing w:line="360" w:lineRule="auto"/>
        <w:jc w:val="both"/>
        <w:rPr>
          <w:lang w:val="en-US"/>
        </w:rPr>
      </w:pPr>
      <w:r>
        <w:rPr>
          <w:b/>
          <w:bCs/>
          <w:lang w:val="en-US"/>
        </w:rPr>
        <w:t>Graphic 3. Results of miRNAs expression</w:t>
      </w:r>
      <w:r w:rsidRPr="00C177CA">
        <w:rPr>
          <w:b/>
          <w:bCs/>
          <w:lang w:val="en-US"/>
        </w:rPr>
        <w:t xml:space="preserve"> analysis i</w:t>
      </w:r>
      <w:r>
        <w:rPr>
          <w:b/>
          <w:bCs/>
          <w:lang w:val="en-US"/>
        </w:rPr>
        <w:t>n the diabetic foot</w:t>
      </w:r>
      <w:r w:rsidRPr="00C177CA">
        <w:rPr>
          <w:b/>
          <w:bCs/>
          <w:lang w:val="en-US"/>
        </w:rPr>
        <w:t xml:space="preserve"> </w:t>
      </w:r>
      <w:r>
        <w:rPr>
          <w:b/>
          <w:bCs/>
          <w:lang w:val="en-US"/>
        </w:rPr>
        <w:t>patient group versus diabetic</w:t>
      </w:r>
      <w:r w:rsidRPr="00C177CA">
        <w:rPr>
          <w:b/>
          <w:bCs/>
          <w:lang w:val="en-US"/>
        </w:rPr>
        <w:t xml:space="preserve"> group</w:t>
      </w:r>
    </w:p>
    <w:p w14:paraId="6BC2CB5B" w14:textId="77777777" w:rsidR="00D3498F" w:rsidRDefault="00D3498F" w:rsidP="00D3498F">
      <w:pPr>
        <w:spacing w:line="360" w:lineRule="auto"/>
        <w:jc w:val="both"/>
        <w:rPr>
          <w:b/>
          <w:bCs/>
          <w:lang w:val="en-US"/>
        </w:rPr>
      </w:pPr>
      <w:r w:rsidRPr="00294BB7">
        <w:rPr>
          <w:b/>
          <w:bCs/>
          <w:noProof/>
        </w:rPr>
        <w:drawing>
          <wp:inline distT="0" distB="0" distL="0" distR="0" wp14:anchorId="3E627F58" wp14:editId="63BC2803">
            <wp:extent cx="5825067" cy="2836595"/>
            <wp:effectExtent l="0" t="0" r="4445" b="0"/>
            <wp:docPr id="21" name="Picture 2" descr="Chart, bar chart&#10;&#10;Description automatically generated">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26D25BE-91F0-A2FB-BF3D-DE404EC94C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hart, bar chart&#10;&#10;Description automatically generated">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26D25BE-91F0-A2FB-BF3D-DE404EC94CF4}"/>
                        </a:ext>
                      </a:extLst>
                    </pic:cNvPr>
                    <pic:cNvPicPr>
                      <a:picLocks noChangeAspect="1"/>
                    </pic:cNvPicPr>
                  </pic:nvPicPr>
                  <pic:blipFill rotWithShape="1">
                    <a:blip r:embed="rId34">
                      <a:extLst>
                        <a:ext uri="{28A0092B-C50C-407E-A947-70E740481C1C}">
                          <a14:useLocalDpi xmlns:a14="http://schemas.microsoft.com/office/drawing/2010/main" val="0"/>
                        </a:ext>
                      </a:extLst>
                    </a:blip>
                    <a:srcRect t="4569"/>
                    <a:stretch/>
                  </pic:blipFill>
                  <pic:spPr>
                    <a:xfrm>
                      <a:off x="0" y="0"/>
                      <a:ext cx="5837710" cy="2842752"/>
                    </a:xfrm>
                    <a:prstGeom prst="rect">
                      <a:avLst/>
                    </a:prstGeom>
                  </pic:spPr>
                </pic:pic>
              </a:graphicData>
            </a:graphic>
          </wp:inline>
        </w:drawing>
      </w:r>
    </w:p>
    <w:p w14:paraId="2B00444B" w14:textId="77777777" w:rsidR="00D3498F" w:rsidRDefault="00D3498F" w:rsidP="00D3498F">
      <w:pPr>
        <w:rPr>
          <w:lang w:val="en-US"/>
        </w:rPr>
      </w:pPr>
    </w:p>
    <w:p w14:paraId="4448A9D1" w14:textId="77777777" w:rsidR="00D3498F" w:rsidRDefault="00D3498F" w:rsidP="00D3498F">
      <w:pPr>
        <w:rPr>
          <w:lang w:val="en-US"/>
        </w:rPr>
      </w:pPr>
    </w:p>
    <w:p w14:paraId="32A79616" w14:textId="77777777" w:rsidR="00D3498F" w:rsidRDefault="00D3498F" w:rsidP="00D3498F">
      <w:pPr>
        <w:rPr>
          <w:lang w:val="en-US"/>
        </w:rPr>
      </w:pPr>
    </w:p>
    <w:p w14:paraId="623597B1" w14:textId="77777777" w:rsidR="00D3498F" w:rsidRDefault="00D3498F" w:rsidP="00D3498F">
      <w:pPr>
        <w:rPr>
          <w:lang w:val="en-US"/>
        </w:rPr>
      </w:pPr>
    </w:p>
    <w:p w14:paraId="3D094901" w14:textId="77777777" w:rsidR="00D3498F" w:rsidRDefault="00D3498F" w:rsidP="00D3498F">
      <w:pPr>
        <w:rPr>
          <w:lang w:val="en-US"/>
        </w:rPr>
      </w:pPr>
    </w:p>
    <w:p w14:paraId="28426DD4" w14:textId="77777777" w:rsidR="00D3498F" w:rsidRDefault="00D3498F" w:rsidP="00D3498F">
      <w:pPr>
        <w:rPr>
          <w:lang w:val="en-US"/>
        </w:rPr>
      </w:pPr>
    </w:p>
    <w:p w14:paraId="177C15EA" w14:textId="77777777" w:rsidR="00D3498F" w:rsidRDefault="00D3498F" w:rsidP="00D3498F">
      <w:pPr>
        <w:rPr>
          <w:lang w:val="en-US"/>
        </w:rPr>
      </w:pPr>
    </w:p>
    <w:p w14:paraId="0E6178D2" w14:textId="77777777" w:rsidR="00D3498F" w:rsidRDefault="00D3498F" w:rsidP="00D3498F">
      <w:pPr>
        <w:rPr>
          <w:lang w:val="en-US"/>
        </w:rPr>
      </w:pPr>
    </w:p>
    <w:p w14:paraId="4C64B65A" w14:textId="77777777" w:rsidR="00D3498F" w:rsidRDefault="00D3498F" w:rsidP="00D3498F">
      <w:pPr>
        <w:rPr>
          <w:lang w:val="en-US"/>
        </w:rPr>
      </w:pPr>
    </w:p>
    <w:p w14:paraId="4EB47F06" w14:textId="77777777" w:rsidR="00D3498F" w:rsidRDefault="00D3498F" w:rsidP="00D3498F">
      <w:pPr>
        <w:rPr>
          <w:lang w:val="en-US"/>
        </w:rPr>
      </w:pPr>
    </w:p>
    <w:p w14:paraId="7D79EB55" w14:textId="77777777" w:rsidR="00D3498F" w:rsidRDefault="00D3498F" w:rsidP="00D3498F">
      <w:pPr>
        <w:rPr>
          <w:lang w:val="en-US"/>
        </w:rPr>
      </w:pPr>
    </w:p>
    <w:p w14:paraId="49461A22" w14:textId="77777777" w:rsidR="00D3498F" w:rsidRDefault="00D3498F" w:rsidP="00D3498F">
      <w:pPr>
        <w:rPr>
          <w:lang w:val="en-US"/>
        </w:rPr>
      </w:pPr>
    </w:p>
    <w:p w14:paraId="04265515" w14:textId="77777777" w:rsidR="00D3498F" w:rsidRDefault="00D3498F" w:rsidP="00D3498F">
      <w:pPr>
        <w:rPr>
          <w:lang w:val="en-US"/>
        </w:rPr>
      </w:pPr>
    </w:p>
    <w:p w14:paraId="4A233913" w14:textId="77777777" w:rsidR="00D3498F" w:rsidRDefault="00D3498F" w:rsidP="00D3498F">
      <w:pPr>
        <w:spacing w:line="360" w:lineRule="auto"/>
        <w:jc w:val="both"/>
        <w:rPr>
          <w:b/>
          <w:lang w:val="en-US"/>
        </w:rPr>
      </w:pPr>
    </w:p>
    <w:p w14:paraId="445174A1" w14:textId="77777777" w:rsidR="00D3498F" w:rsidRPr="00294BB7" w:rsidRDefault="00D3498F" w:rsidP="00D3498F">
      <w:pPr>
        <w:spacing w:line="360" w:lineRule="auto"/>
        <w:jc w:val="both"/>
        <w:rPr>
          <w:b/>
          <w:lang w:val="en-US"/>
        </w:rPr>
      </w:pPr>
      <w:r w:rsidRPr="00294BB7">
        <w:rPr>
          <w:b/>
          <w:lang w:val="en-US"/>
        </w:rPr>
        <w:t xml:space="preserve">Table 8. List of 12 target genes of </w:t>
      </w:r>
      <w:r w:rsidRPr="00294BB7">
        <w:rPr>
          <w:rFonts w:eastAsia="PalatinoLinotype-Roman"/>
          <w:b/>
          <w:color w:val="000000"/>
          <w:lang w:val="en-US"/>
        </w:rPr>
        <w:t>Custom_miRCURY PCR P</w:t>
      </w:r>
      <w:r>
        <w:rPr>
          <w:rFonts w:eastAsia="PalatinoLinotype-Roman"/>
          <w:b/>
          <w:color w:val="000000"/>
          <w:lang w:val="en-US"/>
        </w:rPr>
        <w:t xml:space="preserve">anel (96- Well Format, Cat. No. </w:t>
      </w:r>
      <w:r w:rsidRPr="00294BB7">
        <w:rPr>
          <w:rFonts w:eastAsia="PalatinoLinotype-Roman"/>
          <w:b/>
          <w:color w:val="000000"/>
          <w:lang w:val="en-US"/>
        </w:rPr>
        <w:t>339330, YCA41200, Qiagen)</w:t>
      </w:r>
    </w:p>
    <w:tbl>
      <w:tblPr>
        <w:tblStyle w:val="GridTable5DarkAccent5"/>
        <w:tblW w:w="9776" w:type="dxa"/>
        <w:tblLayout w:type="fixed"/>
        <w:tblLook w:val="04A0" w:firstRow="1" w:lastRow="0" w:firstColumn="1" w:lastColumn="0" w:noHBand="0" w:noVBand="1"/>
      </w:tblPr>
      <w:tblGrid>
        <w:gridCol w:w="1871"/>
        <w:gridCol w:w="644"/>
        <w:gridCol w:w="901"/>
        <w:gridCol w:w="1682"/>
        <w:gridCol w:w="3261"/>
        <w:gridCol w:w="1417"/>
      </w:tblGrid>
      <w:tr w:rsidR="00D3498F" w:rsidRPr="007B29CC" w14:paraId="6D81B53F" w14:textId="77777777" w:rsidTr="00D3498F">
        <w:trPr>
          <w:cnfStyle w:val="100000000000" w:firstRow="1" w:lastRow="0" w:firstColumn="0" w:lastColumn="0" w:oddVBand="0" w:evenVBand="0" w:oddHBand="0" w:evenHBand="0" w:firstRowFirstColumn="0" w:firstRowLastColumn="0" w:lastRowFirstColumn="0" w:lastRowLastColumn="0"/>
          <w:trHeight w:val="146"/>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3F41F75" w14:textId="77777777" w:rsidR="00D3498F" w:rsidRPr="00E75DC3" w:rsidRDefault="00D3498F" w:rsidP="00D3498F">
            <w:pPr>
              <w:spacing w:line="276" w:lineRule="auto"/>
              <w:jc w:val="center"/>
              <w:rPr>
                <w:rFonts w:ascii="Arial" w:hAnsi="Arial" w:cs="Arial"/>
                <w:b w:val="0"/>
                <w:bCs w:val="0"/>
                <w:sz w:val="18"/>
                <w:szCs w:val="18"/>
                <w:lang w:val="en-US"/>
              </w:rPr>
            </w:pPr>
          </w:p>
          <w:p w14:paraId="47676C3F" w14:textId="77777777" w:rsidR="00D3498F" w:rsidRPr="00E75DC3" w:rsidRDefault="00D3498F" w:rsidP="00D3498F">
            <w:pPr>
              <w:rPr>
                <w:rFonts w:ascii="Arial" w:hAnsi="Arial" w:cs="Arial"/>
                <w:b w:val="0"/>
                <w:bCs w:val="0"/>
                <w:sz w:val="18"/>
                <w:szCs w:val="18"/>
              </w:rPr>
            </w:pPr>
            <w:r w:rsidRPr="00E75DC3">
              <w:rPr>
                <w:rFonts w:ascii="Arial" w:hAnsi="Arial" w:cs="Arial"/>
                <w:sz w:val="18"/>
                <w:szCs w:val="18"/>
              </w:rPr>
              <w:t>MiR</w:t>
            </w:r>
            <w:r>
              <w:rPr>
                <w:rFonts w:ascii="Arial" w:hAnsi="Arial" w:cs="Arial"/>
                <w:sz w:val="18"/>
                <w:szCs w:val="18"/>
              </w:rPr>
              <w:t xml:space="preserve"> </w:t>
            </w:r>
            <w:r w:rsidRPr="00E75DC3">
              <w:rPr>
                <w:rFonts w:ascii="Arial" w:hAnsi="Arial" w:cs="Arial"/>
                <w:sz w:val="18"/>
                <w:szCs w:val="18"/>
              </w:rPr>
              <w:t>Cury Assay cat. no.</w:t>
            </w:r>
          </w:p>
        </w:tc>
        <w:tc>
          <w:tcPr>
            <w:tcW w:w="644" w:type="dxa"/>
            <w:noWrap/>
            <w:hideMark/>
          </w:tcPr>
          <w:p w14:paraId="65B0952F" w14:textId="77777777" w:rsidR="00D3498F" w:rsidRPr="00E75DC3" w:rsidRDefault="00D3498F" w:rsidP="00D3498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p>
          <w:p w14:paraId="42582648" w14:textId="77777777" w:rsidR="00D3498F" w:rsidRPr="00E75DC3"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E75DC3">
              <w:rPr>
                <w:rFonts w:ascii="Arial" w:hAnsi="Arial" w:cs="Arial"/>
                <w:sz w:val="18"/>
                <w:szCs w:val="18"/>
              </w:rPr>
              <w:t>Row</w:t>
            </w:r>
          </w:p>
        </w:tc>
        <w:tc>
          <w:tcPr>
            <w:tcW w:w="901" w:type="dxa"/>
            <w:noWrap/>
            <w:hideMark/>
          </w:tcPr>
          <w:p w14:paraId="4AC17BCF" w14:textId="77777777" w:rsidR="00D3498F" w:rsidRPr="00E75DC3" w:rsidRDefault="00D3498F" w:rsidP="00D3498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i/>
                <w:iCs/>
                <w:sz w:val="18"/>
                <w:szCs w:val="18"/>
              </w:rPr>
            </w:pPr>
          </w:p>
          <w:p w14:paraId="7BB7A45D" w14:textId="77777777" w:rsidR="00D3498F" w:rsidRPr="00E75DC3"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b w:val="0"/>
                <w:bCs w:val="0"/>
                <w:i/>
                <w:iCs/>
                <w:sz w:val="18"/>
                <w:szCs w:val="18"/>
              </w:rPr>
            </w:pPr>
            <w:r w:rsidRPr="00E75DC3">
              <w:rPr>
                <w:rFonts w:ascii="Arial" w:hAnsi="Arial" w:cs="Arial"/>
                <w:i/>
                <w:iCs/>
                <w:sz w:val="18"/>
                <w:szCs w:val="18"/>
              </w:rPr>
              <w:t>Column</w:t>
            </w:r>
          </w:p>
        </w:tc>
        <w:tc>
          <w:tcPr>
            <w:tcW w:w="1682" w:type="dxa"/>
            <w:noWrap/>
            <w:hideMark/>
          </w:tcPr>
          <w:p w14:paraId="4F2980C4" w14:textId="77777777" w:rsidR="00D3498F" w:rsidRPr="00E75DC3" w:rsidRDefault="00D3498F" w:rsidP="00D3498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i/>
                <w:iCs/>
                <w:sz w:val="18"/>
                <w:szCs w:val="18"/>
              </w:rPr>
            </w:pPr>
          </w:p>
          <w:p w14:paraId="063DB826" w14:textId="77777777" w:rsidR="00D3498F" w:rsidRPr="00E75DC3" w:rsidRDefault="00D3498F" w:rsidP="00D3498F">
            <w:pPr>
              <w:cnfStyle w:val="100000000000" w:firstRow="1" w:lastRow="0" w:firstColumn="0" w:lastColumn="0" w:oddVBand="0" w:evenVBand="0" w:oddHBand="0" w:evenHBand="0" w:firstRowFirstColumn="0" w:firstRowLastColumn="0" w:lastRowFirstColumn="0" w:lastRowLastColumn="0"/>
              <w:rPr>
                <w:rFonts w:ascii="Arial" w:hAnsi="Arial" w:cs="Arial"/>
                <w:b w:val="0"/>
                <w:bCs w:val="0"/>
                <w:i/>
                <w:iCs/>
                <w:sz w:val="18"/>
                <w:szCs w:val="18"/>
              </w:rPr>
            </w:pPr>
            <w:r w:rsidRPr="00E75DC3">
              <w:rPr>
                <w:rFonts w:ascii="Arial" w:hAnsi="Arial" w:cs="Arial"/>
                <w:i/>
                <w:iCs/>
                <w:sz w:val="18"/>
                <w:szCs w:val="18"/>
              </w:rPr>
              <w:t>miRNA ID</w:t>
            </w:r>
          </w:p>
        </w:tc>
        <w:tc>
          <w:tcPr>
            <w:tcW w:w="3261" w:type="dxa"/>
            <w:noWrap/>
            <w:hideMark/>
          </w:tcPr>
          <w:p w14:paraId="08CE2E39" w14:textId="77777777" w:rsidR="00D3498F" w:rsidRPr="00E75DC3" w:rsidRDefault="00D3498F" w:rsidP="00D3498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p>
          <w:p w14:paraId="68CFFED2" w14:textId="77777777" w:rsidR="00D3498F" w:rsidRPr="00E75DC3"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E75DC3">
              <w:rPr>
                <w:rFonts w:ascii="Arial" w:hAnsi="Arial" w:cs="Arial"/>
                <w:sz w:val="18"/>
                <w:szCs w:val="18"/>
              </w:rPr>
              <w:t>Target sequence</w:t>
            </w:r>
          </w:p>
        </w:tc>
        <w:tc>
          <w:tcPr>
            <w:tcW w:w="1417" w:type="dxa"/>
            <w:noWrap/>
            <w:hideMark/>
          </w:tcPr>
          <w:p w14:paraId="0E6FAE63" w14:textId="77777777" w:rsidR="00D3498F" w:rsidRPr="00E75DC3" w:rsidRDefault="00D3498F" w:rsidP="00D3498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lang w:val="en-US"/>
              </w:rPr>
            </w:pPr>
            <w:r w:rsidRPr="00E75DC3">
              <w:rPr>
                <w:rFonts w:ascii="Arial" w:hAnsi="Arial" w:cs="Arial"/>
                <w:sz w:val="18"/>
                <w:szCs w:val="18"/>
                <w:lang w:val="en-US"/>
              </w:rPr>
              <w:t>Order in 96 (for sorting by row)</w:t>
            </w:r>
          </w:p>
        </w:tc>
      </w:tr>
      <w:tr w:rsidR="00D3498F" w:rsidRPr="008A165F" w14:paraId="61A168F2"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4133550"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lastRenderedPageBreak/>
              <w:t>YP00204010</w:t>
            </w:r>
          </w:p>
        </w:tc>
        <w:tc>
          <w:tcPr>
            <w:tcW w:w="644" w:type="dxa"/>
            <w:noWrap/>
            <w:hideMark/>
          </w:tcPr>
          <w:p w14:paraId="0FF1089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2CE464F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51027A8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672441B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74FB2402"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r>
      <w:tr w:rsidR="00D3498F" w:rsidRPr="008A165F" w14:paraId="13D039E2"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843EE73"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311F5FC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1BAA69B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73A6D7E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62B51F1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5975B5E7"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r>
      <w:tr w:rsidR="00D3498F" w:rsidRPr="008A165F" w14:paraId="7100A8F2"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6495A3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37168B8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76F49A6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20D5519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32A8E45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144D354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r>
      <w:tr w:rsidR="00D3498F" w:rsidRPr="008A165F" w14:paraId="4AFB79AC"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15E3DCE"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5775E54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60E9754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7746517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5FAFD5B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77A689A5"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r>
      <w:tr w:rsidR="00D3498F" w:rsidRPr="008A165F" w14:paraId="2AFF375D"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C77A9B5"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05B63FA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3BB4944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19AA356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31CE70D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57CB3D65"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r>
      <w:tr w:rsidR="00D3498F" w:rsidRPr="008A165F" w14:paraId="7205FD42"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1BFBC54D"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24CCDEA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6285C78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4143E48D"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64A3C7A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7A2ED749"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r>
      <w:tr w:rsidR="00D3498F" w:rsidRPr="008A165F" w14:paraId="1A794ACA"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AD1C2FD"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0C32410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7EF63AC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473ADBA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380AA35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0B280CA2"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r>
      <w:tr w:rsidR="00D3498F" w:rsidRPr="008A165F" w14:paraId="6E1A2836"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A36FA1B"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6A25A5A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41514C0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66DE067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6EAA512D"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16F91EA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r>
      <w:tr w:rsidR="00D3498F" w:rsidRPr="008A165F" w14:paraId="5895C4FA"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C85924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YP00203950</w:t>
            </w:r>
          </w:p>
        </w:tc>
        <w:tc>
          <w:tcPr>
            <w:tcW w:w="644" w:type="dxa"/>
            <w:noWrap/>
            <w:hideMark/>
          </w:tcPr>
          <w:p w14:paraId="2B48C48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21A7F45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435669A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65200BA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196BD34C"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r>
      <w:tr w:rsidR="00D3498F" w:rsidRPr="008A165F" w14:paraId="4CCCFDE6"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4B297C5"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5275181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7129F4A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719CBE9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254922D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01CA668E"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r>
      <w:tr w:rsidR="00D3498F" w:rsidRPr="008A165F" w14:paraId="2DB149D3"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F352FC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YP00203954</w:t>
            </w:r>
          </w:p>
        </w:tc>
        <w:tc>
          <w:tcPr>
            <w:tcW w:w="644" w:type="dxa"/>
            <w:noWrap/>
            <w:hideMark/>
          </w:tcPr>
          <w:p w14:paraId="6675EFB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557AB31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5F34A71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01FABFE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0BA0AA48" w14:textId="77777777" w:rsidR="00D3498F" w:rsidRPr="00DE1B60" w:rsidRDefault="00D3498F" w:rsidP="00D3498F">
            <w:pPr>
              <w:ind w:left="-676" w:right="30" w:firstLine="676"/>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r>
      <w:tr w:rsidR="00D3498F" w:rsidRPr="008A165F" w14:paraId="215A98C5"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56A00EF"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4EB27A8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w:t>
            </w:r>
          </w:p>
        </w:tc>
        <w:tc>
          <w:tcPr>
            <w:tcW w:w="901" w:type="dxa"/>
            <w:noWrap/>
            <w:hideMark/>
          </w:tcPr>
          <w:p w14:paraId="3013308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6B394B8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1014A6B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034C4E0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r>
      <w:tr w:rsidR="00D3498F" w:rsidRPr="008A165F" w14:paraId="2B1B79E9"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BA38DD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YP00204010</w:t>
            </w:r>
          </w:p>
        </w:tc>
        <w:tc>
          <w:tcPr>
            <w:tcW w:w="644" w:type="dxa"/>
            <w:noWrap/>
            <w:hideMark/>
          </w:tcPr>
          <w:p w14:paraId="3C846A0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3EE3BBD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41A9531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17E641A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7770528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13</w:t>
            </w:r>
          </w:p>
        </w:tc>
      </w:tr>
      <w:tr w:rsidR="00D3498F" w:rsidRPr="008A165F" w14:paraId="79E9160C"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820AA3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782E361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1FDE598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301DD1B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0303E18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46EFD5C7"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14</w:t>
            </w:r>
          </w:p>
        </w:tc>
      </w:tr>
      <w:tr w:rsidR="00D3498F" w:rsidRPr="008A165F" w14:paraId="29753BC4"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DFFCAA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590DA7D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7BED51E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5A6BE07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778FDFA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65848F2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15</w:t>
            </w:r>
          </w:p>
        </w:tc>
      </w:tr>
      <w:tr w:rsidR="00D3498F" w:rsidRPr="008A165F" w14:paraId="01A065DC"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11828B33"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5822D17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4ACA5C9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504F7DC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1498079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2768FC36"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16</w:t>
            </w:r>
          </w:p>
        </w:tc>
      </w:tr>
      <w:tr w:rsidR="00D3498F" w:rsidRPr="008A165F" w14:paraId="649AE938"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1704BEB"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4C1D232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14DB728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41C4F22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3B8B28A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64A337A7"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17</w:t>
            </w:r>
          </w:p>
        </w:tc>
      </w:tr>
      <w:tr w:rsidR="00D3498F" w:rsidRPr="008A165F" w14:paraId="1F95EA00"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5F1E43C"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4BCD91E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28646A3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2F4CC65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2F62783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6FAB7434"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18</w:t>
            </w:r>
          </w:p>
        </w:tc>
      </w:tr>
      <w:tr w:rsidR="00D3498F" w:rsidRPr="008A165F" w14:paraId="24F003C3"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53EC64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6448BE0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55AEC32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2C82446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1C86FFF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021619FF"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19</w:t>
            </w:r>
          </w:p>
        </w:tc>
      </w:tr>
      <w:tr w:rsidR="00D3498F" w:rsidRPr="008A165F" w14:paraId="25482B4C"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6CD053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224CFFD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7F00C40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5B6D65A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0EE2D14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2E8451F0"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20</w:t>
            </w:r>
          </w:p>
        </w:tc>
      </w:tr>
      <w:tr w:rsidR="00D3498F" w:rsidRPr="008A165F" w14:paraId="09328E35"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CB1C48B"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YP00203950</w:t>
            </w:r>
          </w:p>
        </w:tc>
        <w:tc>
          <w:tcPr>
            <w:tcW w:w="644" w:type="dxa"/>
            <w:noWrap/>
            <w:hideMark/>
          </w:tcPr>
          <w:p w14:paraId="2ACE02B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3C4A970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1491712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2AAF2EE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1DA6205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21</w:t>
            </w:r>
          </w:p>
        </w:tc>
      </w:tr>
      <w:tr w:rsidR="00D3498F" w:rsidRPr="008A165F" w14:paraId="386B5374"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386455E"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0120173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4728752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7623F60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5CA3003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744C9133"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22</w:t>
            </w:r>
          </w:p>
        </w:tc>
      </w:tr>
      <w:tr w:rsidR="00D3498F" w:rsidRPr="008A165F" w14:paraId="1E08A070"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86D61C9"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YP00203954</w:t>
            </w:r>
          </w:p>
        </w:tc>
        <w:tc>
          <w:tcPr>
            <w:tcW w:w="644" w:type="dxa"/>
            <w:noWrap/>
            <w:hideMark/>
          </w:tcPr>
          <w:p w14:paraId="674D0AE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11A8F4B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19C03F4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7F47A4B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7A86BCDF"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23</w:t>
            </w:r>
          </w:p>
        </w:tc>
      </w:tr>
      <w:tr w:rsidR="00D3498F" w:rsidRPr="008A165F" w14:paraId="442B7552"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BFFB20B"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2B5E232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B</w:t>
            </w:r>
          </w:p>
        </w:tc>
        <w:tc>
          <w:tcPr>
            <w:tcW w:w="901" w:type="dxa"/>
            <w:noWrap/>
            <w:hideMark/>
          </w:tcPr>
          <w:p w14:paraId="5577F3E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75D593A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1D8D5AB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52DEB0A4"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24</w:t>
            </w:r>
          </w:p>
        </w:tc>
      </w:tr>
      <w:tr w:rsidR="00D3498F" w:rsidRPr="008A165F" w14:paraId="345B56A7"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2409A4A"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YP00204010</w:t>
            </w:r>
          </w:p>
        </w:tc>
        <w:tc>
          <w:tcPr>
            <w:tcW w:w="644" w:type="dxa"/>
            <w:noWrap/>
            <w:hideMark/>
          </w:tcPr>
          <w:p w14:paraId="136BD80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2B4A976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679DFEC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33436438"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3B6888F8"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25</w:t>
            </w:r>
          </w:p>
        </w:tc>
      </w:tr>
      <w:tr w:rsidR="00D3498F" w:rsidRPr="008A165F" w14:paraId="54DAF2D9"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F18263A"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4C7F459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499D15A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2A55A90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33422BD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0C9896B9"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26</w:t>
            </w:r>
          </w:p>
        </w:tc>
      </w:tr>
      <w:tr w:rsidR="00D3498F" w:rsidRPr="008A165F" w14:paraId="3FBFBE1E"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EA35F2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0C86195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0F87AF4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635BC38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52690D9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233B949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27</w:t>
            </w:r>
          </w:p>
        </w:tc>
      </w:tr>
      <w:tr w:rsidR="00D3498F" w:rsidRPr="008A165F" w14:paraId="1E00DFB5"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9ED6243"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62DF644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2F15E92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769D76D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11E43C5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7BEBBEB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28</w:t>
            </w:r>
          </w:p>
        </w:tc>
      </w:tr>
      <w:tr w:rsidR="00D3498F" w:rsidRPr="008A165F" w14:paraId="696B3A63"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292D93B"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76A461E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1B4DDBD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14F70AF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646B787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09FA7BC7"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29</w:t>
            </w:r>
          </w:p>
        </w:tc>
      </w:tr>
      <w:tr w:rsidR="00D3498F" w:rsidRPr="008A165F" w14:paraId="021BF5CE"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1ABD18A"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4792725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5839AAA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3754BF3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4938155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07988B12"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30</w:t>
            </w:r>
          </w:p>
        </w:tc>
      </w:tr>
      <w:tr w:rsidR="00D3498F" w:rsidRPr="008A165F" w14:paraId="09654501"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5B17F29"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0567F88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00B6191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64ED71E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0438A3F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0BF677F9"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31</w:t>
            </w:r>
          </w:p>
        </w:tc>
      </w:tr>
      <w:tr w:rsidR="00D3498F" w:rsidRPr="008A165F" w14:paraId="5F6C1EFC"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D14FE0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7961EAA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3C748EB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5E92FDC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481EC78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5FDA93FC"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32</w:t>
            </w:r>
          </w:p>
        </w:tc>
      </w:tr>
      <w:tr w:rsidR="00D3498F" w:rsidRPr="008A165F" w14:paraId="02F0B604"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1ED8DBA"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YP00203950</w:t>
            </w:r>
          </w:p>
        </w:tc>
        <w:tc>
          <w:tcPr>
            <w:tcW w:w="644" w:type="dxa"/>
            <w:noWrap/>
            <w:hideMark/>
          </w:tcPr>
          <w:p w14:paraId="2162ECC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6B22E18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3432608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0BAD809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1A2B1C7D"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33</w:t>
            </w:r>
          </w:p>
        </w:tc>
      </w:tr>
      <w:tr w:rsidR="00D3498F" w:rsidRPr="008A165F" w14:paraId="3B05BB79"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783595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35067C8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54E41A7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4DD71AE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502FA5B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4EF57E93"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34</w:t>
            </w:r>
          </w:p>
        </w:tc>
      </w:tr>
      <w:tr w:rsidR="00D3498F" w:rsidRPr="008A165F" w14:paraId="278B68CE"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5F5E44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YP00203954</w:t>
            </w:r>
          </w:p>
        </w:tc>
        <w:tc>
          <w:tcPr>
            <w:tcW w:w="644" w:type="dxa"/>
            <w:noWrap/>
            <w:hideMark/>
          </w:tcPr>
          <w:p w14:paraId="2543510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2288868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6A9EEFF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6E67E22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225B670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35</w:t>
            </w:r>
          </w:p>
        </w:tc>
      </w:tr>
      <w:tr w:rsidR="00D3498F" w:rsidRPr="008A165F" w14:paraId="2A7F6722"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A407FB4"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076FE03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w:t>
            </w:r>
          </w:p>
        </w:tc>
        <w:tc>
          <w:tcPr>
            <w:tcW w:w="901" w:type="dxa"/>
            <w:noWrap/>
            <w:hideMark/>
          </w:tcPr>
          <w:p w14:paraId="69F8ED2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0DADD45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60B8072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0EF6BB62"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36</w:t>
            </w:r>
          </w:p>
        </w:tc>
      </w:tr>
      <w:tr w:rsidR="00D3498F" w:rsidRPr="008A165F" w14:paraId="502F730C"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4A45698"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YP00204010</w:t>
            </w:r>
          </w:p>
        </w:tc>
        <w:tc>
          <w:tcPr>
            <w:tcW w:w="644" w:type="dxa"/>
            <w:noWrap/>
            <w:hideMark/>
          </w:tcPr>
          <w:p w14:paraId="5F9AFDD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58097F1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7F5E837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67E5E60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79B5D81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37</w:t>
            </w:r>
          </w:p>
        </w:tc>
      </w:tr>
      <w:tr w:rsidR="00D3498F" w:rsidRPr="008A165F" w14:paraId="3B1627F0"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75D6FE5"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669A8A8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51C1D4F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14147CE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7108439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6516E9D9"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38</w:t>
            </w:r>
          </w:p>
        </w:tc>
      </w:tr>
      <w:tr w:rsidR="00D3498F" w:rsidRPr="008A165F" w14:paraId="49837D4C"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C06F090"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11479E0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0385501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2C5EB0B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47AE29F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7F8C6ECC"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39</w:t>
            </w:r>
          </w:p>
        </w:tc>
      </w:tr>
      <w:tr w:rsidR="00D3498F" w:rsidRPr="008A165F" w14:paraId="56CDA024"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46AA9BF"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1AFED5C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3D5B575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74331CC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67E37BD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1D12016E"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40</w:t>
            </w:r>
          </w:p>
        </w:tc>
      </w:tr>
      <w:tr w:rsidR="00D3498F" w:rsidRPr="008A165F" w14:paraId="314205F0"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9857459"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7FCD4A0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019EDF1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46E2484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71FAD4F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3EC89D29"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41</w:t>
            </w:r>
          </w:p>
        </w:tc>
      </w:tr>
      <w:tr w:rsidR="00D3498F" w:rsidRPr="008A165F" w14:paraId="35459DAD"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CEA8C1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5D0C7E1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434EBD6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3EC5125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295CE84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6C4885E5"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42</w:t>
            </w:r>
          </w:p>
        </w:tc>
      </w:tr>
      <w:tr w:rsidR="00D3498F" w:rsidRPr="008A165F" w14:paraId="1C6AFC69"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ABEB683"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116C901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0CDF92C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780F85E8"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06910168"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03EFAA75"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43</w:t>
            </w:r>
          </w:p>
        </w:tc>
      </w:tr>
      <w:tr w:rsidR="00D3498F" w:rsidRPr="008A165F" w14:paraId="3E9A98D0"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F61FA9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7CD6963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4F4EB53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198BFAF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2A26CD3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2D9B6C68"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44</w:t>
            </w:r>
          </w:p>
        </w:tc>
      </w:tr>
      <w:tr w:rsidR="00D3498F" w:rsidRPr="008A165F" w14:paraId="65B7C6E6"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BE544E5"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YP00203950</w:t>
            </w:r>
          </w:p>
        </w:tc>
        <w:tc>
          <w:tcPr>
            <w:tcW w:w="644" w:type="dxa"/>
            <w:noWrap/>
            <w:hideMark/>
          </w:tcPr>
          <w:p w14:paraId="3590DD28"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11812AD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23543AE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716401A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24A19402"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45</w:t>
            </w:r>
          </w:p>
        </w:tc>
      </w:tr>
      <w:tr w:rsidR="00D3498F" w:rsidRPr="008A165F" w14:paraId="657CDF16"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6564BE8"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47AAE1C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01A3F7E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0A6AB27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3A4C31C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181E8263"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46</w:t>
            </w:r>
          </w:p>
        </w:tc>
      </w:tr>
      <w:tr w:rsidR="00D3498F" w:rsidRPr="008A165F" w14:paraId="1361CD50"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287480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lastRenderedPageBreak/>
              <w:t>YP00203954</w:t>
            </w:r>
          </w:p>
        </w:tc>
        <w:tc>
          <w:tcPr>
            <w:tcW w:w="644" w:type="dxa"/>
            <w:noWrap/>
            <w:hideMark/>
          </w:tcPr>
          <w:p w14:paraId="1AE20F4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6D6FEFA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7A48DB1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580AC97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30DFC3A8"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47</w:t>
            </w:r>
          </w:p>
        </w:tc>
      </w:tr>
      <w:tr w:rsidR="00D3498F" w:rsidRPr="008A165F" w14:paraId="647631CB"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A0E4244"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0010FA2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D</w:t>
            </w:r>
          </w:p>
        </w:tc>
        <w:tc>
          <w:tcPr>
            <w:tcW w:w="901" w:type="dxa"/>
            <w:noWrap/>
            <w:hideMark/>
          </w:tcPr>
          <w:p w14:paraId="26588C2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2E053E3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1A306BC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4EA3295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48</w:t>
            </w:r>
          </w:p>
        </w:tc>
      </w:tr>
      <w:tr w:rsidR="00D3498F" w:rsidRPr="008A165F" w14:paraId="19D2F089"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561194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YP00204010</w:t>
            </w:r>
          </w:p>
        </w:tc>
        <w:tc>
          <w:tcPr>
            <w:tcW w:w="644" w:type="dxa"/>
            <w:noWrap/>
            <w:hideMark/>
          </w:tcPr>
          <w:p w14:paraId="1912AAA8"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7C29B2E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66C1AA9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2EB9B51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2564746B"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49</w:t>
            </w:r>
          </w:p>
        </w:tc>
      </w:tr>
      <w:tr w:rsidR="00D3498F" w:rsidRPr="008A165F" w14:paraId="3C785CFD"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C626C12"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76D8C02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744FD12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3516FE1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4E1D774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5B75422B"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50</w:t>
            </w:r>
          </w:p>
        </w:tc>
      </w:tr>
      <w:tr w:rsidR="00D3498F" w:rsidRPr="008A165F" w14:paraId="296A4B41"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09428EE"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7EF3163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4EA726A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7D8287D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13A245A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53561B83"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51</w:t>
            </w:r>
          </w:p>
        </w:tc>
      </w:tr>
      <w:tr w:rsidR="00D3498F" w:rsidRPr="008A165F" w14:paraId="1B4CA896"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DD5CE35"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3E54C00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545811F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51B6959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649484C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30B7EEB0"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52</w:t>
            </w:r>
          </w:p>
        </w:tc>
      </w:tr>
      <w:tr w:rsidR="00D3498F" w:rsidRPr="008A165F" w14:paraId="5E18291C"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6EC436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10E1C59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40670F0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4CB81DB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4E59BD3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63BCD3D9"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53</w:t>
            </w:r>
          </w:p>
        </w:tc>
      </w:tr>
      <w:tr w:rsidR="00D3498F" w:rsidRPr="008A165F" w14:paraId="0D9F3926"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FEE0BFC"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4A4EA33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45D7E7D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06E711A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699D23F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4C7A5F1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54</w:t>
            </w:r>
          </w:p>
        </w:tc>
      </w:tr>
      <w:tr w:rsidR="00D3498F" w:rsidRPr="008A165F" w14:paraId="378AB459"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0600BF8"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6FB8068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01DF564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6FFE286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0461CBC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36D2296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55</w:t>
            </w:r>
          </w:p>
        </w:tc>
      </w:tr>
      <w:tr w:rsidR="00D3498F" w:rsidRPr="008A165F" w14:paraId="020434CE"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F359E0F"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26FD9C9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6A6CF8F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7198DB3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101F075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1168F178"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56</w:t>
            </w:r>
          </w:p>
        </w:tc>
      </w:tr>
      <w:tr w:rsidR="00D3498F" w:rsidRPr="008A165F" w14:paraId="49B19145"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66A7CC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YP00203950</w:t>
            </w:r>
          </w:p>
        </w:tc>
        <w:tc>
          <w:tcPr>
            <w:tcW w:w="644" w:type="dxa"/>
            <w:noWrap/>
            <w:hideMark/>
          </w:tcPr>
          <w:p w14:paraId="6E40E19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4A1C2B5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35B854D8"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7B9BB5F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1F9F9F5E"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57</w:t>
            </w:r>
          </w:p>
        </w:tc>
      </w:tr>
      <w:tr w:rsidR="00D3498F" w:rsidRPr="008A165F" w14:paraId="4DB1F7C3"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C1EDFC7"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077BBBB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30DD674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38D0A63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3784D95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7E924D72"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58</w:t>
            </w:r>
          </w:p>
        </w:tc>
      </w:tr>
      <w:tr w:rsidR="00D3498F" w:rsidRPr="008A165F" w14:paraId="518A9D21"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F7ADCAA"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YP00203954</w:t>
            </w:r>
          </w:p>
        </w:tc>
        <w:tc>
          <w:tcPr>
            <w:tcW w:w="644" w:type="dxa"/>
            <w:noWrap/>
            <w:hideMark/>
          </w:tcPr>
          <w:p w14:paraId="6770440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58EE3A9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464BD88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66BF7D8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5B406C6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59</w:t>
            </w:r>
          </w:p>
        </w:tc>
      </w:tr>
      <w:tr w:rsidR="00D3498F" w:rsidRPr="008A165F" w14:paraId="5E153FF0"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DBAD74D"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13E2766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E</w:t>
            </w:r>
          </w:p>
        </w:tc>
        <w:tc>
          <w:tcPr>
            <w:tcW w:w="901" w:type="dxa"/>
            <w:noWrap/>
            <w:hideMark/>
          </w:tcPr>
          <w:p w14:paraId="71E5D1B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18AB5A6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00B91F0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58E82D0D"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60</w:t>
            </w:r>
          </w:p>
        </w:tc>
      </w:tr>
      <w:tr w:rsidR="00D3498F" w:rsidRPr="008A165F" w14:paraId="427A090F"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042B4EC"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YP00204010</w:t>
            </w:r>
          </w:p>
        </w:tc>
        <w:tc>
          <w:tcPr>
            <w:tcW w:w="644" w:type="dxa"/>
            <w:noWrap/>
            <w:hideMark/>
          </w:tcPr>
          <w:p w14:paraId="4A23C0A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58A3083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017EB9E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75AF059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567786C5"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61</w:t>
            </w:r>
          </w:p>
        </w:tc>
      </w:tr>
      <w:tr w:rsidR="00D3498F" w:rsidRPr="008A165F" w14:paraId="52893165"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EBA67F4"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3032DDD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2A7692D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21ED4D3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27B795B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48F74E71"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62</w:t>
            </w:r>
          </w:p>
        </w:tc>
      </w:tr>
      <w:tr w:rsidR="00D3498F" w:rsidRPr="008A165F" w14:paraId="51D7EA1D"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438E28E"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45584CE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678A582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41640EF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369F8BF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21C9B2A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63</w:t>
            </w:r>
          </w:p>
        </w:tc>
      </w:tr>
      <w:tr w:rsidR="00D3498F" w:rsidRPr="008A165F" w14:paraId="498451C4"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33D49E0"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4148136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051E42E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74F82BA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6FB023F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5360F42D"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64</w:t>
            </w:r>
          </w:p>
        </w:tc>
      </w:tr>
      <w:tr w:rsidR="00D3498F" w:rsidRPr="008A165F" w14:paraId="70A22E70"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441A9DC"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161E5F1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2632230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6C75EC0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02EC9C6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4A3865B2"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65</w:t>
            </w:r>
          </w:p>
        </w:tc>
      </w:tr>
      <w:tr w:rsidR="00D3498F" w:rsidRPr="008A165F" w14:paraId="2F593DC9"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18DC6830"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5A95C9A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3F672D0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7436E89D"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7986BA0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409BAD6E"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66</w:t>
            </w:r>
          </w:p>
        </w:tc>
      </w:tr>
      <w:tr w:rsidR="00D3498F" w:rsidRPr="008A165F" w14:paraId="21715FD8"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DA42648"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6D5D5EF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3210F62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4FC040D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1D851A1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16464929"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67</w:t>
            </w:r>
          </w:p>
        </w:tc>
      </w:tr>
      <w:tr w:rsidR="00D3498F" w:rsidRPr="008A165F" w14:paraId="279271D0"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1576B2EB"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05BAA5D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64799D2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288E856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7EA1C9DD"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1FCA1B9F"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68</w:t>
            </w:r>
          </w:p>
        </w:tc>
      </w:tr>
      <w:tr w:rsidR="00D3498F" w:rsidRPr="008A165F" w14:paraId="0B9C66DB"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825043E"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YP00203950</w:t>
            </w:r>
          </w:p>
        </w:tc>
        <w:tc>
          <w:tcPr>
            <w:tcW w:w="644" w:type="dxa"/>
            <w:noWrap/>
            <w:hideMark/>
          </w:tcPr>
          <w:p w14:paraId="7F20838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1D62DD6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74D4D94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24A0C50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46B43D3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69</w:t>
            </w:r>
          </w:p>
        </w:tc>
      </w:tr>
      <w:tr w:rsidR="00D3498F" w:rsidRPr="008A165F" w14:paraId="7203A386"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A22A22C"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6DB437D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35CE31D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425B6BC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4843C87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6B6DE553"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70</w:t>
            </w:r>
          </w:p>
        </w:tc>
      </w:tr>
      <w:tr w:rsidR="00D3498F" w:rsidRPr="008A165F" w14:paraId="5CB4588C"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10A54DFC"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YP00203954</w:t>
            </w:r>
          </w:p>
        </w:tc>
        <w:tc>
          <w:tcPr>
            <w:tcW w:w="644" w:type="dxa"/>
            <w:noWrap/>
            <w:hideMark/>
          </w:tcPr>
          <w:p w14:paraId="30AD6B3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07F7702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3A95769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12F30EB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118955FC"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71</w:t>
            </w:r>
          </w:p>
        </w:tc>
      </w:tr>
      <w:tr w:rsidR="00D3498F" w:rsidRPr="008A165F" w14:paraId="7EDFCE4A"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DB5CEF3"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12D0FCD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F</w:t>
            </w:r>
          </w:p>
        </w:tc>
        <w:tc>
          <w:tcPr>
            <w:tcW w:w="901" w:type="dxa"/>
            <w:noWrap/>
            <w:hideMark/>
          </w:tcPr>
          <w:p w14:paraId="767FD52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2120792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75D5AF0D"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21A981A8"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72</w:t>
            </w:r>
          </w:p>
        </w:tc>
      </w:tr>
      <w:tr w:rsidR="00D3498F" w:rsidRPr="008A165F" w14:paraId="25EA8307"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AF9D8ED"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YP00204010</w:t>
            </w:r>
          </w:p>
        </w:tc>
        <w:tc>
          <w:tcPr>
            <w:tcW w:w="644" w:type="dxa"/>
            <w:noWrap/>
            <w:hideMark/>
          </w:tcPr>
          <w:p w14:paraId="0E03F99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498B6C6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04C97A2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405F73B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28E64B7B"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73</w:t>
            </w:r>
          </w:p>
        </w:tc>
      </w:tr>
      <w:tr w:rsidR="00D3498F" w:rsidRPr="008A165F" w14:paraId="7AC5964E"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0B1791D"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238011A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0331C50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276162F5"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5E1E25AC"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45983211"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74</w:t>
            </w:r>
          </w:p>
        </w:tc>
      </w:tr>
      <w:tr w:rsidR="00D3498F" w:rsidRPr="008A165F" w14:paraId="3B877D17"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09243044"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4C5C52F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0CE83C75"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4463FCB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4AE3CD4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2046145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75</w:t>
            </w:r>
          </w:p>
        </w:tc>
      </w:tr>
      <w:tr w:rsidR="00D3498F" w:rsidRPr="008A165F" w14:paraId="0F2FAADE"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7D69E44"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5F82786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2B52289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09EBF78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3C83EB9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2BF272ED"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76</w:t>
            </w:r>
          </w:p>
        </w:tc>
      </w:tr>
      <w:tr w:rsidR="00D3498F" w:rsidRPr="008A165F" w14:paraId="7D85CA13"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2BAC60A"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424C3AB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0176149E"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2A01AE7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1D8EE67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0E2D5E42"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77</w:t>
            </w:r>
          </w:p>
        </w:tc>
      </w:tr>
      <w:tr w:rsidR="00D3498F" w:rsidRPr="008A165F" w14:paraId="4DCA39E6"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10A6370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5399A3A4"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4827A8D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348506E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6E670B6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022E85A8"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78</w:t>
            </w:r>
          </w:p>
        </w:tc>
      </w:tr>
      <w:tr w:rsidR="00D3498F" w:rsidRPr="008A165F" w14:paraId="5D4B3EBC"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21C0B6A"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68EED0B3"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2CC9522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42613D98"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2784B62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294BD586"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79</w:t>
            </w:r>
          </w:p>
        </w:tc>
      </w:tr>
      <w:tr w:rsidR="00D3498F" w:rsidRPr="008A165F" w14:paraId="20762F49"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AB28FF5"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1F4985C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629E83C7"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76324A9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0265B41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12BAB9CA"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80</w:t>
            </w:r>
          </w:p>
        </w:tc>
      </w:tr>
      <w:tr w:rsidR="00D3498F" w:rsidRPr="008A165F" w14:paraId="5875F0C7"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100D723"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YP00203950</w:t>
            </w:r>
          </w:p>
        </w:tc>
        <w:tc>
          <w:tcPr>
            <w:tcW w:w="644" w:type="dxa"/>
            <w:noWrap/>
            <w:hideMark/>
          </w:tcPr>
          <w:p w14:paraId="484A4ED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65BEF142"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693A4D7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7CB9A11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7865122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81</w:t>
            </w:r>
          </w:p>
        </w:tc>
      </w:tr>
      <w:tr w:rsidR="00D3498F" w:rsidRPr="008A165F" w14:paraId="04C24915"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FA2EC5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6850BA1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7BFFD5F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20BFC41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77D16C28"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382F2C46"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82</w:t>
            </w:r>
          </w:p>
        </w:tc>
      </w:tr>
      <w:tr w:rsidR="00D3498F" w:rsidRPr="008A165F" w14:paraId="04BF6F87"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C7A6154"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YP00203954</w:t>
            </w:r>
          </w:p>
        </w:tc>
        <w:tc>
          <w:tcPr>
            <w:tcW w:w="644" w:type="dxa"/>
            <w:noWrap/>
            <w:hideMark/>
          </w:tcPr>
          <w:p w14:paraId="6DF49DE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5C5B285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3028A2D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21FC2C9C"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624824FA"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83</w:t>
            </w:r>
          </w:p>
        </w:tc>
      </w:tr>
      <w:tr w:rsidR="00D3498F" w:rsidRPr="008A165F" w14:paraId="3714881F"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3F264651"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3A6454B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G</w:t>
            </w:r>
          </w:p>
        </w:tc>
        <w:tc>
          <w:tcPr>
            <w:tcW w:w="901" w:type="dxa"/>
            <w:noWrap/>
            <w:hideMark/>
          </w:tcPr>
          <w:p w14:paraId="3612A84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04CF782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264226E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52DB0325"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84</w:t>
            </w:r>
          </w:p>
        </w:tc>
      </w:tr>
      <w:tr w:rsidR="00D3498F" w:rsidRPr="008A165F" w14:paraId="30A5512A"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9B6D365"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YP00204010</w:t>
            </w:r>
          </w:p>
        </w:tc>
        <w:tc>
          <w:tcPr>
            <w:tcW w:w="644" w:type="dxa"/>
            <w:noWrap/>
            <w:hideMark/>
          </w:tcPr>
          <w:p w14:paraId="65D8A42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431D690B"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w:t>
            </w:r>
          </w:p>
        </w:tc>
        <w:tc>
          <w:tcPr>
            <w:tcW w:w="1682" w:type="dxa"/>
            <w:noWrap/>
            <w:hideMark/>
          </w:tcPr>
          <w:p w14:paraId="5A53A9C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hsa-miR-217-5p</w:t>
            </w:r>
          </w:p>
        </w:tc>
        <w:tc>
          <w:tcPr>
            <w:tcW w:w="3261" w:type="dxa"/>
            <w:noWrap/>
            <w:hideMark/>
          </w:tcPr>
          <w:p w14:paraId="56A52EE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UACUGCAUCAGGAACUGAUUGGA</w:t>
            </w:r>
          </w:p>
        </w:tc>
        <w:tc>
          <w:tcPr>
            <w:tcW w:w="1417" w:type="dxa"/>
            <w:noWrap/>
            <w:hideMark/>
          </w:tcPr>
          <w:p w14:paraId="1A0443AF"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85</w:t>
            </w:r>
          </w:p>
        </w:tc>
      </w:tr>
      <w:tr w:rsidR="00D3498F" w:rsidRPr="008A165F" w14:paraId="46024B38"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12781C3"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YP00204227</w:t>
            </w:r>
          </w:p>
        </w:tc>
        <w:tc>
          <w:tcPr>
            <w:tcW w:w="644" w:type="dxa"/>
            <w:noWrap/>
            <w:hideMark/>
          </w:tcPr>
          <w:p w14:paraId="73A9F6F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5A738B5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2</w:t>
            </w:r>
          </w:p>
        </w:tc>
        <w:tc>
          <w:tcPr>
            <w:tcW w:w="1682" w:type="dxa"/>
            <w:noWrap/>
            <w:hideMark/>
          </w:tcPr>
          <w:p w14:paraId="1DB551F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hsa-miR-126-3p</w:t>
            </w:r>
          </w:p>
        </w:tc>
        <w:tc>
          <w:tcPr>
            <w:tcW w:w="3261" w:type="dxa"/>
            <w:noWrap/>
            <w:hideMark/>
          </w:tcPr>
          <w:p w14:paraId="50161D89"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UCGUACCGUGAGUAAUAAUGCG</w:t>
            </w:r>
          </w:p>
        </w:tc>
        <w:tc>
          <w:tcPr>
            <w:tcW w:w="1417" w:type="dxa"/>
            <w:noWrap/>
            <w:hideMark/>
          </w:tcPr>
          <w:p w14:paraId="7B78026F"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86</w:t>
            </w:r>
          </w:p>
        </w:tc>
      </w:tr>
      <w:tr w:rsidR="00D3498F" w:rsidRPr="008A165F" w14:paraId="7A0A643D"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10C769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YP00204334</w:t>
            </w:r>
          </w:p>
        </w:tc>
        <w:tc>
          <w:tcPr>
            <w:tcW w:w="644" w:type="dxa"/>
            <w:noWrap/>
            <w:hideMark/>
          </w:tcPr>
          <w:p w14:paraId="362E512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29EB236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3</w:t>
            </w:r>
          </w:p>
        </w:tc>
        <w:tc>
          <w:tcPr>
            <w:tcW w:w="1682" w:type="dxa"/>
            <w:noWrap/>
            <w:hideMark/>
          </w:tcPr>
          <w:p w14:paraId="3CB9D3AD"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hsa-miR-503-5p</w:t>
            </w:r>
          </w:p>
        </w:tc>
        <w:tc>
          <w:tcPr>
            <w:tcW w:w="3261" w:type="dxa"/>
            <w:noWrap/>
            <w:hideMark/>
          </w:tcPr>
          <w:p w14:paraId="3FFA629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UAGCAGCGGGAACAGUUCUGCAG</w:t>
            </w:r>
          </w:p>
        </w:tc>
        <w:tc>
          <w:tcPr>
            <w:tcW w:w="1417" w:type="dxa"/>
            <w:noWrap/>
            <w:hideMark/>
          </w:tcPr>
          <w:p w14:paraId="03A55DC1"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87</w:t>
            </w:r>
          </w:p>
        </w:tc>
      </w:tr>
      <w:tr w:rsidR="00D3498F" w:rsidRPr="008A165F" w14:paraId="12A7E492"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7BB4820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YP00204715</w:t>
            </w:r>
          </w:p>
        </w:tc>
        <w:tc>
          <w:tcPr>
            <w:tcW w:w="644" w:type="dxa"/>
            <w:noWrap/>
            <w:hideMark/>
          </w:tcPr>
          <w:p w14:paraId="56ED28C6"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634212DD"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4</w:t>
            </w:r>
          </w:p>
        </w:tc>
        <w:tc>
          <w:tcPr>
            <w:tcW w:w="1682" w:type="dxa"/>
            <w:noWrap/>
            <w:hideMark/>
          </w:tcPr>
          <w:p w14:paraId="78DA877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hsa-miR-93-5p</w:t>
            </w:r>
          </w:p>
        </w:tc>
        <w:tc>
          <w:tcPr>
            <w:tcW w:w="3261" w:type="dxa"/>
            <w:noWrap/>
            <w:hideMark/>
          </w:tcPr>
          <w:p w14:paraId="728AEE1D"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CAAAGUGCUGUUCGUGCAGGUAG</w:t>
            </w:r>
          </w:p>
        </w:tc>
        <w:tc>
          <w:tcPr>
            <w:tcW w:w="1417" w:type="dxa"/>
            <w:noWrap/>
            <w:hideMark/>
          </w:tcPr>
          <w:p w14:paraId="56DDB64F"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88</w:t>
            </w:r>
          </w:p>
        </w:tc>
      </w:tr>
      <w:tr w:rsidR="00D3498F" w:rsidRPr="008A165F" w14:paraId="3D71631F"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DF86FC8"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YP00204306</w:t>
            </w:r>
          </w:p>
        </w:tc>
        <w:tc>
          <w:tcPr>
            <w:tcW w:w="644" w:type="dxa"/>
            <w:noWrap/>
            <w:hideMark/>
          </w:tcPr>
          <w:p w14:paraId="4EE5351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4A322FE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5</w:t>
            </w:r>
          </w:p>
        </w:tc>
        <w:tc>
          <w:tcPr>
            <w:tcW w:w="1682" w:type="dxa"/>
            <w:noWrap/>
            <w:hideMark/>
          </w:tcPr>
          <w:p w14:paraId="0264C9D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hsa-miR-191-5p</w:t>
            </w:r>
          </w:p>
        </w:tc>
        <w:tc>
          <w:tcPr>
            <w:tcW w:w="3261" w:type="dxa"/>
            <w:noWrap/>
            <w:hideMark/>
          </w:tcPr>
          <w:p w14:paraId="6FA05941"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CAACGGAAUCCCAAAAGCAGCUG</w:t>
            </w:r>
          </w:p>
        </w:tc>
        <w:tc>
          <w:tcPr>
            <w:tcW w:w="1417" w:type="dxa"/>
            <w:noWrap/>
            <w:hideMark/>
          </w:tcPr>
          <w:p w14:paraId="758D0122"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89</w:t>
            </w:r>
          </w:p>
        </w:tc>
      </w:tr>
      <w:tr w:rsidR="00D3498F" w:rsidRPr="008A165F" w14:paraId="23170D0F"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1F47A2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YP00204337</w:t>
            </w:r>
          </w:p>
        </w:tc>
        <w:tc>
          <w:tcPr>
            <w:tcW w:w="644" w:type="dxa"/>
            <w:noWrap/>
            <w:hideMark/>
          </w:tcPr>
          <w:p w14:paraId="5AFECE22"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7C36CF6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6</w:t>
            </w:r>
          </w:p>
        </w:tc>
        <w:tc>
          <w:tcPr>
            <w:tcW w:w="1682" w:type="dxa"/>
            <w:noWrap/>
            <w:hideMark/>
          </w:tcPr>
          <w:p w14:paraId="5DBEC50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hsa-miR-425-5p</w:t>
            </w:r>
          </w:p>
        </w:tc>
        <w:tc>
          <w:tcPr>
            <w:tcW w:w="3261" w:type="dxa"/>
            <w:noWrap/>
            <w:hideMark/>
          </w:tcPr>
          <w:p w14:paraId="7A9A9DF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AAUGACACGAUCACUCCCGUUGA</w:t>
            </w:r>
          </w:p>
        </w:tc>
        <w:tc>
          <w:tcPr>
            <w:tcW w:w="1417" w:type="dxa"/>
            <w:noWrap/>
            <w:hideMark/>
          </w:tcPr>
          <w:p w14:paraId="18AC3FC4"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90</w:t>
            </w:r>
          </w:p>
        </w:tc>
      </w:tr>
      <w:tr w:rsidR="00D3498F" w:rsidRPr="008A165F" w14:paraId="00C3866F"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465CBD88"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YP02119305</w:t>
            </w:r>
          </w:p>
        </w:tc>
        <w:tc>
          <w:tcPr>
            <w:tcW w:w="644" w:type="dxa"/>
            <w:noWrap/>
            <w:hideMark/>
          </w:tcPr>
          <w:p w14:paraId="6EDFF66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20FBB744"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7</w:t>
            </w:r>
          </w:p>
        </w:tc>
        <w:tc>
          <w:tcPr>
            <w:tcW w:w="1682" w:type="dxa"/>
            <w:noWrap/>
            <w:hideMark/>
          </w:tcPr>
          <w:p w14:paraId="73B25EE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hsa-miR-451a</w:t>
            </w:r>
          </w:p>
        </w:tc>
        <w:tc>
          <w:tcPr>
            <w:tcW w:w="3261" w:type="dxa"/>
            <w:noWrap/>
            <w:hideMark/>
          </w:tcPr>
          <w:p w14:paraId="1CEEB9E7"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AAACCGUUACCAUUACUGAGUU</w:t>
            </w:r>
          </w:p>
        </w:tc>
        <w:tc>
          <w:tcPr>
            <w:tcW w:w="1417" w:type="dxa"/>
            <w:noWrap/>
            <w:hideMark/>
          </w:tcPr>
          <w:p w14:paraId="0D5E9695"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91</w:t>
            </w:r>
          </w:p>
        </w:tc>
      </w:tr>
      <w:tr w:rsidR="00D3498F" w:rsidRPr="008A165F" w14:paraId="10821DBC"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808FB8E"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YP00204772</w:t>
            </w:r>
          </w:p>
        </w:tc>
        <w:tc>
          <w:tcPr>
            <w:tcW w:w="644" w:type="dxa"/>
            <w:noWrap/>
            <w:hideMark/>
          </w:tcPr>
          <w:p w14:paraId="3BA76F5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21686D5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8</w:t>
            </w:r>
          </w:p>
        </w:tc>
        <w:tc>
          <w:tcPr>
            <w:tcW w:w="1682" w:type="dxa"/>
            <w:noWrap/>
            <w:hideMark/>
          </w:tcPr>
          <w:p w14:paraId="3E36CC8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hsa-miR-23a-3p</w:t>
            </w:r>
          </w:p>
        </w:tc>
        <w:tc>
          <w:tcPr>
            <w:tcW w:w="3261" w:type="dxa"/>
            <w:noWrap/>
            <w:hideMark/>
          </w:tcPr>
          <w:p w14:paraId="5750A2BE"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AUCACAUUGCCAGGGAUUUCC</w:t>
            </w:r>
          </w:p>
        </w:tc>
        <w:tc>
          <w:tcPr>
            <w:tcW w:w="1417" w:type="dxa"/>
            <w:noWrap/>
            <w:hideMark/>
          </w:tcPr>
          <w:p w14:paraId="4B80351B"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92</w:t>
            </w:r>
          </w:p>
        </w:tc>
      </w:tr>
      <w:tr w:rsidR="00D3498F" w:rsidRPr="008A165F" w14:paraId="63413152"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6ABB6F5D"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lastRenderedPageBreak/>
              <w:t>YP00203950</w:t>
            </w:r>
          </w:p>
        </w:tc>
        <w:tc>
          <w:tcPr>
            <w:tcW w:w="644" w:type="dxa"/>
            <w:noWrap/>
            <w:hideMark/>
          </w:tcPr>
          <w:p w14:paraId="33AC3A3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714264B6"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w:t>
            </w:r>
          </w:p>
        </w:tc>
        <w:tc>
          <w:tcPr>
            <w:tcW w:w="1682" w:type="dxa"/>
            <w:noWrap/>
            <w:hideMark/>
          </w:tcPr>
          <w:p w14:paraId="1B1E895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UniSp2</w:t>
            </w:r>
          </w:p>
        </w:tc>
        <w:tc>
          <w:tcPr>
            <w:tcW w:w="3261" w:type="dxa"/>
            <w:noWrap/>
            <w:hideMark/>
          </w:tcPr>
          <w:p w14:paraId="7D868AD0"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2D885C1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93</w:t>
            </w:r>
          </w:p>
        </w:tc>
      </w:tr>
      <w:tr w:rsidR="00D3498F" w:rsidRPr="008A165F" w14:paraId="1AF3D9ED"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570E109F"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YP00203953</w:t>
            </w:r>
          </w:p>
        </w:tc>
        <w:tc>
          <w:tcPr>
            <w:tcW w:w="644" w:type="dxa"/>
            <w:noWrap/>
            <w:hideMark/>
          </w:tcPr>
          <w:p w14:paraId="51A08AF0"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16FEF79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10</w:t>
            </w:r>
          </w:p>
        </w:tc>
        <w:tc>
          <w:tcPr>
            <w:tcW w:w="1682" w:type="dxa"/>
            <w:noWrap/>
            <w:hideMark/>
          </w:tcPr>
          <w:p w14:paraId="4E6D7D5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UniSp4</w:t>
            </w:r>
          </w:p>
        </w:tc>
        <w:tc>
          <w:tcPr>
            <w:tcW w:w="3261" w:type="dxa"/>
            <w:noWrap/>
            <w:hideMark/>
          </w:tcPr>
          <w:p w14:paraId="596DC3B3"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62F98F1B"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94</w:t>
            </w:r>
          </w:p>
        </w:tc>
      </w:tr>
      <w:tr w:rsidR="00D3498F" w:rsidRPr="008A165F" w14:paraId="34D6A8B7" w14:textId="77777777" w:rsidTr="00D3498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17FC07C8"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YP00203954</w:t>
            </w:r>
          </w:p>
        </w:tc>
        <w:tc>
          <w:tcPr>
            <w:tcW w:w="644" w:type="dxa"/>
            <w:noWrap/>
            <w:hideMark/>
          </w:tcPr>
          <w:p w14:paraId="3AC33D5A"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6F157A4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11</w:t>
            </w:r>
          </w:p>
        </w:tc>
        <w:tc>
          <w:tcPr>
            <w:tcW w:w="1682" w:type="dxa"/>
            <w:noWrap/>
            <w:hideMark/>
          </w:tcPr>
          <w:p w14:paraId="2601457F"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UniSp6</w:t>
            </w:r>
          </w:p>
        </w:tc>
        <w:tc>
          <w:tcPr>
            <w:tcW w:w="3261" w:type="dxa"/>
            <w:noWrap/>
            <w:hideMark/>
          </w:tcPr>
          <w:p w14:paraId="19D3E019" w14:textId="77777777" w:rsidR="00D3498F" w:rsidRPr="00DE1B60" w:rsidRDefault="00D3498F" w:rsidP="00D3498F">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417" w:type="dxa"/>
            <w:noWrap/>
            <w:hideMark/>
          </w:tcPr>
          <w:p w14:paraId="7048D314" w14:textId="77777777" w:rsidR="00D3498F" w:rsidRPr="00DE1B60" w:rsidRDefault="00D3498F" w:rsidP="00D3498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E1B60">
              <w:rPr>
                <w:rFonts w:ascii="Arial" w:hAnsi="Arial" w:cs="Arial"/>
                <w:sz w:val="18"/>
                <w:szCs w:val="18"/>
              </w:rPr>
              <w:t>95</w:t>
            </w:r>
          </w:p>
        </w:tc>
      </w:tr>
      <w:tr w:rsidR="00D3498F" w:rsidRPr="008A165F" w14:paraId="27D5E119" w14:textId="77777777" w:rsidTr="00D3498F">
        <w:trPr>
          <w:trHeight w:val="288"/>
        </w:trPr>
        <w:tc>
          <w:tcPr>
            <w:cnfStyle w:val="001000000000" w:firstRow="0" w:lastRow="0" w:firstColumn="1" w:lastColumn="0" w:oddVBand="0" w:evenVBand="0" w:oddHBand="0" w:evenHBand="0" w:firstRowFirstColumn="0" w:firstRowLastColumn="0" w:lastRowFirstColumn="0" w:lastRowLastColumn="0"/>
            <w:tcW w:w="1871" w:type="dxa"/>
            <w:noWrap/>
            <w:hideMark/>
          </w:tcPr>
          <w:p w14:paraId="2A135776" w14:textId="77777777" w:rsidR="00D3498F" w:rsidRPr="00DE1B60" w:rsidRDefault="00D3498F" w:rsidP="00D3498F">
            <w:pPr>
              <w:rPr>
                <w:rFonts w:ascii="Arial" w:hAnsi="Arial" w:cs="Arial"/>
                <w:b w:val="0"/>
                <w:bCs w:val="0"/>
                <w:sz w:val="18"/>
                <w:szCs w:val="18"/>
              </w:rPr>
            </w:pPr>
            <w:r w:rsidRPr="00DE1B60">
              <w:rPr>
                <w:rFonts w:ascii="Arial" w:hAnsi="Arial" w:cs="Arial"/>
                <w:b w:val="0"/>
                <w:bCs w:val="0"/>
                <w:sz w:val="18"/>
                <w:szCs w:val="18"/>
              </w:rPr>
              <w:t>YP02119288</w:t>
            </w:r>
          </w:p>
        </w:tc>
        <w:tc>
          <w:tcPr>
            <w:tcW w:w="644" w:type="dxa"/>
            <w:noWrap/>
            <w:hideMark/>
          </w:tcPr>
          <w:p w14:paraId="430F21AF"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H</w:t>
            </w:r>
          </w:p>
        </w:tc>
        <w:tc>
          <w:tcPr>
            <w:tcW w:w="901" w:type="dxa"/>
            <w:noWrap/>
            <w:hideMark/>
          </w:tcPr>
          <w:p w14:paraId="368C0BEB"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12</w:t>
            </w:r>
          </w:p>
        </w:tc>
        <w:tc>
          <w:tcPr>
            <w:tcW w:w="1682" w:type="dxa"/>
            <w:noWrap/>
            <w:hideMark/>
          </w:tcPr>
          <w:p w14:paraId="35B20BF1"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UniSP3</w:t>
            </w:r>
          </w:p>
        </w:tc>
        <w:tc>
          <w:tcPr>
            <w:tcW w:w="3261" w:type="dxa"/>
            <w:noWrap/>
            <w:hideMark/>
          </w:tcPr>
          <w:p w14:paraId="0A80E0AA" w14:textId="77777777" w:rsidR="00D3498F" w:rsidRPr="00DE1B60" w:rsidRDefault="00D3498F" w:rsidP="00D3498F">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417" w:type="dxa"/>
            <w:noWrap/>
            <w:hideMark/>
          </w:tcPr>
          <w:p w14:paraId="0D379182" w14:textId="77777777" w:rsidR="00D3498F" w:rsidRPr="00DE1B60" w:rsidRDefault="00D3498F" w:rsidP="00D3498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E1B60">
              <w:rPr>
                <w:rFonts w:ascii="Arial" w:hAnsi="Arial" w:cs="Arial"/>
                <w:sz w:val="18"/>
                <w:szCs w:val="18"/>
              </w:rPr>
              <w:t>96</w:t>
            </w:r>
          </w:p>
        </w:tc>
      </w:tr>
    </w:tbl>
    <w:p w14:paraId="532950C0" w14:textId="77777777" w:rsidR="00D3498F" w:rsidRDefault="00D3498F" w:rsidP="00D3498F">
      <w:pPr>
        <w:spacing w:line="360" w:lineRule="auto"/>
        <w:jc w:val="both"/>
        <w:rPr>
          <w:b/>
          <w:bCs/>
          <w:lang w:val="en-US"/>
        </w:rPr>
      </w:pPr>
    </w:p>
    <w:p w14:paraId="730BB954" w14:textId="77777777" w:rsidR="00D3498F" w:rsidRDefault="00D3498F" w:rsidP="00D3498F">
      <w:pPr>
        <w:rPr>
          <w:lang w:val="en-US"/>
        </w:rPr>
      </w:pPr>
    </w:p>
    <w:p w14:paraId="23D1B4B8" w14:textId="77777777" w:rsidR="00D3498F" w:rsidRDefault="00D3498F" w:rsidP="00D3498F">
      <w:pPr>
        <w:rPr>
          <w:lang w:val="en-US"/>
        </w:rPr>
      </w:pPr>
    </w:p>
    <w:p w14:paraId="3F0EAB38" w14:textId="77777777" w:rsidR="00D3498F" w:rsidRDefault="00D3498F" w:rsidP="00D3498F">
      <w:pPr>
        <w:rPr>
          <w:lang w:val="en-US"/>
        </w:rPr>
      </w:pPr>
    </w:p>
    <w:p w14:paraId="30CB5BE9" w14:textId="77777777" w:rsidR="00D3498F" w:rsidRDefault="00D3498F" w:rsidP="00D3498F">
      <w:pPr>
        <w:rPr>
          <w:lang w:val="en-US"/>
        </w:rPr>
      </w:pPr>
    </w:p>
    <w:p w14:paraId="0491C7F3" w14:textId="77777777" w:rsidR="00D3498F" w:rsidRDefault="00D3498F" w:rsidP="00D3498F">
      <w:pPr>
        <w:rPr>
          <w:lang w:val="en-US"/>
        </w:rPr>
      </w:pPr>
    </w:p>
    <w:p w14:paraId="67B061A2" w14:textId="77777777" w:rsidR="00D3498F" w:rsidRDefault="00D3498F" w:rsidP="00D3498F">
      <w:pPr>
        <w:rPr>
          <w:lang w:val="en-US"/>
        </w:rPr>
      </w:pPr>
    </w:p>
    <w:p w14:paraId="749E7211" w14:textId="77777777" w:rsidR="00D3498F" w:rsidRDefault="00D3498F" w:rsidP="00D3498F">
      <w:pPr>
        <w:rPr>
          <w:lang w:val="en-US"/>
        </w:rPr>
      </w:pPr>
    </w:p>
    <w:p w14:paraId="7D8AFDCB" w14:textId="77777777" w:rsidR="00D3498F" w:rsidRDefault="00D3498F" w:rsidP="00D3498F">
      <w:pPr>
        <w:rPr>
          <w:lang w:val="en-US"/>
        </w:rPr>
      </w:pPr>
    </w:p>
    <w:p w14:paraId="58374C41" w14:textId="77777777" w:rsidR="00D3498F" w:rsidRDefault="00D3498F" w:rsidP="00D3498F">
      <w:pPr>
        <w:rPr>
          <w:lang w:val="en-US"/>
        </w:rPr>
      </w:pPr>
    </w:p>
    <w:p w14:paraId="5C754F06" w14:textId="77777777" w:rsidR="00D3498F" w:rsidRDefault="00D3498F" w:rsidP="00D3498F">
      <w:pPr>
        <w:rPr>
          <w:lang w:val="en-US"/>
        </w:rPr>
      </w:pPr>
    </w:p>
    <w:p w14:paraId="1B658B39" w14:textId="77777777" w:rsidR="00D3498F" w:rsidRDefault="00D3498F" w:rsidP="00D3498F">
      <w:pPr>
        <w:rPr>
          <w:lang w:val="en-US"/>
        </w:rPr>
      </w:pPr>
    </w:p>
    <w:p w14:paraId="219ACEB8" w14:textId="77777777" w:rsidR="00D3498F" w:rsidRDefault="00D3498F" w:rsidP="00D3498F">
      <w:pPr>
        <w:rPr>
          <w:lang w:val="en-US"/>
        </w:rPr>
      </w:pPr>
    </w:p>
    <w:p w14:paraId="4AF9277C" w14:textId="77777777" w:rsidR="00D3498F" w:rsidRDefault="00D3498F" w:rsidP="00D3498F">
      <w:pPr>
        <w:rPr>
          <w:lang w:val="en-US"/>
        </w:rPr>
      </w:pPr>
    </w:p>
    <w:p w14:paraId="536C9431" w14:textId="77777777" w:rsidR="00D3498F" w:rsidRDefault="00D3498F" w:rsidP="00D3498F">
      <w:pPr>
        <w:rPr>
          <w:lang w:val="en-US"/>
        </w:rPr>
      </w:pPr>
    </w:p>
    <w:p w14:paraId="077DF4F8" w14:textId="77777777" w:rsidR="00D3498F" w:rsidRDefault="00D3498F" w:rsidP="00D3498F">
      <w:pPr>
        <w:rPr>
          <w:lang w:val="en-US"/>
        </w:rPr>
      </w:pPr>
    </w:p>
    <w:p w14:paraId="062B876B" w14:textId="77777777" w:rsidR="00D3498F" w:rsidRDefault="00D3498F" w:rsidP="00D3498F">
      <w:pPr>
        <w:rPr>
          <w:lang w:val="en-US"/>
        </w:rPr>
      </w:pPr>
    </w:p>
    <w:p w14:paraId="4EF6C59F" w14:textId="77777777" w:rsidR="00D3498F" w:rsidRDefault="00D3498F" w:rsidP="00D3498F">
      <w:pPr>
        <w:rPr>
          <w:lang w:val="en-US"/>
        </w:rPr>
      </w:pPr>
    </w:p>
    <w:p w14:paraId="6C0855FA" w14:textId="77777777" w:rsidR="00D3498F" w:rsidRDefault="00D3498F" w:rsidP="00D3498F">
      <w:pPr>
        <w:rPr>
          <w:lang w:val="en-US"/>
        </w:rPr>
      </w:pPr>
    </w:p>
    <w:p w14:paraId="16D74345" w14:textId="77777777" w:rsidR="00D3498F" w:rsidRDefault="00D3498F" w:rsidP="00D3498F">
      <w:pPr>
        <w:rPr>
          <w:lang w:val="en-US"/>
        </w:rPr>
      </w:pPr>
    </w:p>
    <w:p w14:paraId="5B3C73D3" w14:textId="77777777" w:rsidR="00D3498F" w:rsidRDefault="00D3498F" w:rsidP="00D3498F">
      <w:pPr>
        <w:rPr>
          <w:lang w:val="en-US"/>
        </w:rPr>
      </w:pPr>
    </w:p>
    <w:p w14:paraId="3934439D" w14:textId="77777777" w:rsidR="00D3498F" w:rsidRDefault="00D3498F" w:rsidP="00D3498F">
      <w:pPr>
        <w:rPr>
          <w:lang w:val="en-US"/>
        </w:rPr>
      </w:pPr>
    </w:p>
    <w:p w14:paraId="2512AF56" w14:textId="77777777" w:rsidR="00D3498F" w:rsidRDefault="00D3498F" w:rsidP="00D3498F">
      <w:pPr>
        <w:rPr>
          <w:lang w:val="en-US"/>
        </w:rPr>
      </w:pPr>
    </w:p>
    <w:p w14:paraId="58DD2CCA" w14:textId="77777777" w:rsidR="00D3498F" w:rsidRDefault="00D3498F" w:rsidP="00D3498F">
      <w:pPr>
        <w:rPr>
          <w:lang w:val="en-US"/>
        </w:rPr>
      </w:pPr>
    </w:p>
    <w:p w14:paraId="380C2437" w14:textId="77777777" w:rsidR="00D3498F" w:rsidRDefault="00D3498F" w:rsidP="00D3498F">
      <w:pPr>
        <w:rPr>
          <w:lang w:val="en-US"/>
        </w:rPr>
      </w:pPr>
    </w:p>
    <w:p w14:paraId="44D61BDC" w14:textId="77777777" w:rsidR="00D3498F" w:rsidRDefault="00D3498F" w:rsidP="00D3498F">
      <w:pPr>
        <w:rPr>
          <w:lang w:val="en-US"/>
        </w:rPr>
      </w:pPr>
    </w:p>
    <w:p w14:paraId="64F7A481" w14:textId="77777777" w:rsidR="00D3498F" w:rsidRDefault="00D3498F" w:rsidP="00D3498F">
      <w:pPr>
        <w:rPr>
          <w:lang w:val="en-US"/>
        </w:rPr>
      </w:pPr>
    </w:p>
    <w:p w14:paraId="0B6EE40D" w14:textId="77777777" w:rsidR="00D3498F" w:rsidRDefault="00D3498F" w:rsidP="00D3498F">
      <w:pPr>
        <w:rPr>
          <w:lang w:val="en-US"/>
        </w:rPr>
      </w:pPr>
    </w:p>
    <w:p w14:paraId="382F6B83" w14:textId="77777777" w:rsidR="00D3498F" w:rsidRDefault="00D3498F" w:rsidP="00D3498F">
      <w:pPr>
        <w:rPr>
          <w:lang w:val="en-US"/>
        </w:rPr>
      </w:pPr>
    </w:p>
    <w:p w14:paraId="0E3C618D" w14:textId="77777777" w:rsidR="00D3498F" w:rsidRDefault="00D3498F" w:rsidP="00D3498F">
      <w:pPr>
        <w:rPr>
          <w:lang w:val="en-US"/>
        </w:rPr>
      </w:pPr>
    </w:p>
    <w:p w14:paraId="3D771359" w14:textId="77777777" w:rsidR="00D3498F" w:rsidRDefault="00D3498F" w:rsidP="00D3498F">
      <w:pPr>
        <w:rPr>
          <w:lang w:val="en-US"/>
        </w:rPr>
      </w:pPr>
    </w:p>
    <w:p w14:paraId="1C2E0EDB" w14:textId="77777777" w:rsidR="00D3498F" w:rsidRDefault="00D3498F" w:rsidP="00D3498F">
      <w:pPr>
        <w:rPr>
          <w:lang w:val="en-US"/>
        </w:rPr>
      </w:pPr>
    </w:p>
    <w:p w14:paraId="2DFCB303" w14:textId="77777777" w:rsidR="00D3498F" w:rsidRDefault="00D3498F" w:rsidP="00D3498F">
      <w:pPr>
        <w:rPr>
          <w:lang w:val="en-US"/>
        </w:rPr>
      </w:pPr>
    </w:p>
    <w:p w14:paraId="526C508E" w14:textId="77777777" w:rsidR="00D3498F" w:rsidRDefault="00D3498F" w:rsidP="00D3498F">
      <w:pPr>
        <w:rPr>
          <w:lang w:val="en-US"/>
        </w:rPr>
      </w:pPr>
    </w:p>
    <w:p w14:paraId="205B48F4" w14:textId="77777777" w:rsidR="00D3498F" w:rsidRDefault="00D3498F" w:rsidP="00D3498F">
      <w:pPr>
        <w:rPr>
          <w:lang w:val="en-US"/>
        </w:rPr>
      </w:pPr>
    </w:p>
    <w:p w14:paraId="690A8BA9" w14:textId="77777777" w:rsidR="00D3498F" w:rsidRDefault="00D3498F" w:rsidP="00D3498F">
      <w:pPr>
        <w:rPr>
          <w:lang w:val="en-US"/>
        </w:rPr>
      </w:pPr>
    </w:p>
    <w:p w14:paraId="549CB620" w14:textId="77777777" w:rsidR="00D3498F" w:rsidRDefault="00D3498F" w:rsidP="00D3498F">
      <w:pPr>
        <w:rPr>
          <w:lang w:val="en-US"/>
        </w:rPr>
      </w:pPr>
    </w:p>
    <w:p w14:paraId="1B03BA66" w14:textId="77777777" w:rsidR="00D3498F" w:rsidRDefault="00D3498F" w:rsidP="00D3498F">
      <w:pPr>
        <w:rPr>
          <w:lang w:val="en-US"/>
        </w:rPr>
      </w:pPr>
    </w:p>
    <w:p w14:paraId="7912AD8C" w14:textId="77777777" w:rsidR="00D3498F" w:rsidRDefault="00D3498F" w:rsidP="00D3498F">
      <w:pPr>
        <w:rPr>
          <w:lang w:val="en-US"/>
        </w:rPr>
      </w:pPr>
    </w:p>
    <w:p w14:paraId="1B64C6AB" w14:textId="77777777" w:rsidR="00D3498F" w:rsidRDefault="00D3498F" w:rsidP="00D3498F">
      <w:pPr>
        <w:rPr>
          <w:lang w:val="en-US"/>
        </w:rPr>
      </w:pPr>
    </w:p>
    <w:p w14:paraId="7CEFAEA4" w14:textId="77777777" w:rsidR="00D3498F" w:rsidRPr="006A04C7" w:rsidRDefault="00D3498F" w:rsidP="00D3498F">
      <w:pPr>
        <w:spacing w:line="360" w:lineRule="auto"/>
        <w:jc w:val="both"/>
        <w:rPr>
          <w:lang w:val="en-US"/>
        </w:rPr>
      </w:pPr>
      <w:r>
        <w:rPr>
          <w:b/>
          <w:bCs/>
          <w:lang w:val="en-US"/>
        </w:rPr>
        <w:t>Table 9. Results of multinomial regression</w:t>
      </w:r>
      <w:r w:rsidRPr="00393FBE">
        <w:rPr>
          <w:b/>
          <w:bCs/>
          <w:lang w:val="en-US"/>
        </w:rPr>
        <w:t xml:space="preserve"> analysis</w:t>
      </w:r>
    </w:p>
    <w:p w14:paraId="67350767" w14:textId="77777777" w:rsidR="00D3498F" w:rsidRDefault="00D3498F" w:rsidP="00D3498F">
      <w:pPr>
        <w:spacing w:line="360" w:lineRule="auto"/>
        <w:jc w:val="both"/>
        <w:rPr>
          <w:lang w:val="en-US"/>
        </w:rPr>
      </w:pPr>
    </w:p>
    <w:tbl>
      <w:tblPr>
        <w:tblStyle w:val="GridTable5DarkAccent5"/>
        <w:tblW w:w="5199" w:type="pct"/>
        <w:jc w:val="center"/>
        <w:tblBorders>
          <w:bottom w:val="single" w:sz="4" w:space="0" w:color="auto"/>
        </w:tblBorders>
        <w:tblLayout w:type="fixed"/>
        <w:tblLook w:val="02A0" w:firstRow="1" w:lastRow="0" w:firstColumn="1" w:lastColumn="0" w:noHBand="1" w:noVBand="0"/>
      </w:tblPr>
      <w:tblGrid>
        <w:gridCol w:w="530"/>
        <w:gridCol w:w="1570"/>
        <w:gridCol w:w="739"/>
        <w:gridCol w:w="737"/>
        <w:gridCol w:w="9"/>
        <w:gridCol w:w="761"/>
        <w:gridCol w:w="498"/>
        <w:gridCol w:w="870"/>
        <w:gridCol w:w="870"/>
        <w:gridCol w:w="1112"/>
        <w:gridCol w:w="1067"/>
        <w:gridCol w:w="9"/>
      </w:tblGrid>
      <w:tr w:rsidR="00D3498F" w:rsidRPr="009769C8" w14:paraId="104B4AC7" w14:textId="77777777" w:rsidTr="00D3498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00" w:type="pct"/>
            <w:gridSpan w:val="12"/>
          </w:tcPr>
          <w:p w14:paraId="7869DCDF" w14:textId="77777777" w:rsidR="00D3498F" w:rsidRPr="00630853" w:rsidRDefault="00D3498F" w:rsidP="00D3498F">
            <w:pPr>
              <w:autoSpaceDE w:val="0"/>
              <w:autoSpaceDN w:val="0"/>
              <w:adjustRightInd w:val="0"/>
              <w:spacing w:line="320" w:lineRule="atLeast"/>
              <w:ind w:left="60" w:right="60"/>
              <w:jc w:val="center"/>
              <w:rPr>
                <w:rFonts w:ascii="Arial" w:hAnsi="Arial" w:cs="Arial"/>
                <w:sz w:val="18"/>
                <w:szCs w:val="18"/>
                <w:lang w:val="en-US"/>
              </w:rPr>
            </w:pPr>
            <w:r w:rsidRPr="00630853">
              <w:rPr>
                <w:rFonts w:ascii="Arial" w:hAnsi="Arial" w:cs="Arial"/>
                <w:sz w:val="18"/>
                <w:szCs w:val="18"/>
                <w:lang w:val="en-US"/>
              </w:rPr>
              <w:t>Parameter Estimates</w:t>
            </w:r>
          </w:p>
        </w:tc>
      </w:tr>
      <w:tr w:rsidR="00D3498F" w:rsidRPr="007B29CC" w14:paraId="1E23E16A" w14:textId="77777777" w:rsidTr="00D3498F">
        <w:trPr>
          <w:jc w:val="center"/>
        </w:trPr>
        <w:tc>
          <w:tcPr>
            <w:cnfStyle w:val="001000000000" w:firstRow="0" w:lastRow="0" w:firstColumn="1" w:lastColumn="0" w:oddVBand="0" w:evenVBand="0" w:oddHBand="0" w:evenHBand="0" w:firstRowFirstColumn="0" w:firstRowLastColumn="0" w:lastRowFirstColumn="0" w:lastRowLastColumn="0"/>
            <w:tcW w:w="1197" w:type="pct"/>
            <w:gridSpan w:val="2"/>
            <w:vMerge w:val="restart"/>
          </w:tcPr>
          <w:p w14:paraId="33808032" w14:textId="77777777" w:rsidR="00D3498F" w:rsidRPr="00630853" w:rsidRDefault="00D3498F" w:rsidP="00D3498F">
            <w:pPr>
              <w:autoSpaceDE w:val="0"/>
              <w:autoSpaceDN w:val="0"/>
              <w:adjustRightInd w:val="0"/>
              <w:spacing w:line="320" w:lineRule="atLeast"/>
              <w:ind w:left="60" w:right="60"/>
              <w:rPr>
                <w:rFonts w:ascii="Arial" w:hAnsi="Arial" w:cs="Arial"/>
                <w:sz w:val="18"/>
                <w:szCs w:val="18"/>
                <w:lang w:val="en-US"/>
              </w:rPr>
            </w:pPr>
            <w:r w:rsidRPr="00630853">
              <w:rPr>
                <w:rFonts w:ascii="Arial" w:hAnsi="Arial" w:cs="Arial"/>
                <w:sz w:val="18"/>
                <w:szCs w:val="18"/>
                <w:lang w:val="en-US"/>
              </w:rPr>
              <w:t>GRUPPOSCORE</w:t>
            </w:r>
            <w:r w:rsidRPr="00630853">
              <w:rPr>
                <w:rFonts w:ascii="Arial" w:hAnsi="Arial" w:cs="Arial"/>
                <w:sz w:val="18"/>
                <w:szCs w:val="18"/>
                <w:vertAlign w:val="superscript"/>
                <w:lang w:val="en-US"/>
              </w:rPr>
              <w:t>a</w:t>
            </w:r>
          </w:p>
        </w:tc>
        <w:tc>
          <w:tcPr>
            <w:cnfStyle w:val="000010000000" w:firstRow="0" w:lastRow="0" w:firstColumn="0" w:lastColumn="0" w:oddVBand="1" w:evenVBand="0" w:oddHBand="0" w:evenHBand="0" w:firstRowFirstColumn="0" w:firstRowLastColumn="0" w:lastRowFirstColumn="0" w:lastRowLastColumn="0"/>
            <w:tcW w:w="421" w:type="pct"/>
            <w:vMerge w:val="restart"/>
          </w:tcPr>
          <w:p w14:paraId="63C2D813"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B</w:t>
            </w:r>
          </w:p>
        </w:tc>
        <w:tc>
          <w:tcPr>
            <w:tcW w:w="420" w:type="pct"/>
            <w:vMerge w:val="restart"/>
          </w:tcPr>
          <w:p w14:paraId="44E84FE8" w14:textId="77777777" w:rsidR="00D3498F" w:rsidRPr="009769C8" w:rsidRDefault="00D3498F" w:rsidP="00D3498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 xml:space="preserve">Std. </w:t>
            </w:r>
            <w:r w:rsidRPr="009769C8">
              <w:rPr>
                <w:rFonts w:ascii="Arial" w:hAnsi="Arial" w:cs="Arial"/>
                <w:color w:val="000000"/>
                <w:sz w:val="18"/>
                <w:szCs w:val="18"/>
                <w:lang w:val="en-US"/>
              </w:rPr>
              <w:lastRenderedPageBreak/>
              <w:t>Error</w:t>
            </w:r>
          </w:p>
        </w:tc>
        <w:tc>
          <w:tcPr>
            <w:cnfStyle w:val="000010000000" w:firstRow="0" w:lastRow="0" w:firstColumn="0" w:lastColumn="0" w:oddVBand="1" w:evenVBand="0" w:oddHBand="0" w:evenHBand="0" w:firstRowFirstColumn="0" w:firstRowLastColumn="0" w:lastRowFirstColumn="0" w:lastRowLastColumn="0"/>
            <w:tcW w:w="439" w:type="pct"/>
            <w:gridSpan w:val="2"/>
            <w:vMerge w:val="restart"/>
            <w:tcBorders>
              <w:bottom w:val="single" w:sz="4" w:space="0" w:color="FFFFFF" w:themeColor="background1"/>
            </w:tcBorders>
          </w:tcPr>
          <w:p w14:paraId="1F4E4C8D"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lastRenderedPageBreak/>
              <w:t>Wald</w:t>
            </w:r>
          </w:p>
        </w:tc>
        <w:tc>
          <w:tcPr>
            <w:tcW w:w="284" w:type="pct"/>
            <w:vMerge w:val="restart"/>
            <w:tcBorders>
              <w:bottom w:val="single" w:sz="4" w:space="0" w:color="FFFFFF" w:themeColor="background1"/>
            </w:tcBorders>
          </w:tcPr>
          <w:p w14:paraId="19DB8BD3" w14:textId="77777777" w:rsidR="00D3498F" w:rsidRPr="009769C8" w:rsidRDefault="00D3498F" w:rsidP="00D3498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df</w:t>
            </w:r>
          </w:p>
        </w:tc>
        <w:tc>
          <w:tcPr>
            <w:cnfStyle w:val="000010000000" w:firstRow="0" w:lastRow="0" w:firstColumn="0" w:lastColumn="0" w:oddVBand="1" w:evenVBand="0" w:oddHBand="0" w:evenHBand="0" w:firstRowFirstColumn="0" w:firstRowLastColumn="0" w:lastRowFirstColumn="0" w:lastRowLastColumn="0"/>
            <w:tcW w:w="496" w:type="pct"/>
            <w:vMerge w:val="restart"/>
            <w:tcBorders>
              <w:bottom w:val="single" w:sz="4" w:space="0" w:color="FFFFFF" w:themeColor="background1"/>
            </w:tcBorders>
          </w:tcPr>
          <w:p w14:paraId="168FE5E3"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Sig.</w:t>
            </w:r>
          </w:p>
        </w:tc>
        <w:tc>
          <w:tcPr>
            <w:tcW w:w="496" w:type="pct"/>
            <w:vMerge w:val="restart"/>
            <w:tcBorders>
              <w:bottom w:val="single" w:sz="4" w:space="0" w:color="FFFFFF" w:themeColor="background1"/>
            </w:tcBorders>
          </w:tcPr>
          <w:p w14:paraId="2972ECD7" w14:textId="77777777" w:rsidR="00D3498F" w:rsidRPr="009769C8" w:rsidRDefault="00D3498F" w:rsidP="00D3498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Exp(B</w:t>
            </w:r>
            <w:r w:rsidRPr="009769C8">
              <w:rPr>
                <w:rFonts w:ascii="Arial" w:hAnsi="Arial" w:cs="Arial"/>
                <w:color w:val="000000"/>
                <w:sz w:val="18"/>
                <w:szCs w:val="18"/>
                <w:lang w:val="en-US"/>
              </w:rPr>
              <w:lastRenderedPageBreak/>
              <w:t>)</w:t>
            </w:r>
          </w:p>
        </w:tc>
        <w:tc>
          <w:tcPr>
            <w:cnfStyle w:val="000010000000" w:firstRow="0" w:lastRow="0" w:firstColumn="0" w:lastColumn="0" w:oddVBand="1" w:evenVBand="0" w:oddHBand="0" w:evenHBand="0" w:firstRowFirstColumn="0" w:firstRowLastColumn="0" w:lastRowFirstColumn="0" w:lastRowLastColumn="0"/>
            <w:tcW w:w="1247" w:type="pct"/>
            <w:gridSpan w:val="3"/>
          </w:tcPr>
          <w:p w14:paraId="38F4B080"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lastRenderedPageBreak/>
              <w:t>95% Confidence Inte</w:t>
            </w:r>
            <w:r w:rsidRPr="009769C8">
              <w:rPr>
                <w:rFonts w:ascii="Arial" w:hAnsi="Arial" w:cs="Arial"/>
                <w:color w:val="000000"/>
                <w:sz w:val="18"/>
                <w:szCs w:val="18"/>
                <w:lang w:val="en-US"/>
              </w:rPr>
              <w:t>r</w:t>
            </w:r>
            <w:r w:rsidRPr="009769C8">
              <w:rPr>
                <w:rFonts w:ascii="Arial" w:hAnsi="Arial" w:cs="Arial"/>
                <w:color w:val="000000"/>
                <w:sz w:val="18"/>
                <w:szCs w:val="18"/>
                <w:lang w:val="en-US"/>
              </w:rPr>
              <w:lastRenderedPageBreak/>
              <w:t>val for Exp(B)</w:t>
            </w:r>
          </w:p>
        </w:tc>
      </w:tr>
      <w:tr w:rsidR="00D3498F" w:rsidRPr="009769C8" w14:paraId="276657A5"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1197" w:type="pct"/>
            <w:gridSpan w:val="2"/>
            <w:vMerge/>
          </w:tcPr>
          <w:p w14:paraId="618B5AD9"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421" w:type="pct"/>
            <w:vMerge/>
          </w:tcPr>
          <w:p w14:paraId="3A2931A4"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tcW w:w="420" w:type="pct"/>
            <w:vMerge/>
          </w:tcPr>
          <w:p w14:paraId="59622F40" w14:textId="77777777" w:rsidR="00D3498F" w:rsidRPr="009769C8" w:rsidRDefault="00D3498F" w:rsidP="00D3498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439" w:type="pct"/>
            <w:gridSpan w:val="2"/>
            <w:vMerge/>
          </w:tcPr>
          <w:p w14:paraId="26BB9FD0"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tcW w:w="284" w:type="pct"/>
            <w:vMerge/>
          </w:tcPr>
          <w:p w14:paraId="06EEC82E" w14:textId="77777777" w:rsidR="00D3498F" w:rsidRPr="009769C8" w:rsidRDefault="00D3498F" w:rsidP="00D3498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496" w:type="pct"/>
            <w:vMerge/>
          </w:tcPr>
          <w:p w14:paraId="1182497B"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tcW w:w="496" w:type="pct"/>
            <w:vMerge/>
          </w:tcPr>
          <w:p w14:paraId="4E49B313" w14:textId="77777777" w:rsidR="00D3498F" w:rsidRPr="009769C8" w:rsidRDefault="00D3498F" w:rsidP="00D3498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634" w:type="pct"/>
          </w:tcPr>
          <w:p w14:paraId="7C67AD00"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Lower Bound</w:t>
            </w:r>
          </w:p>
        </w:tc>
        <w:tc>
          <w:tcPr>
            <w:tcW w:w="608" w:type="pct"/>
          </w:tcPr>
          <w:p w14:paraId="3064D5AF" w14:textId="77777777" w:rsidR="00D3498F" w:rsidRPr="009769C8" w:rsidRDefault="00D3498F" w:rsidP="00D3498F">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Upper Bound</w:t>
            </w:r>
          </w:p>
        </w:tc>
      </w:tr>
      <w:tr w:rsidR="00D3498F" w:rsidRPr="009769C8" w14:paraId="4606AA95"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val="restart"/>
          </w:tcPr>
          <w:p w14:paraId="1C3D09D8" w14:textId="77777777" w:rsidR="00D3498F" w:rsidRPr="00630853" w:rsidRDefault="00D3498F" w:rsidP="00D3498F">
            <w:pPr>
              <w:autoSpaceDE w:val="0"/>
              <w:autoSpaceDN w:val="0"/>
              <w:adjustRightInd w:val="0"/>
              <w:spacing w:line="320" w:lineRule="atLeast"/>
              <w:ind w:left="60" w:right="60"/>
              <w:rPr>
                <w:rFonts w:ascii="Arial" w:hAnsi="Arial" w:cs="Arial"/>
                <w:sz w:val="18"/>
                <w:szCs w:val="18"/>
                <w:lang w:val="en-US"/>
              </w:rPr>
            </w:pPr>
            <w:r w:rsidRPr="00630853">
              <w:rPr>
                <w:rFonts w:ascii="Arial" w:hAnsi="Arial" w:cs="Arial"/>
                <w:sz w:val="18"/>
                <w:szCs w:val="18"/>
                <w:lang w:val="en-US"/>
              </w:rPr>
              <w:t>2,0</w:t>
            </w:r>
          </w:p>
        </w:tc>
        <w:tc>
          <w:tcPr>
            <w:cnfStyle w:val="000010000000" w:firstRow="0" w:lastRow="0" w:firstColumn="0" w:lastColumn="0" w:oddVBand="1" w:evenVBand="0" w:oddHBand="0" w:evenHBand="0" w:firstRowFirstColumn="0" w:firstRowLastColumn="0" w:lastRowFirstColumn="0" w:lastRowLastColumn="0"/>
            <w:tcW w:w="895" w:type="pct"/>
          </w:tcPr>
          <w:p w14:paraId="6CAF6015"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Intercept</w:t>
            </w:r>
          </w:p>
        </w:tc>
        <w:tc>
          <w:tcPr>
            <w:tcW w:w="421" w:type="pct"/>
          </w:tcPr>
          <w:p w14:paraId="1F0603C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-10,420</w:t>
            </w:r>
          </w:p>
        </w:tc>
        <w:tc>
          <w:tcPr>
            <w:cnfStyle w:val="000010000000" w:firstRow="0" w:lastRow="0" w:firstColumn="0" w:lastColumn="0" w:oddVBand="1" w:evenVBand="0" w:oddHBand="0" w:evenHBand="0" w:firstRowFirstColumn="0" w:firstRowLastColumn="0" w:lastRowFirstColumn="0" w:lastRowLastColumn="0"/>
            <w:tcW w:w="420" w:type="pct"/>
          </w:tcPr>
          <w:p w14:paraId="44CCF18B"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3,359</w:t>
            </w:r>
          </w:p>
        </w:tc>
        <w:tc>
          <w:tcPr>
            <w:tcW w:w="439" w:type="pct"/>
            <w:gridSpan w:val="2"/>
          </w:tcPr>
          <w:p w14:paraId="055B3711"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9,623</w:t>
            </w:r>
          </w:p>
        </w:tc>
        <w:tc>
          <w:tcPr>
            <w:cnfStyle w:val="000010000000" w:firstRow="0" w:lastRow="0" w:firstColumn="0" w:lastColumn="0" w:oddVBand="1" w:evenVBand="0" w:oddHBand="0" w:evenHBand="0" w:firstRowFirstColumn="0" w:firstRowLastColumn="0" w:lastRowFirstColumn="0" w:lastRowLastColumn="0"/>
            <w:tcW w:w="284" w:type="pct"/>
          </w:tcPr>
          <w:p w14:paraId="175C4B4A"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4AC10DA1"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,002</w:t>
            </w:r>
          </w:p>
        </w:tc>
        <w:tc>
          <w:tcPr>
            <w:cnfStyle w:val="000010000000" w:firstRow="0" w:lastRow="0" w:firstColumn="0" w:lastColumn="0" w:oddVBand="1" w:evenVBand="0" w:oddHBand="0" w:evenHBand="0" w:firstRowFirstColumn="0" w:firstRowLastColumn="0" w:lastRowFirstColumn="0" w:lastRowLastColumn="0"/>
            <w:tcW w:w="496" w:type="pct"/>
          </w:tcPr>
          <w:p w14:paraId="6B34B8B8" w14:textId="77777777" w:rsidR="00D3498F" w:rsidRPr="009769C8" w:rsidRDefault="00D3498F" w:rsidP="00D3498F">
            <w:pPr>
              <w:autoSpaceDE w:val="0"/>
              <w:autoSpaceDN w:val="0"/>
              <w:adjustRightInd w:val="0"/>
              <w:rPr>
                <w:rFonts w:ascii="Arial" w:hAnsi="Arial" w:cs="Arial"/>
                <w:sz w:val="18"/>
                <w:szCs w:val="18"/>
                <w:lang w:val="en-US"/>
              </w:rPr>
            </w:pPr>
          </w:p>
        </w:tc>
        <w:tc>
          <w:tcPr>
            <w:tcW w:w="634" w:type="pct"/>
          </w:tcPr>
          <w:p w14:paraId="609F65E0" w14:textId="77777777" w:rsidR="00D3498F" w:rsidRPr="009769C8" w:rsidRDefault="00D3498F" w:rsidP="00D3498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p>
        </w:tc>
        <w:tc>
          <w:tcPr>
            <w:cnfStyle w:val="000010000000" w:firstRow="0" w:lastRow="0" w:firstColumn="0" w:lastColumn="0" w:oddVBand="1" w:evenVBand="0" w:oddHBand="0" w:evenHBand="0" w:firstRowFirstColumn="0" w:firstRowLastColumn="0" w:lastRowFirstColumn="0" w:lastRowLastColumn="0"/>
            <w:tcW w:w="608" w:type="pct"/>
          </w:tcPr>
          <w:p w14:paraId="5E14261A" w14:textId="77777777" w:rsidR="00D3498F" w:rsidRPr="009769C8" w:rsidRDefault="00D3498F" w:rsidP="00D3498F">
            <w:pPr>
              <w:autoSpaceDE w:val="0"/>
              <w:autoSpaceDN w:val="0"/>
              <w:adjustRightInd w:val="0"/>
              <w:rPr>
                <w:rFonts w:ascii="Arial" w:hAnsi="Arial" w:cs="Arial"/>
                <w:sz w:val="18"/>
                <w:szCs w:val="18"/>
                <w:lang w:val="en-US"/>
              </w:rPr>
            </w:pPr>
          </w:p>
        </w:tc>
      </w:tr>
      <w:tr w:rsidR="00D3498F" w:rsidRPr="009769C8" w14:paraId="264FB9E1"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08CAE8A1" w14:textId="77777777" w:rsidR="00D3498F" w:rsidRPr="009769C8" w:rsidRDefault="00D3498F" w:rsidP="00D3498F">
            <w:pPr>
              <w:autoSpaceDE w:val="0"/>
              <w:autoSpaceDN w:val="0"/>
              <w:adjustRightInd w:val="0"/>
              <w:rPr>
                <w:rFonts w:ascii="Arial" w:hAnsi="Arial" w:cs="Arial"/>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6B4B1B70"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RHI</w:t>
            </w:r>
            <w:r>
              <w:rPr>
                <w:rFonts w:ascii="Arial" w:hAnsi="Arial" w:cs="Arial"/>
                <w:color w:val="000000"/>
                <w:sz w:val="18"/>
                <w:szCs w:val="18"/>
                <w:lang w:val="en-US"/>
              </w:rPr>
              <w:t xml:space="preserve"> </w:t>
            </w:r>
            <w:r w:rsidRPr="009769C8">
              <w:rPr>
                <w:rFonts w:ascii="Arial" w:hAnsi="Arial" w:cs="Arial"/>
                <w:color w:val="000000"/>
                <w:sz w:val="18"/>
                <w:szCs w:val="18"/>
                <w:lang w:val="en-US"/>
              </w:rPr>
              <w:t>SCORE</w:t>
            </w:r>
          </w:p>
        </w:tc>
        <w:tc>
          <w:tcPr>
            <w:tcW w:w="421" w:type="pct"/>
          </w:tcPr>
          <w:p w14:paraId="3B68854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-2,006</w:t>
            </w:r>
          </w:p>
        </w:tc>
        <w:tc>
          <w:tcPr>
            <w:cnfStyle w:val="000010000000" w:firstRow="0" w:lastRow="0" w:firstColumn="0" w:lastColumn="0" w:oddVBand="1" w:evenVBand="0" w:oddHBand="0" w:evenHBand="0" w:firstRowFirstColumn="0" w:firstRowLastColumn="0" w:lastRowFirstColumn="0" w:lastRowLastColumn="0"/>
            <w:tcW w:w="420" w:type="pct"/>
          </w:tcPr>
          <w:p w14:paraId="33CEF7A6"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,852</w:t>
            </w:r>
          </w:p>
        </w:tc>
        <w:tc>
          <w:tcPr>
            <w:tcW w:w="439" w:type="pct"/>
            <w:gridSpan w:val="2"/>
          </w:tcPr>
          <w:p w14:paraId="25FF6DE1"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5,544</w:t>
            </w:r>
          </w:p>
        </w:tc>
        <w:tc>
          <w:tcPr>
            <w:cnfStyle w:val="000010000000" w:firstRow="0" w:lastRow="0" w:firstColumn="0" w:lastColumn="0" w:oddVBand="1" w:evenVBand="0" w:oddHBand="0" w:evenHBand="0" w:firstRowFirstColumn="0" w:firstRowLastColumn="0" w:lastRowFirstColumn="0" w:lastRowLastColumn="0"/>
            <w:tcW w:w="284" w:type="pct"/>
          </w:tcPr>
          <w:p w14:paraId="53270AA8"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1BD0B888"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,019</w:t>
            </w:r>
          </w:p>
        </w:tc>
        <w:tc>
          <w:tcPr>
            <w:cnfStyle w:val="000010000000" w:firstRow="0" w:lastRow="0" w:firstColumn="0" w:lastColumn="0" w:oddVBand="1" w:evenVBand="0" w:oddHBand="0" w:evenHBand="0" w:firstRowFirstColumn="0" w:firstRowLastColumn="0" w:lastRowFirstColumn="0" w:lastRowLastColumn="0"/>
            <w:tcW w:w="496" w:type="pct"/>
          </w:tcPr>
          <w:p w14:paraId="314409A8"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,135</w:t>
            </w:r>
          </w:p>
        </w:tc>
        <w:tc>
          <w:tcPr>
            <w:tcW w:w="634" w:type="pct"/>
          </w:tcPr>
          <w:p w14:paraId="1A333A1D" w14:textId="77777777" w:rsidR="00D3498F" w:rsidRPr="009769C8" w:rsidRDefault="00D3498F" w:rsidP="00D3498F">
            <w:pPr>
              <w:autoSpaceDE w:val="0"/>
              <w:autoSpaceDN w:val="0"/>
              <w:adjustRightInd w:val="0"/>
              <w:spacing w:line="320" w:lineRule="atLeast"/>
              <w:ind w:left="60" w:right="192"/>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,025</w:t>
            </w:r>
          </w:p>
        </w:tc>
        <w:tc>
          <w:tcPr>
            <w:cnfStyle w:val="000010000000" w:firstRow="0" w:lastRow="0" w:firstColumn="0" w:lastColumn="0" w:oddVBand="1" w:evenVBand="0" w:oddHBand="0" w:evenHBand="0" w:firstRowFirstColumn="0" w:firstRowLastColumn="0" w:lastRowFirstColumn="0" w:lastRowLastColumn="0"/>
            <w:tcW w:w="608" w:type="pct"/>
          </w:tcPr>
          <w:p w14:paraId="3A493A56"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,714</w:t>
            </w:r>
          </w:p>
        </w:tc>
      </w:tr>
      <w:tr w:rsidR="00D3498F" w:rsidRPr="009769C8" w14:paraId="375FEA35"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5B9AAEE6"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5834964E"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HIF1A</w:t>
            </w:r>
          </w:p>
        </w:tc>
        <w:tc>
          <w:tcPr>
            <w:tcW w:w="421" w:type="pct"/>
          </w:tcPr>
          <w:p w14:paraId="747705A0"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,126</w:t>
            </w:r>
          </w:p>
        </w:tc>
        <w:tc>
          <w:tcPr>
            <w:cnfStyle w:val="000010000000" w:firstRow="0" w:lastRow="0" w:firstColumn="0" w:lastColumn="0" w:oddVBand="1" w:evenVBand="0" w:oddHBand="0" w:evenHBand="0" w:firstRowFirstColumn="0" w:firstRowLastColumn="0" w:lastRowFirstColumn="0" w:lastRowLastColumn="0"/>
            <w:tcW w:w="420" w:type="pct"/>
          </w:tcPr>
          <w:p w14:paraId="151FBC6B"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,056</w:t>
            </w:r>
          </w:p>
        </w:tc>
        <w:tc>
          <w:tcPr>
            <w:tcW w:w="439" w:type="pct"/>
            <w:gridSpan w:val="2"/>
          </w:tcPr>
          <w:p w14:paraId="7D8C20EB"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5,084</w:t>
            </w:r>
          </w:p>
        </w:tc>
        <w:tc>
          <w:tcPr>
            <w:cnfStyle w:val="000010000000" w:firstRow="0" w:lastRow="0" w:firstColumn="0" w:lastColumn="0" w:oddVBand="1" w:evenVBand="0" w:oddHBand="0" w:evenHBand="0" w:firstRowFirstColumn="0" w:firstRowLastColumn="0" w:lastRowFirstColumn="0" w:lastRowLastColumn="0"/>
            <w:tcW w:w="284" w:type="pct"/>
          </w:tcPr>
          <w:p w14:paraId="03D7E597"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0C8F7C0B"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,024</w:t>
            </w:r>
          </w:p>
        </w:tc>
        <w:tc>
          <w:tcPr>
            <w:cnfStyle w:val="000010000000" w:firstRow="0" w:lastRow="0" w:firstColumn="0" w:lastColumn="0" w:oddVBand="1" w:evenVBand="0" w:oddHBand="0" w:evenHBand="0" w:firstRowFirstColumn="0" w:firstRowLastColumn="0" w:lastRowFirstColumn="0" w:lastRowLastColumn="0"/>
            <w:tcW w:w="496" w:type="pct"/>
          </w:tcPr>
          <w:p w14:paraId="77966F96"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1,135</w:t>
            </w:r>
          </w:p>
        </w:tc>
        <w:tc>
          <w:tcPr>
            <w:tcW w:w="634" w:type="pct"/>
          </w:tcPr>
          <w:p w14:paraId="6143B32B"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1,017</w:t>
            </w:r>
          </w:p>
        </w:tc>
        <w:tc>
          <w:tcPr>
            <w:cnfStyle w:val="000010000000" w:firstRow="0" w:lastRow="0" w:firstColumn="0" w:lastColumn="0" w:oddVBand="1" w:evenVBand="0" w:oddHBand="0" w:evenHBand="0" w:firstRowFirstColumn="0" w:firstRowLastColumn="0" w:lastRowFirstColumn="0" w:lastRowLastColumn="0"/>
            <w:tcW w:w="608" w:type="pct"/>
          </w:tcPr>
          <w:p w14:paraId="7D3D6530"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1,267</w:t>
            </w:r>
          </w:p>
        </w:tc>
      </w:tr>
      <w:tr w:rsidR="00D3498F" w:rsidRPr="009769C8" w14:paraId="4A45AAC8"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75A8D22F"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68945A98"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VEGF</w:t>
            </w:r>
          </w:p>
        </w:tc>
        <w:tc>
          <w:tcPr>
            <w:tcW w:w="421" w:type="pct"/>
          </w:tcPr>
          <w:p w14:paraId="1E646D6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,017</w:t>
            </w:r>
          </w:p>
        </w:tc>
        <w:tc>
          <w:tcPr>
            <w:cnfStyle w:val="000010000000" w:firstRow="0" w:lastRow="0" w:firstColumn="0" w:lastColumn="0" w:oddVBand="1" w:evenVBand="0" w:oddHBand="0" w:evenHBand="0" w:firstRowFirstColumn="0" w:firstRowLastColumn="0" w:lastRowFirstColumn="0" w:lastRowLastColumn="0"/>
            <w:tcW w:w="420" w:type="pct"/>
          </w:tcPr>
          <w:p w14:paraId="0DC70A9A"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,006</w:t>
            </w:r>
          </w:p>
        </w:tc>
        <w:tc>
          <w:tcPr>
            <w:tcW w:w="439" w:type="pct"/>
            <w:gridSpan w:val="2"/>
          </w:tcPr>
          <w:p w14:paraId="27EE702B"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6,963</w:t>
            </w:r>
          </w:p>
        </w:tc>
        <w:tc>
          <w:tcPr>
            <w:cnfStyle w:val="000010000000" w:firstRow="0" w:lastRow="0" w:firstColumn="0" w:lastColumn="0" w:oddVBand="1" w:evenVBand="0" w:oddHBand="0" w:evenHBand="0" w:firstRowFirstColumn="0" w:firstRowLastColumn="0" w:lastRowFirstColumn="0" w:lastRowLastColumn="0"/>
            <w:tcW w:w="284" w:type="pct"/>
          </w:tcPr>
          <w:p w14:paraId="0151DA45"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3C2F48D5"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,008</w:t>
            </w:r>
          </w:p>
        </w:tc>
        <w:tc>
          <w:tcPr>
            <w:cnfStyle w:val="000010000000" w:firstRow="0" w:lastRow="0" w:firstColumn="0" w:lastColumn="0" w:oddVBand="1" w:evenVBand="0" w:oddHBand="0" w:evenHBand="0" w:firstRowFirstColumn="0" w:firstRowLastColumn="0" w:lastRowFirstColumn="0" w:lastRowLastColumn="0"/>
            <w:tcW w:w="496" w:type="pct"/>
          </w:tcPr>
          <w:p w14:paraId="7D09DCF5"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1,017</w:t>
            </w:r>
          </w:p>
        </w:tc>
        <w:tc>
          <w:tcPr>
            <w:tcW w:w="634" w:type="pct"/>
          </w:tcPr>
          <w:p w14:paraId="7E6E968A"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1,004</w:t>
            </w:r>
          </w:p>
        </w:tc>
        <w:tc>
          <w:tcPr>
            <w:cnfStyle w:val="000010000000" w:firstRow="0" w:lastRow="0" w:firstColumn="0" w:lastColumn="0" w:oddVBand="1" w:evenVBand="0" w:oddHBand="0" w:evenHBand="0" w:firstRowFirstColumn="0" w:firstRowLastColumn="0" w:lastRowFirstColumn="0" w:lastRowLastColumn="0"/>
            <w:tcW w:w="608" w:type="pct"/>
          </w:tcPr>
          <w:p w14:paraId="73922FEE"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1,030</w:t>
            </w:r>
          </w:p>
        </w:tc>
      </w:tr>
      <w:tr w:rsidR="00D3498F" w:rsidRPr="009769C8" w14:paraId="16CE5393"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6DB59518"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6A259CC6"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GREM1</w:t>
            </w:r>
          </w:p>
        </w:tc>
        <w:tc>
          <w:tcPr>
            <w:tcW w:w="421" w:type="pct"/>
          </w:tcPr>
          <w:p w14:paraId="3FFC36DD"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3,560</w:t>
            </w:r>
          </w:p>
        </w:tc>
        <w:tc>
          <w:tcPr>
            <w:cnfStyle w:val="000010000000" w:firstRow="0" w:lastRow="0" w:firstColumn="0" w:lastColumn="0" w:oddVBand="1" w:evenVBand="0" w:oddHBand="0" w:evenHBand="0" w:firstRowFirstColumn="0" w:firstRowLastColumn="0" w:lastRowFirstColumn="0" w:lastRowLastColumn="0"/>
            <w:tcW w:w="420" w:type="pct"/>
          </w:tcPr>
          <w:p w14:paraId="49D19B72"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1,382</w:t>
            </w:r>
          </w:p>
        </w:tc>
        <w:tc>
          <w:tcPr>
            <w:tcW w:w="439" w:type="pct"/>
            <w:gridSpan w:val="2"/>
          </w:tcPr>
          <w:p w14:paraId="0945321E"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6,634</w:t>
            </w:r>
          </w:p>
        </w:tc>
        <w:tc>
          <w:tcPr>
            <w:cnfStyle w:val="000010000000" w:firstRow="0" w:lastRow="0" w:firstColumn="0" w:lastColumn="0" w:oddVBand="1" w:evenVBand="0" w:oddHBand="0" w:evenHBand="0" w:firstRowFirstColumn="0" w:firstRowLastColumn="0" w:lastRowFirstColumn="0" w:lastRowLastColumn="0"/>
            <w:tcW w:w="284" w:type="pct"/>
          </w:tcPr>
          <w:p w14:paraId="3EA06A3C"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2B1868A0"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,010</w:t>
            </w:r>
          </w:p>
        </w:tc>
        <w:tc>
          <w:tcPr>
            <w:cnfStyle w:val="000010000000" w:firstRow="0" w:lastRow="0" w:firstColumn="0" w:lastColumn="0" w:oddVBand="1" w:evenVBand="0" w:oddHBand="0" w:evenHBand="0" w:firstRowFirstColumn="0" w:firstRowLastColumn="0" w:lastRowFirstColumn="0" w:lastRowLastColumn="0"/>
            <w:tcW w:w="496" w:type="pct"/>
          </w:tcPr>
          <w:p w14:paraId="62727A05"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35,170</w:t>
            </w:r>
          </w:p>
        </w:tc>
        <w:tc>
          <w:tcPr>
            <w:tcW w:w="634" w:type="pct"/>
          </w:tcPr>
          <w:p w14:paraId="5CBFFEFC"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2,342</w:t>
            </w:r>
          </w:p>
        </w:tc>
        <w:tc>
          <w:tcPr>
            <w:cnfStyle w:val="000010000000" w:firstRow="0" w:lastRow="0" w:firstColumn="0" w:lastColumn="0" w:oddVBand="1" w:evenVBand="0" w:oddHBand="0" w:evenHBand="0" w:firstRowFirstColumn="0" w:firstRowLastColumn="0" w:lastRowFirstColumn="0" w:lastRowLastColumn="0"/>
            <w:tcW w:w="608" w:type="pct"/>
          </w:tcPr>
          <w:p w14:paraId="4CA5FC56"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528,178</w:t>
            </w:r>
          </w:p>
        </w:tc>
      </w:tr>
      <w:tr w:rsidR="00D3498F" w:rsidRPr="009769C8" w14:paraId="1BE3213E"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0468EA33"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47ED580E"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VEGFC2578ACC</w:t>
            </w:r>
          </w:p>
        </w:tc>
        <w:tc>
          <w:tcPr>
            <w:tcW w:w="421" w:type="pct"/>
          </w:tcPr>
          <w:p w14:paraId="7757ED65"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-,371</w:t>
            </w:r>
          </w:p>
        </w:tc>
        <w:tc>
          <w:tcPr>
            <w:cnfStyle w:val="000010000000" w:firstRow="0" w:lastRow="0" w:firstColumn="0" w:lastColumn="0" w:oddVBand="1" w:evenVBand="0" w:oddHBand="0" w:evenHBand="0" w:firstRowFirstColumn="0" w:firstRowLastColumn="0" w:lastRowFirstColumn="0" w:lastRowLastColumn="0"/>
            <w:tcW w:w="420" w:type="pct"/>
          </w:tcPr>
          <w:p w14:paraId="033B3381"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,825</w:t>
            </w:r>
          </w:p>
        </w:tc>
        <w:tc>
          <w:tcPr>
            <w:tcW w:w="439" w:type="pct"/>
            <w:gridSpan w:val="2"/>
          </w:tcPr>
          <w:p w14:paraId="1133A06D"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,202</w:t>
            </w:r>
          </w:p>
        </w:tc>
        <w:tc>
          <w:tcPr>
            <w:cnfStyle w:val="000010000000" w:firstRow="0" w:lastRow="0" w:firstColumn="0" w:lastColumn="0" w:oddVBand="1" w:evenVBand="0" w:oddHBand="0" w:evenHBand="0" w:firstRowFirstColumn="0" w:firstRowLastColumn="0" w:lastRowFirstColumn="0" w:lastRowLastColumn="0"/>
            <w:tcW w:w="284" w:type="pct"/>
          </w:tcPr>
          <w:p w14:paraId="049E30CC"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43C2B942"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,653</w:t>
            </w:r>
          </w:p>
        </w:tc>
        <w:tc>
          <w:tcPr>
            <w:cnfStyle w:val="000010000000" w:firstRow="0" w:lastRow="0" w:firstColumn="0" w:lastColumn="0" w:oddVBand="1" w:evenVBand="0" w:oddHBand="0" w:evenHBand="0" w:firstRowFirstColumn="0" w:firstRowLastColumn="0" w:lastRowFirstColumn="0" w:lastRowLastColumn="0"/>
            <w:tcW w:w="496" w:type="pct"/>
          </w:tcPr>
          <w:p w14:paraId="2049E6D4"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,690</w:t>
            </w:r>
          </w:p>
        </w:tc>
        <w:tc>
          <w:tcPr>
            <w:tcW w:w="634" w:type="pct"/>
          </w:tcPr>
          <w:p w14:paraId="4E29224A"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,137</w:t>
            </w:r>
          </w:p>
        </w:tc>
        <w:tc>
          <w:tcPr>
            <w:cnfStyle w:val="000010000000" w:firstRow="0" w:lastRow="0" w:firstColumn="0" w:lastColumn="0" w:oddVBand="1" w:evenVBand="0" w:oddHBand="0" w:evenHBand="0" w:firstRowFirstColumn="0" w:firstRowLastColumn="0" w:lastRowFirstColumn="0" w:lastRowLastColumn="0"/>
            <w:tcW w:w="608" w:type="pct"/>
          </w:tcPr>
          <w:p w14:paraId="1B155178"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3,474</w:t>
            </w:r>
          </w:p>
        </w:tc>
      </w:tr>
      <w:tr w:rsidR="00D3498F" w:rsidRPr="009769C8" w14:paraId="5CDB4CD3"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val="restart"/>
          </w:tcPr>
          <w:p w14:paraId="737F0749"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6B476B76"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VEGF</w:t>
            </w:r>
          </w:p>
        </w:tc>
        <w:tc>
          <w:tcPr>
            <w:tcW w:w="421" w:type="pct"/>
          </w:tcPr>
          <w:p w14:paraId="2DF27618"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,012</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49A943AB"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,010</w:t>
            </w:r>
          </w:p>
        </w:tc>
        <w:tc>
          <w:tcPr>
            <w:tcW w:w="434" w:type="pct"/>
          </w:tcPr>
          <w:p w14:paraId="7D95E5DD"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1,486</w:t>
            </w:r>
          </w:p>
        </w:tc>
        <w:tc>
          <w:tcPr>
            <w:cnfStyle w:val="000010000000" w:firstRow="0" w:lastRow="0" w:firstColumn="0" w:lastColumn="0" w:oddVBand="1" w:evenVBand="0" w:oddHBand="0" w:evenHBand="0" w:firstRowFirstColumn="0" w:firstRowLastColumn="0" w:lastRowFirstColumn="0" w:lastRowLastColumn="0"/>
            <w:tcW w:w="284" w:type="pct"/>
          </w:tcPr>
          <w:p w14:paraId="7AA03AF4"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7002A397" w14:textId="77777777" w:rsidR="00D3498F" w:rsidRPr="009769C8" w:rsidRDefault="00D3498F" w:rsidP="00D3498F">
            <w:pPr>
              <w:autoSpaceDE w:val="0"/>
              <w:autoSpaceDN w:val="0"/>
              <w:adjustRightInd w:val="0"/>
              <w:spacing w:line="320" w:lineRule="atLeast"/>
              <w:ind w:left="-5347" w:right="60" w:firstLine="5407"/>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,223</w:t>
            </w:r>
          </w:p>
        </w:tc>
        <w:tc>
          <w:tcPr>
            <w:cnfStyle w:val="000010000000" w:firstRow="0" w:lastRow="0" w:firstColumn="0" w:lastColumn="0" w:oddVBand="1" w:evenVBand="0" w:oddHBand="0" w:evenHBand="0" w:firstRowFirstColumn="0" w:firstRowLastColumn="0" w:lastRowFirstColumn="0" w:lastRowLastColumn="0"/>
            <w:tcW w:w="496" w:type="pct"/>
          </w:tcPr>
          <w:p w14:paraId="304AC8EC"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1,012</w:t>
            </w:r>
          </w:p>
        </w:tc>
        <w:tc>
          <w:tcPr>
            <w:tcW w:w="634" w:type="pct"/>
          </w:tcPr>
          <w:p w14:paraId="400AE352"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,993</w:t>
            </w:r>
          </w:p>
        </w:tc>
        <w:tc>
          <w:tcPr>
            <w:cnfStyle w:val="000010000000" w:firstRow="0" w:lastRow="0" w:firstColumn="0" w:lastColumn="0" w:oddVBand="1" w:evenVBand="0" w:oddHBand="0" w:evenHBand="0" w:firstRowFirstColumn="0" w:firstRowLastColumn="0" w:lastRowFirstColumn="0" w:lastRowLastColumn="0"/>
            <w:tcW w:w="608" w:type="pct"/>
          </w:tcPr>
          <w:p w14:paraId="7CBF959B"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1,032</w:t>
            </w:r>
          </w:p>
        </w:tc>
      </w:tr>
      <w:tr w:rsidR="00D3498F" w:rsidRPr="009769C8" w14:paraId="6E75AC0C"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641F1BAF"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1875EB08"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GREM1</w:t>
            </w:r>
          </w:p>
        </w:tc>
        <w:tc>
          <w:tcPr>
            <w:tcW w:w="421" w:type="pct"/>
          </w:tcPr>
          <w:p w14:paraId="7EC65F4E"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5,197</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1B432587"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2,520</w:t>
            </w:r>
          </w:p>
        </w:tc>
        <w:tc>
          <w:tcPr>
            <w:tcW w:w="434" w:type="pct"/>
          </w:tcPr>
          <w:p w14:paraId="7A037EFC"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4,255</w:t>
            </w:r>
          </w:p>
        </w:tc>
        <w:tc>
          <w:tcPr>
            <w:cnfStyle w:val="000010000000" w:firstRow="0" w:lastRow="0" w:firstColumn="0" w:lastColumn="0" w:oddVBand="1" w:evenVBand="0" w:oddHBand="0" w:evenHBand="0" w:firstRowFirstColumn="0" w:firstRowLastColumn="0" w:lastRowFirstColumn="0" w:lastRowLastColumn="0"/>
            <w:tcW w:w="284" w:type="pct"/>
          </w:tcPr>
          <w:p w14:paraId="732B8CAB"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68C07787"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,039</w:t>
            </w:r>
          </w:p>
        </w:tc>
        <w:tc>
          <w:tcPr>
            <w:cnfStyle w:val="000010000000" w:firstRow="0" w:lastRow="0" w:firstColumn="0" w:lastColumn="0" w:oddVBand="1" w:evenVBand="0" w:oddHBand="0" w:evenHBand="0" w:firstRowFirstColumn="0" w:firstRowLastColumn="0" w:lastRowFirstColumn="0" w:lastRowLastColumn="0"/>
            <w:tcW w:w="496" w:type="pct"/>
          </w:tcPr>
          <w:p w14:paraId="3AB6562D"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180,758</w:t>
            </w:r>
          </w:p>
        </w:tc>
        <w:tc>
          <w:tcPr>
            <w:tcW w:w="634" w:type="pct"/>
          </w:tcPr>
          <w:p w14:paraId="0014D7EA"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1,295</w:t>
            </w:r>
          </w:p>
        </w:tc>
        <w:tc>
          <w:tcPr>
            <w:cnfStyle w:val="000010000000" w:firstRow="0" w:lastRow="0" w:firstColumn="0" w:lastColumn="0" w:oddVBand="1" w:evenVBand="0" w:oddHBand="0" w:evenHBand="0" w:firstRowFirstColumn="0" w:firstRowLastColumn="0" w:lastRowFirstColumn="0" w:lastRowLastColumn="0"/>
            <w:tcW w:w="608" w:type="pct"/>
          </w:tcPr>
          <w:p w14:paraId="3AABDE23"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25224,339</w:t>
            </w:r>
          </w:p>
        </w:tc>
      </w:tr>
      <w:tr w:rsidR="00D3498F" w:rsidRPr="009769C8" w14:paraId="63D96BEA"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33562CD7"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0C02FDEA"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VEGFC2578ACC</w:t>
            </w:r>
          </w:p>
        </w:tc>
        <w:tc>
          <w:tcPr>
            <w:tcW w:w="421" w:type="pct"/>
          </w:tcPr>
          <w:p w14:paraId="69D3AA42"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2,555</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7837A547"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1,278</w:t>
            </w:r>
          </w:p>
        </w:tc>
        <w:tc>
          <w:tcPr>
            <w:tcW w:w="434" w:type="pct"/>
          </w:tcPr>
          <w:p w14:paraId="09CC85F0"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3,994</w:t>
            </w:r>
          </w:p>
        </w:tc>
        <w:tc>
          <w:tcPr>
            <w:cnfStyle w:val="000010000000" w:firstRow="0" w:lastRow="0" w:firstColumn="0" w:lastColumn="0" w:oddVBand="1" w:evenVBand="0" w:oddHBand="0" w:evenHBand="0" w:firstRowFirstColumn="0" w:firstRowLastColumn="0" w:lastRowFirstColumn="0" w:lastRowLastColumn="0"/>
            <w:tcW w:w="284" w:type="pct"/>
          </w:tcPr>
          <w:p w14:paraId="063B0675"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217367C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,046</w:t>
            </w:r>
          </w:p>
        </w:tc>
        <w:tc>
          <w:tcPr>
            <w:cnfStyle w:val="000010000000" w:firstRow="0" w:lastRow="0" w:firstColumn="0" w:lastColumn="0" w:oddVBand="1" w:evenVBand="0" w:oddHBand="0" w:evenHBand="0" w:firstRowFirstColumn="0" w:firstRowLastColumn="0" w:lastRowFirstColumn="0" w:lastRowLastColumn="0"/>
            <w:tcW w:w="496" w:type="pct"/>
          </w:tcPr>
          <w:p w14:paraId="6362379B"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12,868</w:t>
            </w:r>
          </w:p>
        </w:tc>
        <w:tc>
          <w:tcPr>
            <w:tcW w:w="634" w:type="pct"/>
          </w:tcPr>
          <w:p w14:paraId="49FC131E"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1,050</w:t>
            </w:r>
          </w:p>
        </w:tc>
        <w:tc>
          <w:tcPr>
            <w:cnfStyle w:val="000010000000" w:firstRow="0" w:lastRow="0" w:firstColumn="0" w:lastColumn="0" w:oddVBand="1" w:evenVBand="0" w:oddHBand="0" w:evenHBand="0" w:firstRowFirstColumn="0" w:firstRowLastColumn="0" w:lastRowFirstColumn="0" w:lastRowLastColumn="0"/>
            <w:tcW w:w="608" w:type="pct"/>
          </w:tcPr>
          <w:p w14:paraId="66764F9F"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157,653</w:t>
            </w:r>
          </w:p>
        </w:tc>
      </w:tr>
      <w:tr w:rsidR="00D3498F" w:rsidRPr="009769C8" w14:paraId="47CC4E84"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val="restart"/>
          </w:tcPr>
          <w:p w14:paraId="270DD217" w14:textId="77777777" w:rsidR="00D3498F" w:rsidRPr="00630853" w:rsidRDefault="00D3498F" w:rsidP="00D3498F">
            <w:pPr>
              <w:autoSpaceDE w:val="0"/>
              <w:autoSpaceDN w:val="0"/>
              <w:adjustRightInd w:val="0"/>
              <w:spacing w:line="320" w:lineRule="atLeast"/>
              <w:ind w:left="60" w:right="60"/>
              <w:rPr>
                <w:rFonts w:ascii="Arial" w:hAnsi="Arial" w:cs="Arial"/>
                <w:sz w:val="18"/>
                <w:szCs w:val="18"/>
                <w:lang w:val="en-US"/>
              </w:rPr>
            </w:pPr>
            <w:r w:rsidRPr="00630853">
              <w:rPr>
                <w:rFonts w:ascii="Arial" w:hAnsi="Arial" w:cs="Arial"/>
                <w:sz w:val="18"/>
                <w:szCs w:val="18"/>
                <w:lang w:val="en-US"/>
              </w:rPr>
              <w:t>2,0</w:t>
            </w:r>
          </w:p>
        </w:tc>
        <w:tc>
          <w:tcPr>
            <w:cnfStyle w:val="000010000000" w:firstRow="0" w:lastRow="0" w:firstColumn="0" w:lastColumn="0" w:oddVBand="1" w:evenVBand="0" w:oddHBand="0" w:evenHBand="0" w:firstRowFirstColumn="0" w:firstRowLastColumn="0" w:lastRowFirstColumn="0" w:lastRowLastColumn="0"/>
            <w:tcW w:w="895" w:type="pct"/>
          </w:tcPr>
          <w:p w14:paraId="58418D47"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Intercept</w:t>
            </w:r>
          </w:p>
        </w:tc>
        <w:tc>
          <w:tcPr>
            <w:tcW w:w="421" w:type="pct"/>
          </w:tcPr>
          <w:p w14:paraId="65D5BD39"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-18,085</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53C92B24"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5,715</w:t>
            </w:r>
          </w:p>
        </w:tc>
        <w:tc>
          <w:tcPr>
            <w:tcW w:w="434" w:type="pct"/>
          </w:tcPr>
          <w:p w14:paraId="6788F272"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10,013</w:t>
            </w:r>
          </w:p>
        </w:tc>
        <w:tc>
          <w:tcPr>
            <w:cnfStyle w:val="000010000000" w:firstRow="0" w:lastRow="0" w:firstColumn="0" w:lastColumn="0" w:oddVBand="1" w:evenVBand="0" w:oddHBand="0" w:evenHBand="0" w:firstRowFirstColumn="0" w:firstRowLastColumn="0" w:lastRowFirstColumn="0" w:lastRowLastColumn="0"/>
            <w:tcW w:w="284" w:type="pct"/>
          </w:tcPr>
          <w:p w14:paraId="0BC9EE9C"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5CD39F6D"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,002</w:t>
            </w:r>
          </w:p>
        </w:tc>
        <w:tc>
          <w:tcPr>
            <w:cnfStyle w:val="000010000000" w:firstRow="0" w:lastRow="0" w:firstColumn="0" w:lastColumn="0" w:oddVBand="1" w:evenVBand="0" w:oddHBand="0" w:evenHBand="0" w:firstRowFirstColumn="0" w:firstRowLastColumn="0" w:lastRowFirstColumn="0" w:lastRowLastColumn="0"/>
            <w:tcW w:w="496" w:type="pct"/>
          </w:tcPr>
          <w:p w14:paraId="3D9800C0" w14:textId="77777777" w:rsidR="00D3498F" w:rsidRPr="009769C8" w:rsidRDefault="00D3498F" w:rsidP="00D3498F">
            <w:pPr>
              <w:autoSpaceDE w:val="0"/>
              <w:autoSpaceDN w:val="0"/>
              <w:adjustRightInd w:val="0"/>
              <w:rPr>
                <w:rFonts w:ascii="Arial" w:hAnsi="Arial" w:cs="Arial"/>
                <w:sz w:val="18"/>
                <w:szCs w:val="18"/>
                <w:lang w:val="en-US"/>
              </w:rPr>
            </w:pPr>
          </w:p>
        </w:tc>
        <w:tc>
          <w:tcPr>
            <w:tcW w:w="634" w:type="pct"/>
          </w:tcPr>
          <w:p w14:paraId="0B618BA9" w14:textId="77777777" w:rsidR="00D3498F" w:rsidRPr="009769C8" w:rsidRDefault="00D3498F" w:rsidP="00D3498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p>
        </w:tc>
        <w:tc>
          <w:tcPr>
            <w:cnfStyle w:val="000010000000" w:firstRow="0" w:lastRow="0" w:firstColumn="0" w:lastColumn="0" w:oddVBand="1" w:evenVBand="0" w:oddHBand="0" w:evenHBand="0" w:firstRowFirstColumn="0" w:firstRowLastColumn="0" w:lastRowFirstColumn="0" w:lastRowLastColumn="0"/>
            <w:tcW w:w="608" w:type="pct"/>
          </w:tcPr>
          <w:p w14:paraId="383797EE" w14:textId="77777777" w:rsidR="00D3498F" w:rsidRPr="009769C8" w:rsidRDefault="00D3498F" w:rsidP="00D3498F">
            <w:pPr>
              <w:autoSpaceDE w:val="0"/>
              <w:autoSpaceDN w:val="0"/>
              <w:adjustRightInd w:val="0"/>
              <w:rPr>
                <w:rFonts w:ascii="Arial" w:hAnsi="Arial" w:cs="Arial"/>
                <w:sz w:val="18"/>
                <w:szCs w:val="18"/>
                <w:lang w:val="en-US"/>
              </w:rPr>
            </w:pPr>
          </w:p>
        </w:tc>
      </w:tr>
      <w:tr w:rsidR="00D3498F" w:rsidRPr="009769C8" w14:paraId="0599DF4E"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03ECFB9E" w14:textId="77777777" w:rsidR="00D3498F" w:rsidRPr="009769C8" w:rsidRDefault="00D3498F" w:rsidP="00D3498F">
            <w:pPr>
              <w:autoSpaceDE w:val="0"/>
              <w:autoSpaceDN w:val="0"/>
              <w:adjustRightInd w:val="0"/>
              <w:rPr>
                <w:rFonts w:ascii="Arial" w:hAnsi="Arial" w:cs="Arial"/>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357D91D3"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RHI</w:t>
            </w:r>
            <w:r>
              <w:rPr>
                <w:rFonts w:ascii="Arial" w:hAnsi="Arial" w:cs="Arial"/>
                <w:color w:val="000000"/>
                <w:sz w:val="18"/>
                <w:szCs w:val="18"/>
                <w:lang w:val="en-US"/>
              </w:rPr>
              <w:t xml:space="preserve"> </w:t>
            </w:r>
            <w:r w:rsidRPr="009769C8">
              <w:rPr>
                <w:rFonts w:ascii="Arial" w:hAnsi="Arial" w:cs="Arial"/>
                <w:color w:val="000000"/>
                <w:sz w:val="18"/>
                <w:szCs w:val="18"/>
                <w:lang w:val="en-US"/>
              </w:rPr>
              <w:t>SCORE</w:t>
            </w:r>
          </w:p>
        </w:tc>
        <w:tc>
          <w:tcPr>
            <w:tcW w:w="421" w:type="pct"/>
          </w:tcPr>
          <w:p w14:paraId="2D5012B0"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3,697</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73E9A4E7"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1,361</w:t>
            </w:r>
          </w:p>
        </w:tc>
        <w:tc>
          <w:tcPr>
            <w:tcW w:w="434" w:type="pct"/>
          </w:tcPr>
          <w:p w14:paraId="6568303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7,379</w:t>
            </w:r>
          </w:p>
        </w:tc>
        <w:tc>
          <w:tcPr>
            <w:cnfStyle w:val="000010000000" w:firstRow="0" w:lastRow="0" w:firstColumn="0" w:lastColumn="0" w:oddVBand="1" w:evenVBand="0" w:oddHBand="0" w:evenHBand="0" w:firstRowFirstColumn="0" w:firstRowLastColumn="0" w:lastRowFirstColumn="0" w:lastRowLastColumn="0"/>
            <w:tcW w:w="284" w:type="pct"/>
          </w:tcPr>
          <w:p w14:paraId="690FC450"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1CEB32B1"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,007</w:t>
            </w:r>
          </w:p>
        </w:tc>
        <w:tc>
          <w:tcPr>
            <w:cnfStyle w:val="000010000000" w:firstRow="0" w:lastRow="0" w:firstColumn="0" w:lastColumn="0" w:oddVBand="1" w:evenVBand="0" w:oddHBand="0" w:evenHBand="0" w:firstRowFirstColumn="0" w:firstRowLastColumn="0" w:lastRowFirstColumn="0" w:lastRowLastColumn="0"/>
            <w:tcW w:w="496" w:type="pct"/>
          </w:tcPr>
          <w:p w14:paraId="06046CEC"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40,343</w:t>
            </w:r>
          </w:p>
        </w:tc>
        <w:tc>
          <w:tcPr>
            <w:tcW w:w="634" w:type="pct"/>
          </w:tcPr>
          <w:p w14:paraId="72D34B2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2,800</w:t>
            </w:r>
          </w:p>
        </w:tc>
        <w:tc>
          <w:tcPr>
            <w:cnfStyle w:val="000010000000" w:firstRow="0" w:lastRow="0" w:firstColumn="0" w:lastColumn="0" w:oddVBand="1" w:evenVBand="0" w:oddHBand="0" w:evenHBand="0" w:firstRowFirstColumn="0" w:firstRowLastColumn="0" w:lastRowFirstColumn="0" w:lastRowLastColumn="0"/>
            <w:tcW w:w="608" w:type="pct"/>
          </w:tcPr>
          <w:p w14:paraId="2EF845C8"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581,247</w:t>
            </w:r>
          </w:p>
        </w:tc>
      </w:tr>
      <w:tr w:rsidR="00D3498F" w:rsidRPr="009769C8" w14:paraId="7B1872F4"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7B18580C"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6FF6C4B5"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HIF1A</w:t>
            </w:r>
          </w:p>
        </w:tc>
        <w:tc>
          <w:tcPr>
            <w:tcW w:w="421" w:type="pct"/>
          </w:tcPr>
          <w:p w14:paraId="68E559CC"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,154</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41B2E5AA"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,090</w:t>
            </w:r>
          </w:p>
        </w:tc>
        <w:tc>
          <w:tcPr>
            <w:tcW w:w="434" w:type="pct"/>
          </w:tcPr>
          <w:p w14:paraId="07217C95"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2,937</w:t>
            </w:r>
          </w:p>
        </w:tc>
        <w:tc>
          <w:tcPr>
            <w:cnfStyle w:val="000010000000" w:firstRow="0" w:lastRow="0" w:firstColumn="0" w:lastColumn="0" w:oddVBand="1" w:evenVBand="0" w:oddHBand="0" w:evenHBand="0" w:firstRowFirstColumn="0" w:firstRowLastColumn="0" w:lastRowFirstColumn="0" w:lastRowLastColumn="0"/>
            <w:tcW w:w="284" w:type="pct"/>
          </w:tcPr>
          <w:p w14:paraId="2AB52118"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01C35BB5"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,087</w:t>
            </w:r>
          </w:p>
        </w:tc>
        <w:tc>
          <w:tcPr>
            <w:cnfStyle w:val="000010000000" w:firstRow="0" w:lastRow="0" w:firstColumn="0" w:lastColumn="0" w:oddVBand="1" w:evenVBand="0" w:oddHBand="0" w:evenHBand="0" w:firstRowFirstColumn="0" w:firstRowLastColumn="0" w:lastRowFirstColumn="0" w:lastRowLastColumn="0"/>
            <w:tcW w:w="496" w:type="pct"/>
          </w:tcPr>
          <w:p w14:paraId="3EA1D4E5"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1,166</w:t>
            </w:r>
          </w:p>
        </w:tc>
        <w:tc>
          <w:tcPr>
            <w:tcW w:w="634" w:type="pct"/>
          </w:tcPr>
          <w:p w14:paraId="61711A20"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,978</w:t>
            </w:r>
          </w:p>
        </w:tc>
        <w:tc>
          <w:tcPr>
            <w:cnfStyle w:val="000010000000" w:firstRow="0" w:lastRow="0" w:firstColumn="0" w:lastColumn="0" w:oddVBand="1" w:evenVBand="0" w:oddHBand="0" w:evenHBand="0" w:firstRowFirstColumn="0" w:firstRowLastColumn="0" w:lastRowFirstColumn="0" w:lastRowLastColumn="0"/>
            <w:tcW w:w="608" w:type="pct"/>
          </w:tcPr>
          <w:p w14:paraId="4B0432AA"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1,391</w:t>
            </w:r>
          </w:p>
        </w:tc>
      </w:tr>
      <w:tr w:rsidR="00D3498F" w:rsidRPr="009769C8" w14:paraId="1292DE3C"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73FEFA9E"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17E16288"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VEGF</w:t>
            </w:r>
          </w:p>
        </w:tc>
        <w:tc>
          <w:tcPr>
            <w:tcW w:w="421" w:type="pct"/>
          </w:tcPr>
          <w:p w14:paraId="3C8DBAD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,029</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2446D115"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,011</w:t>
            </w:r>
          </w:p>
        </w:tc>
        <w:tc>
          <w:tcPr>
            <w:tcW w:w="434" w:type="pct"/>
          </w:tcPr>
          <w:p w14:paraId="4BCFE4D3"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6,498</w:t>
            </w:r>
          </w:p>
        </w:tc>
        <w:tc>
          <w:tcPr>
            <w:cnfStyle w:val="000010000000" w:firstRow="0" w:lastRow="0" w:firstColumn="0" w:lastColumn="0" w:oddVBand="1" w:evenVBand="0" w:oddHBand="0" w:evenHBand="0" w:firstRowFirstColumn="0" w:firstRowLastColumn="0" w:lastRowFirstColumn="0" w:lastRowLastColumn="0"/>
            <w:tcW w:w="284" w:type="pct"/>
          </w:tcPr>
          <w:p w14:paraId="018A5676"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33239E3F"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,011</w:t>
            </w:r>
          </w:p>
        </w:tc>
        <w:tc>
          <w:tcPr>
            <w:cnfStyle w:val="000010000000" w:firstRow="0" w:lastRow="0" w:firstColumn="0" w:lastColumn="0" w:oddVBand="1" w:evenVBand="0" w:oddHBand="0" w:evenHBand="0" w:firstRowFirstColumn="0" w:firstRowLastColumn="0" w:lastRowFirstColumn="0" w:lastRowLastColumn="0"/>
            <w:tcW w:w="496" w:type="pct"/>
          </w:tcPr>
          <w:p w14:paraId="787AA542"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1,030</w:t>
            </w:r>
          </w:p>
        </w:tc>
        <w:tc>
          <w:tcPr>
            <w:tcW w:w="634" w:type="pct"/>
          </w:tcPr>
          <w:p w14:paraId="1422E089"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1,007</w:t>
            </w:r>
          </w:p>
        </w:tc>
        <w:tc>
          <w:tcPr>
            <w:cnfStyle w:val="000010000000" w:firstRow="0" w:lastRow="0" w:firstColumn="0" w:lastColumn="0" w:oddVBand="1" w:evenVBand="0" w:oddHBand="0" w:evenHBand="0" w:firstRowFirstColumn="0" w:firstRowLastColumn="0" w:lastRowFirstColumn="0" w:lastRowLastColumn="0"/>
            <w:tcW w:w="608" w:type="pct"/>
          </w:tcPr>
          <w:p w14:paraId="190C93E8"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1,053</w:t>
            </w:r>
          </w:p>
        </w:tc>
      </w:tr>
      <w:tr w:rsidR="00D3498F" w:rsidRPr="009769C8" w14:paraId="0C26522C"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27646B0E"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526BC7F5"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GREM1</w:t>
            </w:r>
          </w:p>
        </w:tc>
        <w:tc>
          <w:tcPr>
            <w:tcW w:w="421" w:type="pct"/>
          </w:tcPr>
          <w:p w14:paraId="0BE2F3F9"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8,757</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1CB65580"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2,801</w:t>
            </w:r>
          </w:p>
        </w:tc>
        <w:tc>
          <w:tcPr>
            <w:tcW w:w="434" w:type="pct"/>
          </w:tcPr>
          <w:p w14:paraId="19FAD244"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9,772</w:t>
            </w:r>
          </w:p>
        </w:tc>
        <w:tc>
          <w:tcPr>
            <w:cnfStyle w:val="000010000000" w:firstRow="0" w:lastRow="0" w:firstColumn="0" w:lastColumn="0" w:oddVBand="1" w:evenVBand="0" w:oddHBand="0" w:evenHBand="0" w:firstRowFirstColumn="0" w:firstRowLastColumn="0" w:lastRowFirstColumn="0" w:lastRowLastColumn="0"/>
            <w:tcW w:w="284" w:type="pct"/>
          </w:tcPr>
          <w:p w14:paraId="4661281C"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184C96DC"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,002</w:t>
            </w:r>
          </w:p>
        </w:tc>
        <w:tc>
          <w:tcPr>
            <w:cnfStyle w:val="000010000000" w:firstRow="0" w:lastRow="0" w:firstColumn="0" w:lastColumn="0" w:oddVBand="1" w:evenVBand="0" w:oddHBand="0" w:evenHBand="0" w:firstRowFirstColumn="0" w:firstRowLastColumn="0" w:lastRowFirstColumn="0" w:lastRowLastColumn="0"/>
            <w:tcW w:w="496" w:type="pct"/>
          </w:tcPr>
          <w:p w14:paraId="4D4443D9"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6357,299</w:t>
            </w:r>
          </w:p>
        </w:tc>
        <w:tc>
          <w:tcPr>
            <w:tcW w:w="634" w:type="pct"/>
          </w:tcPr>
          <w:p w14:paraId="4EEBB213"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26,222</w:t>
            </w:r>
          </w:p>
        </w:tc>
        <w:tc>
          <w:tcPr>
            <w:cnfStyle w:val="000010000000" w:firstRow="0" w:lastRow="0" w:firstColumn="0" w:lastColumn="0" w:oddVBand="1" w:evenVBand="0" w:oddHBand="0" w:evenHBand="0" w:firstRowFirstColumn="0" w:firstRowLastColumn="0" w:lastRowFirstColumn="0" w:lastRowLastColumn="0"/>
            <w:tcW w:w="608" w:type="pct"/>
          </w:tcPr>
          <w:p w14:paraId="431B5F5D"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1541301,230</w:t>
            </w:r>
          </w:p>
        </w:tc>
      </w:tr>
      <w:tr w:rsidR="00D3498F" w:rsidRPr="009769C8" w14:paraId="1335C7F5" w14:textId="77777777" w:rsidTr="00D3498F">
        <w:trPr>
          <w:gridAfter w:val="1"/>
          <w:wAfter w:w="5" w:type="pct"/>
          <w:jc w:val="center"/>
        </w:trPr>
        <w:tc>
          <w:tcPr>
            <w:cnfStyle w:val="001000000000" w:firstRow="0" w:lastRow="0" w:firstColumn="1" w:lastColumn="0" w:oddVBand="0" w:evenVBand="0" w:oddHBand="0" w:evenHBand="0" w:firstRowFirstColumn="0" w:firstRowLastColumn="0" w:lastRowFirstColumn="0" w:lastRowLastColumn="0"/>
            <w:tcW w:w="302" w:type="pct"/>
            <w:vMerge/>
          </w:tcPr>
          <w:p w14:paraId="352B1E3A" w14:textId="77777777" w:rsidR="00D3498F" w:rsidRPr="009769C8" w:rsidRDefault="00D3498F" w:rsidP="00D3498F">
            <w:pPr>
              <w:autoSpaceDE w:val="0"/>
              <w:autoSpaceDN w:val="0"/>
              <w:adjustRightInd w:val="0"/>
              <w:rPr>
                <w:rFonts w:ascii="Arial" w:hAnsi="Arial" w:cs="Arial"/>
                <w:color w:val="000000"/>
                <w:sz w:val="18"/>
                <w:szCs w:val="18"/>
                <w:lang w:val="en-US"/>
              </w:rPr>
            </w:pPr>
          </w:p>
        </w:tc>
        <w:tc>
          <w:tcPr>
            <w:cnfStyle w:val="000010000000" w:firstRow="0" w:lastRow="0" w:firstColumn="0" w:lastColumn="0" w:oddVBand="1" w:evenVBand="0" w:oddHBand="0" w:evenHBand="0" w:firstRowFirstColumn="0" w:firstRowLastColumn="0" w:lastRowFirstColumn="0" w:lastRowLastColumn="0"/>
            <w:tcW w:w="895" w:type="pct"/>
          </w:tcPr>
          <w:p w14:paraId="52337268" w14:textId="77777777" w:rsidR="00D3498F" w:rsidRPr="009769C8" w:rsidRDefault="00D3498F" w:rsidP="00D3498F">
            <w:pPr>
              <w:autoSpaceDE w:val="0"/>
              <w:autoSpaceDN w:val="0"/>
              <w:adjustRightInd w:val="0"/>
              <w:spacing w:line="320" w:lineRule="atLeast"/>
              <w:ind w:left="60" w:right="60"/>
              <w:rPr>
                <w:rFonts w:ascii="Arial" w:hAnsi="Arial" w:cs="Arial"/>
                <w:color w:val="000000"/>
                <w:sz w:val="18"/>
                <w:szCs w:val="18"/>
                <w:lang w:val="en-US"/>
              </w:rPr>
            </w:pPr>
            <w:r w:rsidRPr="009769C8">
              <w:rPr>
                <w:rFonts w:ascii="Arial" w:hAnsi="Arial" w:cs="Arial"/>
                <w:color w:val="000000"/>
                <w:sz w:val="18"/>
                <w:szCs w:val="18"/>
                <w:lang w:val="en-US"/>
              </w:rPr>
              <w:t>VEGFC2578ACC</w:t>
            </w:r>
          </w:p>
        </w:tc>
        <w:tc>
          <w:tcPr>
            <w:tcW w:w="421" w:type="pct"/>
          </w:tcPr>
          <w:p w14:paraId="1AB8E9BC"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2,184</w:t>
            </w:r>
          </w:p>
        </w:tc>
        <w:tc>
          <w:tcPr>
            <w:cnfStyle w:val="000010000000" w:firstRow="0" w:lastRow="0" w:firstColumn="0" w:lastColumn="0" w:oddVBand="1" w:evenVBand="0" w:oddHBand="0" w:evenHBand="0" w:firstRowFirstColumn="0" w:firstRowLastColumn="0" w:lastRowFirstColumn="0" w:lastRowLastColumn="0"/>
            <w:tcW w:w="425" w:type="pct"/>
            <w:gridSpan w:val="2"/>
          </w:tcPr>
          <w:p w14:paraId="42EB7EA1"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1,422</w:t>
            </w:r>
          </w:p>
        </w:tc>
        <w:tc>
          <w:tcPr>
            <w:tcW w:w="434" w:type="pct"/>
          </w:tcPr>
          <w:p w14:paraId="5F65BC34"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2,359</w:t>
            </w:r>
          </w:p>
        </w:tc>
        <w:tc>
          <w:tcPr>
            <w:cnfStyle w:val="000010000000" w:firstRow="0" w:lastRow="0" w:firstColumn="0" w:lastColumn="0" w:oddVBand="1" w:evenVBand="0" w:oddHBand="0" w:evenHBand="0" w:firstRowFirstColumn="0" w:firstRowLastColumn="0" w:lastRowFirstColumn="0" w:lastRowLastColumn="0"/>
            <w:tcW w:w="284" w:type="pct"/>
          </w:tcPr>
          <w:p w14:paraId="5CF20F4D" w14:textId="77777777" w:rsidR="00D3498F" w:rsidRPr="009769C8" w:rsidRDefault="00D3498F" w:rsidP="00D3498F">
            <w:pPr>
              <w:autoSpaceDE w:val="0"/>
              <w:autoSpaceDN w:val="0"/>
              <w:adjustRightInd w:val="0"/>
              <w:spacing w:line="320" w:lineRule="atLeast"/>
              <w:ind w:left="60" w:right="60"/>
              <w:jc w:val="center"/>
              <w:rPr>
                <w:rFonts w:ascii="Arial" w:hAnsi="Arial" w:cs="Arial"/>
                <w:color w:val="000000"/>
                <w:sz w:val="18"/>
                <w:szCs w:val="18"/>
                <w:lang w:val="en-US"/>
              </w:rPr>
            </w:pPr>
            <w:r w:rsidRPr="009769C8">
              <w:rPr>
                <w:rFonts w:ascii="Arial" w:hAnsi="Arial" w:cs="Arial"/>
                <w:color w:val="000000"/>
                <w:sz w:val="18"/>
                <w:szCs w:val="18"/>
                <w:lang w:val="en-US"/>
              </w:rPr>
              <w:t>1</w:t>
            </w:r>
          </w:p>
        </w:tc>
        <w:tc>
          <w:tcPr>
            <w:tcW w:w="496" w:type="pct"/>
          </w:tcPr>
          <w:p w14:paraId="4D41D2D7"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,125</w:t>
            </w:r>
          </w:p>
        </w:tc>
        <w:tc>
          <w:tcPr>
            <w:cnfStyle w:val="000010000000" w:firstRow="0" w:lastRow="0" w:firstColumn="0" w:lastColumn="0" w:oddVBand="1" w:evenVBand="0" w:oddHBand="0" w:evenHBand="0" w:firstRowFirstColumn="0" w:firstRowLastColumn="0" w:lastRowFirstColumn="0" w:lastRowLastColumn="0"/>
            <w:tcW w:w="496" w:type="pct"/>
          </w:tcPr>
          <w:p w14:paraId="71426216"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8,880</w:t>
            </w:r>
          </w:p>
        </w:tc>
        <w:tc>
          <w:tcPr>
            <w:tcW w:w="634" w:type="pct"/>
          </w:tcPr>
          <w:p w14:paraId="1AB9D9FC" w14:textId="77777777" w:rsidR="00D3498F" w:rsidRPr="009769C8" w:rsidRDefault="00D3498F" w:rsidP="00D3498F">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lang w:val="en-US"/>
              </w:rPr>
            </w:pPr>
            <w:r w:rsidRPr="009769C8">
              <w:rPr>
                <w:rFonts w:ascii="Arial" w:hAnsi="Arial" w:cs="Arial"/>
                <w:color w:val="000000"/>
                <w:sz w:val="18"/>
                <w:szCs w:val="18"/>
                <w:lang w:val="en-US"/>
              </w:rPr>
              <w:t>,547</w:t>
            </w:r>
          </w:p>
        </w:tc>
        <w:tc>
          <w:tcPr>
            <w:cnfStyle w:val="000010000000" w:firstRow="0" w:lastRow="0" w:firstColumn="0" w:lastColumn="0" w:oddVBand="1" w:evenVBand="0" w:oddHBand="0" w:evenHBand="0" w:firstRowFirstColumn="0" w:firstRowLastColumn="0" w:lastRowFirstColumn="0" w:lastRowLastColumn="0"/>
            <w:tcW w:w="608" w:type="pct"/>
          </w:tcPr>
          <w:p w14:paraId="66EC52EA" w14:textId="77777777" w:rsidR="00D3498F" w:rsidRPr="009769C8" w:rsidRDefault="00D3498F" w:rsidP="00D3498F">
            <w:pPr>
              <w:autoSpaceDE w:val="0"/>
              <w:autoSpaceDN w:val="0"/>
              <w:adjustRightInd w:val="0"/>
              <w:spacing w:line="320" w:lineRule="atLeast"/>
              <w:ind w:left="60" w:right="60"/>
              <w:jc w:val="right"/>
              <w:rPr>
                <w:rFonts w:ascii="Arial" w:hAnsi="Arial" w:cs="Arial"/>
                <w:color w:val="000000"/>
                <w:sz w:val="18"/>
                <w:szCs w:val="18"/>
                <w:lang w:val="en-US"/>
              </w:rPr>
            </w:pPr>
            <w:r w:rsidRPr="009769C8">
              <w:rPr>
                <w:rFonts w:ascii="Arial" w:hAnsi="Arial" w:cs="Arial"/>
                <w:color w:val="000000"/>
                <w:sz w:val="18"/>
                <w:szCs w:val="18"/>
                <w:lang w:val="en-US"/>
              </w:rPr>
              <w:t>144,125</w:t>
            </w:r>
          </w:p>
        </w:tc>
      </w:tr>
    </w:tbl>
    <w:p w14:paraId="1144B987" w14:textId="77777777" w:rsidR="00D3498F" w:rsidRPr="006A04C7" w:rsidRDefault="00D3498F" w:rsidP="00D3498F">
      <w:pPr>
        <w:spacing w:line="360" w:lineRule="auto"/>
        <w:jc w:val="both"/>
        <w:rPr>
          <w:lang w:val="en-US"/>
        </w:rPr>
      </w:pPr>
    </w:p>
    <w:p w14:paraId="7F53EF0E" w14:textId="77777777" w:rsidR="008C240D" w:rsidRDefault="008C240D" w:rsidP="00193A7D">
      <w:pPr>
        <w:spacing w:line="360" w:lineRule="auto"/>
        <w:jc w:val="both"/>
      </w:pPr>
    </w:p>
    <w:p w14:paraId="5F0D0B94" w14:textId="5D6B7AD4" w:rsidR="00F46CBB" w:rsidRPr="00762111" w:rsidRDefault="00F46CBB" w:rsidP="00193A7D">
      <w:pPr>
        <w:spacing w:line="360" w:lineRule="auto"/>
        <w:jc w:val="both"/>
      </w:pPr>
      <w:r>
        <w:t>BIBLIOGRAFIA</w:t>
      </w:r>
    </w:p>
    <w:sectPr w:rsidR="00F46CBB" w:rsidRPr="00762111" w:rsidSect="007F7821">
      <w:endnotePr>
        <w:numFmt w:val="decimal"/>
      </w:endnotePr>
      <w:pgSz w:w="11906" w:h="16838"/>
      <w:pgMar w:top="1418" w:right="1418" w:bottom="1416" w:left="2268"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80B8CE" w14:textId="77777777" w:rsidR="002114B9" w:rsidRDefault="002114B9">
      <w:r>
        <w:separator/>
      </w:r>
    </w:p>
  </w:endnote>
  <w:endnote w:type="continuationSeparator" w:id="0">
    <w:p w14:paraId="7D391CF2" w14:textId="77777777" w:rsidR="002114B9" w:rsidRDefault="002114B9">
      <w:r>
        <w:continuationSeparator/>
      </w:r>
    </w:p>
  </w:endnote>
  <w:endnote w:id="1">
    <w:p w14:paraId="2F5A1CD8"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Boulton, A.J.M.; Vileikyte, L.; Ragnarson-Tennvall, G.; Apelqvist, J. The global burden of diabetic foot disease. </w:t>
      </w:r>
      <w:r w:rsidRPr="00923562">
        <w:rPr>
          <w:rFonts w:ascii="Times" w:hAnsi="Times"/>
          <w:i/>
          <w:iCs/>
          <w:szCs w:val="20"/>
          <w:lang w:val="en-US"/>
        </w:rPr>
        <w:t>Lancet</w:t>
      </w:r>
      <w:r w:rsidRPr="00923562">
        <w:rPr>
          <w:rFonts w:ascii="Times" w:hAnsi="Times"/>
          <w:szCs w:val="20"/>
          <w:lang w:val="en-US"/>
        </w:rPr>
        <w:t xml:space="preserve"> </w:t>
      </w:r>
      <w:r w:rsidRPr="00923562">
        <w:rPr>
          <w:rFonts w:ascii="Times" w:hAnsi="Times"/>
          <w:b/>
          <w:bCs/>
          <w:szCs w:val="20"/>
          <w:lang w:val="en-US"/>
        </w:rPr>
        <w:t>2005</w:t>
      </w:r>
      <w:r w:rsidRPr="00923562">
        <w:rPr>
          <w:rFonts w:ascii="Times" w:hAnsi="Times"/>
          <w:szCs w:val="20"/>
          <w:lang w:val="en-US"/>
        </w:rPr>
        <w:t xml:space="preserve">, </w:t>
      </w:r>
      <w:r w:rsidRPr="00923562">
        <w:rPr>
          <w:rFonts w:ascii="Times" w:hAnsi="Times"/>
          <w:i/>
          <w:iCs/>
          <w:szCs w:val="20"/>
          <w:lang w:val="en-US"/>
        </w:rPr>
        <w:t>366</w:t>
      </w:r>
      <w:r w:rsidRPr="00923562">
        <w:rPr>
          <w:rFonts w:ascii="Times" w:hAnsi="Times"/>
          <w:szCs w:val="20"/>
          <w:lang w:val="en-US"/>
        </w:rPr>
        <w:t>, 1719–1724, doi:10.1016/S0140-6736(05)67698-2.</w:t>
      </w:r>
    </w:p>
    <w:p w14:paraId="2F115A7E" w14:textId="77777777" w:rsidR="002114B9" w:rsidRPr="00923562" w:rsidRDefault="002114B9" w:rsidP="00923562">
      <w:pPr>
        <w:pStyle w:val="Testonotadichiusura"/>
        <w:rPr>
          <w:rFonts w:ascii="Times" w:hAnsi="Times"/>
          <w:szCs w:val="20"/>
          <w:lang w:val="en-US"/>
        </w:rPr>
      </w:pPr>
    </w:p>
  </w:endnote>
  <w:endnote w:id="2">
    <w:p w14:paraId="47C96D50" w14:textId="77777777" w:rsidR="002114B9" w:rsidRPr="00923562" w:rsidRDefault="002114B9" w:rsidP="00923562">
      <w:pPr>
        <w:pStyle w:val="Footnote"/>
        <w:ind w:left="0" w:firstLine="0"/>
        <w:jc w:val="both"/>
        <w:rPr>
          <w:rFonts w:ascii="Times" w:hAnsi="Times" w:cs="Times New Roman"/>
          <w:i/>
          <w:iCs/>
          <w:lang w:val="en-GB"/>
        </w:rPr>
      </w:pPr>
      <w:r w:rsidRPr="00923562">
        <w:rPr>
          <w:rStyle w:val="Rimandonotadichiusura"/>
          <w:rFonts w:ascii="Times" w:hAnsi="Times" w:cs="Times New Roman"/>
        </w:rPr>
        <w:endnoteRef/>
      </w:r>
      <w:r w:rsidRPr="00923562">
        <w:rPr>
          <w:rFonts w:ascii="Times" w:hAnsi="Times" w:cs="Times New Roman"/>
          <w:lang w:val="en-US"/>
        </w:rPr>
        <w:t xml:space="preserve"> </w:t>
      </w:r>
      <w:r w:rsidRPr="00923562">
        <w:rPr>
          <w:rFonts w:ascii="Times" w:hAnsi="Times" w:cs="Times New Roman"/>
          <w:lang w:val="en-GB"/>
        </w:rPr>
        <w:t xml:space="preserve">Reiber GE, Boyko EJ, Smith DG: Lower extremity foot ulcers and amputation in diabetes. In </w:t>
      </w:r>
      <w:r w:rsidRPr="00923562">
        <w:rPr>
          <w:rFonts w:ascii="Times" w:hAnsi="Times" w:cs="Times New Roman"/>
          <w:i/>
          <w:iCs/>
          <w:lang w:val="en-GB"/>
        </w:rPr>
        <w:t>Diabetes</w:t>
      </w:r>
    </w:p>
    <w:p w14:paraId="1573723A" w14:textId="77777777" w:rsidR="002114B9" w:rsidRPr="00923562" w:rsidRDefault="002114B9" w:rsidP="00923562">
      <w:pPr>
        <w:pStyle w:val="Testonotadichiusura"/>
        <w:rPr>
          <w:rFonts w:ascii="Times" w:hAnsi="Times"/>
          <w:szCs w:val="20"/>
          <w:lang w:val="en-GB"/>
        </w:rPr>
      </w:pPr>
      <w:r w:rsidRPr="00923562">
        <w:rPr>
          <w:rFonts w:ascii="Times" w:hAnsi="Times"/>
          <w:i/>
          <w:iCs/>
          <w:szCs w:val="20"/>
          <w:lang w:val="en-GB"/>
        </w:rPr>
        <w:t xml:space="preserve">in America. </w:t>
      </w:r>
      <w:r w:rsidRPr="00923562">
        <w:rPr>
          <w:rFonts w:ascii="Times" w:hAnsi="Times"/>
          <w:szCs w:val="20"/>
          <w:lang w:val="en-GB"/>
        </w:rPr>
        <w:t>2nd ed. Washington, DC, U.S. Govt. Printing Office, 1995, pp. 409–428.</w:t>
      </w:r>
    </w:p>
    <w:p w14:paraId="08F1DE96" w14:textId="77777777" w:rsidR="002114B9" w:rsidRPr="00923562" w:rsidRDefault="002114B9" w:rsidP="00923562">
      <w:pPr>
        <w:pStyle w:val="Testonotadichiusura"/>
        <w:rPr>
          <w:rFonts w:ascii="Times" w:hAnsi="Times"/>
          <w:szCs w:val="20"/>
          <w:lang w:val="en-US"/>
        </w:rPr>
      </w:pPr>
    </w:p>
  </w:endnote>
  <w:endnote w:id="3">
    <w:p w14:paraId="41F4C6DB" w14:textId="77777777" w:rsidR="002114B9" w:rsidRPr="00923562" w:rsidRDefault="002114B9" w:rsidP="00923562">
      <w:pPr>
        <w:pStyle w:val="Footnote"/>
        <w:jc w:val="both"/>
        <w:rPr>
          <w:rFonts w:ascii="Times" w:hAnsi="Times" w:cs="Times New Roman"/>
          <w:i/>
          <w:iCs/>
          <w:color w:val="231F20"/>
          <w:lang w:val="en-US" w:eastAsia="it-IT"/>
        </w:rPr>
      </w:pPr>
      <w:r w:rsidRPr="00923562">
        <w:rPr>
          <w:rStyle w:val="Rimandonotadichiusura"/>
          <w:rFonts w:ascii="Times" w:hAnsi="Times" w:cs="Times New Roman"/>
        </w:rPr>
        <w:endnoteRef/>
      </w:r>
      <w:r w:rsidRPr="00923562">
        <w:rPr>
          <w:rFonts w:ascii="Times" w:hAnsi="Times" w:cs="Times New Roman"/>
          <w:lang w:val="en-US"/>
        </w:rPr>
        <w:t xml:space="preserve"> </w:t>
      </w:r>
      <w:r w:rsidRPr="00923562">
        <w:rPr>
          <w:rFonts w:ascii="Times" w:hAnsi="Times" w:cs="Times New Roman"/>
          <w:color w:val="231F20"/>
          <w:lang w:val="en-US" w:eastAsia="it-IT"/>
        </w:rPr>
        <w:t xml:space="preserve">Centers for Disease Control and Prevention. </w:t>
      </w:r>
      <w:r w:rsidRPr="00923562">
        <w:rPr>
          <w:rFonts w:ascii="Times" w:hAnsi="Times" w:cs="Times New Roman"/>
          <w:i/>
          <w:iCs/>
          <w:color w:val="231F20"/>
          <w:lang w:val="en-US" w:eastAsia="it-IT"/>
        </w:rPr>
        <w:t>National Diabetes Fact Sheet. National Estimates on</w:t>
      </w:r>
    </w:p>
    <w:p w14:paraId="667D9965" w14:textId="77777777" w:rsidR="002114B9" w:rsidRPr="00923562" w:rsidRDefault="002114B9" w:rsidP="00923562">
      <w:pPr>
        <w:pStyle w:val="Footnote"/>
        <w:jc w:val="both"/>
        <w:rPr>
          <w:rFonts w:ascii="Times" w:hAnsi="Times" w:cs="Times New Roman"/>
          <w:lang w:val="en-US"/>
        </w:rPr>
      </w:pPr>
      <w:r w:rsidRPr="00923562">
        <w:rPr>
          <w:rFonts w:ascii="Times" w:hAnsi="Times" w:cs="Times New Roman"/>
          <w:i/>
          <w:iCs/>
          <w:color w:val="231F20"/>
          <w:lang w:val="en-US" w:eastAsia="it-IT"/>
        </w:rPr>
        <w:t>Diabetes</w:t>
      </w:r>
      <w:r w:rsidRPr="00923562">
        <w:rPr>
          <w:rFonts w:ascii="Times" w:hAnsi="Times" w:cs="Times New Roman"/>
          <w:color w:val="231F20"/>
          <w:lang w:val="en-US" w:eastAsia="it-IT"/>
        </w:rPr>
        <w:t>. 2003 Atlanta, GA: Centers for Disease Control and Prevention.</w:t>
      </w:r>
    </w:p>
    <w:p w14:paraId="7B72AFB9" w14:textId="77777777" w:rsidR="002114B9" w:rsidRPr="00923562" w:rsidRDefault="002114B9" w:rsidP="00923562">
      <w:pPr>
        <w:pStyle w:val="Testonotadichiusura"/>
        <w:rPr>
          <w:rFonts w:ascii="Times" w:hAnsi="Times"/>
          <w:szCs w:val="20"/>
          <w:lang w:val="en-US"/>
        </w:rPr>
      </w:pPr>
    </w:p>
  </w:endnote>
  <w:endnote w:id="4">
    <w:p w14:paraId="79CC4BF5" w14:textId="77777777" w:rsidR="002114B9" w:rsidRPr="00923562" w:rsidRDefault="002114B9" w:rsidP="00923562">
      <w:pPr>
        <w:pStyle w:val="Footnote"/>
        <w:jc w:val="both"/>
        <w:rPr>
          <w:rFonts w:ascii="Times" w:hAnsi="Times" w:cs="Times New Roman"/>
          <w:color w:val="231F20"/>
          <w:lang w:val="en-US" w:eastAsia="it-IT"/>
        </w:rPr>
      </w:pPr>
      <w:r w:rsidRPr="00923562">
        <w:rPr>
          <w:rStyle w:val="Rimandonotadichiusura"/>
          <w:rFonts w:ascii="Times" w:hAnsi="Times" w:cs="Times New Roman"/>
        </w:rPr>
        <w:endnoteRef/>
      </w:r>
      <w:r w:rsidRPr="00923562">
        <w:rPr>
          <w:rFonts w:ascii="Times" w:hAnsi="Times" w:cs="Times New Roman"/>
          <w:lang w:val="en-US"/>
        </w:rPr>
        <w:t xml:space="preserve"> </w:t>
      </w:r>
      <w:r w:rsidRPr="00923562">
        <w:rPr>
          <w:rFonts w:ascii="Times" w:hAnsi="Times" w:cs="Times New Roman"/>
          <w:color w:val="231F20"/>
          <w:lang w:val="en-US" w:eastAsia="it-IT"/>
        </w:rPr>
        <w:t xml:space="preserve">American Diabetes Association. </w:t>
      </w:r>
      <w:r w:rsidRPr="00923562">
        <w:rPr>
          <w:rFonts w:ascii="Times" w:hAnsi="Times" w:cs="Times New Roman"/>
          <w:color w:val="231F20"/>
          <w:lang w:val="en-GB" w:eastAsia="it-IT"/>
        </w:rPr>
        <w:t xml:space="preserve">Consensus development conference </w:t>
      </w:r>
      <w:r w:rsidRPr="00923562">
        <w:rPr>
          <w:rFonts w:ascii="Times" w:hAnsi="Times" w:cs="Times New Roman"/>
          <w:color w:val="231F20"/>
          <w:lang w:val="en-US" w:eastAsia="it-IT"/>
        </w:rPr>
        <w:t>on diabetic foot wound care.</w:t>
      </w:r>
    </w:p>
    <w:p w14:paraId="2D8AEAAB" w14:textId="77777777" w:rsidR="002114B9" w:rsidRPr="00923562" w:rsidRDefault="002114B9" w:rsidP="00923562">
      <w:pPr>
        <w:pStyle w:val="Footnote"/>
        <w:jc w:val="both"/>
        <w:rPr>
          <w:rFonts w:ascii="Times" w:hAnsi="Times" w:cs="Times New Roman"/>
          <w:color w:val="231F20"/>
          <w:lang w:val="en-GB" w:eastAsia="it-IT"/>
        </w:rPr>
      </w:pPr>
      <w:r w:rsidRPr="00923562">
        <w:rPr>
          <w:rFonts w:ascii="Times" w:hAnsi="Times" w:cs="Times New Roman"/>
          <w:i/>
          <w:iCs/>
          <w:color w:val="231F20"/>
          <w:lang w:val="en-GB" w:eastAsia="it-IT"/>
        </w:rPr>
        <w:t xml:space="preserve">Diabetes Care </w:t>
      </w:r>
      <w:r w:rsidRPr="00923562">
        <w:rPr>
          <w:rFonts w:ascii="Times" w:hAnsi="Times" w:cs="Times New Roman"/>
          <w:color w:val="231F20"/>
          <w:lang w:val="en-GB" w:eastAsia="it-IT"/>
        </w:rPr>
        <w:t xml:space="preserve">1999; </w:t>
      </w:r>
      <w:r w:rsidRPr="00923562">
        <w:rPr>
          <w:rFonts w:ascii="Times" w:hAnsi="Times" w:cs="Times New Roman"/>
          <w:bCs/>
          <w:color w:val="231F20"/>
          <w:lang w:val="en-GB" w:eastAsia="it-IT"/>
        </w:rPr>
        <w:t>22</w:t>
      </w:r>
      <w:r w:rsidRPr="00923562">
        <w:rPr>
          <w:rFonts w:ascii="Times" w:hAnsi="Times" w:cs="Times New Roman"/>
          <w:color w:val="231F20"/>
          <w:lang w:val="en-GB" w:eastAsia="it-IT"/>
        </w:rPr>
        <w:t>: 1354, 31.</w:t>
      </w:r>
    </w:p>
    <w:p w14:paraId="455974EB" w14:textId="77777777" w:rsidR="002114B9" w:rsidRPr="00923562" w:rsidRDefault="002114B9" w:rsidP="00923562">
      <w:pPr>
        <w:pStyle w:val="Testonotadichiusura"/>
        <w:rPr>
          <w:rFonts w:ascii="Times" w:hAnsi="Times"/>
          <w:szCs w:val="20"/>
          <w:lang w:val="en-US"/>
        </w:rPr>
      </w:pPr>
    </w:p>
  </w:endnote>
  <w:endnote w:id="5">
    <w:p w14:paraId="13E72A33" w14:textId="77777777" w:rsidR="002114B9" w:rsidRPr="00923562" w:rsidRDefault="002114B9" w:rsidP="00923562">
      <w:pPr>
        <w:pStyle w:val="Footnote"/>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Young MJ, Veves A, Boulton AJM: The diabetic foot. </w:t>
      </w:r>
      <w:r w:rsidRPr="00923562">
        <w:rPr>
          <w:rFonts w:ascii="Times" w:hAnsi="Times" w:cs="Times New Roman"/>
          <w:i/>
          <w:iCs/>
          <w:lang w:val="en-GB"/>
        </w:rPr>
        <w:t>Diab Metab Rev 1</w:t>
      </w:r>
      <w:r w:rsidRPr="00923562">
        <w:rPr>
          <w:rFonts w:ascii="Times" w:hAnsi="Times" w:cs="Times New Roman"/>
          <w:lang w:val="en-GB"/>
        </w:rPr>
        <w:t>993; 9:109–127.</w:t>
      </w:r>
    </w:p>
    <w:p w14:paraId="264A9D4D" w14:textId="77777777" w:rsidR="002114B9" w:rsidRPr="00923562" w:rsidRDefault="002114B9" w:rsidP="00923562">
      <w:pPr>
        <w:pStyle w:val="Footnote"/>
        <w:jc w:val="both"/>
        <w:rPr>
          <w:rFonts w:ascii="Times" w:hAnsi="Times" w:cs="Times New Roman"/>
          <w:lang w:val="en-US"/>
        </w:rPr>
      </w:pPr>
    </w:p>
  </w:endnote>
  <w:endnote w:id="6">
    <w:p w14:paraId="17816459" w14:textId="77777777" w:rsidR="002114B9" w:rsidRPr="00923562" w:rsidRDefault="002114B9" w:rsidP="00923562">
      <w:pPr>
        <w:pStyle w:val="Footnote"/>
        <w:jc w:val="both"/>
        <w:rPr>
          <w:rFonts w:ascii="Times" w:hAnsi="Times" w:cs="Times New Roman"/>
          <w:i/>
          <w:iCs/>
          <w:color w:val="231F20"/>
          <w:lang w:val="en-US" w:eastAsia="it-IT"/>
        </w:rPr>
      </w:pPr>
      <w:r w:rsidRPr="00923562">
        <w:rPr>
          <w:rStyle w:val="Rimandonotadichiusura"/>
          <w:rFonts w:ascii="Times" w:hAnsi="Times" w:cs="Times New Roman"/>
        </w:rPr>
        <w:endnoteRef/>
      </w:r>
      <w:r w:rsidRPr="00923562">
        <w:rPr>
          <w:rFonts w:ascii="Times" w:hAnsi="Times" w:cs="Times New Roman"/>
          <w:color w:val="231F20"/>
          <w:lang w:val="en-US" w:eastAsia="it-IT"/>
        </w:rPr>
        <w:t xml:space="preserve">Ragnarsson-Tennvall G, Apelqvist J. Cost-effective management of diabetic foot ulcers. </w:t>
      </w:r>
      <w:r w:rsidRPr="00923562">
        <w:rPr>
          <w:rFonts w:ascii="Times" w:hAnsi="Times" w:cs="Times New Roman"/>
          <w:i/>
          <w:iCs/>
          <w:color w:val="231F20"/>
          <w:lang w:val="en-US" w:eastAsia="it-IT"/>
        </w:rPr>
        <w:t>Pharmaco</w:t>
      </w:r>
    </w:p>
    <w:p w14:paraId="59F367D9" w14:textId="77777777" w:rsidR="002114B9" w:rsidRPr="00923562" w:rsidRDefault="002114B9" w:rsidP="00923562">
      <w:pPr>
        <w:pStyle w:val="Footnote"/>
        <w:jc w:val="both"/>
        <w:rPr>
          <w:rFonts w:ascii="Times" w:hAnsi="Times" w:cs="Times New Roman"/>
          <w:color w:val="231F20"/>
          <w:lang w:val="en-US" w:eastAsia="it-IT"/>
        </w:rPr>
      </w:pPr>
      <w:r w:rsidRPr="00923562">
        <w:rPr>
          <w:rFonts w:ascii="Times" w:hAnsi="Times" w:cs="Times New Roman"/>
          <w:i/>
          <w:iCs/>
          <w:color w:val="231F20"/>
          <w:lang w:val="en-US" w:eastAsia="it-IT"/>
        </w:rPr>
        <w:t xml:space="preserve">Economics </w:t>
      </w:r>
      <w:r w:rsidRPr="00923562">
        <w:rPr>
          <w:rFonts w:ascii="Times" w:hAnsi="Times" w:cs="Times New Roman"/>
          <w:color w:val="231F20"/>
          <w:lang w:val="en-US" w:eastAsia="it-IT"/>
        </w:rPr>
        <w:t xml:space="preserve">1997; </w:t>
      </w:r>
      <w:r w:rsidRPr="00923562">
        <w:rPr>
          <w:rFonts w:ascii="Times" w:hAnsi="Times" w:cs="Times New Roman"/>
          <w:bCs/>
          <w:color w:val="231F20"/>
          <w:lang w:val="en-US" w:eastAsia="it-IT"/>
        </w:rPr>
        <w:t>12</w:t>
      </w:r>
      <w:r w:rsidRPr="00923562">
        <w:rPr>
          <w:rFonts w:ascii="Times" w:hAnsi="Times" w:cs="Times New Roman"/>
          <w:color w:val="231F20"/>
          <w:lang w:val="en-US" w:eastAsia="it-IT"/>
        </w:rPr>
        <w:t>: 42–53. 9 Lavery LA, Van Houtum WH, Armstrong DG. Institutionalization</w:t>
      </w:r>
    </w:p>
    <w:p w14:paraId="69E3CE8A" w14:textId="77777777" w:rsidR="002114B9" w:rsidRPr="00923562" w:rsidRDefault="002114B9" w:rsidP="00923562">
      <w:pPr>
        <w:pStyle w:val="Footnote"/>
        <w:jc w:val="both"/>
        <w:rPr>
          <w:rFonts w:ascii="Times" w:hAnsi="Times" w:cs="Times New Roman"/>
          <w:color w:val="231F20"/>
          <w:lang w:val="en-US" w:eastAsia="it-IT"/>
        </w:rPr>
      </w:pPr>
      <w:r w:rsidRPr="00923562">
        <w:rPr>
          <w:rFonts w:ascii="Times" w:hAnsi="Times" w:cs="Times New Roman"/>
          <w:color w:val="231F20"/>
          <w:lang w:val="en-US" w:eastAsia="it-IT"/>
        </w:rPr>
        <w:t xml:space="preserve">following diabetes-related lower extremity amputation. </w:t>
      </w:r>
      <w:r w:rsidRPr="00923562">
        <w:rPr>
          <w:rFonts w:ascii="Times" w:hAnsi="Times" w:cs="Times New Roman"/>
          <w:i/>
          <w:iCs/>
          <w:color w:val="231F20"/>
          <w:lang w:val="en-US" w:eastAsia="it-IT"/>
        </w:rPr>
        <w:t xml:space="preserve">Am J Med </w:t>
      </w:r>
      <w:r w:rsidRPr="00923562">
        <w:rPr>
          <w:rFonts w:ascii="Times" w:hAnsi="Times" w:cs="Times New Roman"/>
          <w:color w:val="231F20"/>
          <w:lang w:val="en-US" w:eastAsia="it-IT"/>
        </w:rPr>
        <w:t xml:space="preserve">1997; </w:t>
      </w:r>
      <w:r w:rsidRPr="00923562">
        <w:rPr>
          <w:rFonts w:ascii="Times" w:hAnsi="Times" w:cs="Times New Roman"/>
          <w:bCs/>
          <w:color w:val="231F20"/>
          <w:lang w:val="en-US" w:eastAsia="it-IT"/>
        </w:rPr>
        <w:t>103</w:t>
      </w:r>
      <w:r w:rsidRPr="00923562">
        <w:rPr>
          <w:rFonts w:ascii="Times" w:hAnsi="Times" w:cs="Times New Roman"/>
          <w:color w:val="231F20"/>
          <w:lang w:val="en-US" w:eastAsia="it-IT"/>
        </w:rPr>
        <w:t>: 383–388.</w:t>
      </w:r>
    </w:p>
    <w:p w14:paraId="637774C0" w14:textId="77777777" w:rsidR="002114B9" w:rsidRPr="00923562" w:rsidRDefault="002114B9" w:rsidP="00923562">
      <w:pPr>
        <w:pStyle w:val="Footnote"/>
        <w:jc w:val="both"/>
        <w:rPr>
          <w:rFonts w:ascii="Times" w:hAnsi="Times" w:cs="Times New Roman"/>
          <w:lang w:val="en-US"/>
        </w:rPr>
      </w:pPr>
    </w:p>
  </w:endnote>
  <w:endnote w:id="7">
    <w:p w14:paraId="78C6C3D0" w14:textId="77777777" w:rsidR="002114B9" w:rsidRPr="00923562" w:rsidRDefault="002114B9" w:rsidP="00923562">
      <w:pPr>
        <w:pStyle w:val="Footnote"/>
        <w:jc w:val="both"/>
        <w:rPr>
          <w:rFonts w:ascii="Times" w:hAnsi="Times" w:cs="Times New Roman"/>
          <w:lang w:val="en-US" w:eastAsia="it-IT"/>
        </w:rPr>
      </w:pPr>
      <w:r w:rsidRPr="00923562">
        <w:rPr>
          <w:rStyle w:val="Rimandonotadichiusura"/>
          <w:rFonts w:ascii="Times" w:hAnsi="Times" w:cs="Times New Roman"/>
        </w:rPr>
        <w:endnoteRef/>
      </w:r>
      <w:r w:rsidRPr="00923562">
        <w:rPr>
          <w:rFonts w:ascii="Times" w:hAnsi="Times" w:cs="Times New Roman"/>
          <w:lang w:val="pt-BR" w:eastAsia="it-IT"/>
        </w:rPr>
        <w:t xml:space="preserve">Pecoraro RE, Reiber GE, Burgess EM. </w:t>
      </w:r>
      <w:r w:rsidRPr="00923562">
        <w:rPr>
          <w:rFonts w:ascii="Times" w:hAnsi="Times" w:cs="Times New Roman"/>
          <w:lang w:val="en-US" w:eastAsia="it-IT"/>
        </w:rPr>
        <w:t>Pathways to diabetic limb amputation: basis for prevention.</w:t>
      </w:r>
    </w:p>
    <w:p w14:paraId="7C52E923" w14:textId="77777777" w:rsidR="002114B9" w:rsidRPr="00923562" w:rsidRDefault="002114B9" w:rsidP="00923562">
      <w:pPr>
        <w:pStyle w:val="Footnote"/>
        <w:jc w:val="both"/>
        <w:rPr>
          <w:rFonts w:ascii="Times" w:hAnsi="Times" w:cs="Times New Roman"/>
          <w:lang w:val="en-US" w:eastAsia="it-IT"/>
        </w:rPr>
      </w:pPr>
      <w:r w:rsidRPr="00923562">
        <w:rPr>
          <w:rFonts w:ascii="Times" w:hAnsi="Times" w:cs="Times New Roman"/>
          <w:lang w:val="en-US" w:eastAsia="it-IT"/>
        </w:rPr>
        <w:t>Diabetes Care 1990; 13:513-521, 29.</w:t>
      </w:r>
    </w:p>
    <w:p w14:paraId="13C6D72F" w14:textId="77777777" w:rsidR="002114B9" w:rsidRPr="00923562" w:rsidRDefault="002114B9" w:rsidP="00923562">
      <w:pPr>
        <w:pStyle w:val="Footnote"/>
        <w:jc w:val="both"/>
        <w:rPr>
          <w:rFonts w:ascii="Times" w:hAnsi="Times" w:cs="Times New Roman"/>
          <w:lang w:val="en-US"/>
        </w:rPr>
      </w:pPr>
    </w:p>
  </w:endnote>
  <w:endnote w:id="8">
    <w:p w14:paraId="4E39D61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Larsson J, Agardh CD, Apelqvist J, Stenstrom A. Long-term prognosis after healed amputation in patients with diabetes. Clin Orthop 1998; (350):149-158.</w:t>
      </w:r>
    </w:p>
    <w:p w14:paraId="1BD78DD9" w14:textId="77777777" w:rsidR="002114B9" w:rsidRPr="00923562" w:rsidRDefault="002114B9" w:rsidP="00923562">
      <w:pPr>
        <w:pStyle w:val="Footnote"/>
        <w:ind w:left="0" w:firstLine="0"/>
        <w:jc w:val="both"/>
        <w:rPr>
          <w:rFonts w:ascii="Times" w:hAnsi="Times" w:cs="Times New Roman"/>
          <w:lang w:val="en-US"/>
        </w:rPr>
      </w:pPr>
    </w:p>
  </w:endnote>
  <w:endnote w:id="9">
    <w:p w14:paraId="37696E9C" w14:textId="77777777" w:rsidR="002114B9" w:rsidRPr="00923562" w:rsidRDefault="002114B9" w:rsidP="00923562">
      <w:pPr>
        <w:pStyle w:val="Footnote"/>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Sämann A, Tajiyeva O, Müller N, Tschauner T, Hoyer H, Wolf G, Müller UA. Prevalence of the</w:t>
      </w:r>
    </w:p>
    <w:p w14:paraId="62C53A06" w14:textId="77777777" w:rsidR="002114B9" w:rsidRPr="00923562" w:rsidRDefault="002114B9" w:rsidP="00923562">
      <w:pPr>
        <w:pStyle w:val="Footnote"/>
        <w:jc w:val="both"/>
        <w:rPr>
          <w:rFonts w:ascii="Times" w:hAnsi="Times" w:cs="Times New Roman"/>
          <w:lang w:val="en-US"/>
        </w:rPr>
      </w:pPr>
      <w:r w:rsidRPr="00923562">
        <w:rPr>
          <w:rFonts w:ascii="Times" w:hAnsi="Times" w:cs="Times New Roman"/>
          <w:lang w:val="en-US"/>
        </w:rPr>
        <w:t>Diabetic foot syndrome at the primary care level in Germany: a cross-sectional study. Diabet Med; 2008</w:t>
      </w:r>
    </w:p>
    <w:p w14:paraId="434FF2D6" w14:textId="77777777" w:rsidR="002114B9" w:rsidRPr="00923562" w:rsidRDefault="002114B9" w:rsidP="00923562">
      <w:pPr>
        <w:pStyle w:val="Footnote"/>
        <w:jc w:val="both"/>
        <w:rPr>
          <w:rFonts w:ascii="Times" w:hAnsi="Times" w:cs="Times New Roman"/>
          <w:lang w:val="en-US"/>
        </w:rPr>
      </w:pPr>
      <w:r w:rsidRPr="00923562">
        <w:rPr>
          <w:rFonts w:ascii="Times" w:hAnsi="Times" w:cs="Times New Roman"/>
          <w:lang w:val="en-US"/>
        </w:rPr>
        <w:t>May;25(5):557-63.</w:t>
      </w:r>
    </w:p>
    <w:p w14:paraId="6D23E2D7" w14:textId="77777777" w:rsidR="002114B9" w:rsidRPr="00923562" w:rsidRDefault="002114B9" w:rsidP="00923562">
      <w:pPr>
        <w:pStyle w:val="Footnote"/>
        <w:jc w:val="both"/>
        <w:rPr>
          <w:rFonts w:ascii="Times" w:hAnsi="Times" w:cs="Times New Roman"/>
          <w:lang w:val="en-US"/>
        </w:rPr>
      </w:pPr>
    </w:p>
  </w:endnote>
  <w:endnote w:id="10">
    <w:p w14:paraId="14C24FEA"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Moss SE, Klein R, Klein BEK. The prevalence and incidence of lower extremity amputation in a d</w:t>
      </w:r>
      <w:r w:rsidRPr="00923562">
        <w:rPr>
          <w:rFonts w:ascii="Times" w:hAnsi="Times"/>
          <w:szCs w:val="20"/>
          <w:lang w:val="en-US"/>
        </w:rPr>
        <w:t>i</w:t>
      </w:r>
      <w:r w:rsidRPr="00923562">
        <w:rPr>
          <w:rFonts w:ascii="Times" w:hAnsi="Times"/>
          <w:szCs w:val="20"/>
          <w:lang w:val="en-US"/>
        </w:rPr>
        <w:t>abetic population. Arch Intern Med 1992; 152:610-616.</w:t>
      </w:r>
    </w:p>
    <w:p w14:paraId="7D807695" w14:textId="77777777" w:rsidR="002114B9" w:rsidRPr="00923562" w:rsidRDefault="002114B9" w:rsidP="00923562">
      <w:pPr>
        <w:pStyle w:val="Testonotadichiusura"/>
        <w:rPr>
          <w:rFonts w:ascii="Times" w:hAnsi="Times"/>
          <w:szCs w:val="20"/>
          <w:lang w:val="en-US"/>
        </w:rPr>
      </w:pPr>
    </w:p>
  </w:endnote>
  <w:endnote w:id="11">
    <w:p w14:paraId="44522345"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Shaw JE, Boulton AJ. The pathogenesis of diabetic foot problems: an overview. Diabetes 1997; 46</w:t>
      </w:r>
    </w:p>
    <w:p w14:paraId="1E1FF2B3" w14:textId="77777777" w:rsidR="002114B9" w:rsidRPr="00923562" w:rsidRDefault="002114B9" w:rsidP="00923562">
      <w:pPr>
        <w:pStyle w:val="Footnote"/>
        <w:jc w:val="both"/>
        <w:rPr>
          <w:rFonts w:ascii="Times" w:hAnsi="Times" w:cs="Times New Roman"/>
          <w:lang w:val="en-US"/>
        </w:rPr>
      </w:pPr>
      <w:r w:rsidRPr="00923562">
        <w:rPr>
          <w:rFonts w:ascii="Times" w:hAnsi="Times" w:cs="Times New Roman"/>
          <w:lang w:val="en-US"/>
        </w:rPr>
        <w:t>(Suppl 2): S58-S61, 43.</w:t>
      </w:r>
    </w:p>
    <w:p w14:paraId="4AAE6E54" w14:textId="77777777" w:rsidR="002114B9" w:rsidRPr="00923562" w:rsidRDefault="002114B9" w:rsidP="00923562">
      <w:pPr>
        <w:pStyle w:val="Footnote"/>
        <w:jc w:val="both"/>
        <w:rPr>
          <w:rFonts w:ascii="Times" w:hAnsi="Times" w:cs="Times New Roman"/>
          <w:lang w:val="en-US"/>
        </w:rPr>
      </w:pPr>
    </w:p>
  </w:endnote>
  <w:endnote w:id="12">
    <w:p w14:paraId="20CB7A4A" w14:textId="77777777" w:rsidR="002114B9" w:rsidRPr="00923562" w:rsidRDefault="002114B9" w:rsidP="00923562">
      <w:pPr>
        <w:pStyle w:val="Footnote"/>
        <w:ind w:left="0" w:hanging="397"/>
        <w:jc w:val="both"/>
        <w:rPr>
          <w:rFonts w:ascii="Times" w:hAnsi="Times" w:cs="Times New Roman"/>
          <w:lang w:val="en-US"/>
        </w:rPr>
      </w:pPr>
      <w:r w:rsidRPr="00923562">
        <w:rPr>
          <w:rFonts w:ascii="Times" w:hAnsi="Times" w:cs="Times New Roman"/>
          <w:lang w:val="en-US"/>
        </w:rPr>
        <w:t xml:space="preserve">        </w:t>
      </w:r>
      <w:r w:rsidRPr="00923562">
        <w:rPr>
          <w:rStyle w:val="Rimandonotadichiusura"/>
          <w:rFonts w:ascii="Times" w:hAnsi="Times" w:cs="Times New Roman"/>
        </w:rPr>
        <w:endnoteRef/>
      </w:r>
      <w:r w:rsidRPr="00923562">
        <w:rPr>
          <w:rFonts w:ascii="Times" w:hAnsi="Times" w:cs="Times New Roman"/>
          <w:lang w:val="en-US"/>
        </w:rPr>
        <w:t xml:space="preserve"> Boulton AJ, Meneses P, Ennis WJ. Diabetic foot ulcers: a framework for prevention and care.   </w:t>
      </w:r>
    </w:p>
    <w:p w14:paraId="391F2055" w14:textId="77777777" w:rsidR="002114B9" w:rsidRPr="00923562" w:rsidRDefault="002114B9" w:rsidP="00923562">
      <w:pPr>
        <w:pStyle w:val="Footnote"/>
        <w:ind w:left="0" w:hanging="397"/>
        <w:jc w:val="both"/>
        <w:rPr>
          <w:rFonts w:ascii="Times" w:hAnsi="Times" w:cs="Times New Roman"/>
          <w:lang w:val="en-US"/>
        </w:rPr>
      </w:pPr>
      <w:r w:rsidRPr="00923562">
        <w:rPr>
          <w:rFonts w:ascii="Times" w:hAnsi="Times" w:cs="Times New Roman"/>
          <w:lang w:val="en-US"/>
        </w:rPr>
        <w:t xml:space="preserve">        Wound Repair Regen 1999; 7:7-16.</w:t>
      </w:r>
    </w:p>
    <w:p w14:paraId="7A28203C" w14:textId="77777777" w:rsidR="002114B9" w:rsidRPr="00923562" w:rsidRDefault="002114B9" w:rsidP="00923562">
      <w:pPr>
        <w:pStyle w:val="Footnote"/>
        <w:ind w:left="0" w:hanging="397"/>
        <w:jc w:val="both"/>
        <w:rPr>
          <w:rFonts w:ascii="Times" w:hAnsi="Times" w:cs="Times New Roman"/>
          <w:lang w:val="en-US"/>
        </w:rPr>
      </w:pPr>
    </w:p>
  </w:endnote>
  <w:endnote w:id="13">
    <w:p w14:paraId="7069A95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 Reiber GE. Epidemiology of foot ulcers and amputations in the diabetic foot. In: The Diabetic Foot </w:t>
      </w:r>
    </w:p>
    <w:p w14:paraId="2091444C" w14:textId="77777777" w:rsidR="002114B9" w:rsidRPr="00923562" w:rsidRDefault="002114B9" w:rsidP="00923562">
      <w:pPr>
        <w:pStyle w:val="Footnote"/>
        <w:ind w:left="0" w:firstLine="0"/>
        <w:jc w:val="both"/>
        <w:rPr>
          <w:rFonts w:ascii="Times" w:hAnsi="Times" w:cs="Times New Roman"/>
          <w:lang w:val="en-US"/>
        </w:rPr>
      </w:pPr>
      <w:r w:rsidRPr="00923562">
        <w:rPr>
          <w:rFonts w:ascii="Times" w:hAnsi="Times" w:cs="Times New Roman"/>
          <w:lang w:val="en-US"/>
        </w:rPr>
        <w:t>2001, edited by JH Bowker and MA Pfeifer, Mosby, St. Louis, pp 13-32.</w:t>
      </w:r>
    </w:p>
    <w:p w14:paraId="7FF5D02D" w14:textId="77777777" w:rsidR="002114B9" w:rsidRPr="00923562" w:rsidRDefault="002114B9" w:rsidP="00923562">
      <w:pPr>
        <w:pStyle w:val="Footnote"/>
        <w:ind w:left="0" w:firstLine="0"/>
        <w:jc w:val="both"/>
        <w:rPr>
          <w:rFonts w:ascii="Times" w:hAnsi="Times" w:cs="Times New Roman"/>
          <w:lang w:val="en-US"/>
        </w:rPr>
      </w:pPr>
    </w:p>
  </w:endnote>
  <w:endnote w:id="14">
    <w:p w14:paraId="144053DF" w14:textId="77777777" w:rsidR="002114B9" w:rsidRPr="00923562" w:rsidRDefault="002114B9" w:rsidP="00923562">
      <w:pPr>
        <w:pStyle w:val="Footnote"/>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 Frykberg RG, Habershaw GM, Chrzan JS. Epidemiology of the diabetic foot: ulcerations and </w:t>
      </w:r>
    </w:p>
    <w:p w14:paraId="02DE5FDE" w14:textId="77777777" w:rsidR="002114B9" w:rsidRPr="00923562" w:rsidRDefault="002114B9" w:rsidP="00923562">
      <w:pPr>
        <w:pStyle w:val="Footnote"/>
        <w:ind w:left="0" w:firstLine="0"/>
        <w:jc w:val="both"/>
        <w:rPr>
          <w:rFonts w:ascii="Times" w:hAnsi="Times" w:cs="Times New Roman"/>
          <w:lang w:val="en-US"/>
        </w:rPr>
      </w:pPr>
      <w:r w:rsidRPr="00923562">
        <w:rPr>
          <w:rFonts w:ascii="Times" w:hAnsi="Times" w:cs="Times New Roman"/>
          <w:lang w:val="en-US"/>
        </w:rPr>
        <w:t>amputations. In: Contemporary Endocrinology: Clinical Management of Diabetic Neuropathy 1998, edited by A Veves, Humana Press, Totowa, NJ, p.273.</w:t>
      </w:r>
    </w:p>
    <w:p w14:paraId="28107090" w14:textId="77777777" w:rsidR="002114B9" w:rsidRPr="00923562" w:rsidRDefault="002114B9" w:rsidP="00923562">
      <w:pPr>
        <w:pStyle w:val="Footnote"/>
        <w:ind w:left="0" w:firstLine="0"/>
        <w:jc w:val="both"/>
        <w:rPr>
          <w:rFonts w:ascii="Times" w:hAnsi="Times" w:cs="Times New Roman"/>
          <w:lang w:val="en-US"/>
        </w:rPr>
      </w:pPr>
    </w:p>
  </w:endnote>
  <w:endnote w:id="15">
    <w:p w14:paraId="19BAFE89"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GB"/>
        </w:rPr>
        <w:t xml:space="preserve">Kumar S, Asche HA, Parnell LN, </w:t>
      </w:r>
      <w:r w:rsidRPr="00923562">
        <w:rPr>
          <w:rFonts w:ascii="Times" w:hAnsi="Times" w:cs="Times New Roman"/>
          <w:lang w:val="en-US"/>
        </w:rPr>
        <w:t>The Prevalence of foot ulceration and its correlates in type 2 diabetic patiens: a population – based study.</w:t>
      </w:r>
      <w:r w:rsidRPr="00923562">
        <w:rPr>
          <w:rFonts w:ascii="Times" w:hAnsi="Times" w:cs="Times New Roman"/>
          <w:i/>
          <w:iCs/>
          <w:lang w:val="en-US"/>
        </w:rPr>
        <w:t xml:space="preserve"> Diabet Med</w:t>
      </w:r>
      <w:r w:rsidRPr="00923562">
        <w:rPr>
          <w:rFonts w:ascii="Times" w:hAnsi="Times" w:cs="Times New Roman"/>
          <w:lang w:val="en-US"/>
        </w:rPr>
        <w:t xml:space="preserve"> 1994; 11: 480-84.</w:t>
      </w:r>
    </w:p>
    <w:p w14:paraId="35C39D6B" w14:textId="77777777" w:rsidR="002114B9" w:rsidRPr="00923562" w:rsidRDefault="002114B9" w:rsidP="00923562">
      <w:pPr>
        <w:pStyle w:val="Footnote"/>
        <w:ind w:left="0" w:firstLine="0"/>
        <w:jc w:val="both"/>
        <w:rPr>
          <w:rFonts w:ascii="Times" w:hAnsi="Times" w:cs="Times New Roman"/>
          <w:lang w:val="en-US"/>
        </w:rPr>
      </w:pPr>
    </w:p>
  </w:endnote>
  <w:endnote w:id="16">
    <w:p w14:paraId="2C7AEEEF" w14:textId="77777777" w:rsidR="002114B9" w:rsidRPr="00923562" w:rsidRDefault="002114B9" w:rsidP="00923562">
      <w:pPr>
        <w:pStyle w:val="Footnote"/>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Walters DP, Gatling W, Mullee MA. The distribution and severity of diabetic foot disease:</w:t>
      </w:r>
    </w:p>
    <w:p w14:paraId="032D113B" w14:textId="77777777" w:rsidR="002114B9" w:rsidRPr="00923562" w:rsidRDefault="002114B9" w:rsidP="00923562">
      <w:pPr>
        <w:pStyle w:val="Footnote"/>
        <w:jc w:val="both"/>
        <w:rPr>
          <w:rFonts w:ascii="Times" w:hAnsi="Times" w:cs="Times New Roman"/>
          <w:lang w:val="en-US"/>
        </w:rPr>
      </w:pPr>
      <w:r w:rsidRPr="00923562">
        <w:rPr>
          <w:rFonts w:ascii="Times" w:hAnsi="Times" w:cs="Times New Roman"/>
          <w:lang w:val="en-US"/>
        </w:rPr>
        <w:t xml:space="preserve">community study with comparision to non-diabetic group. </w:t>
      </w:r>
      <w:r w:rsidRPr="00923562">
        <w:rPr>
          <w:rFonts w:ascii="Times" w:hAnsi="Times" w:cs="Times New Roman"/>
          <w:i/>
          <w:iCs/>
          <w:lang w:val="en-US"/>
        </w:rPr>
        <w:t xml:space="preserve">Diabet Med </w:t>
      </w:r>
      <w:r w:rsidRPr="00923562">
        <w:rPr>
          <w:rFonts w:ascii="Times" w:hAnsi="Times" w:cs="Times New Roman"/>
          <w:lang w:val="en-US"/>
        </w:rPr>
        <w:t>1992; 9: 354-58.</w:t>
      </w:r>
    </w:p>
    <w:p w14:paraId="72FAC611" w14:textId="77777777" w:rsidR="002114B9" w:rsidRPr="00923562" w:rsidRDefault="002114B9" w:rsidP="00923562">
      <w:pPr>
        <w:pStyle w:val="Footnote"/>
        <w:jc w:val="both"/>
        <w:rPr>
          <w:rFonts w:ascii="Times" w:hAnsi="Times" w:cs="Times New Roman"/>
          <w:lang w:val="en-US"/>
        </w:rPr>
      </w:pPr>
    </w:p>
  </w:endnote>
  <w:endnote w:id="17">
    <w:p w14:paraId="198D7EE1"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Ramsey SD, Newton K, Blough D. Incidence, outcomes and cost of foot ulcers in patients with diabetes. </w:t>
      </w:r>
      <w:r w:rsidRPr="00923562">
        <w:rPr>
          <w:rFonts w:ascii="Times" w:hAnsi="Times" w:cs="Times New Roman"/>
          <w:i/>
          <w:iCs/>
          <w:lang w:val="en-US"/>
        </w:rPr>
        <w:t>Diabetes Care</w:t>
      </w:r>
      <w:r w:rsidRPr="00923562">
        <w:rPr>
          <w:rFonts w:ascii="Times" w:hAnsi="Times" w:cs="Times New Roman"/>
          <w:lang w:val="en-US"/>
        </w:rPr>
        <w:t xml:space="preserve"> 1999; 22: 382-387.</w:t>
      </w:r>
    </w:p>
    <w:p w14:paraId="64493C27" w14:textId="77777777" w:rsidR="002114B9" w:rsidRPr="00923562" w:rsidRDefault="002114B9" w:rsidP="00923562">
      <w:pPr>
        <w:pStyle w:val="Footnote"/>
        <w:ind w:left="0" w:firstLine="0"/>
        <w:jc w:val="both"/>
        <w:rPr>
          <w:rFonts w:ascii="Times" w:hAnsi="Times" w:cs="Times New Roman"/>
          <w:lang w:val="en-US"/>
        </w:rPr>
      </w:pPr>
    </w:p>
  </w:endnote>
  <w:endnote w:id="18">
    <w:p w14:paraId="689589C5"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Abbott CA, Carrington AL, Ashe H. The North-west Diabetes Foot Care Study: incidence of and risk factors for new diadetic foot ulceration in a community-based patient cohort. </w:t>
      </w:r>
      <w:r w:rsidRPr="00923562">
        <w:rPr>
          <w:rFonts w:ascii="Times" w:hAnsi="Times" w:cs="Times New Roman"/>
          <w:i/>
          <w:iCs/>
          <w:lang w:val="en-US"/>
        </w:rPr>
        <w:t xml:space="preserve">Diabet Med </w:t>
      </w:r>
      <w:r w:rsidRPr="00923562">
        <w:rPr>
          <w:rFonts w:ascii="Times" w:hAnsi="Times" w:cs="Times New Roman"/>
          <w:lang w:val="en-US"/>
        </w:rPr>
        <w:t>2002; 19: 377-84.</w:t>
      </w:r>
    </w:p>
    <w:p w14:paraId="4BD33018" w14:textId="77777777" w:rsidR="002114B9" w:rsidRPr="00923562" w:rsidRDefault="002114B9" w:rsidP="00923562">
      <w:pPr>
        <w:pStyle w:val="Footnote"/>
        <w:ind w:left="0" w:firstLine="0"/>
        <w:jc w:val="both"/>
        <w:rPr>
          <w:rFonts w:ascii="Times" w:hAnsi="Times" w:cs="Times New Roman"/>
          <w:lang w:val="en-US"/>
        </w:rPr>
      </w:pPr>
    </w:p>
  </w:endnote>
  <w:endnote w:id="19">
    <w:p w14:paraId="7FE8E746"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szCs w:val="20"/>
          <w:lang w:val="pt-BR"/>
        </w:rPr>
        <w:t xml:space="preserve">Ramsey SD, Newton K, Blough D, McCulloch DK, Sandhu N, Reiber GE </w:t>
      </w:r>
      <w:r w:rsidRPr="00923562">
        <w:rPr>
          <w:rFonts w:ascii="Times" w:hAnsi="Times"/>
          <w:i/>
          <w:iCs/>
          <w:szCs w:val="20"/>
          <w:lang w:val="pt-BR"/>
        </w:rPr>
        <w:t>et al</w:t>
      </w:r>
      <w:r w:rsidRPr="00923562">
        <w:rPr>
          <w:rFonts w:ascii="Times" w:hAnsi="Times"/>
          <w:szCs w:val="20"/>
          <w:lang w:val="pt-BR"/>
        </w:rPr>
        <w:t xml:space="preserve">. </w:t>
      </w:r>
      <w:r w:rsidRPr="00923562">
        <w:rPr>
          <w:rFonts w:ascii="Times" w:hAnsi="Times"/>
          <w:szCs w:val="20"/>
          <w:lang w:val="en-US"/>
        </w:rPr>
        <w:t>Incidence, ou</w:t>
      </w:r>
      <w:r w:rsidRPr="00923562">
        <w:rPr>
          <w:rFonts w:ascii="Times" w:hAnsi="Times"/>
          <w:szCs w:val="20"/>
          <w:lang w:val="en-US"/>
        </w:rPr>
        <w:t>t</w:t>
      </w:r>
      <w:r w:rsidRPr="00923562">
        <w:rPr>
          <w:rFonts w:ascii="Times" w:hAnsi="Times"/>
          <w:szCs w:val="20"/>
          <w:lang w:val="en-US"/>
        </w:rPr>
        <w:t xml:space="preserve">comes, and cost of foot ulcers in patients with diabetes. </w:t>
      </w:r>
      <w:r w:rsidRPr="00923562">
        <w:rPr>
          <w:rFonts w:ascii="Times" w:hAnsi="Times"/>
          <w:i/>
          <w:iCs/>
          <w:szCs w:val="20"/>
          <w:lang w:val="en-US"/>
        </w:rPr>
        <w:t xml:space="preserve">Diabetes Care </w:t>
      </w:r>
      <w:r w:rsidRPr="00923562">
        <w:rPr>
          <w:rFonts w:ascii="Times" w:hAnsi="Times"/>
          <w:szCs w:val="20"/>
          <w:lang w:val="en-US"/>
        </w:rPr>
        <w:t xml:space="preserve">1999; </w:t>
      </w:r>
      <w:r w:rsidRPr="00923562">
        <w:rPr>
          <w:rFonts w:ascii="Times" w:hAnsi="Times"/>
          <w:bCs/>
          <w:szCs w:val="20"/>
          <w:lang w:val="en-US"/>
        </w:rPr>
        <w:t>22</w:t>
      </w:r>
      <w:r w:rsidRPr="00923562">
        <w:rPr>
          <w:rFonts w:ascii="Times" w:hAnsi="Times"/>
          <w:szCs w:val="20"/>
          <w:lang w:val="en-US"/>
        </w:rPr>
        <w:t>: 382–387).</w:t>
      </w:r>
    </w:p>
    <w:p w14:paraId="24FD717A" w14:textId="77777777" w:rsidR="002114B9" w:rsidRPr="00923562" w:rsidRDefault="002114B9" w:rsidP="00923562">
      <w:pPr>
        <w:pStyle w:val="Testonotadichiusura"/>
        <w:rPr>
          <w:rFonts w:ascii="Times" w:hAnsi="Times"/>
          <w:szCs w:val="20"/>
          <w:lang w:val="en-US"/>
        </w:rPr>
      </w:pPr>
    </w:p>
  </w:endnote>
  <w:endnote w:id="20">
    <w:p w14:paraId="29F71157" w14:textId="77777777" w:rsidR="002114B9" w:rsidRPr="00923562" w:rsidRDefault="002114B9" w:rsidP="00923562">
      <w:pPr>
        <w:pStyle w:val="Footnote"/>
        <w:ind w:left="0" w:firstLine="0"/>
        <w:jc w:val="both"/>
        <w:rPr>
          <w:rFonts w:ascii="Times" w:hAnsi="Times" w:cs="Times New Roman"/>
          <w:color w:val="231F20"/>
          <w:lang w:val="en-US" w:eastAsia="it-IT"/>
        </w:rPr>
      </w:pPr>
      <w:r w:rsidRPr="00923562">
        <w:rPr>
          <w:rStyle w:val="Rimandonotadichiusura"/>
          <w:rFonts w:ascii="Times" w:hAnsi="Times" w:cs="Times New Roman"/>
        </w:rPr>
        <w:endnoteRef/>
      </w:r>
      <w:r w:rsidRPr="00923562">
        <w:rPr>
          <w:rFonts w:ascii="Times" w:hAnsi="Times" w:cs="Times New Roman"/>
          <w:color w:val="231F20"/>
          <w:lang w:val="en-US" w:eastAsia="it-IT"/>
        </w:rPr>
        <w:t xml:space="preserve">Trautner C, Haastert B, Mauckner P, Gätcke LM, Giani G. Reduced incidence of lower-limb amputations in the diabetic population of a German city, 1990–2005: results of the Leverkusen Amputation Reduction Study (LARS). </w:t>
      </w:r>
      <w:r w:rsidRPr="00923562">
        <w:rPr>
          <w:rFonts w:ascii="Times" w:hAnsi="Times" w:cs="Times New Roman"/>
          <w:i/>
          <w:iCs/>
          <w:color w:val="231F20"/>
          <w:lang w:val="en-US" w:eastAsia="it-IT"/>
        </w:rPr>
        <w:t xml:space="preserve">Diabetes Care </w:t>
      </w:r>
      <w:r w:rsidRPr="00923562">
        <w:rPr>
          <w:rFonts w:ascii="Times" w:hAnsi="Times" w:cs="Times New Roman"/>
          <w:color w:val="231F20"/>
          <w:lang w:val="en-US" w:eastAsia="it-IT"/>
        </w:rPr>
        <w:t xml:space="preserve">2007; </w:t>
      </w:r>
      <w:r w:rsidRPr="00923562">
        <w:rPr>
          <w:rFonts w:ascii="Times" w:hAnsi="Times" w:cs="Times New Roman"/>
          <w:bCs/>
          <w:color w:val="231F20"/>
          <w:lang w:val="en-US" w:eastAsia="it-IT"/>
        </w:rPr>
        <w:t>30</w:t>
      </w:r>
      <w:r w:rsidRPr="00923562">
        <w:rPr>
          <w:rFonts w:ascii="Times" w:hAnsi="Times" w:cs="Times New Roman"/>
          <w:color w:val="231F20"/>
          <w:lang w:val="en-US" w:eastAsia="it-IT"/>
        </w:rPr>
        <w:t>: 2633–263.</w:t>
      </w:r>
    </w:p>
    <w:p w14:paraId="0660FD0B" w14:textId="77777777" w:rsidR="002114B9" w:rsidRPr="00923562" w:rsidRDefault="002114B9" w:rsidP="00923562">
      <w:pPr>
        <w:pStyle w:val="Footnote"/>
        <w:ind w:left="0" w:firstLine="0"/>
        <w:jc w:val="both"/>
        <w:rPr>
          <w:rFonts w:ascii="Times" w:hAnsi="Times" w:cs="Times New Roman"/>
          <w:lang w:val="en-US"/>
        </w:rPr>
      </w:pPr>
    </w:p>
  </w:endnote>
  <w:endnote w:id="21">
    <w:p w14:paraId="51D83895"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Moss SE, Klein R, Klein BEK. The prevalence and incidence of lower extremity amputation in a diabetic population. Arch Intern Med 1992; 152:610-616.</w:t>
      </w:r>
    </w:p>
    <w:p w14:paraId="6EFF7EB3" w14:textId="77777777" w:rsidR="002114B9" w:rsidRPr="00923562" w:rsidRDefault="002114B9" w:rsidP="00923562">
      <w:pPr>
        <w:pStyle w:val="Footnote"/>
        <w:ind w:left="0" w:firstLine="0"/>
        <w:jc w:val="both"/>
        <w:rPr>
          <w:rFonts w:ascii="Times" w:hAnsi="Times" w:cs="Times New Roman"/>
          <w:lang w:val="en-US"/>
        </w:rPr>
      </w:pPr>
    </w:p>
  </w:endnote>
  <w:endnote w:id="22">
    <w:p w14:paraId="5AAC794F" w14:textId="77777777" w:rsidR="002114B9" w:rsidRPr="00923562" w:rsidRDefault="002114B9" w:rsidP="00923562">
      <w:pPr>
        <w:pStyle w:val="Footnote"/>
        <w:ind w:left="0" w:firstLine="0"/>
        <w:jc w:val="both"/>
        <w:rPr>
          <w:rFonts w:ascii="Times" w:hAnsi="Times" w:cs="Times New Roman"/>
          <w:lang w:val="en-US" w:eastAsia="it-IT"/>
        </w:rPr>
      </w:pPr>
      <w:r w:rsidRPr="00923562">
        <w:rPr>
          <w:rStyle w:val="Rimandonotadichiusura"/>
          <w:rFonts w:ascii="Times" w:hAnsi="Times" w:cs="Times New Roman"/>
        </w:rPr>
        <w:endnoteRef/>
      </w:r>
      <w:r w:rsidRPr="00923562">
        <w:rPr>
          <w:rFonts w:ascii="Times" w:hAnsi="Times" w:cs="Times New Roman"/>
          <w:lang w:val="de-DE" w:eastAsia="it-IT"/>
        </w:rPr>
        <w:t xml:space="preserve">Moss SE, Klein R, Klein BE. </w:t>
      </w:r>
      <w:r w:rsidRPr="00923562">
        <w:rPr>
          <w:rFonts w:ascii="Times" w:hAnsi="Times" w:cs="Times New Roman"/>
          <w:lang w:val="en-US" w:eastAsia="it-IT"/>
        </w:rPr>
        <w:t>The 14-year incidence of lower extremity amputations in a diabetic population. The Wisconsin Epidemiologic Study of Diabetic Retinopathy. Diabetes Care 1999; 22:951-959.</w:t>
      </w:r>
    </w:p>
    <w:p w14:paraId="25B6B546" w14:textId="77777777" w:rsidR="002114B9" w:rsidRPr="00923562" w:rsidRDefault="002114B9" w:rsidP="00923562">
      <w:pPr>
        <w:pStyle w:val="Footnote"/>
        <w:ind w:left="0" w:firstLine="0"/>
        <w:jc w:val="both"/>
        <w:rPr>
          <w:rFonts w:ascii="Times" w:hAnsi="Times" w:cs="Times New Roman"/>
          <w:lang w:val="en-US"/>
        </w:rPr>
      </w:pPr>
    </w:p>
  </w:endnote>
  <w:endnote w:id="23">
    <w:p w14:paraId="6D5515A5" w14:textId="77777777" w:rsidR="002114B9" w:rsidRPr="00923562" w:rsidRDefault="002114B9" w:rsidP="00923562">
      <w:pPr>
        <w:pStyle w:val="Footnote"/>
        <w:ind w:left="0" w:firstLine="0"/>
        <w:jc w:val="both"/>
        <w:rPr>
          <w:rFonts w:ascii="Times" w:hAnsi="Times" w:cs="Times New Roman"/>
          <w:lang w:val="en-US" w:eastAsia="it-IT"/>
        </w:rPr>
      </w:pPr>
      <w:r w:rsidRPr="00923562">
        <w:rPr>
          <w:rStyle w:val="Rimandonotadichiusura"/>
          <w:rFonts w:ascii="Times" w:hAnsi="Times" w:cs="Times New Roman"/>
        </w:rPr>
        <w:endnoteRef/>
      </w:r>
      <w:r w:rsidRPr="00923562">
        <w:rPr>
          <w:rFonts w:ascii="Times" w:hAnsi="Times" w:cs="Times New Roman"/>
          <w:lang w:val="sv-SE" w:eastAsia="it-IT"/>
        </w:rPr>
        <w:t xml:space="preserve">Reiber GE, Boyko EJ, Smith DG. </w:t>
      </w:r>
      <w:r w:rsidRPr="00923562">
        <w:rPr>
          <w:rFonts w:ascii="Times" w:hAnsi="Times" w:cs="Times New Roman"/>
          <w:lang w:val="en-US" w:eastAsia="it-IT"/>
        </w:rPr>
        <w:t>Lower extremity foot ulcers and amputations in diabetes. In: Diabetes in America, 2nd ed, edited by MI Harris, C Cowie, and MP Stern, NIH Publication No1995; 95-1468, pp 409-427.</w:t>
      </w:r>
    </w:p>
    <w:p w14:paraId="742C4543" w14:textId="77777777" w:rsidR="002114B9" w:rsidRPr="00923562" w:rsidRDefault="002114B9" w:rsidP="00923562">
      <w:pPr>
        <w:pStyle w:val="Footnote"/>
        <w:ind w:left="0" w:firstLine="0"/>
        <w:jc w:val="both"/>
        <w:rPr>
          <w:rFonts w:ascii="Times" w:hAnsi="Times" w:cs="Times New Roman"/>
          <w:lang w:val="en-US" w:eastAsia="it-IT"/>
        </w:rPr>
      </w:pPr>
    </w:p>
  </w:endnote>
  <w:endnote w:id="24">
    <w:p w14:paraId="616A11F3"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Mayfield JA, Reiber GE, Sanders LJ, Janisse D, Pogach LM. Preventive foot care in people with diabetes. Diabetes Care 1998; 21:2161- 2177.</w:t>
      </w:r>
    </w:p>
    <w:p w14:paraId="3D3F85CC" w14:textId="77777777" w:rsidR="002114B9" w:rsidRPr="00923562" w:rsidRDefault="002114B9" w:rsidP="00923562">
      <w:pPr>
        <w:pStyle w:val="Footnote"/>
        <w:ind w:left="0" w:firstLine="0"/>
        <w:jc w:val="both"/>
        <w:rPr>
          <w:rFonts w:ascii="Times" w:hAnsi="Times" w:cs="Times New Roman"/>
          <w:lang w:val="en-US"/>
        </w:rPr>
      </w:pPr>
    </w:p>
  </w:endnote>
  <w:endnote w:id="25">
    <w:p w14:paraId="48FCB9E0"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Caputo GM, Cavanagh PR, Ulbrecht JS, Gibbons GW, Karchmer AW: Assessment and management of foot disease in patients with diabetes. </w:t>
      </w:r>
      <w:r w:rsidRPr="00923562">
        <w:rPr>
          <w:rFonts w:ascii="Times" w:hAnsi="Times" w:cs="Times New Roman"/>
          <w:i/>
          <w:iCs/>
          <w:lang w:val="en-GB"/>
        </w:rPr>
        <w:t xml:space="preserve">N Engl J Med </w:t>
      </w:r>
      <w:r w:rsidRPr="00923562">
        <w:rPr>
          <w:rFonts w:ascii="Times" w:hAnsi="Times" w:cs="Times New Roman"/>
          <w:lang w:val="en-GB"/>
        </w:rPr>
        <w:t>1994; 331:854–860.</w:t>
      </w:r>
    </w:p>
    <w:p w14:paraId="2273AD41" w14:textId="77777777" w:rsidR="002114B9" w:rsidRPr="00923562" w:rsidRDefault="002114B9" w:rsidP="00923562">
      <w:pPr>
        <w:pStyle w:val="Footnote"/>
        <w:ind w:left="0" w:firstLine="0"/>
        <w:jc w:val="both"/>
        <w:rPr>
          <w:rFonts w:ascii="Times" w:hAnsi="Times" w:cs="Times New Roman"/>
          <w:lang w:val="en-US"/>
        </w:rPr>
      </w:pPr>
    </w:p>
  </w:endnote>
  <w:endnote w:id="26">
    <w:p w14:paraId="4ACA5926"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Bild DE, Selby JV, Sinnock P, Browner WS, Braveman P, Showstack JA: Lower-extremity amputation in people with diabetes: epidemiology and prevention. </w:t>
      </w:r>
      <w:r w:rsidRPr="00923562">
        <w:rPr>
          <w:rFonts w:ascii="Times" w:hAnsi="Times" w:cs="Times New Roman"/>
          <w:i/>
          <w:iCs/>
          <w:lang w:val="en-GB"/>
        </w:rPr>
        <w:t xml:space="preserve">Diabetes Care </w:t>
      </w:r>
      <w:r w:rsidRPr="00923562">
        <w:rPr>
          <w:rFonts w:ascii="Times" w:hAnsi="Times" w:cs="Times New Roman"/>
          <w:lang w:val="en-GB"/>
        </w:rPr>
        <w:t>1989 12:24–31.</w:t>
      </w:r>
    </w:p>
    <w:p w14:paraId="4FCAEC08" w14:textId="77777777" w:rsidR="002114B9" w:rsidRPr="00923562" w:rsidRDefault="002114B9" w:rsidP="00923562">
      <w:pPr>
        <w:pStyle w:val="Footnote"/>
        <w:ind w:left="0" w:firstLine="0"/>
        <w:jc w:val="both"/>
        <w:rPr>
          <w:rFonts w:ascii="Times" w:hAnsi="Times" w:cs="Times New Roman"/>
          <w:lang w:val="en-US"/>
        </w:rPr>
      </w:pPr>
    </w:p>
  </w:endnote>
  <w:endnote w:id="27">
    <w:p w14:paraId="36CDD7F5"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Apelqvist J, Larson J, Agardh CD: Longterm prognosis for diabetic patients with foot ulcers. </w:t>
      </w:r>
      <w:r w:rsidRPr="00923562">
        <w:rPr>
          <w:rFonts w:ascii="Times" w:hAnsi="Times" w:cs="Times New Roman"/>
          <w:iCs/>
          <w:lang w:val="en-GB"/>
        </w:rPr>
        <w:t xml:space="preserve">J Intern Med, </w:t>
      </w:r>
      <w:r w:rsidRPr="00923562">
        <w:rPr>
          <w:rFonts w:ascii="Times" w:hAnsi="Times" w:cs="Times New Roman"/>
          <w:lang w:val="en-GB"/>
        </w:rPr>
        <w:t>1993, 233:483–491, 7.</w:t>
      </w:r>
    </w:p>
    <w:p w14:paraId="11E29ECF" w14:textId="77777777" w:rsidR="002114B9" w:rsidRPr="00923562" w:rsidRDefault="002114B9" w:rsidP="00923562">
      <w:pPr>
        <w:pStyle w:val="Footnote"/>
        <w:ind w:left="0" w:firstLine="0"/>
        <w:jc w:val="both"/>
        <w:rPr>
          <w:rFonts w:ascii="Times" w:hAnsi="Times" w:cs="Times New Roman"/>
          <w:lang w:val="en-US"/>
        </w:rPr>
      </w:pPr>
    </w:p>
  </w:endnote>
  <w:endnote w:id="28">
    <w:p w14:paraId="3DF325A5"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Reiber GE: Epidemiology of the diabetic foot. In </w:t>
      </w:r>
      <w:r w:rsidRPr="00923562">
        <w:rPr>
          <w:rFonts w:ascii="Times" w:hAnsi="Times" w:cs="Times New Roman"/>
          <w:iCs/>
          <w:lang w:val="en-GB"/>
        </w:rPr>
        <w:t>the Diabetic Foot</w:t>
      </w:r>
      <w:r w:rsidRPr="00923562">
        <w:rPr>
          <w:rFonts w:ascii="Times" w:hAnsi="Times" w:cs="Times New Roman"/>
          <w:lang w:val="en-GB"/>
        </w:rPr>
        <w:t>. 5th ed. Levin ME, O’Neal LW, Bowker JH, Eds. Mosby Year Book, St. Louis, MO, 1993, p. 1–15.</w:t>
      </w:r>
    </w:p>
    <w:p w14:paraId="33F7F87E" w14:textId="77777777" w:rsidR="002114B9" w:rsidRPr="00923562" w:rsidRDefault="002114B9" w:rsidP="00923562">
      <w:pPr>
        <w:pStyle w:val="Footnote"/>
        <w:ind w:left="0" w:firstLine="0"/>
        <w:jc w:val="both"/>
        <w:rPr>
          <w:rFonts w:ascii="Times" w:hAnsi="Times" w:cs="Times New Roman"/>
          <w:lang w:val="en-US"/>
        </w:rPr>
      </w:pPr>
    </w:p>
  </w:endnote>
  <w:endnote w:id="29">
    <w:p w14:paraId="4B04D38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Shaw JE, Zimmett PZ. The epidemiology of diabetic neuropathy. Diabetes Rev 1999; 6:245–252.</w:t>
      </w:r>
    </w:p>
    <w:p w14:paraId="13341FD7" w14:textId="77777777" w:rsidR="002114B9" w:rsidRPr="00923562" w:rsidRDefault="002114B9" w:rsidP="00923562">
      <w:pPr>
        <w:pStyle w:val="Footnote"/>
        <w:ind w:left="0" w:firstLine="0"/>
        <w:jc w:val="both"/>
        <w:rPr>
          <w:rFonts w:ascii="Times" w:hAnsi="Times" w:cs="Times New Roman"/>
          <w:lang w:val="en-US"/>
        </w:rPr>
      </w:pPr>
    </w:p>
  </w:endnote>
  <w:endnote w:id="30">
    <w:p w14:paraId="51B6324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Williams DRR, Airey M. The size of the problem: epidemiological and economic aspects of the diabetic foot. In: Boulton AJM, Connor H, Cavanagh PR (eds) The foot in diabetes, 3rd edn. 2000Wiley, Chichester, pp 3–17.</w:t>
      </w:r>
    </w:p>
    <w:p w14:paraId="55B2B576" w14:textId="77777777" w:rsidR="002114B9" w:rsidRPr="00923562" w:rsidRDefault="002114B9" w:rsidP="00923562">
      <w:pPr>
        <w:pStyle w:val="Footnote"/>
        <w:ind w:left="0" w:firstLine="0"/>
        <w:jc w:val="both"/>
        <w:rPr>
          <w:rFonts w:ascii="Times" w:hAnsi="Times" w:cs="Times New Roman"/>
          <w:lang w:val="en-US"/>
        </w:rPr>
      </w:pPr>
    </w:p>
  </w:endnote>
  <w:endnote w:id="31">
    <w:p w14:paraId="43E86581"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Reiber GE, Ledoux WR (2002) Epidemiology of diabetic foot ulcers and amputations: evidence for prevention. In: Williams R, Herman W, Kinmonth AL, Wareham NJ (eds) The evidence base for diabetes care. Wiley, Chichester, pp 641–665.</w:t>
      </w:r>
    </w:p>
    <w:p w14:paraId="458AE672" w14:textId="77777777" w:rsidR="002114B9" w:rsidRPr="00923562" w:rsidRDefault="002114B9" w:rsidP="00923562">
      <w:pPr>
        <w:pStyle w:val="Footnote"/>
        <w:ind w:left="0" w:firstLine="0"/>
        <w:jc w:val="both"/>
        <w:rPr>
          <w:rFonts w:ascii="Times" w:hAnsi="Times" w:cs="Times New Roman"/>
          <w:lang w:val="en-US"/>
        </w:rPr>
      </w:pPr>
    </w:p>
  </w:endnote>
  <w:endnote w:id="32">
    <w:p w14:paraId="7CB7826B"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Carrington AL, Abbott CA, Griffiths J, Jackson N, Ross ERE van, Boulton AJM.  A foot care program for diabetic unilateral amputees. Diabetes Care 200124:216–221.</w:t>
      </w:r>
    </w:p>
    <w:p w14:paraId="27134F5D" w14:textId="77777777" w:rsidR="002114B9" w:rsidRPr="00923562" w:rsidRDefault="002114B9" w:rsidP="00923562">
      <w:pPr>
        <w:pStyle w:val="Footnote"/>
        <w:ind w:left="0" w:firstLine="0"/>
        <w:jc w:val="both"/>
        <w:rPr>
          <w:rFonts w:ascii="Times" w:hAnsi="Times" w:cs="Times New Roman"/>
          <w:lang w:val="en-US"/>
        </w:rPr>
      </w:pPr>
    </w:p>
  </w:endnote>
  <w:endnote w:id="33">
    <w:p w14:paraId="2AD86C71"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Van Houtum WH, Laverly LA, Harkless LB. The impact of diabetes-related lower extremity amputations in the Netherlands. </w:t>
      </w:r>
      <w:r w:rsidRPr="00923562">
        <w:rPr>
          <w:rFonts w:ascii="Times" w:hAnsi="Times" w:cs="Times New Roman"/>
          <w:i/>
          <w:iCs/>
          <w:lang w:val="en-US"/>
        </w:rPr>
        <w:t>J Diabetes Comp</w:t>
      </w:r>
      <w:r w:rsidRPr="00923562">
        <w:rPr>
          <w:rFonts w:ascii="Times" w:hAnsi="Times" w:cs="Times New Roman"/>
          <w:lang w:val="en-US"/>
        </w:rPr>
        <w:t>. 1999; 10: 325-30.</w:t>
      </w:r>
    </w:p>
    <w:p w14:paraId="4BC4F3BB" w14:textId="77777777" w:rsidR="002114B9" w:rsidRPr="00923562" w:rsidRDefault="002114B9" w:rsidP="00923562">
      <w:pPr>
        <w:pStyle w:val="Footnote"/>
        <w:ind w:left="0" w:firstLine="0"/>
        <w:jc w:val="both"/>
        <w:rPr>
          <w:rFonts w:ascii="Times" w:hAnsi="Times" w:cs="Times New Roman"/>
          <w:lang w:val="en-US"/>
        </w:rPr>
      </w:pPr>
    </w:p>
  </w:endnote>
  <w:endnote w:id="34">
    <w:p w14:paraId="5DC72E1D"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Witso E, Ronningen H. Lower limb amputations: registration of all lower limb amputations performed al the University Hospital of Trodheim, Norway, 1994-1997.</w:t>
      </w:r>
      <w:r w:rsidRPr="00923562">
        <w:rPr>
          <w:rFonts w:ascii="Times" w:hAnsi="Times" w:cs="Times New Roman"/>
          <w:i/>
          <w:iCs/>
          <w:lang w:val="en-US"/>
        </w:rPr>
        <w:t xml:space="preserve"> Proshet Orthop Int</w:t>
      </w:r>
      <w:r w:rsidRPr="00923562">
        <w:rPr>
          <w:rFonts w:ascii="Times" w:hAnsi="Times" w:cs="Times New Roman"/>
          <w:lang w:val="en-US"/>
        </w:rPr>
        <w:t xml:space="preserve"> 2001; 25: 181-85.</w:t>
      </w:r>
    </w:p>
    <w:p w14:paraId="3D40FEEE" w14:textId="77777777" w:rsidR="002114B9" w:rsidRPr="00923562" w:rsidRDefault="002114B9" w:rsidP="00923562">
      <w:pPr>
        <w:pStyle w:val="Footnote"/>
        <w:ind w:left="0" w:firstLine="0"/>
        <w:jc w:val="both"/>
        <w:rPr>
          <w:rFonts w:ascii="Times" w:hAnsi="Times" w:cs="Times New Roman"/>
          <w:lang w:val="en-US"/>
        </w:rPr>
      </w:pPr>
    </w:p>
  </w:endnote>
  <w:endnote w:id="35">
    <w:p w14:paraId="0180B5A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Group TG. Epidemiology of lower extremity amputation in centres in Europe, North America and East Asia: the global lower extremity amputation study group. </w:t>
      </w:r>
      <w:r w:rsidRPr="00923562">
        <w:rPr>
          <w:rFonts w:ascii="Times" w:hAnsi="Times" w:cs="Times New Roman"/>
          <w:i/>
          <w:iCs/>
          <w:lang w:val="en-US"/>
        </w:rPr>
        <w:t>Br J Surg</w:t>
      </w:r>
      <w:r w:rsidRPr="00923562">
        <w:rPr>
          <w:rFonts w:ascii="Times" w:hAnsi="Times" w:cs="Times New Roman"/>
          <w:lang w:val="en-US"/>
        </w:rPr>
        <w:t xml:space="preserve"> 2000; 87: 328-37.</w:t>
      </w:r>
    </w:p>
    <w:p w14:paraId="41C46157" w14:textId="77777777" w:rsidR="002114B9" w:rsidRPr="00923562" w:rsidRDefault="002114B9" w:rsidP="00923562">
      <w:pPr>
        <w:pStyle w:val="Footnote"/>
        <w:ind w:left="0" w:firstLine="0"/>
        <w:jc w:val="both"/>
        <w:rPr>
          <w:rFonts w:ascii="Times" w:hAnsi="Times" w:cs="Times New Roman"/>
          <w:lang w:val="en-US"/>
        </w:rPr>
      </w:pPr>
    </w:p>
  </w:endnote>
  <w:endnote w:id="36">
    <w:p w14:paraId="25D71283"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Canavan R, Connoly V, Airey CM. Risk of diabetes-related amputation in South Asians vs Europeans in the UK. </w:t>
      </w:r>
      <w:r w:rsidRPr="00923562">
        <w:rPr>
          <w:rFonts w:ascii="Times" w:hAnsi="Times" w:cs="Times New Roman"/>
          <w:i/>
          <w:iCs/>
          <w:lang w:val="en-US"/>
        </w:rPr>
        <w:t>Diabet Med</w:t>
      </w:r>
      <w:r w:rsidRPr="00923562">
        <w:rPr>
          <w:rFonts w:ascii="Times" w:hAnsi="Times" w:cs="Times New Roman"/>
          <w:lang w:val="en-US"/>
        </w:rPr>
        <w:t xml:space="preserve"> 2002; 19: 99-104.</w:t>
      </w:r>
    </w:p>
    <w:p w14:paraId="46EDEA9B" w14:textId="77777777" w:rsidR="002114B9" w:rsidRPr="00923562" w:rsidRDefault="002114B9" w:rsidP="00923562">
      <w:pPr>
        <w:pStyle w:val="Footnote"/>
        <w:ind w:left="0" w:firstLine="0"/>
        <w:jc w:val="both"/>
        <w:rPr>
          <w:rFonts w:ascii="Times" w:hAnsi="Times" w:cs="Times New Roman"/>
          <w:lang w:val="en-US"/>
        </w:rPr>
      </w:pPr>
    </w:p>
  </w:endnote>
  <w:endnote w:id="37">
    <w:p w14:paraId="304E0CEF"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Da Silva AF, Desgranges P, Holdsworth J. The management and outcome of critical limb ischemia in diabetic patients: results of a national survey. Audit Committee of the vascular surgical Society of Great Britain and Ireland. </w:t>
      </w:r>
      <w:r w:rsidRPr="00923562">
        <w:rPr>
          <w:rFonts w:ascii="Times" w:hAnsi="Times" w:cs="Times New Roman"/>
          <w:i/>
          <w:iCs/>
          <w:lang w:val="en-US"/>
        </w:rPr>
        <w:t>Diabet Med</w:t>
      </w:r>
      <w:r w:rsidRPr="00923562">
        <w:rPr>
          <w:rFonts w:ascii="Times" w:hAnsi="Times" w:cs="Times New Roman"/>
          <w:lang w:val="en-US"/>
        </w:rPr>
        <w:t xml:space="preserve"> 1996; 13: 726-28.</w:t>
      </w:r>
    </w:p>
    <w:p w14:paraId="3D52F162" w14:textId="77777777" w:rsidR="002114B9" w:rsidRPr="00923562" w:rsidRDefault="002114B9" w:rsidP="00923562">
      <w:pPr>
        <w:pStyle w:val="Footnote"/>
        <w:ind w:left="0" w:firstLine="0"/>
        <w:jc w:val="both"/>
        <w:rPr>
          <w:rFonts w:ascii="Times" w:hAnsi="Times" w:cs="Times New Roman"/>
          <w:lang w:val="en-US"/>
        </w:rPr>
      </w:pPr>
    </w:p>
  </w:endnote>
  <w:endnote w:id="38">
    <w:p w14:paraId="32031E29"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Aulivola B, LoGerfo FW, Pomposelli FB. Major lower extremity amputation: outcome of a modern series. </w:t>
      </w:r>
      <w:r w:rsidRPr="00923562">
        <w:rPr>
          <w:rFonts w:ascii="Times" w:hAnsi="Times" w:cs="Times New Roman"/>
          <w:i/>
          <w:iCs/>
          <w:lang w:val="en-US"/>
        </w:rPr>
        <w:t>Arch Surg</w:t>
      </w:r>
      <w:r w:rsidRPr="00923562">
        <w:rPr>
          <w:rFonts w:ascii="Times" w:hAnsi="Times" w:cs="Times New Roman"/>
          <w:lang w:val="en-US"/>
        </w:rPr>
        <w:t xml:space="preserve"> 2004; 139 (4): 395-9.</w:t>
      </w:r>
    </w:p>
    <w:p w14:paraId="3CA8D167" w14:textId="77777777" w:rsidR="002114B9" w:rsidRPr="00923562" w:rsidRDefault="002114B9" w:rsidP="00923562">
      <w:pPr>
        <w:pStyle w:val="Footnote"/>
        <w:ind w:left="0" w:firstLine="0"/>
        <w:jc w:val="both"/>
        <w:rPr>
          <w:rFonts w:ascii="Times" w:hAnsi="Times" w:cs="Times New Roman"/>
          <w:lang w:val="en-US"/>
        </w:rPr>
      </w:pPr>
    </w:p>
  </w:endnote>
  <w:endnote w:id="39">
    <w:p w14:paraId="33763356"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Faglia E, Favales F, Morabito A. New ulceration, new major amputation and survival rates in diabetic subjects hospitalised for foot ulceration from 1990 to 1993: a 6,5 year follow up. </w:t>
      </w:r>
      <w:r w:rsidRPr="00923562">
        <w:rPr>
          <w:rFonts w:ascii="Times" w:hAnsi="Times" w:cs="Times New Roman"/>
          <w:i/>
          <w:iCs/>
          <w:lang w:val="en-US"/>
        </w:rPr>
        <w:t>Diabetes Care</w:t>
      </w:r>
      <w:r w:rsidRPr="00923562">
        <w:rPr>
          <w:rFonts w:ascii="Times" w:hAnsi="Times" w:cs="Times New Roman"/>
          <w:lang w:val="en-US"/>
        </w:rPr>
        <w:t xml:space="preserve"> 2001; 24: pp. 78-83.</w:t>
      </w:r>
    </w:p>
    <w:p w14:paraId="589C38B1" w14:textId="77777777" w:rsidR="002114B9" w:rsidRPr="00923562" w:rsidRDefault="002114B9" w:rsidP="00923562">
      <w:pPr>
        <w:pStyle w:val="Footnote"/>
        <w:ind w:left="0" w:firstLine="0"/>
        <w:jc w:val="both"/>
        <w:rPr>
          <w:rFonts w:ascii="Times" w:hAnsi="Times" w:cs="Times New Roman"/>
          <w:lang w:val="en-US"/>
        </w:rPr>
      </w:pPr>
    </w:p>
  </w:endnote>
  <w:endnote w:id="40">
    <w:p w14:paraId="7C37BEF4"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The St. Vincent Declaration, </w:t>
      </w:r>
      <w:r w:rsidRPr="00923562">
        <w:rPr>
          <w:rFonts w:ascii="Times" w:hAnsi="Times" w:cs="Times New Roman"/>
          <w:i/>
          <w:iCs/>
          <w:lang w:val="en-US"/>
        </w:rPr>
        <w:t>Diabet Med</w:t>
      </w:r>
      <w:r w:rsidRPr="00923562">
        <w:rPr>
          <w:rFonts w:ascii="Times" w:hAnsi="Times" w:cs="Times New Roman"/>
          <w:lang w:val="en-US"/>
        </w:rPr>
        <w:t>. 1990; 7: 360, 89.</w:t>
      </w:r>
    </w:p>
    <w:p w14:paraId="01A5A2FC" w14:textId="77777777" w:rsidR="002114B9" w:rsidRPr="00923562" w:rsidRDefault="002114B9" w:rsidP="00923562">
      <w:pPr>
        <w:pStyle w:val="Footnote"/>
        <w:ind w:left="0" w:firstLine="0"/>
        <w:jc w:val="both"/>
        <w:rPr>
          <w:rFonts w:ascii="Times" w:hAnsi="Times" w:cs="Times New Roman"/>
          <w:lang w:val="en-US"/>
        </w:rPr>
      </w:pPr>
    </w:p>
  </w:endnote>
  <w:endnote w:id="41">
    <w:p w14:paraId="4A6A5944"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Stiegler H, Standl E, Frank S, Mendler G. Failure of reducing lower extremity amputation in diabetic patents: results of two subsequent population based survey 1990 and 1995 in Germany. </w:t>
      </w:r>
      <w:r w:rsidRPr="00923562">
        <w:rPr>
          <w:rFonts w:ascii="Times" w:hAnsi="Times" w:cs="Times New Roman"/>
          <w:i/>
          <w:iCs/>
          <w:lang w:val="en-US"/>
        </w:rPr>
        <w:t>Vasa</w:t>
      </w:r>
      <w:r w:rsidRPr="00923562">
        <w:rPr>
          <w:rFonts w:ascii="Times" w:hAnsi="Times" w:cs="Times New Roman"/>
          <w:lang w:val="en-US"/>
        </w:rPr>
        <w:t xml:space="preserve"> 1998; 27 (1): 10-14.</w:t>
      </w:r>
    </w:p>
    <w:p w14:paraId="6CEF56A0" w14:textId="77777777" w:rsidR="002114B9" w:rsidRPr="00923562" w:rsidRDefault="002114B9" w:rsidP="00923562">
      <w:pPr>
        <w:pStyle w:val="Footnote"/>
        <w:ind w:left="0" w:firstLine="0"/>
        <w:jc w:val="both"/>
        <w:rPr>
          <w:rFonts w:ascii="Times" w:hAnsi="Times" w:cs="Times New Roman"/>
          <w:lang w:val="en-US"/>
        </w:rPr>
      </w:pPr>
    </w:p>
  </w:endnote>
  <w:endnote w:id="42">
    <w:p w14:paraId="34DB2406" w14:textId="77777777" w:rsidR="002114B9" w:rsidRPr="00923562" w:rsidRDefault="002114B9" w:rsidP="00923562">
      <w:pPr>
        <w:pStyle w:val="Footnote"/>
        <w:ind w:left="0" w:firstLine="0"/>
        <w:jc w:val="both"/>
        <w:rPr>
          <w:rFonts w:ascii="Times" w:hAnsi="Times" w:cs="Times New Roman"/>
        </w:rPr>
      </w:pPr>
      <w:r w:rsidRPr="00923562">
        <w:rPr>
          <w:rStyle w:val="Rimandonotadichiusura"/>
          <w:rFonts w:ascii="Times" w:hAnsi="Times" w:cs="Times New Roman"/>
        </w:rPr>
        <w:endnoteRef/>
      </w:r>
      <w:r w:rsidRPr="00923562">
        <w:rPr>
          <w:rFonts w:ascii="Times" w:hAnsi="Times" w:cs="Times New Roman"/>
          <w:lang w:val="en-US"/>
        </w:rPr>
        <w:t xml:space="preserve">Larsson J, Apelqvist J, Agardh CD, Stenstrom A. Decreasing incidence of major amputations in diabetic patients: a consequence of a multidisciplinary foot care team approach. </w:t>
      </w:r>
      <w:r w:rsidRPr="00923562">
        <w:rPr>
          <w:rFonts w:ascii="Times" w:hAnsi="Times" w:cs="Times New Roman"/>
          <w:i/>
          <w:iCs/>
        </w:rPr>
        <w:t>Diabet Me</w:t>
      </w:r>
      <w:r w:rsidRPr="00923562">
        <w:rPr>
          <w:rFonts w:ascii="Times" w:hAnsi="Times" w:cs="Times New Roman"/>
        </w:rPr>
        <w:t>d 1995; 12: 770-776.</w:t>
      </w:r>
    </w:p>
    <w:p w14:paraId="5601C33C" w14:textId="77777777" w:rsidR="002114B9" w:rsidRPr="00923562" w:rsidRDefault="002114B9" w:rsidP="00923562">
      <w:pPr>
        <w:pStyle w:val="Footnote"/>
        <w:ind w:left="0" w:firstLine="0"/>
        <w:jc w:val="both"/>
        <w:rPr>
          <w:rFonts w:ascii="Times" w:hAnsi="Times" w:cs="Times New Roman"/>
        </w:rPr>
      </w:pPr>
    </w:p>
  </w:endnote>
  <w:endnote w:id="43">
    <w:p w14:paraId="1CABB276" w14:textId="77777777" w:rsidR="002114B9" w:rsidRPr="00923562" w:rsidRDefault="002114B9" w:rsidP="00923562">
      <w:pPr>
        <w:pStyle w:val="Footnote"/>
        <w:ind w:left="0" w:firstLine="0"/>
        <w:jc w:val="both"/>
        <w:rPr>
          <w:rFonts w:ascii="Times" w:hAnsi="Times" w:cs="Times New Roman"/>
        </w:rPr>
      </w:pPr>
      <w:r w:rsidRPr="00923562">
        <w:rPr>
          <w:rStyle w:val="Rimandonotadichiusura"/>
          <w:rFonts w:ascii="Times" w:hAnsi="Times" w:cs="Times New Roman"/>
        </w:rPr>
        <w:endnoteRef/>
      </w:r>
      <w:r w:rsidRPr="00923562">
        <w:rPr>
          <w:rFonts w:ascii="Times" w:hAnsi="Times" w:cs="Times New Roman"/>
        </w:rPr>
        <w:t xml:space="preserve">Faglia E, Dalla Paola L, Clerici G et al. </w:t>
      </w:r>
      <w:r w:rsidRPr="00923562">
        <w:rPr>
          <w:rFonts w:ascii="Times" w:hAnsi="Times" w:cs="Times New Roman"/>
          <w:lang w:val="en-US"/>
        </w:rPr>
        <w:t xml:space="preserve">Peripheral angioplasty as the first choice revascularization procedure in diabetic patients with critical limb ischemia: prospective study of 993 consecutive patients hospitalized and followed between 1999 and 2003. </w:t>
      </w:r>
      <w:r w:rsidRPr="00923562">
        <w:rPr>
          <w:rFonts w:ascii="Times" w:hAnsi="Times" w:cs="Times New Roman"/>
          <w:i/>
          <w:iCs/>
        </w:rPr>
        <w:t>Eur J Vasc Endovasc Surg</w:t>
      </w:r>
      <w:r w:rsidRPr="00923562">
        <w:rPr>
          <w:rFonts w:ascii="Times" w:hAnsi="Times" w:cs="Times New Roman"/>
        </w:rPr>
        <w:t xml:space="preserve"> 2005; 6: 620-627.</w:t>
      </w:r>
    </w:p>
    <w:p w14:paraId="01EA0E4C" w14:textId="77777777" w:rsidR="002114B9" w:rsidRPr="00923562" w:rsidRDefault="002114B9" w:rsidP="00923562">
      <w:pPr>
        <w:pStyle w:val="Footnote"/>
        <w:ind w:left="0" w:firstLine="0"/>
        <w:jc w:val="both"/>
        <w:rPr>
          <w:rFonts w:ascii="Times" w:hAnsi="Times" w:cs="Times New Roman"/>
        </w:rPr>
      </w:pPr>
    </w:p>
  </w:endnote>
  <w:endnote w:id="44">
    <w:p w14:paraId="0B331A48"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rPr>
        <w:t xml:space="preserve">Faglia E, Mantero M, Dalla Paola L, et al. </w:t>
      </w:r>
      <w:r w:rsidRPr="00923562">
        <w:rPr>
          <w:rFonts w:ascii="Times" w:hAnsi="Times" w:cs="Times New Roman"/>
          <w:lang w:val="en-US"/>
        </w:rPr>
        <w:t xml:space="preserve">Extensive use of peripheral angioplasty, particulary infrapopliteal, in the treatment of ischaemic diabetic foot ulcers: clinical results of a multicentric study of 221 consecutive subjects. </w:t>
      </w:r>
      <w:r w:rsidRPr="00923562">
        <w:rPr>
          <w:rFonts w:ascii="Times" w:hAnsi="Times" w:cs="Times New Roman"/>
          <w:i/>
          <w:iCs/>
          <w:lang w:val="en-US"/>
        </w:rPr>
        <w:t>J Intern Med</w:t>
      </w:r>
      <w:r w:rsidRPr="00923562">
        <w:rPr>
          <w:rFonts w:ascii="Times" w:hAnsi="Times" w:cs="Times New Roman"/>
          <w:lang w:val="en-US"/>
        </w:rPr>
        <w:t xml:space="preserve"> 2002; 252: 225-232.</w:t>
      </w:r>
    </w:p>
    <w:p w14:paraId="4283F721" w14:textId="77777777" w:rsidR="002114B9" w:rsidRPr="00923562" w:rsidRDefault="002114B9" w:rsidP="00923562">
      <w:pPr>
        <w:pStyle w:val="Footnote"/>
        <w:ind w:left="0" w:firstLine="0"/>
        <w:jc w:val="both"/>
        <w:rPr>
          <w:rFonts w:ascii="Times" w:hAnsi="Times" w:cs="Times New Roman"/>
          <w:lang w:val="en-US"/>
        </w:rPr>
      </w:pPr>
      <w:r w:rsidRPr="00923562">
        <w:rPr>
          <w:rFonts w:ascii="Times" w:hAnsi="Times" w:cs="Times New Roman"/>
          <w:lang w:val="en-US"/>
        </w:rPr>
        <w:t xml:space="preserve"> </w:t>
      </w:r>
    </w:p>
  </w:endnote>
  <w:endnote w:id="45">
    <w:p w14:paraId="5BAC7595"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Edmonds M, Forster AVM. Reduction of Major amputation in the diabetic a strategy to “take control” with conservative care as well as revascularization. </w:t>
      </w:r>
      <w:r w:rsidRPr="00923562">
        <w:rPr>
          <w:rFonts w:ascii="Times" w:hAnsi="Times" w:cs="Times New Roman"/>
          <w:i/>
          <w:iCs/>
          <w:lang w:val="en-US"/>
        </w:rPr>
        <w:t>Vasa</w:t>
      </w:r>
      <w:r w:rsidRPr="00923562">
        <w:rPr>
          <w:rFonts w:ascii="Times" w:hAnsi="Times" w:cs="Times New Roman"/>
          <w:lang w:val="en-US"/>
        </w:rPr>
        <w:t xml:space="preserve"> 2001; 58: 6-14.</w:t>
      </w:r>
    </w:p>
    <w:p w14:paraId="0227C66D" w14:textId="77777777" w:rsidR="002114B9" w:rsidRPr="00923562" w:rsidRDefault="002114B9" w:rsidP="00923562">
      <w:pPr>
        <w:pStyle w:val="Footnote"/>
        <w:ind w:left="0" w:firstLine="0"/>
        <w:jc w:val="both"/>
        <w:rPr>
          <w:rFonts w:ascii="Times" w:hAnsi="Times" w:cs="Times New Roman"/>
          <w:lang w:val="en-US"/>
        </w:rPr>
      </w:pPr>
    </w:p>
  </w:endnote>
  <w:endnote w:id="46">
    <w:p w14:paraId="4AF3E949"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Larsson J, Apelqvist J, Agardh GD, Stenstrom A (1995) Decreasing incidence of major amputation in diabetic patients: a consequence of a multidisciplinary foot care team approach? Diabetic Med 12:770–776.</w:t>
      </w:r>
    </w:p>
    <w:p w14:paraId="0A497D60" w14:textId="77777777" w:rsidR="002114B9" w:rsidRPr="00923562" w:rsidRDefault="002114B9" w:rsidP="00923562">
      <w:pPr>
        <w:pStyle w:val="Testonotadichiusura"/>
        <w:rPr>
          <w:rFonts w:ascii="Times" w:hAnsi="Times"/>
          <w:szCs w:val="20"/>
          <w:lang w:val="en-US"/>
        </w:rPr>
      </w:pPr>
    </w:p>
  </w:endnote>
  <w:endnote w:id="47">
    <w:p w14:paraId="405B8CE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Trautner C, Haastert B, Spraul M, Giani C, Berger M Unchanged incidence of lower limb amputations in a German city 1990–1998. Diabetes Care 2001, 24:855–859.</w:t>
      </w:r>
    </w:p>
    <w:p w14:paraId="1339B9F6" w14:textId="77777777" w:rsidR="002114B9" w:rsidRPr="00923562" w:rsidRDefault="002114B9" w:rsidP="00923562">
      <w:pPr>
        <w:pStyle w:val="Footnote"/>
        <w:ind w:left="0" w:firstLine="0"/>
        <w:jc w:val="both"/>
        <w:rPr>
          <w:rFonts w:ascii="Times" w:hAnsi="Times" w:cs="Times New Roman"/>
          <w:lang w:val="en-US"/>
        </w:rPr>
      </w:pPr>
    </w:p>
  </w:endnote>
  <w:endnote w:id="48">
    <w:p w14:paraId="289FDAC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Apelqvist J, Bakker K, Van Houtum, et al. International Counsensus on the Diabetic Foot. Maastricht, the Netherlands: International Working Group on the diabetic foot, 1999.</w:t>
      </w:r>
    </w:p>
    <w:p w14:paraId="1797BD10" w14:textId="77777777" w:rsidR="002114B9" w:rsidRPr="00923562" w:rsidRDefault="002114B9" w:rsidP="00923562">
      <w:pPr>
        <w:pStyle w:val="Footnote"/>
        <w:ind w:left="0" w:firstLine="0"/>
        <w:jc w:val="both"/>
        <w:rPr>
          <w:rFonts w:ascii="Times" w:hAnsi="Times" w:cs="Times New Roman"/>
          <w:lang w:val="en-US"/>
        </w:rPr>
      </w:pPr>
    </w:p>
  </w:endnote>
  <w:endnote w:id="49">
    <w:p w14:paraId="333CC2F7"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Edmonds M. Progress in care of the diabetic foot </w:t>
      </w:r>
      <w:r w:rsidRPr="00923562">
        <w:rPr>
          <w:rFonts w:ascii="Times" w:hAnsi="Times" w:cs="Times New Roman"/>
          <w:i/>
          <w:iCs/>
          <w:lang w:val="en-US"/>
        </w:rPr>
        <w:t>The lancet</w:t>
      </w:r>
      <w:r w:rsidRPr="00923562">
        <w:rPr>
          <w:rFonts w:ascii="Times" w:hAnsi="Times" w:cs="Times New Roman"/>
          <w:lang w:val="en-US"/>
        </w:rPr>
        <w:t xml:space="preserve"> 1999 ;354.</w:t>
      </w:r>
    </w:p>
    <w:p w14:paraId="3D104164" w14:textId="77777777" w:rsidR="002114B9" w:rsidRPr="00923562" w:rsidRDefault="002114B9" w:rsidP="00923562">
      <w:pPr>
        <w:pStyle w:val="Footnote"/>
        <w:ind w:left="0" w:firstLine="0"/>
        <w:jc w:val="both"/>
        <w:rPr>
          <w:rFonts w:ascii="Times" w:hAnsi="Times" w:cs="Times New Roman"/>
          <w:lang w:val="en-US"/>
        </w:rPr>
      </w:pPr>
    </w:p>
  </w:endnote>
  <w:endnote w:id="50">
    <w:p w14:paraId="33A973FE"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Pecoraro RE , Reiber GE  , Burgess EM . Pathways to dabetic limb amputation. Basis for prevention . </w:t>
      </w:r>
      <w:r w:rsidRPr="00923562">
        <w:rPr>
          <w:rFonts w:ascii="Times" w:hAnsi="Times"/>
          <w:i/>
          <w:iCs/>
          <w:szCs w:val="20"/>
          <w:lang w:val="en-US"/>
        </w:rPr>
        <w:t>Diabetes Care</w:t>
      </w:r>
      <w:r w:rsidRPr="00923562">
        <w:rPr>
          <w:rFonts w:ascii="Times" w:hAnsi="Times"/>
          <w:szCs w:val="20"/>
          <w:lang w:val="en-US"/>
        </w:rPr>
        <w:t xml:space="preserve"> ; 13 : 513-521</w:t>
      </w:r>
    </w:p>
    <w:p w14:paraId="06D3A8E0" w14:textId="77777777" w:rsidR="002114B9" w:rsidRPr="00923562" w:rsidRDefault="002114B9" w:rsidP="00923562">
      <w:pPr>
        <w:pStyle w:val="Testonotadichiusura"/>
        <w:rPr>
          <w:rFonts w:ascii="Times" w:hAnsi="Times"/>
          <w:szCs w:val="20"/>
          <w:lang w:val="en-US"/>
        </w:rPr>
      </w:pPr>
    </w:p>
  </w:endnote>
  <w:endnote w:id="51">
    <w:p w14:paraId="0102457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Wagner FW. The Divascular Foot: a system for diagnosis and treatment. </w:t>
      </w:r>
      <w:r w:rsidRPr="00923562">
        <w:rPr>
          <w:rFonts w:ascii="Times" w:hAnsi="Times" w:cs="Times New Roman"/>
          <w:i/>
          <w:iCs/>
          <w:lang w:val="en-US"/>
        </w:rPr>
        <w:t>Foot and Ankle</w:t>
      </w:r>
      <w:r w:rsidRPr="00923562">
        <w:rPr>
          <w:rFonts w:ascii="Times" w:hAnsi="Times" w:cs="Times New Roman"/>
          <w:lang w:val="en-US"/>
        </w:rPr>
        <w:t xml:space="preserve"> 1981; 2 :64-122.</w:t>
      </w:r>
    </w:p>
    <w:p w14:paraId="4F2E85AB" w14:textId="77777777" w:rsidR="002114B9" w:rsidRPr="00923562" w:rsidRDefault="002114B9" w:rsidP="00923562">
      <w:pPr>
        <w:pStyle w:val="Footnote"/>
        <w:ind w:left="0" w:firstLine="0"/>
        <w:jc w:val="both"/>
        <w:rPr>
          <w:rFonts w:ascii="Times" w:hAnsi="Times" w:cs="Times New Roman"/>
          <w:lang w:val="en-US"/>
        </w:rPr>
      </w:pPr>
    </w:p>
  </w:endnote>
  <w:endnote w:id="52">
    <w:p w14:paraId="46CAE2DD"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Armstrong DG, Lavery LA, Harkless LB. Validation of a diabetic wound classification system: contirbution of delph, infections and vascular disease to the risk of amputation. Diabetes Care 1998; 21: 855-859.</w:t>
      </w:r>
    </w:p>
    <w:p w14:paraId="706E133F" w14:textId="77777777" w:rsidR="002114B9" w:rsidRPr="00923562" w:rsidRDefault="002114B9" w:rsidP="00923562">
      <w:pPr>
        <w:pStyle w:val="Footnote"/>
        <w:ind w:left="0" w:firstLine="0"/>
        <w:jc w:val="both"/>
        <w:rPr>
          <w:rFonts w:ascii="Times" w:hAnsi="Times" w:cs="Times New Roman"/>
          <w:lang w:val="en-US"/>
        </w:rPr>
      </w:pPr>
    </w:p>
  </w:endnote>
  <w:endnote w:id="53">
    <w:p w14:paraId="49E5455B"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Peters EJ, Lavery LA. Effectiveness of diabetic foot risk classification of the international Working Group on the Diabetic Foot.</w:t>
      </w:r>
      <w:r w:rsidRPr="00923562">
        <w:rPr>
          <w:rFonts w:ascii="Times" w:hAnsi="Times" w:cs="Times New Roman"/>
          <w:i/>
          <w:iCs/>
          <w:lang w:val="en-US"/>
        </w:rPr>
        <w:t xml:space="preserve"> Diabetes Care </w:t>
      </w:r>
      <w:r w:rsidRPr="00923562">
        <w:rPr>
          <w:rFonts w:ascii="Times" w:hAnsi="Times" w:cs="Times New Roman"/>
          <w:lang w:val="en-US"/>
        </w:rPr>
        <w:t>2001; 24: 1442-1447.</w:t>
      </w:r>
    </w:p>
    <w:p w14:paraId="7BA29C6E" w14:textId="77777777" w:rsidR="002114B9" w:rsidRPr="00923562" w:rsidRDefault="002114B9" w:rsidP="00923562">
      <w:pPr>
        <w:pStyle w:val="Footnote"/>
        <w:ind w:left="0" w:firstLine="0"/>
        <w:jc w:val="both"/>
        <w:rPr>
          <w:rFonts w:ascii="Times" w:hAnsi="Times" w:cs="Times New Roman"/>
          <w:lang w:val="en-US"/>
        </w:rPr>
      </w:pPr>
    </w:p>
  </w:endnote>
  <w:endnote w:id="54">
    <w:p w14:paraId="28582924"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Young MJ, Breddy JL, Veves A, Boulton AJ. The prediction of diabetic neuropathic foot ulceration using vibration perception thresholds. A prospective study. Diabetes Care 1994; 17:557-560, 45.</w:t>
      </w:r>
    </w:p>
    <w:p w14:paraId="592F033F" w14:textId="77777777" w:rsidR="002114B9" w:rsidRPr="00923562" w:rsidRDefault="002114B9" w:rsidP="00923562">
      <w:pPr>
        <w:pStyle w:val="Footnote"/>
        <w:ind w:left="0" w:firstLine="0"/>
        <w:jc w:val="both"/>
        <w:rPr>
          <w:rFonts w:ascii="Times" w:hAnsi="Times" w:cs="Times New Roman"/>
          <w:lang w:val="en-US"/>
        </w:rPr>
      </w:pPr>
    </w:p>
  </w:endnote>
  <w:endnote w:id="55">
    <w:p w14:paraId="7B9C786D"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Mayfield JA, Reiber GE, Sanders LJ, Janisse D, Pogach LM. Preventive foot care in people with d</w:t>
      </w:r>
      <w:r w:rsidRPr="00923562">
        <w:rPr>
          <w:rFonts w:ascii="Times" w:hAnsi="Times"/>
          <w:szCs w:val="20"/>
          <w:lang w:val="en-US"/>
        </w:rPr>
        <w:t>i</w:t>
      </w:r>
      <w:r w:rsidRPr="00923562">
        <w:rPr>
          <w:rFonts w:ascii="Times" w:hAnsi="Times"/>
          <w:szCs w:val="20"/>
          <w:lang w:val="en-US"/>
        </w:rPr>
        <w:t>abetes. Diabetes Care 1998; 21:2161- 2177.</w:t>
      </w:r>
    </w:p>
    <w:p w14:paraId="3CC4E70F" w14:textId="77777777" w:rsidR="002114B9" w:rsidRPr="00923562" w:rsidRDefault="002114B9" w:rsidP="00923562">
      <w:pPr>
        <w:pStyle w:val="Testonotadichiusura"/>
        <w:rPr>
          <w:rFonts w:ascii="Times" w:hAnsi="Times"/>
          <w:szCs w:val="20"/>
          <w:lang w:val="en-US"/>
        </w:rPr>
      </w:pPr>
    </w:p>
  </w:endnote>
  <w:endnote w:id="56">
    <w:p w14:paraId="68E0EEDB"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Palumbo PJ, Melton LJ. Peripheral vascular disease and diabetes. In: Diabetes in America 1985, edited by Harris MI and Hamman RF, National Institutes of Health, Bethesda, pp 1-21.</w:t>
      </w:r>
    </w:p>
    <w:p w14:paraId="1838418B" w14:textId="77777777" w:rsidR="002114B9" w:rsidRPr="00923562" w:rsidRDefault="002114B9" w:rsidP="00923562">
      <w:pPr>
        <w:pStyle w:val="Footnote"/>
        <w:ind w:left="0" w:firstLine="0"/>
        <w:jc w:val="both"/>
        <w:rPr>
          <w:rFonts w:ascii="Times" w:hAnsi="Times" w:cs="Times New Roman"/>
          <w:lang w:val="en-US"/>
        </w:rPr>
      </w:pPr>
    </w:p>
  </w:endnote>
  <w:endnote w:id="57">
    <w:p w14:paraId="4137403F"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No authors listed. An audit of amputations in a rural health district. Practical Diabetes 1997; Int 14:175–178.</w:t>
      </w:r>
    </w:p>
    <w:p w14:paraId="7FA8870D" w14:textId="77777777" w:rsidR="002114B9" w:rsidRPr="00923562" w:rsidRDefault="002114B9" w:rsidP="00923562">
      <w:pPr>
        <w:pStyle w:val="Footnote"/>
        <w:ind w:left="0" w:firstLine="0"/>
        <w:jc w:val="both"/>
        <w:rPr>
          <w:rFonts w:ascii="Times" w:hAnsi="Times" w:cs="Times New Roman"/>
          <w:lang w:val="en-US"/>
        </w:rPr>
      </w:pPr>
    </w:p>
  </w:endnote>
  <w:endnote w:id="58">
    <w:p w14:paraId="7F51F993"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Boulton AJM.  The pathway to ulceration:  etiopathogenesis. In: Boulton AJM, Connor H, Cavanagh PR (eds) 2000. The foot in diabetes, 3rd edn. Wiley, Chichester, pp 19–31.</w:t>
      </w:r>
    </w:p>
    <w:p w14:paraId="06E08659" w14:textId="77777777" w:rsidR="002114B9" w:rsidRPr="00923562" w:rsidRDefault="002114B9" w:rsidP="00923562">
      <w:pPr>
        <w:pStyle w:val="Footnote"/>
        <w:ind w:left="0" w:firstLine="0"/>
        <w:jc w:val="both"/>
        <w:rPr>
          <w:rFonts w:ascii="Times" w:hAnsi="Times" w:cs="Times New Roman"/>
          <w:lang w:val="en-US"/>
        </w:rPr>
      </w:pPr>
    </w:p>
  </w:endnote>
  <w:endnote w:id="59">
    <w:p w14:paraId="6E8EC73E" w14:textId="77777777" w:rsidR="002114B9" w:rsidRPr="00923562" w:rsidRDefault="002114B9" w:rsidP="00923562">
      <w:pPr>
        <w:pStyle w:val="Footnote"/>
        <w:pageBreakBefor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Reiber GE, Vileikyte L, Boyko EJ et al. Causal pathway for incident lower extremity ulcers in patients with diabetes from two settings. Diabetes Care 1999; 22:157–162.</w:t>
      </w:r>
    </w:p>
    <w:p w14:paraId="767E773A" w14:textId="77777777" w:rsidR="002114B9" w:rsidRPr="00923562" w:rsidRDefault="002114B9" w:rsidP="00923562">
      <w:pPr>
        <w:pStyle w:val="Footnote"/>
        <w:pageBreakBefore/>
        <w:ind w:left="0" w:firstLine="0"/>
        <w:jc w:val="both"/>
        <w:rPr>
          <w:rFonts w:ascii="Times" w:hAnsi="Times" w:cs="Times New Roman"/>
          <w:lang w:val="en-US"/>
        </w:rPr>
      </w:pPr>
    </w:p>
  </w:endnote>
  <w:endnote w:id="60">
    <w:p w14:paraId="6CB0E6E0"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Apelqvist J , Bakker K , Van Houtum , et al. International Counsensus on the Diabetic Foot. Maa</w:t>
      </w:r>
      <w:r w:rsidRPr="00923562">
        <w:rPr>
          <w:rFonts w:ascii="Times" w:hAnsi="Times"/>
          <w:szCs w:val="20"/>
          <w:lang w:val="en-US"/>
        </w:rPr>
        <w:t>s</w:t>
      </w:r>
      <w:r w:rsidRPr="00923562">
        <w:rPr>
          <w:rFonts w:ascii="Times" w:hAnsi="Times"/>
          <w:szCs w:val="20"/>
          <w:lang w:val="en-US"/>
        </w:rPr>
        <w:t>tricht, the Netherlands : International Working Group on the diabetic foot , 1999</w:t>
      </w:r>
    </w:p>
    <w:p w14:paraId="5996147D" w14:textId="77777777" w:rsidR="002114B9" w:rsidRPr="00923562" w:rsidRDefault="002114B9" w:rsidP="00923562">
      <w:pPr>
        <w:pStyle w:val="Testonotadichiusura"/>
        <w:rPr>
          <w:rFonts w:ascii="Times" w:hAnsi="Times"/>
          <w:szCs w:val="20"/>
          <w:lang w:val="en-US"/>
        </w:rPr>
      </w:pPr>
    </w:p>
  </w:endnote>
  <w:endnote w:id="61">
    <w:p w14:paraId="6D9CD5A6"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Abbott CA, Carrington AL, Ashe H, Bath S, Every LC, Griffiths J, Hann AW, Hussein A, Jackson N, Johnson KE, Ryder CH, Torkington R, Van Ross ER, Whalley AM, Widdows P,Williamson S, Boulton AJ. The North-West Diabetes Foot Care Study: incidence of, and risk factors for, new diabe</w:t>
      </w:r>
      <w:r w:rsidRPr="00923562">
        <w:rPr>
          <w:rFonts w:ascii="Times" w:hAnsi="Times"/>
          <w:szCs w:val="20"/>
          <w:lang w:val="en-US"/>
        </w:rPr>
        <w:t>t</w:t>
      </w:r>
      <w:r w:rsidRPr="00923562">
        <w:rPr>
          <w:rFonts w:ascii="Times" w:hAnsi="Times"/>
          <w:szCs w:val="20"/>
          <w:lang w:val="en-US"/>
        </w:rPr>
        <w:t>ic foot ulceration in a communitybased patient cohort. Diabet Med 2002; 19:377-384.</w:t>
      </w:r>
    </w:p>
    <w:p w14:paraId="34BD4421" w14:textId="77777777" w:rsidR="002114B9" w:rsidRPr="00923562" w:rsidRDefault="002114B9" w:rsidP="00923562">
      <w:pPr>
        <w:pStyle w:val="Testonotadichiusura"/>
        <w:rPr>
          <w:rFonts w:ascii="Times" w:hAnsi="Times"/>
          <w:szCs w:val="20"/>
          <w:lang w:val="en-US"/>
        </w:rPr>
      </w:pPr>
    </w:p>
  </w:endnote>
  <w:endnote w:id="62">
    <w:p w14:paraId="5BEB8585"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Boulton AJ, Kirsner RS, Vileikyte L. Clinical practice. Neuropathic diabetic foot ulcers. N Engl J Med 2004; 351:48-55.</w:t>
      </w:r>
    </w:p>
    <w:p w14:paraId="756E2FDB" w14:textId="77777777" w:rsidR="002114B9" w:rsidRPr="00923562" w:rsidRDefault="002114B9" w:rsidP="00923562">
      <w:pPr>
        <w:pStyle w:val="Footnote"/>
        <w:ind w:left="0" w:firstLine="0"/>
        <w:jc w:val="both"/>
        <w:rPr>
          <w:rFonts w:ascii="Times" w:hAnsi="Times" w:cs="Times New Roman"/>
          <w:lang w:val="en-US"/>
        </w:rPr>
      </w:pPr>
    </w:p>
  </w:endnote>
  <w:endnote w:id="63">
    <w:p w14:paraId="1F2EDE05"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Edmonds ME, Blundell MP, Morris ME, Thomas EM, Cotton LT, Watkins PJ. Improved survival of the diabetic foot: the role of a specialized foot clinic. Q J Med 1986; 60:763-771.</w:t>
      </w:r>
    </w:p>
    <w:p w14:paraId="64082A39" w14:textId="77777777" w:rsidR="002114B9" w:rsidRPr="00923562" w:rsidRDefault="002114B9" w:rsidP="00923562">
      <w:pPr>
        <w:pStyle w:val="Footnote"/>
        <w:ind w:left="0" w:firstLine="0"/>
        <w:jc w:val="both"/>
        <w:rPr>
          <w:rFonts w:ascii="Times" w:hAnsi="Times" w:cs="Times New Roman"/>
          <w:lang w:val="en-US"/>
        </w:rPr>
      </w:pPr>
    </w:p>
  </w:endnote>
  <w:endnote w:id="64">
    <w:p w14:paraId="2848C6B1" w14:textId="77777777" w:rsidR="002114B9" w:rsidRPr="00923562" w:rsidRDefault="002114B9" w:rsidP="00923562">
      <w:pPr>
        <w:pStyle w:val="Footnote"/>
        <w:ind w:left="0" w:firstLine="0"/>
        <w:jc w:val="both"/>
        <w:rPr>
          <w:rFonts w:ascii="Times" w:hAnsi="Times" w:cs="Times New Roman"/>
          <w:color w:val="000000"/>
          <w:lang w:val="en-US"/>
        </w:rPr>
      </w:pPr>
      <w:r w:rsidRPr="00923562">
        <w:rPr>
          <w:rStyle w:val="Rimandonotadichiusura"/>
          <w:rFonts w:ascii="Times" w:hAnsi="Times" w:cs="Times New Roman"/>
        </w:rPr>
        <w:endnoteRef/>
      </w:r>
      <w:hyperlink r:id="rId1" w:history="1">
        <w:r w:rsidRPr="00923562">
          <w:rPr>
            <w:rFonts w:ascii="Times" w:hAnsi="Times" w:cs="Times New Roman"/>
            <w:color w:val="000000"/>
            <w:lang w:val="de-DE"/>
          </w:rPr>
          <w:t xml:space="preserve">Sosenko JM, Kato M, Soto R, Bild DE. </w:t>
        </w:r>
      </w:hyperlink>
      <w:hyperlink r:id="rId2" w:history="1">
        <w:r w:rsidRPr="00923562">
          <w:rPr>
            <w:rFonts w:ascii="Times" w:hAnsi="Times" w:cs="Times New Roman"/>
            <w:color w:val="000000"/>
            <w:lang w:val="en-GB"/>
          </w:rPr>
          <w:t xml:space="preserve">Comparison of quantitative sensory-threshold measures for their association with foot ulceration in diabetic patients. Diabetes </w:t>
        </w:r>
      </w:hyperlink>
      <w:hyperlink r:id="rId3" w:history="1">
        <w:r w:rsidRPr="00923562">
          <w:rPr>
            <w:rFonts w:ascii="Times" w:hAnsi="Times" w:cs="Times New Roman"/>
            <w:color w:val="000000"/>
            <w:lang w:val="en-US"/>
          </w:rPr>
          <w:t>Care 1990; 13:1057.</w:t>
        </w:r>
      </w:hyperlink>
    </w:p>
    <w:p w14:paraId="0AFB430E" w14:textId="77777777" w:rsidR="002114B9" w:rsidRPr="00923562" w:rsidRDefault="002114B9" w:rsidP="00923562">
      <w:pPr>
        <w:pStyle w:val="Footnote"/>
        <w:ind w:left="0" w:firstLine="0"/>
        <w:jc w:val="both"/>
        <w:rPr>
          <w:rFonts w:ascii="Times" w:hAnsi="Times" w:cs="Times New Roman"/>
          <w:lang w:val="en-US"/>
        </w:rPr>
      </w:pPr>
    </w:p>
  </w:endnote>
  <w:endnote w:id="65">
    <w:p w14:paraId="64481FE3" w14:textId="77777777" w:rsidR="002114B9" w:rsidRPr="00923562" w:rsidRDefault="002114B9" w:rsidP="00923562">
      <w:pPr>
        <w:pStyle w:val="Footnote"/>
        <w:ind w:left="0" w:firstLine="0"/>
        <w:jc w:val="both"/>
        <w:rPr>
          <w:rFonts w:ascii="Times" w:hAnsi="Times" w:cs="Times New Roman"/>
          <w:color w:val="000000"/>
          <w:lang w:val="en-US"/>
        </w:rPr>
      </w:pPr>
      <w:r w:rsidRPr="00923562">
        <w:rPr>
          <w:rStyle w:val="Rimandonotadichiusura"/>
          <w:rFonts w:ascii="Times" w:hAnsi="Times" w:cs="Times New Roman"/>
        </w:rPr>
        <w:endnoteRef/>
      </w:r>
      <w:hyperlink r:id="rId4" w:history="1">
        <w:r w:rsidRPr="00923562">
          <w:rPr>
            <w:rFonts w:ascii="Times" w:hAnsi="Times" w:cs="Times New Roman"/>
            <w:color w:val="000000"/>
            <w:lang w:val="en-GB"/>
          </w:rPr>
          <w:t>Pham H, Armstrong DG, Harvey C, et al. Screening techniques to identify people at high risk for diabetic foot ulceration: a prospective multicenter trial. Diabetes Ca</w:t>
        </w:r>
      </w:hyperlink>
      <w:hyperlink r:id="rId5" w:history="1">
        <w:r w:rsidRPr="00923562">
          <w:rPr>
            <w:rFonts w:ascii="Times" w:hAnsi="Times" w:cs="Times New Roman"/>
            <w:color w:val="000000"/>
            <w:lang w:val="en-US"/>
          </w:rPr>
          <w:t>re 2000; 23:606.</w:t>
        </w:r>
      </w:hyperlink>
    </w:p>
    <w:p w14:paraId="3DFC4352" w14:textId="77777777" w:rsidR="002114B9" w:rsidRPr="00923562" w:rsidRDefault="002114B9" w:rsidP="00923562">
      <w:pPr>
        <w:pStyle w:val="Footnote"/>
        <w:ind w:left="0" w:firstLine="0"/>
        <w:jc w:val="both"/>
        <w:rPr>
          <w:rFonts w:ascii="Times" w:hAnsi="Times" w:cs="Times New Roman"/>
          <w:lang w:val="en-US"/>
        </w:rPr>
      </w:pPr>
    </w:p>
  </w:endnote>
  <w:endnote w:id="66">
    <w:p w14:paraId="11AF844C" w14:textId="77777777" w:rsidR="002114B9" w:rsidRPr="00923562" w:rsidRDefault="002114B9" w:rsidP="00923562">
      <w:pPr>
        <w:pStyle w:val="Footnote"/>
        <w:ind w:left="0" w:firstLine="0"/>
        <w:jc w:val="both"/>
        <w:rPr>
          <w:rFonts w:ascii="Times" w:hAnsi="Times" w:cs="Times New Roman"/>
          <w:color w:val="000000"/>
          <w:lang w:val="en-US"/>
        </w:rPr>
      </w:pPr>
      <w:r w:rsidRPr="00923562">
        <w:rPr>
          <w:rStyle w:val="Rimandonotadichiusura"/>
          <w:rFonts w:ascii="Times" w:hAnsi="Times" w:cs="Times New Roman"/>
        </w:rPr>
        <w:endnoteRef/>
      </w:r>
      <w:hyperlink r:id="rId6" w:history="1">
        <w:r w:rsidRPr="00923562">
          <w:rPr>
            <w:rFonts w:ascii="Times" w:hAnsi="Times" w:cs="Times New Roman"/>
            <w:color w:val="000000"/>
            <w:lang w:val="en-US"/>
          </w:rPr>
          <w:t>Mayfield JA, Sugarman JR. The use of the Semmes-Weinstein monofilament and other threshold tests for preventing foot ulceration and amputation in persons with diabetes. J Fam Pract 2000; 49: S17.</w:t>
        </w:r>
      </w:hyperlink>
    </w:p>
    <w:p w14:paraId="1573137B" w14:textId="77777777" w:rsidR="002114B9" w:rsidRPr="00923562" w:rsidRDefault="002114B9" w:rsidP="00923562">
      <w:pPr>
        <w:pStyle w:val="Footnote"/>
        <w:ind w:left="0" w:firstLine="0"/>
        <w:jc w:val="both"/>
        <w:rPr>
          <w:rFonts w:ascii="Times" w:hAnsi="Times" w:cs="Times New Roman"/>
          <w:lang w:val="en-US"/>
        </w:rPr>
      </w:pPr>
    </w:p>
  </w:endnote>
  <w:endnote w:id="67">
    <w:p w14:paraId="7ABF0E2D"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Young MJ, Breddy JL, Veves A, Boulton AJ. The prediction of diabetic neuropathic foot ulceration using vibration perception thresholds. A prospective study. Diabetes Care 1994; 17:557.</w:t>
      </w:r>
    </w:p>
    <w:p w14:paraId="0E8FD2E8" w14:textId="77777777" w:rsidR="002114B9" w:rsidRPr="00923562" w:rsidRDefault="002114B9" w:rsidP="00923562">
      <w:pPr>
        <w:pStyle w:val="Footnote"/>
        <w:ind w:left="0" w:firstLine="0"/>
        <w:jc w:val="both"/>
        <w:rPr>
          <w:rFonts w:ascii="Times" w:hAnsi="Times" w:cs="Times New Roman"/>
          <w:lang w:val="en-US"/>
        </w:rPr>
      </w:pPr>
    </w:p>
  </w:endnote>
  <w:endnote w:id="68">
    <w:p w14:paraId="3E9AB9D1"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US"/>
        </w:rPr>
        <w:t xml:space="preserve">Uccioli L, Monticone G, Russo F, Morm i l e F, Durola L, Mennuni G, Bergamo F, Menzinger G: Autonomic neuropathy and transcutaneous oxymetry in diabetic lower extremities. </w:t>
      </w:r>
      <w:r w:rsidRPr="00923562">
        <w:rPr>
          <w:rFonts w:ascii="Times" w:hAnsi="Times" w:cs="Times New Roman"/>
          <w:i/>
          <w:iCs/>
          <w:lang w:val="en-GB"/>
        </w:rPr>
        <w:t xml:space="preserve">Diabetologia  </w:t>
      </w:r>
      <w:r w:rsidRPr="00923562">
        <w:rPr>
          <w:rFonts w:ascii="Times" w:hAnsi="Times" w:cs="Times New Roman"/>
          <w:lang w:val="en-GB"/>
        </w:rPr>
        <w:t xml:space="preserve"> 4; 37: 1051 – 1055.</w:t>
      </w:r>
    </w:p>
    <w:p w14:paraId="50D74EDB" w14:textId="77777777" w:rsidR="002114B9" w:rsidRPr="00923562" w:rsidRDefault="002114B9" w:rsidP="00923562">
      <w:pPr>
        <w:pStyle w:val="Footnote"/>
        <w:ind w:left="0" w:firstLine="0"/>
        <w:jc w:val="both"/>
        <w:rPr>
          <w:rFonts w:ascii="Times" w:hAnsi="Times" w:cs="Times New Roman"/>
          <w:lang w:val="en-US"/>
        </w:rPr>
      </w:pPr>
    </w:p>
  </w:endnote>
  <w:endnote w:id="69">
    <w:p w14:paraId="6EF90FC8"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Lavery LA, Armstrong DG, Boulton AJ. Ankle equinus deformity and its relationship to high plantar pressure in a large population with dia betes mellitus. 2002 J Am Podiatr Med Assoc 92:479-482.</w:t>
      </w:r>
    </w:p>
    <w:p w14:paraId="63DF5EE5" w14:textId="77777777" w:rsidR="002114B9" w:rsidRPr="00923562" w:rsidRDefault="002114B9" w:rsidP="00923562">
      <w:pPr>
        <w:pStyle w:val="Footnote"/>
        <w:ind w:left="0" w:firstLine="0"/>
        <w:jc w:val="both"/>
        <w:rPr>
          <w:rFonts w:ascii="Times" w:hAnsi="Times" w:cs="Times New Roman"/>
          <w:lang w:val="en-US"/>
        </w:rPr>
      </w:pPr>
    </w:p>
  </w:endnote>
  <w:endnote w:id="70">
    <w:p w14:paraId="0B485F1F"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Mueller MJ, Sinacore DR, Hastings MK, Strube MJ, Johnson JE. Effect of achilles tendon lengthening on neuropathic plantar ulcers. A randomized clinical trial. J Bone Joint Surg 2003; 85A:1436-1445.</w:t>
      </w:r>
    </w:p>
    <w:p w14:paraId="7275D943" w14:textId="77777777" w:rsidR="002114B9" w:rsidRPr="00923562" w:rsidRDefault="002114B9" w:rsidP="00923562">
      <w:pPr>
        <w:pStyle w:val="Footnote"/>
        <w:ind w:left="0" w:firstLine="0"/>
        <w:jc w:val="both"/>
        <w:rPr>
          <w:rFonts w:ascii="Times" w:hAnsi="Times" w:cs="Times New Roman"/>
          <w:lang w:val="en-US"/>
        </w:rPr>
      </w:pPr>
    </w:p>
  </w:endnote>
  <w:endnote w:id="71">
    <w:p w14:paraId="2E1CD79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Katoulis EC, Ebdon-Parry M, Lanshammar H et al. Gait abnormalities in diabetic neuropathy. Diabetes Care 1997; 20:1904–1907.</w:t>
      </w:r>
    </w:p>
    <w:p w14:paraId="2387F6F4" w14:textId="77777777" w:rsidR="002114B9" w:rsidRPr="00923562" w:rsidRDefault="002114B9" w:rsidP="00923562">
      <w:pPr>
        <w:pStyle w:val="Footnote"/>
        <w:ind w:left="0" w:firstLine="0"/>
        <w:jc w:val="both"/>
        <w:rPr>
          <w:rFonts w:ascii="Times" w:hAnsi="Times" w:cs="Times New Roman"/>
          <w:lang w:val="en-US"/>
        </w:rPr>
      </w:pPr>
    </w:p>
  </w:endnote>
  <w:endnote w:id="72">
    <w:p w14:paraId="3219B779"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Aso Y, Fujiwara Y, Inukai T, Takemura Y: Power spectral analysis of heart rate variation in diabetic patients with neuropathic foot ulceration. </w:t>
      </w:r>
      <w:r w:rsidRPr="00923562">
        <w:rPr>
          <w:rFonts w:ascii="Times" w:hAnsi="Times" w:cs="Times New Roman"/>
          <w:i/>
          <w:iCs/>
          <w:lang w:val="en-GB"/>
        </w:rPr>
        <w:t xml:space="preserve">Diabetes Care </w:t>
      </w:r>
      <w:r w:rsidRPr="00923562">
        <w:rPr>
          <w:rFonts w:ascii="Times" w:hAnsi="Times" w:cs="Times New Roman"/>
          <w:lang w:val="en-GB"/>
        </w:rPr>
        <w:t>8; 21: 1173 – 1177.</w:t>
      </w:r>
    </w:p>
    <w:p w14:paraId="1FA065B7" w14:textId="77777777" w:rsidR="002114B9" w:rsidRPr="00923562" w:rsidRDefault="002114B9" w:rsidP="00923562">
      <w:pPr>
        <w:pStyle w:val="Footnote"/>
        <w:ind w:left="0" w:firstLine="0"/>
        <w:jc w:val="both"/>
        <w:rPr>
          <w:rFonts w:ascii="Times" w:hAnsi="Times" w:cs="Times New Roman"/>
          <w:lang w:val="en-US"/>
        </w:rPr>
      </w:pPr>
    </w:p>
  </w:endnote>
  <w:endnote w:id="73">
    <w:p w14:paraId="676ADF44" w14:textId="77777777" w:rsidR="002114B9" w:rsidRPr="00923562" w:rsidRDefault="002114B9" w:rsidP="00923562">
      <w:pPr>
        <w:pStyle w:val="Footnote"/>
        <w:ind w:left="0" w:firstLine="0"/>
        <w:jc w:val="both"/>
        <w:rPr>
          <w:rFonts w:ascii="Times" w:hAnsi="Times" w:cs="Times New Roman"/>
          <w:lang w:val="en-US" w:eastAsia="it-IT"/>
        </w:rPr>
      </w:pPr>
      <w:r w:rsidRPr="00923562">
        <w:rPr>
          <w:rStyle w:val="Rimandonotadichiusura"/>
          <w:rFonts w:ascii="Times" w:hAnsi="Times" w:cs="Times New Roman"/>
        </w:rPr>
        <w:endnoteRef/>
      </w:r>
      <w:r w:rsidRPr="00923562">
        <w:rPr>
          <w:rFonts w:ascii="Times" w:hAnsi="Times" w:cs="Times New Roman"/>
          <w:lang w:val="nl-NL" w:eastAsia="it-IT"/>
        </w:rPr>
        <w:t xml:space="preserve">Nabuurs-Franssen MH, Houben AJ, Tooke JE, Schaper NC. </w:t>
      </w:r>
      <w:r w:rsidRPr="00923562">
        <w:rPr>
          <w:rFonts w:ascii="Times" w:hAnsi="Times" w:cs="Times New Roman"/>
          <w:lang w:val="en-US" w:eastAsia="it-IT"/>
        </w:rPr>
        <w:t>The effect of polyneuropathy on foot microcirculation in Type II diabetes. Diabetologia 2002; 45:1164-1171.</w:t>
      </w:r>
    </w:p>
    <w:p w14:paraId="0A041FFA" w14:textId="77777777" w:rsidR="002114B9" w:rsidRPr="00923562" w:rsidRDefault="002114B9" w:rsidP="00923562">
      <w:pPr>
        <w:pStyle w:val="Footnote"/>
        <w:ind w:left="0" w:firstLine="0"/>
        <w:jc w:val="both"/>
        <w:rPr>
          <w:rFonts w:ascii="Times" w:hAnsi="Times" w:cs="Times New Roman"/>
          <w:lang w:val="en-US"/>
        </w:rPr>
      </w:pPr>
    </w:p>
  </w:endnote>
  <w:endnote w:id="74">
    <w:p w14:paraId="5B4B7F5A" w14:textId="77777777" w:rsidR="002114B9" w:rsidRPr="00923562" w:rsidRDefault="002114B9" w:rsidP="00923562">
      <w:pPr>
        <w:pStyle w:val="Footnote"/>
        <w:ind w:left="0" w:firstLine="0"/>
        <w:jc w:val="both"/>
        <w:rPr>
          <w:rFonts w:ascii="Times" w:hAnsi="Times" w:cs="Times New Roman"/>
        </w:rPr>
      </w:pPr>
      <w:r w:rsidRPr="00923562">
        <w:rPr>
          <w:rStyle w:val="Rimandonotadichiusura"/>
          <w:rFonts w:ascii="Times" w:hAnsi="Times" w:cs="Times New Roman"/>
        </w:rPr>
        <w:endnoteRef/>
      </w:r>
      <w:r w:rsidRPr="00923562">
        <w:rPr>
          <w:rFonts w:ascii="Times" w:hAnsi="Times" w:cs="Times New Roman"/>
          <w:lang w:val="en-US"/>
        </w:rPr>
        <w:t xml:space="preserve">Abbott CA, Vileikyte L, Williamson S, Carrington AL, Boulton AJM. Multicentre study of the incidence of and predictive factors for diabetic neuropathic foot ulcers. </w:t>
      </w:r>
      <w:r w:rsidRPr="00923562">
        <w:rPr>
          <w:rFonts w:ascii="Times" w:hAnsi="Times" w:cs="Times New Roman"/>
        </w:rPr>
        <w:t>Diabetes Care 1998; 21:1071–1075</w:t>
      </w:r>
    </w:p>
    <w:p w14:paraId="7A618F1C" w14:textId="77777777" w:rsidR="002114B9" w:rsidRPr="00923562" w:rsidRDefault="002114B9" w:rsidP="00923562">
      <w:pPr>
        <w:pStyle w:val="Footnote"/>
        <w:ind w:left="0" w:firstLine="0"/>
        <w:jc w:val="both"/>
        <w:rPr>
          <w:rFonts w:ascii="Times" w:hAnsi="Times" w:cs="Times New Roman"/>
        </w:rPr>
      </w:pPr>
    </w:p>
  </w:endnote>
  <w:endnote w:id="75">
    <w:p w14:paraId="0BBC2933"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rPr>
        <w:t xml:space="preserve"> Faglia E , Dalla Paola L , Clerici G et al . </w:t>
      </w:r>
      <w:r w:rsidRPr="00923562">
        <w:rPr>
          <w:rFonts w:ascii="Times" w:hAnsi="Times"/>
          <w:szCs w:val="20"/>
          <w:lang w:val="en-US"/>
        </w:rPr>
        <w:t>Peripheral angioplasty as the first choice revascularization procedure in diabetic patients with critical limb ischemia : prospective study of 993 consecutive p</w:t>
      </w:r>
      <w:r w:rsidRPr="00923562">
        <w:rPr>
          <w:rFonts w:ascii="Times" w:hAnsi="Times"/>
          <w:szCs w:val="20"/>
          <w:lang w:val="en-US"/>
        </w:rPr>
        <w:t>a</w:t>
      </w:r>
      <w:r w:rsidRPr="00923562">
        <w:rPr>
          <w:rFonts w:ascii="Times" w:hAnsi="Times"/>
          <w:szCs w:val="20"/>
          <w:lang w:val="en-US"/>
        </w:rPr>
        <w:t xml:space="preserve">tients hospitalized and followed between 1999 and 2003 . </w:t>
      </w:r>
      <w:r w:rsidRPr="00923562">
        <w:rPr>
          <w:rFonts w:ascii="Times" w:hAnsi="Times"/>
          <w:i/>
          <w:iCs/>
          <w:szCs w:val="20"/>
          <w:lang w:val="en-US"/>
        </w:rPr>
        <w:t>Eur J Vasc Endovasc Surg</w:t>
      </w:r>
      <w:r w:rsidRPr="00923562">
        <w:rPr>
          <w:rFonts w:ascii="Times" w:hAnsi="Times"/>
          <w:szCs w:val="20"/>
          <w:lang w:val="en-US"/>
        </w:rPr>
        <w:t xml:space="preserve"> 2005 ; 6 : 620-627</w:t>
      </w:r>
    </w:p>
    <w:p w14:paraId="4C853F1A" w14:textId="77777777" w:rsidR="002114B9" w:rsidRPr="00923562" w:rsidRDefault="002114B9" w:rsidP="00923562">
      <w:pPr>
        <w:pStyle w:val="Testonotadichiusura"/>
        <w:rPr>
          <w:rFonts w:ascii="Times" w:hAnsi="Times"/>
          <w:szCs w:val="20"/>
          <w:lang w:val="en-US"/>
        </w:rPr>
      </w:pPr>
    </w:p>
  </w:endnote>
  <w:endnote w:id="76">
    <w:p w14:paraId="2ED29D6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Carrington AL, Shaw JE, Van Schie CHM, Abbott CA, Vileikyte L, Boulton AJM () Can motor nerve conduction velocity predict foot problems in diabetes over a six years outcome period? Diabetes Care 2002; 25:2010–2015.</w:t>
      </w:r>
    </w:p>
    <w:p w14:paraId="60EDC499" w14:textId="77777777" w:rsidR="002114B9" w:rsidRPr="00923562" w:rsidRDefault="002114B9" w:rsidP="00923562">
      <w:pPr>
        <w:pStyle w:val="Footnote"/>
        <w:ind w:left="0" w:firstLine="0"/>
        <w:jc w:val="both"/>
        <w:rPr>
          <w:rFonts w:ascii="Times" w:hAnsi="Times" w:cs="Times New Roman"/>
          <w:lang w:val="en-US"/>
        </w:rPr>
      </w:pPr>
    </w:p>
  </w:endnote>
  <w:endnote w:id="77">
    <w:p w14:paraId="1C9BFA4D" w14:textId="77777777" w:rsidR="002114B9" w:rsidRPr="00923562" w:rsidRDefault="002114B9" w:rsidP="00923562">
      <w:pPr>
        <w:pStyle w:val="Testonotadichiusura"/>
        <w:rPr>
          <w:rFonts w:ascii="Times" w:hAnsi="Times"/>
          <w:color w:val="292526"/>
          <w:szCs w:val="20"/>
          <w:lang w:val="en-GB"/>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color w:val="292526"/>
          <w:szCs w:val="20"/>
          <w:lang w:val="da-DK"/>
        </w:rPr>
        <w:t xml:space="preserve">Reiber GE, Vileikyte L, Boyko EJ et al.  </w:t>
      </w:r>
      <w:r w:rsidRPr="00923562">
        <w:rPr>
          <w:rFonts w:ascii="Times" w:hAnsi="Times"/>
          <w:color w:val="292526"/>
          <w:szCs w:val="20"/>
          <w:lang w:val="en-GB"/>
        </w:rPr>
        <w:t>Causal pathway for incident lower extremity ulcers in p</w:t>
      </w:r>
      <w:r w:rsidRPr="00923562">
        <w:rPr>
          <w:rFonts w:ascii="Times" w:hAnsi="Times"/>
          <w:color w:val="292526"/>
          <w:szCs w:val="20"/>
          <w:lang w:val="en-GB"/>
        </w:rPr>
        <w:t>a</w:t>
      </w:r>
      <w:r w:rsidRPr="00923562">
        <w:rPr>
          <w:rFonts w:ascii="Times" w:hAnsi="Times"/>
          <w:color w:val="292526"/>
          <w:szCs w:val="20"/>
          <w:lang w:val="en-GB"/>
        </w:rPr>
        <w:t>tients with diabetes from two settings. Diabetes Care 1999; 22:157–162.</w:t>
      </w:r>
    </w:p>
    <w:p w14:paraId="26DE11D9" w14:textId="77777777" w:rsidR="002114B9" w:rsidRPr="00923562" w:rsidRDefault="002114B9" w:rsidP="00923562">
      <w:pPr>
        <w:pStyle w:val="Testonotadichiusura"/>
        <w:rPr>
          <w:rFonts w:ascii="Times" w:hAnsi="Times"/>
          <w:szCs w:val="20"/>
          <w:lang w:val="en-US"/>
        </w:rPr>
      </w:pPr>
    </w:p>
  </w:endnote>
  <w:endnote w:id="78">
    <w:p w14:paraId="305F7C5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Murray HJ, Young MJ, Boulton AJM. The relationship between callus formation, high pressures and neuropathy in diabetic foot ulceration. Diabetic Med 1996; 13:979–982.</w:t>
      </w:r>
    </w:p>
    <w:p w14:paraId="5A30D1AB" w14:textId="77777777" w:rsidR="002114B9" w:rsidRPr="00923562" w:rsidRDefault="002114B9" w:rsidP="00923562">
      <w:pPr>
        <w:pStyle w:val="Footnote"/>
        <w:ind w:left="0" w:firstLine="0"/>
        <w:jc w:val="both"/>
        <w:rPr>
          <w:rFonts w:ascii="Times" w:hAnsi="Times" w:cs="Times New Roman"/>
          <w:lang w:val="en-US"/>
        </w:rPr>
      </w:pPr>
    </w:p>
  </w:endnote>
  <w:endnote w:id="79">
    <w:p w14:paraId="1DE86756"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National Diabetes Data Group: </w:t>
      </w:r>
      <w:r w:rsidRPr="00923562">
        <w:rPr>
          <w:rFonts w:ascii="Times" w:hAnsi="Times" w:cs="Times New Roman"/>
          <w:i/>
          <w:iCs/>
          <w:lang w:val="en-GB"/>
        </w:rPr>
        <w:t>Diabetes in America</w:t>
      </w:r>
      <w:r w:rsidRPr="00923562">
        <w:rPr>
          <w:rFonts w:ascii="Times" w:hAnsi="Times" w:cs="Times New Roman"/>
          <w:lang w:val="en-GB"/>
        </w:rPr>
        <w:t>, Harris MI, Hamman RF, 1985, eds NIH publ. no. 85-1468.</w:t>
      </w:r>
    </w:p>
    <w:p w14:paraId="77D11C64" w14:textId="77777777" w:rsidR="002114B9" w:rsidRPr="00923562" w:rsidRDefault="002114B9" w:rsidP="00923562">
      <w:pPr>
        <w:pStyle w:val="Footnote"/>
        <w:ind w:left="0" w:firstLine="0"/>
        <w:jc w:val="both"/>
        <w:rPr>
          <w:rFonts w:ascii="Times" w:hAnsi="Times" w:cs="Times New Roman"/>
          <w:lang w:val="en-US"/>
        </w:rPr>
      </w:pPr>
    </w:p>
  </w:endnote>
  <w:endnote w:id="80">
    <w:p w14:paraId="2C3B137A" w14:textId="77777777" w:rsidR="002114B9" w:rsidRPr="00923562" w:rsidRDefault="002114B9" w:rsidP="00923562">
      <w:pPr>
        <w:pStyle w:val="Footnote"/>
        <w:ind w:left="0" w:firstLine="0"/>
        <w:jc w:val="both"/>
        <w:rPr>
          <w:rFonts w:ascii="Times" w:hAnsi="Times" w:cs="Times New Roman"/>
          <w:lang w:val="en-US"/>
        </w:rPr>
      </w:pPr>
    </w:p>
    <w:p w14:paraId="7166FF91"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Jude EB, Oyibo SO, Chalmers N, Boulton AJM. Peripheral arterial disease in diabetic and non-diabetic patients: a comparison of severity and outcome. Diabetes Care 2001; 24:1433–1437.</w:t>
      </w:r>
    </w:p>
    <w:p w14:paraId="17674C1F" w14:textId="77777777" w:rsidR="002114B9" w:rsidRPr="00923562" w:rsidRDefault="002114B9" w:rsidP="00923562">
      <w:pPr>
        <w:pStyle w:val="Footnote"/>
        <w:ind w:left="0" w:firstLine="0"/>
        <w:jc w:val="both"/>
        <w:rPr>
          <w:rFonts w:ascii="Times" w:hAnsi="Times" w:cs="Times New Roman"/>
          <w:lang w:val="en-US"/>
        </w:rPr>
      </w:pPr>
    </w:p>
  </w:endnote>
  <w:endnote w:id="81">
    <w:p w14:paraId="70E01135" w14:textId="77777777" w:rsidR="002114B9" w:rsidRPr="00923562" w:rsidRDefault="002114B9" w:rsidP="00923562">
      <w:pPr>
        <w:pStyle w:val="Testonotadichiusura"/>
        <w:rPr>
          <w:rFonts w:ascii="Times" w:hAnsi="Times"/>
          <w:color w:val="292526"/>
          <w:szCs w:val="20"/>
          <w:lang w:val="en-GB"/>
        </w:rPr>
      </w:pPr>
      <w:r w:rsidRPr="00923562">
        <w:rPr>
          <w:rStyle w:val="Rimandonotadichiusura"/>
          <w:rFonts w:ascii="Times" w:hAnsi="Times"/>
          <w:szCs w:val="20"/>
        </w:rPr>
        <w:endnoteRef/>
      </w:r>
      <w:r w:rsidRPr="00923562">
        <w:rPr>
          <w:rFonts w:ascii="Times" w:hAnsi="Times"/>
          <w:szCs w:val="20"/>
          <w:lang w:val="en-GB"/>
        </w:rPr>
        <w:t xml:space="preserve"> </w:t>
      </w:r>
      <w:r w:rsidRPr="00923562">
        <w:rPr>
          <w:rFonts w:ascii="Times" w:hAnsi="Times"/>
          <w:color w:val="292526"/>
          <w:szCs w:val="20"/>
          <w:lang w:val="da-DK"/>
        </w:rPr>
        <w:t xml:space="preserve">Reiber GE, Vileikyte L, Boyko EJ et al. </w:t>
      </w:r>
      <w:r w:rsidRPr="00923562">
        <w:rPr>
          <w:rFonts w:ascii="Times" w:hAnsi="Times"/>
          <w:color w:val="292526"/>
          <w:szCs w:val="20"/>
          <w:lang w:val="en-GB"/>
        </w:rPr>
        <w:t>Causal pathway for incident lower extremity ulcers in p</w:t>
      </w:r>
      <w:r w:rsidRPr="00923562">
        <w:rPr>
          <w:rFonts w:ascii="Times" w:hAnsi="Times"/>
          <w:color w:val="292526"/>
          <w:szCs w:val="20"/>
          <w:lang w:val="en-GB"/>
        </w:rPr>
        <w:t>a</w:t>
      </w:r>
      <w:r w:rsidRPr="00923562">
        <w:rPr>
          <w:rFonts w:ascii="Times" w:hAnsi="Times"/>
          <w:color w:val="292526"/>
          <w:szCs w:val="20"/>
          <w:lang w:val="en-GB"/>
        </w:rPr>
        <w:t>tients with diabetes from two settings. Diabetes Care 1999; 22:157–162 35. Boulton AJM, Hardisty CA, Betts RP et al. Dynamic foot pressure and other studies as diagnostic and management aids for diabetic neuropathy. Diabetes Care 1983; 6:26–33.</w:t>
      </w:r>
    </w:p>
    <w:p w14:paraId="5F011730" w14:textId="77777777" w:rsidR="002114B9" w:rsidRPr="00923562" w:rsidRDefault="002114B9" w:rsidP="00923562">
      <w:pPr>
        <w:pStyle w:val="Testonotadichiusura"/>
        <w:rPr>
          <w:rFonts w:ascii="Times" w:hAnsi="Times"/>
          <w:szCs w:val="20"/>
          <w:lang w:val="en-GB"/>
        </w:rPr>
      </w:pPr>
    </w:p>
  </w:endnote>
  <w:endnote w:id="82">
    <w:p w14:paraId="47E36CDF"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Walters DP, Gatling W,</w:t>
      </w:r>
      <w:r w:rsidRPr="00923562">
        <w:rPr>
          <w:rFonts w:ascii="Times" w:hAnsi="Times" w:cs="Times New Roman"/>
          <w:lang w:val="en-GB"/>
        </w:rPr>
        <w:t xml:space="preserve"> Mullee</w:t>
      </w:r>
      <w:r w:rsidRPr="00923562">
        <w:rPr>
          <w:rFonts w:ascii="Times" w:hAnsi="Times" w:cs="Times New Roman"/>
          <w:lang w:val="en-US"/>
        </w:rPr>
        <w:t xml:space="preserve"> MA, Hill RD. The distribution and severity of diabetic foot disease: A community study with comparison to a non-diabetic group. Diabetic Medicine</w:t>
      </w:r>
    </w:p>
    <w:p w14:paraId="7AD47815" w14:textId="77777777" w:rsidR="002114B9" w:rsidRPr="00923562" w:rsidRDefault="002114B9" w:rsidP="00923562">
      <w:pPr>
        <w:pStyle w:val="Footnote"/>
        <w:ind w:left="0" w:firstLine="0"/>
        <w:jc w:val="both"/>
        <w:rPr>
          <w:rFonts w:ascii="Times" w:hAnsi="Times" w:cs="Times New Roman"/>
          <w:lang w:val="en-US"/>
        </w:rPr>
      </w:pPr>
    </w:p>
  </w:endnote>
  <w:endnote w:id="83">
    <w:p w14:paraId="440FAC00" w14:textId="77777777" w:rsidR="002114B9" w:rsidRPr="00923562" w:rsidRDefault="002114B9" w:rsidP="00923562">
      <w:pPr>
        <w:pStyle w:val="Footnote"/>
        <w:pageBreakBefore/>
        <w:ind w:left="0" w:firstLine="0"/>
        <w:jc w:val="both"/>
        <w:rPr>
          <w:rFonts w:ascii="Times" w:hAnsi="Times" w:cs="Times New Roman"/>
          <w:color w:val="231F20"/>
          <w:lang w:val="en-GB"/>
        </w:rPr>
      </w:pPr>
      <w:r w:rsidRPr="00923562">
        <w:rPr>
          <w:rStyle w:val="Rimandonotadichiusura"/>
          <w:rFonts w:ascii="Times" w:hAnsi="Times" w:cs="Times New Roman"/>
        </w:rPr>
        <w:endnoteRef/>
      </w:r>
      <w:r w:rsidRPr="00923562">
        <w:rPr>
          <w:rFonts w:ascii="Times" w:hAnsi="Times" w:cs="Times New Roman"/>
          <w:color w:val="231F20"/>
          <w:lang w:val="fr-FR"/>
        </w:rPr>
        <w:t xml:space="preserve">Charcot J. Sur quelques arthropathies qui paraissent dépendre d’une lesion du cerveau ou de la moelle épinière. </w:t>
      </w:r>
      <w:r w:rsidRPr="00923562">
        <w:rPr>
          <w:rFonts w:ascii="Times" w:hAnsi="Times" w:cs="Times New Roman"/>
          <w:i/>
          <w:iCs/>
          <w:color w:val="231F20"/>
          <w:lang w:val="en-GB"/>
        </w:rPr>
        <w:t xml:space="preserve">Arch Des Phys Norm Path </w:t>
      </w:r>
      <w:r w:rsidRPr="00923562">
        <w:rPr>
          <w:rFonts w:ascii="Times" w:hAnsi="Times" w:cs="Times New Roman"/>
          <w:color w:val="231F20"/>
          <w:lang w:val="en-GB"/>
        </w:rPr>
        <w:t xml:space="preserve">1868; </w:t>
      </w:r>
      <w:r w:rsidRPr="00923562">
        <w:rPr>
          <w:rFonts w:ascii="Times" w:hAnsi="Times" w:cs="Times New Roman"/>
          <w:bCs/>
          <w:color w:val="231F20"/>
          <w:lang w:val="en-GB"/>
        </w:rPr>
        <w:t>1</w:t>
      </w:r>
      <w:r w:rsidRPr="00923562">
        <w:rPr>
          <w:rFonts w:ascii="Times" w:hAnsi="Times" w:cs="Times New Roman"/>
          <w:color w:val="231F20"/>
          <w:lang w:val="en-GB"/>
        </w:rPr>
        <w:t>: 161–178.</w:t>
      </w:r>
    </w:p>
    <w:p w14:paraId="284644E8" w14:textId="77777777" w:rsidR="002114B9" w:rsidRPr="00923562" w:rsidRDefault="002114B9" w:rsidP="00923562">
      <w:pPr>
        <w:pStyle w:val="Footnote"/>
        <w:pageBreakBefore/>
        <w:ind w:left="0" w:firstLine="0"/>
        <w:jc w:val="both"/>
        <w:rPr>
          <w:rFonts w:ascii="Times" w:hAnsi="Times" w:cs="Times New Roman"/>
          <w:lang w:val="en-US"/>
        </w:rPr>
      </w:pPr>
    </w:p>
  </w:endnote>
  <w:endnote w:id="84">
    <w:p w14:paraId="2ACE4802"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Jude EB, Selby PL, Burgess J, et al. Bisphospfonates in the treatment of Charcot Neuroarthrophaty: a double-blind randomised controlled trial. </w:t>
      </w:r>
      <w:r w:rsidRPr="00923562">
        <w:rPr>
          <w:rFonts w:ascii="Times" w:hAnsi="Times" w:cs="Times New Roman"/>
          <w:i/>
          <w:iCs/>
          <w:lang w:val="en-US"/>
        </w:rPr>
        <w:t xml:space="preserve">Diabetologia </w:t>
      </w:r>
      <w:r w:rsidRPr="00923562">
        <w:rPr>
          <w:rFonts w:ascii="Times" w:hAnsi="Times" w:cs="Times New Roman"/>
          <w:lang w:val="en-US"/>
        </w:rPr>
        <w:t>2001;44: 2032-7.</w:t>
      </w:r>
    </w:p>
    <w:p w14:paraId="46AD3264" w14:textId="77777777" w:rsidR="002114B9" w:rsidRPr="00923562" w:rsidRDefault="002114B9" w:rsidP="00923562">
      <w:pPr>
        <w:pStyle w:val="Footnote"/>
        <w:ind w:left="0" w:firstLine="0"/>
        <w:jc w:val="both"/>
        <w:rPr>
          <w:rFonts w:ascii="Times" w:hAnsi="Times" w:cs="Times New Roman"/>
          <w:lang w:val="en-US"/>
        </w:rPr>
      </w:pPr>
    </w:p>
  </w:endnote>
  <w:endnote w:id="85">
    <w:p w14:paraId="7D7312F9"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Shaw JE, Boulton AJM. The Charcot Foot 1995; 5: 65-70.</w:t>
      </w:r>
    </w:p>
    <w:p w14:paraId="42ABC2D5" w14:textId="77777777" w:rsidR="002114B9" w:rsidRPr="00923562" w:rsidRDefault="002114B9" w:rsidP="00923562">
      <w:pPr>
        <w:pStyle w:val="Footnote"/>
        <w:ind w:left="0" w:firstLine="0"/>
        <w:jc w:val="both"/>
        <w:rPr>
          <w:rFonts w:ascii="Times" w:hAnsi="Times" w:cs="Times New Roman"/>
          <w:lang w:val="en-US"/>
        </w:rPr>
      </w:pPr>
    </w:p>
  </w:endnote>
  <w:endnote w:id="86">
    <w:p w14:paraId="525E4044"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Cofield RH, Morrison MJ, Beabout JW, Diabetic Neuroarthropathy in the foot: patient characteristics and patterns of radiographic change. </w:t>
      </w:r>
      <w:r w:rsidRPr="00923562">
        <w:rPr>
          <w:rFonts w:ascii="Times" w:hAnsi="Times" w:cs="Times New Roman"/>
          <w:i/>
          <w:iCs/>
          <w:lang w:val="en-US"/>
        </w:rPr>
        <w:t xml:space="preserve">Foot Ankle </w:t>
      </w:r>
      <w:r w:rsidRPr="00923562">
        <w:rPr>
          <w:rFonts w:ascii="Times" w:hAnsi="Times" w:cs="Times New Roman"/>
          <w:lang w:val="en-US"/>
        </w:rPr>
        <w:t>1983; 57: 843-855.</w:t>
      </w:r>
    </w:p>
    <w:p w14:paraId="04D45735" w14:textId="77777777" w:rsidR="002114B9" w:rsidRPr="00923562" w:rsidRDefault="002114B9" w:rsidP="00923562">
      <w:pPr>
        <w:pStyle w:val="Footnote"/>
        <w:ind w:left="0" w:firstLine="0"/>
        <w:jc w:val="both"/>
        <w:rPr>
          <w:rFonts w:ascii="Times" w:hAnsi="Times" w:cs="Times New Roman"/>
          <w:lang w:val="en-US"/>
        </w:rPr>
      </w:pPr>
    </w:p>
  </w:endnote>
  <w:endnote w:id="87">
    <w:p w14:paraId="6122524F"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Young MJ, Marshall A, Adams JE, Selby PL, Boulton AJM. Osteopenia, neurological dysfunction and the develompment of Charcot neuroarthropathy. </w:t>
      </w:r>
      <w:r w:rsidRPr="00923562">
        <w:rPr>
          <w:rFonts w:ascii="Times" w:hAnsi="Times" w:cs="Times New Roman"/>
          <w:i/>
          <w:iCs/>
          <w:lang w:val="en-US"/>
        </w:rPr>
        <w:t>Diabetes Care</w:t>
      </w:r>
      <w:r w:rsidRPr="00923562">
        <w:rPr>
          <w:rFonts w:ascii="Times" w:hAnsi="Times" w:cs="Times New Roman"/>
          <w:lang w:val="en-US"/>
        </w:rPr>
        <w:t xml:space="preserve"> 1995; 18: 34-38.</w:t>
      </w:r>
    </w:p>
    <w:p w14:paraId="7CBC9A87" w14:textId="77777777" w:rsidR="002114B9" w:rsidRPr="00923562" w:rsidRDefault="002114B9" w:rsidP="00923562">
      <w:pPr>
        <w:pStyle w:val="Footnote"/>
        <w:ind w:left="0" w:firstLine="0"/>
        <w:jc w:val="both"/>
        <w:rPr>
          <w:rFonts w:ascii="Times" w:hAnsi="Times" w:cs="Times New Roman"/>
          <w:lang w:val="en-US"/>
        </w:rPr>
      </w:pPr>
    </w:p>
  </w:endnote>
  <w:endnote w:id="88">
    <w:p w14:paraId="6A813A95"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Cofield RH , Morrison MJ ,Beabout JW, Diabetic Neuroarthropathy in the foot : patient characteri</w:t>
      </w:r>
      <w:r w:rsidRPr="00923562">
        <w:rPr>
          <w:rFonts w:ascii="Times" w:hAnsi="Times"/>
          <w:szCs w:val="20"/>
          <w:lang w:val="en-US"/>
        </w:rPr>
        <w:t>s</w:t>
      </w:r>
      <w:r w:rsidRPr="00923562">
        <w:rPr>
          <w:rFonts w:ascii="Times" w:hAnsi="Times"/>
          <w:szCs w:val="20"/>
          <w:lang w:val="en-US"/>
        </w:rPr>
        <w:t xml:space="preserve">tics and patterns of radiographic change. </w:t>
      </w:r>
      <w:r w:rsidRPr="00923562">
        <w:rPr>
          <w:rFonts w:ascii="Times" w:hAnsi="Times"/>
          <w:i/>
          <w:iCs/>
          <w:szCs w:val="20"/>
          <w:lang w:val="en-US"/>
        </w:rPr>
        <w:t xml:space="preserve">Foot Ankle </w:t>
      </w:r>
      <w:r w:rsidRPr="00923562">
        <w:rPr>
          <w:rFonts w:ascii="Times" w:hAnsi="Times"/>
          <w:szCs w:val="20"/>
          <w:lang w:val="en-US"/>
        </w:rPr>
        <w:t>1983 ; 57 : 843-855</w:t>
      </w:r>
    </w:p>
    <w:p w14:paraId="7AB1449C" w14:textId="77777777" w:rsidR="002114B9" w:rsidRPr="00923562" w:rsidRDefault="002114B9" w:rsidP="00923562">
      <w:pPr>
        <w:pStyle w:val="Testonotadichiusura"/>
        <w:rPr>
          <w:rFonts w:ascii="Times" w:hAnsi="Times"/>
          <w:szCs w:val="20"/>
          <w:lang w:val="en-US"/>
        </w:rPr>
      </w:pPr>
    </w:p>
  </w:endnote>
  <w:endnote w:id="89">
    <w:p w14:paraId="7DA216BE"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Edmonds ME, Clarke MB, Newton S, Barret J, Watkins PJ. Increased uptake of bone radiopharmaceutical in diabetic neurophaty. Q J Med 1985; 57: 843-855.</w:t>
      </w:r>
    </w:p>
    <w:p w14:paraId="4E4F83D0" w14:textId="77777777" w:rsidR="002114B9" w:rsidRPr="00923562" w:rsidRDefault="002114B9" w:rsidP="00923562">
      <w:pPr>
        <w:pStyle w:val="Footnote"/>
        <w:ind w:left="0" w:firstLine="0"/>
        <w:jc w:val="both"/>
        <w:rPr>
          <w:rFonts w:ascii="Times" w:hAnsi="Times" w:cs="Times New Roman"/>
          <w:lang w:val="en-US"/>
        </w:rPr>
      </w:pPr>
    </w:p>
  </w:endnote>
  <w:endnote w:id="90">
    <w:p w14:paraId="5B80A817"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Young MJ ,Marshall A, Adams JE , Selby PL , Boulton AJM. Osteopenia, neurological dysfunction and the develompment of Charcot neuroarthropathy . </w:t>
      </w:r>
      <w:r w:rsidRPr="00923562">
        <w:rPr>
          <w:rFonts w:ascii="Times" w:hAnsi="Times"/>
          <w:i/>
          <w:iCs/>
          <w:szCs w:val="20"/>
          <w:lang w:val="en-US"/>
        </w:rPr>
        <w:t>Diabetes Care</w:t>
      </w:r>
      <w:r w:rsidRPr="00923562">
        <w:rPr>
          <w:rFonts w:ascii="Times" w:hAnsi="Times"/>
          <w:szCs w:val="20"/>
          <w:lang w:val="en-US"/>
        </w:rPr>
        <w:t xml:space="preserve"> 1995; 18 : 34-38.</w:t>
      </w:r>
    </w:p>
    <w:p w14:paraId="71BD58EA" w14:textId="77777777" w:rsidR="002114B9" w:rsidRPr="00923562" w:rsidRDefault="002114B9" w:rsidP="00923562">
      <w:pPr>
        <w:pStyle w:val="Testonotadichiusura"/>
        <w:rPr>
          <w:rFonts w:ascii="Times" w:hAnsi="Times"/>
          <w:szCs w:val="20"/>
          <w:lang w:val="en-US"/>
        </w:rPr>
      </w:pPr>
    </w:p>
  </w:endnote>
  <w:endnote w:id="91">
    <w:p w14:paraId="0808EBB1"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Edmonds ME , Clarke MB , Newton S , Barret J , Watkins PJ . Increased uptake of bone radiopha</w:t>
      </w:r>
      <w:r w:rsidRPr="00923562">
        <w:rPr>
          <w:rFonts w:ascii="Times" w:hAnsi="Times"/>
          <w:szCs w:val="20"/>
          <w:lang w:val="en-US"/>
        </w:rPr>
        <w:t>r</w:t>
      </w:r>
      <w:r w:rsidRPr="00923562">
        <w:rPr>
          <w:rFonts w:ascii="Times" w:hAnsi="Times"/>
          <w:szCs w:val="20"/>
          <w:lang w:val="en-US"/>
        </w:rPr>
        <w:t>maceutical in diabetic neurophaty. Q J Med 1985; 57: 843-855</w:t>
      </w:r>
    </w:p>
    <w:p w14:paraId="5946A151" w14:textId="77777777" w:rsidR="002114B9" w:rsidRPr="00923562" w:rsidRDefault="002114B9" w:rsidP="00923562">
      <w:pPr>
        <w:pStyle w:val="Testonotadichiusura"/>
        <w:rPr>
          <w:rFonts w:ascii="Times" w:hAnsi="Times"/>
          <w:szCs w:val="20"/>
          <w:lang w:val="en-US"/>
        </w:rPr>
      </w:pPr>
    </w:p>
  </w:endnote>
  <w:endnote w:id="92">
    <w:p w14:paraId="05A78D3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Edelson GW, Jensen JL, Kaczynsky R. Identifying acute Charcot arthropathy through urinary cross-linked N-telopeptides. </w:t>
      </w:r>
      <w:r w:rsidRPr="00923562">
        <w:rPr>
          <w:rFonts w:ascii="Times" w:hAnsi="Times" w:cs="Times New Roman"/>
          <w:i/>
          <w:iCs/>
          <w:lang w:val="en-US"/>
        </w:rPr>
        <w:t xml:space="preserve">Diabetes </w:t>
      </w:r>
      <w:r w:rsidRPr="00923562">
        <w:rPr>
          <w:rFonts w:ascii="Times" w:hAnsi="Times" w:cs="Times New Roman"/>
          <w:lang w:val="en-US"/>
        </w:rPr>
        <w:t>1996; 4: 108.</w:t>
      </w:r>
    </w:p>
    <w:p w14:paraId="07E193A9" w14:textId="77777777" w:rsidR="002114B9" w:rsidRPr="00923562" w:rsidRDefault="002114B9" w:rsidP="00923562">
      <w:pPr>
        <w:pStyle w:val="Footnote"/>
        <w:ind w:left="0" w:firstLine="0"/>
        <w:jc w:val="both"/>
        <w:rPr>
          <w:rFonts w:ascii="Times" w:hAnsi="Times" w:cs="Times New Roman"/>
          <w:lang w:val="en-US"/>
        </w:rPr>
      </w:pPr>
    </w:p>
  </w:endnote>
  <w:endnote w:id="93">
    <w:p w14:paraId="73EA6699"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Gough A, Abraha H, Purewal TS et al. Measurament of markers in osteoclast and osteoblastic activity in patients with acute and chronic diabetic Charcot neuroarhtropathy. </w:t>
      </w:r>
      <w:r w:rsidRPr="00923562">
        <w:rPr>
          <w:rFonts w:ascii="Times" w:hAnsi="Times" w:cs="Times New Roman"/>
          <w:i/>
          <w:iCs/>
          <w:lang w:val="en-US"/>
        </w:rPr>
        <w:t xml:space="preserve">Diabet Med </w:t>
      </w:r>
      <w:r w:rsidRPr="00923562">
        <w:rPr>
          <w:rFonts w:ascii="Times" w:hAnsi="Times" w:cs="Times New Roman"/>
          <w:lang w:val="en-US"/>
        </w:rPr>
        <w:t>1997; 14: 527.</w:t>
      </w:r>
    </w:p>
    <w:p w14:paraId="026F023B" w14:textId="77777777" w:rsidR="002114B9" w:rsidRPr="00923562" w:rsidRDefault="002114B9" w:rsidP="00923562">
      <w:pPr>
        <w:pStyle w:val="Footnote"/>
        <w:ind w:left="0" w:firstLine="0"/>
        <w:jc w:val="both"/>
        <w:rPr>
          <w:rFonts w:ascii="Times" w:hAnsi="Times" w:cs="Times New Roman"/>
          <w:lang w:val="en-US"/>
        </w:rPr>
      </w:pPr>
    </w:p>
  </w:endnote>
  <w:endnote w:id="94">
    <w:p w14:paraId="77B554A4"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LaFontaine J, Harkless L, Sylvia V, Carnes D, Heim-Hall J, Jude E. Levels of endothelial Nitric Oxide Synthase and Calcitonin Gene-Related Peptide in the Charcot Foot: a pilot study. J </w:t>
      </w:r>
      <w:r w:rsidRPr="00923562">
        <w:rPr>
          <w:rFonts w:ascii="Times" w:hAnsi="Times" w:cs="Times New Roman"/>
          <w:i/>
          <w:iCs/>
          <w:lang w:val="en-US"/>
        </w:rPr>
        <w:t>Foot Ankle Surg</w:t>
      </w:r>
      <w:r w:rsidRPr="00923562">
        <w:rPr>
          <w:rFonts w:ascii="Times" w:hAnsi="Times" w:cs="Times New Roman"/>
          <w:lang w:val="en-US"/>
        </w:rPr>
        <w:t xml:space="preserve"> 2008; 47 :424-429.</w:t>
      </w:r>
    </w:p>
    <w:p w14:paraId="027D152A" w14:textId="77777777" w:rsidR="002114B9" w:rsidRPr="00923562" w:rsidRDefault="002114B9" w:rsidP="00923562">
      <w:pPr>
        <w:pStyle w:val="Footnote"/>
        <w:ind w:left="0" w:firstLine="0"/>
        <w:jc w:val="both"/>
        <w:rPr>
          <w:rFonts w:ascii="Times" w:hAnsi="Times" w:cs="Times New Roman"/>
          <w:lang w:val="en-US"/>
        </w:rPr>
      </w:pPr>
    </w:p>
  </w:endnote>
  <w:endnote w:id="95">
    <w:p w14:paraId="13A1A0EF"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Baumhauer J, O'Keefe R, Scjpn L, Pinzur M. Cytokine-induced psteoclastic bone resorption in Charcot arthropathy: An immunohistochemical study. </w:t>
      </w:r>
      <w:r w:rsidRPr="00923562">
        <w:rPr>
          <w:rFonts w:ascii="Times" w:hAnsi="Times" w:cs="Times New Roman"/>
          <w:i/>
          <w:iCs/>
          <w:lang w:val="en-US"/>
        </w:rPr>
        <w:t xml:space="preserve">Foot Ankle int </w:t>
      </w:r>
      <w:r w:rsidRPr="00923562">
        <w:rPr>
          <w:rFonts w:ascii="Times" w:hAnsi="Times" w:cs="Times New Roman"/>
          <w:lang w:val="en-US"/>
        </w:rPr>
        <w:t>2006; 27: 797-800.</w:t>
      </w:r>
    </w:p>
    <w:p w14:paraId="3AA7BEE7" w14:textId="77777777" w:rsidR="002114B9" w:rsidRPr="00923562" w:rsidRDefault="002114B9" w:rsidP="00923562">
      <w:pPr>
        <w:pStyle w:val="Footnote"/>
        <w:ind w:left="0" w:firstLine="0"/>
        <w:jc w:val="both"/>
        <w:rPr>
          <w:rFonts w:ascii="Times" w:hAnsi="Times" w:cs="Times New Roman"/>
          <w:lang w:val="en-US"/>
        </w:rPr>
      </w:pPr>
    </w:p>
  </w:endnote>
  <w:endnote w:id="96">
    <w:p w14:paraId="505378BC"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Huige L, Wallerath T, Fprstermann U. Physiological machanism regulating the expression of endothelial-type NO synthase. </w:t>
      </w:r>
      <w:r w:rsidRPr="00923562">
        <w:rPr>
          <w:rFonts w:ascii="Times" w:hAnsi="Times" w:cs="Times New Roman"/>
          <w:i/>
          <w:iCs/>
          <w:lang w:val="en-US"/>
        </w:rPr>
        <w:t>Nitric Oxide</w:t>
      </w:r>
      <w:r w:rsidRPr="00923562">
        <w:rPr>
          <w:rFonts w:ascii="Times" w:hAnsi="Times" w:cs="Times New Roman"/>
          <w:lang w:val="en-US"/>
        </w:rPr>
        <w:t xml:space="preserve"> 2002; 7: 132-147.</w:t>
      </w:r>
    </w:p>
    <w:p w14:paraId="2D4BB5D1" w14:textId="77777777" w:rsidR="002114B9" w:rsidRPr="00923562" w:rsidRDefault="002114B9" w:rsidP="00923562">
      <w:pPr>
        <w:pStyle w:val="Footnote"/>
        <w:ind w:left="0" w:firstLine="0"/>
        <w:jc w:val="both"/>
        <w:rPr>
          <w:rFonts w:ascii="Times" w:hAnsi="Times" w:cs="Times New Roman"/>
          <w:lang w:val="en-US"/>
        </w:rPr>
      </w:pPr>
    </w:p>
  </w:endnote>
  <w:endnote w:id="97">
    <w:p w14:paraId="4C8ACD85"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Herman S, Muller RB, Kronke G, et al. Induction of osteoclast-associated preconditioning. </w:t>
      </w:r>
      <w:r w:rsidRPr="00923562">
        <w:rPr>
          <w:rFonts w:ascii="Times" w:hAnsi="Times" w:cs="Times New Roman"/>
          <w:i/>
          <w:iCs/>
          <w:lang w:val="en-US"/>
        </w:rPr>
        <w:t>Eur JPharmacol</w:t>
      </w:r>
      <w:r w:rsidRPr="00923562">
        <w:rPr>
          <w:rFonts w:ascii="Times" w:hAnsi="Times" w:cs="Times New Roman"/>
          <w:lang w:val="en-US"/>
        </w:rPr>
        <w:t xml:space="preserve"> 2002; 442: 173-177.</w:t>
      </w:r>
    </w:p>
    <w:p w14:paraId="03FB42CF" w14:textId="77777777" w:rsidR="002114B9" w:rsidRPr="00923562" w:rsidRDefault="002114B9" w:rsidP="00923562">
      <w:pPr>
        <w:pStyle w:val="Footnote"/>
        <w:ind w:left="0" w:firstLine="0"/>
        <w:jc w:val="both"/>
        <w:rPr>
          <w:rFonts w:ascii="Times" w:hAnsi="Times" w:cs="Times New Roman"/>
          <w:lang w:val="en-US"/>
        </w:rPr>
      </w:pPr>
    </w:p>
  </w:endnote>
  <w:endnote w:id="98">
    <w:p w14:paraId="593EAA5B"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Goldring SR, Gravallese EM. Pathogenesis of bone lesions in rheumatoid arthritis. </w:t>
      </w:r>
      <w:r w:rsidRPr="00923562">
        <w:rPr>
          <w:rFonts w:ascii="Times" w:hAnsi="Times" w:cs="Times New Roman"/>
          <w:i/>
          <w:iCs/>
          <w:lang w:val="en-US"/>
        </w:rPr>
        <w:t xml:space="preserve">Curr Rheumatol Rep </w:t>
      </w:r>
      <w:r w:rsidRPr="00923562">
        <w:rPr>
          <w:rFonts w:ascii="Times" w:hAnsi="Times" w:cs="Times New Roman"/>
          <w:lang w:val="en-US"/>
        </w:rPr>
        <w:t>2002; 4: 226-231.</w:t>
      </w:r>
    </w:p>
    <w:p w14:paraId="541A56E0" w14:textId="77777777" w:rsidR="002114B9" w:rsidRPr="00923562" w:rsidRDefault="002114B9" w:rsidP="00923562">
      <w:pPr>
        <w:pStyle w:val="Footnote"/>
        <w:ind w:left="0" w:firstLine="0"/>
        <w:jc w:val="both"/>
        <w:rPr>
          <w:rFonts w:ascii="Times" w:hAnsi="Times" w:cs="Times New Roman"/>
          <w:lang w:val="en-US"/>
        </w:rPr>
      </w:pPr>
    </w:p>
  </w:endnote>
  <w:endnote w:id="99">
    <w:p w14:paraId="1183A5D8"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Jeffcoate WJ, Game F, Cavanagh PR. The role of proinflammatory cytokines in the cause of neuropathic osteoarthropathy in diabetes. 2005</w:t>
      </w:r>
      <w:r w:rsidRPr="00923562">
        <w:rPr>
          <w:rFonts w:ascii="Times" w:hAnsi="Times" w:cs="Times New Roman"/>
          <w:i/>
          <w:iCs/>
          <w:lang w:val="en-US"/>
        </w:rPr>
        <w:t xml:space="preserve"> Lancet</w:t>
      </w:r>
      <w:r w:rsidRPr="00923562">
        <w:rPr>
          <w:rFonts w:ascii="Times" w:hAnsi="Times" w:cs="Times New Roman"/>
          <w:lang w:val="en-US"/>
        </w:rPr>
        <w:t xml:space="preserve"> 366: 2058-61.</w:t>
      </w:r>
    </w:p>
    <w:p w14:paraId="027E1A7A" w14:textId="77777777" w:rsidR="002114B9" w:rsidRPr="00923562" w:rsidRDefault="002114B9" w:rsidP="00923562">
      <w:pPr>
        <w:pStyle w:val="Footnote"/>
        <w:ind w:left="0" w:firstLine="0"/>
        <w:jc w:val="both"/>
        <w:rPr>
          <w:rFonts w:ascii="Times" w:hAnsi="Times" w:cs="Times New Roman"/>
          <w:lang w:val="en-US"/>
        </w:rPr>
      </w:pPr>
    </w:p>
  </w:endnote>
  <w:endnote w:id="100">
    <w:p w14:paraId="3ACA66F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Brown KD, Claudio E, Siebenlist U. The roles of the classical and alternative nuclear factor-kappaB pathways: potential implications for autoimmunity and rheumatoid arthritis. A</w:t>
      </w:r>
      <w:r w:rsidRPr="00923562">
        <w:rPr>
          <w:rFonts w:ascii="Times" w:hAnsi="Times" w:cs="Times New Roman"/>
          <w:i/>
          <w:iCs/>
          <w:lang w:val="en-US"/>
        </w:rPr>
        <w:t>rthritis Res Ther</w:t>
      </w:r>
      <w:r w:rsidRPr="00923562">
        <w:rPr>
          <w:rFonts w:ascii="Times" w:hAnsi="Times" w:cs="Times New Roman"/>
          <w:lang w:val="en-US"/>
        </w:rPr>
        <w:t xml:space="preserve"> 2008; 10: 212.</w:t>
      </w:r>
    </w:p>
    <w:p w14:paraId="01DD688E" w14:textId="77777777" w:rsidR="002114B9" w:rsidRPr="00923562" w:rsidRDefault="002114B9" w:rsidP="00923562">
      <w:pPr>
        <w:pStyle w:val="Footnote"/>
        <w:ind w:left="0" w:firstLine="0"/>
        <w:jc w:val="both"/>
        <w:rPr>
          <w:rFonts w:ascii="Times" w:hAnsi="Times" w:cs="Times New Roman"/>
          <w:lang w:val="en-US"/>
        </w:rPr>
      </w:pPr>
    </w:p>
  </w:endnote>
  <w:endnote w:id="101">
    <w:p w14:paraId="2600D10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Vileikyte L, Rubin RR, Leventhal H. Psychological aspects of diabetic neuropathy and its late sequelae. Diab Metab Res Rev 2004; 20 [Suppl 1]: S13–S18.</w:t>
      </w:r>
    </w:p>
    <w:p w14:paraId="085EB670" w14:textId="77777777" w:rsidR="002114B9" w:rsidRPr="00923562" w:rsidRDefault="002114B9" w:rsidP="00923562">
      <w:pPr>
        <w:pStyle w:val="Footnote"/>
        <w:ind w:left="0" w:firstLine="0"/>
        <w:jc w:val="both"/>
        <w:rPr>
          <w:rFonts w:ascii="Times" w:hAnsi="Times" w:cs="Times New Roman"/>
          <w:lang w:val="en-US"/>
        </w:rPr>
      </w:pPr>
    </w:p>
  </w:endnote>
  <w:endnote w:id="102">
    <w:p w14:paraId="34898B1B"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Ross R: The pathogenesis of atherosclerosis: a perspective for the 1990s., 1993, </w:t>
      </w:r>
      <w:r w:rsidRPr="00923562">
        <w:rPr>
          <w:rFonts w:ascii="Times" w:hAnsi="Times" w:cs="Times New Roman"/>
          <w:i/>
          <w:iCs/>
          <w:lang w:val="en-GB"/>
        </w:rPr>
        <w:t xml:space="preserve">Nature </w:t>
      </w:r>
      <w:r w:rsidRPr="00923562">
        <w:rPr>
          <w:rFonts w:ascii="Times" w:hAnsi="Times" w:cs="Times New Roman"/>
          <w:lang w:val="en-GB"/>
        </w:rPr>
        <w:t xml:space="preserve">362:801– 809. </w:t>
      </w:r>
    </w:p>
    <w:p w14:paraId="1BAA48ED" w14:textId="77777777" w:rsidR="002114B9" w:rsidRPr="00923562" w:rsidRDefault="002114B9" w:rsidP="00923562">
      <w:pPr>
        <w:pStyle w:val="Footnote"/>
        <w:ind w:left="0" w:firstLine="0"/>
        <w:jc w:val="both"/>
        <w:rPr>
          <w:rFonts w:ascii="Times" w:hAnsi="Times" w:cs="Times New Roman"/>
          <w:lang w:val="en-US"/>
        </w:rPr>
      </w:pPr>
    </w:p>
  </w:endnote>
  <w:endnote w:id="103">
    <w:p w14:paraId="6EBC75D3"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Stevens MJ, Dananberg J, Feldman EL, Lattimer, SA, Kamijo M, Thomas TP, Shindo H, Sima AA, Greene DA: The linked roles of nitric oxide, aldose reductase and (Na+, K+) –ATPase in the slowing of nerve conduction in the streptozotocin diabetic rat. </w:t>
      </w:r>
      <w:r w:rsidRPr="00923562">
        <w:rPr>
          <w:rFonts w:ascii="Times" w:hAnsi="Times" w:cs="Times New Roman"/>
          <w:i/>
          <w:iCs/>
          <w:lang w:val="en-GB"/>
        </w:rPr>
        <w:t xml:space="preserve">J Clin Invest </w:t>
      </w:r>
      <w:r w:rsidRPr="00923562">
        <w:rPr>
          <w:rFonts w:ascii="Times" w:hAnsi="Times" w:cs="Times New Roman"/>
          <w:lang w:val="en-GB"/>
        </w:rPr>
        <w:t>1994; 94:853–859.</w:t>
      </w:r>
    </w:p>
    <w:p w14:paraId="4F0115AA" w14:textId="77777777" w:rsidR="002114B9" w:rsidRPr="00923562" w:rsidRDefault="002114B9" w:rsidP="00923562">
      <w:pPr>
        <w:pStyle w:val="Footnote"/>
        <w:ind w:left="0" w:firstLine="0"/>
        <w:jc w:val="both"/>
        <w:rPr>
          <w:rFonts w:ascii="Times" w:hAnsi="Times" w:cs="Times New Roman"/>
          <w:lang w:val="en-US"/>
        </w:rPr>
      </w:pPr>
    </w:p>
  </w:endnote>
  <w:endnote w:id="104">
    <w:p w14:paraId="77A8F7E4"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Vane JR, Anggard EE, Botting RM: Mechanisms of disease: regulatory functions of endothelium. 1990, </w:t>
      </w:r>
      <w:r w:rsidRPr="00923562">
        <w:rPr>
          <w:rFonts w:ascii="Times" w:hAnsi="Times" w:cs="Times New Roman"/>
          <w:i/>
          <w:iCs/>
          <w:lang w:val="en-GB"/>
        </w:rPr>
        <w:t xml:space="preserve">N Engl J Med </w:t>
      </w:r>
      <w:r w:rsidRPr="00923562">
        <w:rPr>
          <w:rFonts w:ascii="Times" w:hAnsi="Times" w:cs="Times New Roman"/>
          <w:lang w:val="en-GB"/>
        </w:rPr>
        <w:t>323:27–36.</w:t>
      </w:r>
    </w:p>
    <w:p w14:paraId="283ADD91" w14:textId="77777777" w:rsidR="002114B9" w:rsidRPr="00923562" w:rsidRDefault="002114B9" w:rsidP="00923562">
      <w:pPr>
        <w:pStyle w:val="Footnote"/>
        <w:ind w:left="0" w:firstLine="0"/>
        <w:jc w:val="both"/>
        <w:rPr>
          <w:rFonts w:ascii="Times" w:hAnsi="Times" w:cs="Times New Roman"/>
          <w:lang w:val="en-US"/>
        </w:rPr>
      </w:pPr>
    </w:p>
  </w:endnote>
  <w:endnote w:id="105">
    <w:p w14:paraId="7552C157"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Purewal TS, Goss DE, Watkins PJ, Edmonds ME: Lower limb venous pressure in diabetic neuropathy. </w:t>
      </w:r>
      <w:r w:rsidRPr="00923562">
        <w:rPr>
          <w:rFonts w:ascii="Times" w:hAnsi="Times" w:cs="Times New Roman"/>
          <w:i/>
          <w:iCs/>
          <w:lang w:val="en-GB"/>
        </w:rPr>
        <w:t>Diabetes Care</w:t>
      </w:r>
      <w:r w:rsidRPr="00923562">
        <w:rPr>
          <w:rFonts w:ascii="Times" w:hAnsi="Times" w:cs="Times New Roman"/>
          <w:lang w:val="en-GB"/>
        </w:rPr>
        <w:t xml:space="preserve"> 1995; 18:377–381.</w:t>
      </w:r>
    </w:p>
    <w:p w14:paraId="02D01341" w14:textId="77777777" w:rsidR="002114B9" w:rsidRPr="00923562" w:rsidRDefault="002114B9" w:rsidP="00923562">
      <w:pPr>
        <w:pStyle w:val="Footnote"/>
        <w:ind w:left="0" w:firstLine="0"/>
        <w:jc w:val="both"/>
        <w:rPr>
          <w:rFonts w:ascii="Times" w:hAnsi="Times" w:cs="Times New Roman"/>
          <w:lang w:val="en-US"/>
        </w:rPr>
      </w:pPr>
    </w:p>
  </w:endnote>
  <w:endnote w:id="106">
    <w:p w14:paraId="037F66C7" w14:textId="77777777" w:rsidR="002114B9" w:rsidRPr="00923562" w:rsidRDefault="002114B9" w:rsidP="00923562">
      <w:pPr>
        <w:pStyle w:val="Testonotadichiusura"/>
        <w:rPr>
          <w:rFonts w:ascii="Times" w:hAnsi="Times"/>
          <w:szCs w:val="20"/>
          <w:lang w:val="pt-BR"/>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szCs w:val="20"/>
          <w:lang w:val="en-GB"/>
        </w:rPr>
        <w:t xml:space="preserve">Young M, Breddy J, Veves A, Boulton AJ: The prediction of diabetic neuropathic foot ulceration using vibration perception thresholds: a prospective study. </w:t>
      </w:r>
      <w:r w:rsidRPr="00923562">
        <w:rPr>
          <w:rFonts w:ascii="Times" w:hAnsi="Times"/>
          <w:i/>
          <w:iCs/>
          <w:szCs w:val="20"/>
          <w:lang w:val="pt-BR"/>
        </w:rPr>
        <w:t xml:space="preserve">D i a b e t e s C a re </w:t>
      </w:r>
      <w:r w:rsidRPr="00923562">
        <w:rPr>
          <w:rFonts w:ascii="Times" w:hAnsi="Times"/>
          <w:szCs w:val="20"/>
          <w:lang w:val="pt-BR"/>
        </w:rPr>
        <w:t>17:557–560, 1994.</w:t>
      </w:r>
    </w:p>
    <w:p w14:paraId="4996A2AE" w14:textId="77777777" w:rsidR="002114B9" w:rsidRPr="00923562" w:rsidRDefault="002114B9" w:rsidP="00923562">
      <w:pPr>
        <w:pStyle w:val="Testonotadichiusura"/>
        <w:rPr>
          <w:rFonts w:ascii="Times" w:hAnsi="Times"/>
          <w:szCs w:val="20"/>
          <w:lang w:val="en-US"/>
        </w:rPr>
      </w:pPr>
    </w:p>
  </w:endnote>
  <w:endnote w:id="107">
    <w:p w14:paraId="32EBDB7F" w14:textId="77777777" w:rsidR="002114B9" w:rsidRPr="00923562" w:rsidRDefault="002114B9" w:rsidP="00923562">
      <w:pPr>
        <w:pStyle w:val="Footnote"/>
        <w:ind w:left="0" w:firstLine="0"/>
        <w:jc w:val="both"/>
        <w:rPr>
          <w:rFonts w:ascii="Times" w:hAnsi="Times" w:cs="Times New Roman"/>
          <w:lang w:val="pt-BR"/>
        </w:rPr>
      </w:pPr>
      <w:r w:rsidRPr="00923562">
        <w:rPr>
          <w:rStyle w:val="Rimandonotadichiusura"/>
          <w:rFonts w:ascii="Times" w:hAnsi="Times" w:cs="Times New Roman"/>
        </w:rPr>
        <w:endnoteRef/>
      </w:r>
      <w:r w:rsidRPr="00923562">
        <w:rPr>
          <w:rFonts w:ascii="Times" w:hAnsi="Times" w:cs="Times New Roman"/>
          <w:lang w:val="pt-BR"/>
        </w:rPr>
        <w:t xml:space="preserve">McNeely MJ, Boyko EJ, Ahroni JH, Stensel VL, Reiber GE, Smith DG, Pecoraro RF: The independent contributions of diabetic n e u ropathy and vasculopathy in foot ulceration: how great are the risks? </w:t>
      </w:r>
      <w:r w:rsidRPr="00923562">
        <w:rPr>
          <w:rFonts w:ascii="Times" w:hAnsi="Times" w:cs="Times New Roman"/>
          <w:i/>
          <w:iCs/>
          <w:lang w:val="pt-BR"/>
        </w:rPr>
        <w:t xml:space="preserve">Diabetes Care </w:t>
      </w:r>
      <w:r w:rsidRPr="00923562">
        <w:rPr>
          <w:rFonts w:ascii="Times" w:hAnsi="Times" w:cs="Times New Roman"/>
          <w:lang w:val="pt-BR"/>
        </w:rPr>
        <w:t>1995; 18:216–219.</w:t>
      </w:r>
    </w:p>
    <w:p w14:paraId="1D507014" w14:textId="77777777" w:rsidR="002114B9" w:rsidRPr="00923562" w:rsidRDefault="002114B9" w:rsidP="00923562">
      <w:pPr>
        <w:pStyle w:val="Footnote"/>
        <w:ind w:left="0" w:firstLine="0"/>
        <w:jc w:val="both"/>
        <w:rPr>
          <w:rFonts w:ascii="Times" w:hAnsi="Times" w:cs="Times New Roman"/>
          <w:lang w:val="en-US"/>
        </w:rPr>
      </w:pPr>
    </w:p>
  </w:endnote>
  <w:endnote w:id="108">
    <w:p w14:paraId="31E87A0C"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de-DE"/>
        </w:rPr>
        <w:t xml:space="preserve">Zimny S, Dessel F, Ehren M, Pfohl M, Schatz H.: </w:t>
      </w:r>
      <w:r w:rsidRPr="00923562">
        <w:rPr>
          <w:rFonts w:ascii="Times" w:hAnsi="Times" w:cs="Times New Roman"/>
          <w:lang w:val="en-GB"/>
        </w:rPr>
        <w:t xml:space="preserve">Early detection of microcirculatory impairment in diabetic patients with foot at risk. </w:t>
      </w:r>
      <w:r w:rsidRPr="00923562">
        <w:rPr>
          <w:rStyle w:val="journalname"/>
          <w:rFonts w:ascii="Times" w:hAnsi="Times" w:cs="Times New Roman"/>
          <w:lang w:val="de-DE"/>
        </w:rPr>
        <w:t>Diabetes Care</w:t>
      </w:r>
      <w:r w:rsidRPr="00923562">
        <w:rPr>
          <w:rFonts w:ascii="Times" w:hAnsi="Times" w:cs="Times New Roman"/>
          <w:lang w:val="de-DE"/>
        </w:rPr>
        <w:t>. 2001 Oct;24(10):1810-4.</w:t>
      </w:r>
    </w:p>
    <w:p w14:paraId="3E9EDC7A" w14:textId="77777777" w:rsidR="002114B9" w:rsidRPr="00923562" w:rsidRDefault="002114B9" w:rsidP="00923562">
      <w:pPr>
        <w:pStyle w:val="Footnote"/>
        <w:ind w:left="0" w:firstLine="0"/>
        <w:jc w:val="both"/>
        <w:rPr>
          <w:rFonts w:ascii="Times" w:hAnsi="Times" w:cs="Times New Roman"/>
          <w:lang w:val="en-US"/>
        </w:rPr>
      </w:pPr>
    </w:p>
  </w:endnote>
  <w:endnote w:id="109">
    <w:p w14:paraId="6F7CFE0C" w14:textId="77777777" w:rsidR="002114B9" w:rsidRPr="00923562" w:rsidRDefault="002114B9" w:rsidP="00923562">
      <w:pPr>
        <w:pStyle w:val="Footnote"/>
        <w:ind w:left="0" w:firstLine="0"/>
        <w:jc w:val="both"/>
        <w:rPr>
          <w:rFonts w:ascii="Times" w:hAnsi="Times" w:cs="Times New Roman"/>
          <w:lang w:val="de-DE"/>
        </w:rPr>
      </w:pPr>
      <w:r w:rsidRPr="00923562">
        <w:rPr>
          <w:rStyle w:val="Rimandonotadichiusura"/>
          <w:rFonts w:ascii="Times" w:hAnsi="Times" w:cs="Times New Roman"/>
        </w:rPr>
        <w:endnoteRef/>
      </w:r>
      <w:r w:rsidRPr="00923562">
        <w:rPr>
          <w:rFonts w:ascii="Times" w:hAnsi="Times" w:cs="Times New Roman"/>
          <w:lang w:val="en-GB"/>
        </w:rPr>
        <w:t xml:space="preserve"> Harris MI, Klein R, Welborn TA, Knuiman M W: Onset of NIDDM occurs at least 4–7 years before clinical diagnosis. 1992, </w:t>
      </w:r>
      <w:r w:rsidRPr="00923562">
        <w:rPr>
          <w:rFonts w:ascii="Times" w:hAnsi="Times" w:cs="Times New Roman"/>
          <w:i/>
          <w:iCs/>
          <w:lang w:val="en-GB"/>
        </w:rPr>
        <w:t>Diabetes Care</w:t>
      </w:r>
      <w:r w:rsidRPr="00923562">
        <w:rPr>
          <w:rFonts w:ascii="Times" w:hAnsi="Times" w:cs="Times New Roman"/>
          <w:lang w:val="en-GB"/>
        </w:rPr>
        <w:t xml:space="preserve"> 15:815–819.</w:t>
      </w:r>
    </w:p>
    <w:p w14:paraId="292B0860" w14:textId="77777777" w:rsidR="002114B9" w:rsidRPr="00923562" w:rsidRDefault="002114B9" w:rsidP="00923562">
      <w:pPr>
        <w:pStyle w:val="Footnote"/>
        <w:ind w:left="0" w:firstLine="0"/>
        <w:jc w:val="both"/>
        <w:rPr>
          <w:rFonts w:ascii="Times" w:hAnsi="Times" w:cs="Times New Roman"/>
          <w:lang w:val="en-US"/>
        </w:rPr>
      </w:pPr>
    </w:p>
  </w:endnote>
  <w:endnote w:id="110">
    <w:p w14:paraId="72ED01A5"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Boyko EJ, Ahroni JH, Stensel VL, Smith DG, Davignon DR, Pecoraro RE: Predictors of transcutaneous oxygen tension in the lower limbs of diabetic subjects. 1996, </w:t>
      </w:r>
      <w:r w:rsidRPr="00923562">
        <w:rPr>
          <w:rFonts w:ascii="Times" w:hAnsi="Times" w:cs="Times New Roman"/>
          <w:i/>
          <w:iCs/>
          <w:lang w:val="en-GB"/>
        </w:rPr>
        <w:t xml:space="preserve">Diabet Med </w:t>
      </w:r>
      <w:r w:rsidRPr="00923562">
        <w:rPr>
          <w:rFonts w:ascii="Times" w:hAnsi="Times" w:cs="Times New Roman"/>
          <w:lang w:val="en-GB"/>
        </w:rPr>
        <w:t>13:549–554.</w:t>
      </w:r>
    </w:p>
    <w:p w14:paraId="09650EAE" w14:textId="77777777" w:rsidR="002114B9" w:rsidRPr="00923562" w:rsidRDefault="002114B9" w:rsidP="00923562">
      <w:pPr>
        <w:pStyle w:val="Footnote"/>
        <w:ind w:left="0" w:firstLine="0"/>
        <w:jc w:val="both"/>
        <w:rPr>
          <w:rFonts w:ascii="Times" w:hAnsi="Times" w:cs="Times New Roman"/>
          <w:lang w:val="en-US"/>
        </w:rPr>
      </w:pPr>
    </w:p>
  </w:endnote>
  <w:endnote w:id="111">
    <w:p w14:paraId="04F0E6E1" w14:textId="77777777" w:rsidR="002114B9" w:rsidRPr="00923562" w:rsidRDefault="002114B9" w:rsidP="00923562">
      <w:pPr>
        <w:pStyle w:val="Footnote"/>
        <w:ind w:left="0" w:firstLine="0"/>
        <w:jc w:val="both"/>
        <w:rPr>
          <w:rFonts w:ascii="Times" w:hAnsi="Times" w:cs="Times New Roman"/>
          <w:lang w:val="en-GB"/>
        </w:rPr>
      </w:pPr>
    </w:p>
    <w:p w14:paraId="28D60C06"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Hassan AA, Rayman G, Tooke JE: Effect of indirect heating on the postural control of skin blood flow in the human foot. </w:t>
      </w:r>
      <w:r w:rsidRPr="00923562">
        <w:rPr>
          <w:rFonts w:ascii="Times" w:hAnsi="Times" w:cs="Times New Roman"/>
          <w:i/>
          <w:iCs/>
          <w:lang w:val="en-GB"/>
        </w:rPr>
        <w:t xml:space="preserve">Clin Sci (Colch) </w:t>
      </w:r>
      <w:r w:rsidRPr="00923562">
        <w:rPr>
          <w:rFonts w:ascii="Times" w:hAnsi="Times" w:cs="Times New Roman"/>
          <w:lang w:val="en-GB"/>
        </w:rPr>
        <w:t>1986; 70:577–58.</w:t>
      </w:r>
    </w:p>
    <w:p w14:paraId="36980431" w14:textId="77777777" w:rsidR="002114B9" w:rsidRPr="00923562" w:rsidRDefault="002114B9" w:rsidP="00923562">
      <w:pPr>
        <w:pStyle w:val="Footnote"/>
        <w:ind w:left="0" w:firstLine="0"/>
        <w:jc w:val="both"/>
        <w:rPr>
          <w:rFonts w:ascii="Times" w:hAnsi="Times" w:cs="Times New Roman"/>
          <w:lang w:val="en-US"/>
        </w:rPr>
      </w:pPr>
    </w:p>
  </w:endnote>
  <w:endnote w:id="112">
    <w:p w14:paraId="00E5A69E"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Cavanagh P, Sanders DSL: Body mass is a poor predictor of peak plantar pressure in diabetic men. 1991, </w:t>
      </w:r>
      <w:r w:rsidRPr="00923562">
        <w:rPr>
          <w:rFonts w:ascii="Times" w:hAnsi="Times" w:cs="Times New Roman"/>
          <w:i/>
          <w:iCs/>
          <w:lang w:val="en-GB"/>
        </w:rPr>
        <w:t xml:space="preserve">Diabetes Care </w:t>
      </w:r>
      <w:r w:rsidRPr="00923562">
        <w:rPr>
          <w:rFonts w:ascii="Times" w:hAnsi="Times" w:cs="Times New Roman"/>
          <w:lang w:val="en-GB"/>
        </w:rPr>
        <w:t>1 4: 750 – 755.</w:t>
      </w:r>
    </w:p>
    <w:p w14:paraId="0535B493" w14:textId="77777777" w:rsidR="002114B9" w:rsidRPr="00923562" w:rsidRDefault="002114B9" w:rsidP="00923562">
      <w:pPr>
        <w:pStyle w:val="Footnote"/>
        <w:ind w:left="0" w:firstLine="0"/>
        <w:jc w:val="both"/>
        <w:rPr>
          <w:rFonts w:ascii="Times" w:hAnsi="Times" w:cs="Times New Roman"/>
          <w:lang w:val="en-US"/>
        </w:rPr>
      </w:pPr>
    </w:p>
  </w:endnote>
  <w:endnote w:id="113">
    <w:p w14:paraId="785D0F37"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Koskinen SV, Reunanen AR, Martelin TP, Valkonen T. Mortality in a large population</w:t>
      </w:r>
      <w:r w:rsidRPr="00923562">
        <w:rPr>
          <w:rFonts w:ascii="Times" w:hAnsi="Times" w:cs="Times New Roman"/>
          <w:lang w:val="en-GB"/>
        </w:rPr>
        <w:softHyphen/>
        <w:t>based cohort of patients with drug</w:t>
      </w:r>
      <w:r w:rsidRPr="00923562">
        <w:rPr>
          <w:rFonts w:ascii="Times" w:hAnsi="Times" w:cs="Times New Roman"/>
          <w:lang w:val="en-GB"/>
        </w:rPr>
        <w:softHyphen/>
        <w:t xml:space="preserve">treated diabetes mellitus. </w:t>
      </w:r>
      <w:r w:rsidRPr="00923562">
        <w:rPr>
          <w:rFonts w:ascii="Times" w:hAnsi="Times" w:cs="Times New Roman"/>
          <w:i/>
          <w:iCs/>
          <w:lang w:val="en-GB"/>
        </w:rPr>
        <w:t xml:space="preserve">Am J Public Health </w:t>
      </w:r>
      <w:r w:rsidRPr="00923562">
        <w:rPr>
          <w:rFonts w:ascii="Times" w:hAnsi="Times" w:cs="Times New Roman"/>
          <w:lang w:val="en-GB"/>
        </w:rPr>
        <w:t>1998;88: 765</w:t>
      </w:r>
      <w:r w:rsidRPr="00923562">
        <w:rPr>
          <w:rFonts w:ascii="Times" w:hAnsi="Times" w:cs="Times New Roman"/>
          <w:lang w:val="en-GB"/>
        </w:rPr>
        <w:softHyphen/>
        <w:t>70.</w:t>
      </w:r>
    </w:p>
    <w:p w14:paraId="251DB5F0" w14:textId="77777777" w:rsidR="002114B9" w:rsidRPr="00923562" w:rsidRDefault="002114B9" w:rsidP="00923562">
      <w:pPr>
        <w:pStyle w:val="Footnote"/>
        <w:ind w:left="0" w:firstLine="0"/>
        <w:jc w:val="both"/>
        <w:rPr>
          <w:rFonts w:ascii="Times" w:hAnsi="Times" w:cs="Times New Roman"/>
          <w:lang w:val="en-US"/>
        </w:rPr>
      </w:pPr>
    </w:p>
  </w:endnote>
  <w:endnote w:id="114">
    <w:p w14:paraId="7FD983A3"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Gatling W, Tufail S, Mullee MA, Westacott TA, Hill RD. Mortality rates in diabetic patients from a community</w:t>
      </w:r>
      <w:r w:rsidRPr="00923562">
        <w:rPr>
          <w:rFonts w:ascii="Times" w:hAnsi="Times" w:cs="Times New Roman"/>
          <w:lang w:val="en-GB"/>
        </w:rPr>
        <w:softHyphen/>
        <w:t xml:space="preserve">based population compared to local age/sex matched controls. </w:t>
      </w:r>
      <w:r w:rsidRPr="00923562">
        <w:rPr>
          <w:rFonts w:ascii="Times" w:hAnsi="Times" w:cs="Times New Roman"/>
          <w:i/>
          <w:iCs/>
          <w:lang w:val="en-GB"/>
        </w:rPr>
        <w:t xml:space="preserve">Diabet Med </w:t>
      </w:r>
      <w:r w:rsidRPr="00923562">
        <w:rPr>
          <w:rFonts w:ascii="Times" w:hAnsi="Times" w:cs="Times New Roman"/>
          <w:lang w:val="en-GB"/>
        </w:rPr>
        <w:t>1997; 14:316</w:t>
      </w:r>
      <w:r w:rsidRPr="00923562">
        <w:rPr>
          <w:rFonts w:ascii="Times" w:hAnsi="Times" w:cs="Times New Roman"/>
          <w:lang w:val="en-GB"/>
        </w:rPr>
        <w:softHyphen/>
        <w:t>2.</w:t>
      </w:r>
    </w:p>
    <w:p w14:paraId="569C010B" w14:textId="77777777" w:rsidR="002114B9" w:rsidRPr="00923562" w:rsidRDefault="002114B9" w:rsidP="00923562">
      <w:pPr>
        <w:pStyle w:val="Footnote"/>
        <w:ind w:left="0" w:firstLine="0"/>
        <w:jc w:val="both"/>
        <w:rPr>
          <w:rFonts w:ascii="Times" w:hAnsi="Times" w:cs="Times New Roman"/>
          <w:lang w:val="en-US"/>
        </w:rPr>
      </w:pPr>
    </w:p>
  </w:endnote>
  <w:endnote w:id="115">
    <w:p w14:paraId="39E0F483"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Chaturvedi N, Stevens LK, Fuller JH, Lee ET, Lu M: Risk factors, ethnic differences, and mortality associated with lower-extremity gangrene and amputation in diabetes: the WHO multinational study of vascular disease in diabetes. </w:t>
      </w:r>
      <w:r w:rsidRPr="00923562">
        <w:rPr>
          <w:rFonts w:ascii="Times" w:hAnsi="Times" w:cs="Times New Roman"/>
          <w:i/>
          <w:iCs/>
          <w:lang w:val="en-GB"/>
        </w:rPr>
        <w:t xml:space="preserve">Diabetologia </w:t>
      </w:r>
      <w:r w:rsidRPr="00923562">
        <w:rPr>
          <w:rFonts w:ascii="Times" w:hAnsi="Times" w:cs="Times New Roman"/>
          <w:lang w:val="en-GB"/>
        </w:rPr>
        <w:t>2001; 44 (Suppl. 2): S65–S71.</w:t>
      </w:r>
    </w:p>
    <w:p w14:paraId="0611268D" w14:textId="77777777" w:rsidR="002114B9" w:rsidRPr="00923562" w:rsidRDefault="002114B9" w:rsidP="00923562">
      <w:pPr>
        <w:pStyle w:val="Footnote"/>
        <w:ind w:left="0" w:firstLine="0"/>
        <w:jc w:val="both"/>
        <w:rPr>
          <w:rFonts w:ascii="Times" w:hAnsi="Times" w:cs="Times New Roman"/>
          <w:lang w:val="en-US"/>
        </w:rPr>
      </w:pPr>
    </w:p>
  </w:endnote>
  <w:endnote w:id="116">
    <w:p w14:paraId="5B00A458"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Tentolouris N, Al-Sabbagh S, Walker MG, Boulton AJ, Jude EB. Mortality in diabetic and nondiabetic patients after amputations performed from 1990 to 1995: a 5-year follow-up study. </w:t>
      </w:r>
      <w:r w:rsidRPr="00923562">
        <w:rPr>
          <w:rStyle w:val="journalname"/>
          <w:rFonts w:ascii="Times" w:hAnsi="Times" w:cs="Times New Roman"/>
          <w:lang w:val="en-GB"/>
        </w:rPr>
        <w:t>Diabetes Care</w:t>
      </w:r>
      <w:r w:rsidRPr="00923562">
        <w:rPr>
          <w:rFonts w:ascii="Times" w:hAnsi="Times" w:cs="Times New Roman"/>
          <w:lang w:val="en-GB"/>
        </w:rPr>
        <w:t>. 2004 Jul;27(7):1598-604.</w:t>
      </w:r>
    </w:p>
    <w:p w14:paraId="42ADBBDB" w14:textId="77777777" w:rsidR="002114B9" w:rsidRPr="00923562" w:rsidRDefault="002114B9" w:rsidP="00923562">
      <w:pPr>
        <w:pStyle w:val="Footnote"/>
        <w:ind w:left="0" w:firstLine="0"/>
        <w:jc w:val="both"/>
        <w:rPr>
          <w:rFonts w:ascii="Times" w:hAnsi="Times" w:cs="Times New Roman"/>
          <w:lang w:val="en-US"/>
        </w:rPr>
      </w:pPr>
    </w:p>
  </w:endnote>
  <w:endnote w:id="117">
    <w:p w14:paraId="1E0C8C04"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Kald A, Carlsson E, Nilsson E: Major amputation in a defined population: incidence, mortality and results of treatment. 1989, </w:t>
      </w:r>
      <w:r w:rsidRPr="00923562">
        <w:rPr>
          <w:rFonts w:ascii="Times" w:hAnsi="Times" w:cs="Times New Roman"/>
          <w:i/>
          <w:iCs/>
          <w:lang w:val="en-GB"/>
        </w:rPr>
        <w:t xml:space="preserve">Br J Surg </w:t>
      </w:r>
      <w:r w:rsidRPr="00923562">
        <w:rPr>
          <w:rFonts w:ascii="Times" w:hAnsi="Times" w:cs="Times New Roman"/>
          <w:lang w:val="en-GB"/>
        </w:rPr>
        <w:t>76:308–310.</w:t>
      </w:r>
    </w:p>
    <w:p w14:paraId="6264258E" w14:textId="77777777" w:rsidR="002114B9" w:rsidRPr="00923562" w:rsidRDefault="002114B9" w:rsidP="00923562">
      <w:pPr>
        <w:pStyle w:val="Footnote"/>
        <w:ind w:left="0" w:firstLine="0"/>
        <w:jc w:val="both"/>
        <w:rPr>
          <w:rFonts w:ascii="Times" w:hAnsi="Times" w:cs="Times New Roman"/>
          <w:lang w:val="en-US"/>
        </w:rPr>
      </w:pPr>
    </w:p>
  </w:endnote>
  <w:endnote w:id="118">
    <w:p w14:paraId="3701A9F4" w14:textId="77777777" w:rsidR="002114B9" w:rsidRPr="00923562" w:rsidRDefault="002114B9" w:rsidP="00923562">
      <w:pPr>
        <w:pStyle w:val="Testonotadichiusura"/>
        <w:rPr>
          <w:rFonts w:ascii="Times" w:hAnsi="Times"/>
          <w:szCs w:val="20"/>
          <w:lang w:val="en-GB"/>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szCs w:val="20"/>
          <w:lang w:val="en-GB"/>
        </w:rPr>
        <w:t>Faglia E, Favales F, Morabito A: New ulceration, new major amputation, and survival rates in di</w:t>
      </w:r>
      <w:r w:rsidRPr="00923562">
        <w:rPr>
          <w:rFonts w:ascii="Times" w:hAnsi="Times"/>
          <w:szCs w:val="20"/>
          <w:lang w:val="en-GB"/>
        </w:rPr>
        <w:t>a</w:t>
      </w:r>
      <w:r w:rsidRPr="00923562">
        <w:rPr>
          <w:rFonts w:ascii="Times" w:hAnsi="Times"/>
          <w:szCs w:val="20"/>
          <w:lang w:val="en-GB"/>
        </w:rPr>
        <w:t xml:space="preserve">betic subjects hospitalized  for foot ulceration from 1990 to 1993: a 6.5-year follow-up. </w:t>
      </w:r>
      <w:r w:rsidRPr="00923562">
        <w:rPr>
          <w:rFonts w:ascii="Times" w:hAnsi="Times"/>
          <w:i/>
          <w:iCs/>
          <w:szCs w:val="20"/>
          <w:lang w:val="en-GB"/>
        </w:rPr>
        <w:t xml:space="preserve">Diabetes Care </w:t>
      </w:r>
      <w:r w:rsidRPr="00923562">
        <w:rPr>
          <w:rFonts w:ascii="Times" w:hAnsi="Times"/>
          <w:szCs w:val="20"/>
          <w:lang w:val="en-GB"/>
        </w:rPr>
        <w:t>24:78–83, 2001 .</w:t>
      </w:r>
    </w:p>
    <w:p w14:paraId="55E1C8A9" w14:textId="77777777" w:rsidR="002114B9" w:rsidRPr="00923562" w:rsidRDefault="002114B9" w:rsidP="00923562">
      <w:pPr>
        <w:pStyle w:val="Testonotadichiusura"/>
        <w:rPr>
          <w:rFonts w:ascii="Times" w:hAnsi="Times"/>
          <w:szCs w:val="20"/>
          <w:lang w:val="en-US"/>
        </w:rPr>
      </w:pPr>
    </w:p>
  </w:endnote>
  <w:endnote w:id="119">
    <w:p w14:paraId="51DBDF20"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Mayfield JA, Reiber GE, Maynard C, Czerniecki JM, Caps MT, Sangeorzan BJ: Survival following lower-limb amputation in a veteran population. 2001, </w:t>
      </w:r>
      <w:r w:rsidRPr="00923562">
        <w:rPr>
          <w:rFonts w:ascii="Times" w:hAnsi="Times" w:cs="Times New Roman"/>
          <w:i/>
          <w:iCs/>
          <w:lang w:val="en-GB"/>
        </w:rPr>
        <w:t xml:space="preserve">J Rehabil Res Dev </w:t>
      </w:r>
      <w:r w:rsidRPr="00923562">
        <w:rPr>
          <w:rFonts w:ascii="Times" w:hAnsi="Times" w:cs="Times New Roman"/>
          <w:lang w:val="en-GB"/>
        </w:rPr>
        <w:t xml:space="preserve">38: 341–345. </w:t>
      </w:r>
    </w:p>
    <w:p w14:paraId="7B0B9F65" w14:textId="77777777" w:rsidR="002114B9" w:rsidRPr="00923562" w:rsidRDefault="002114B9" w:rsidP="00923562">
      <w:pPr>
        <w:pStyle w:val="Footnote"/>
        <w:ind w:left="0" w:firstLine="0"/>
        <w:jc w:val="both"/>
        <w:rPr>
          <w:rFonts w:ascii="Times" w:hAnsi="Times" w:cs="Times New Roman"/>
          <w:lang w:val="en-US"/>
        </w:rPr>
      </w:pPr>
    </w:p>
  </w:endnote>
  <w:endnote w:id="120">
    <w:p w14:paraId="07EEDE8E"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Eggers PW, Gohdes D, Pugh J: Nontraumatic lower extremity amputations in the Medicare end-stage renal disease population.  </w:t>
      </w:r>
      <w:r w:rsidRPr="00923562">
        <w:rPr>
          <w:rFonts w:ascii="Times" w:hAnsi="Times" w:cs="Times New Roman"/>
          <w:i/>
          <w:iCs/>
          <w:lang w:val="en-GB"/>
        </w:rPr>
        <w:t xml:space="preserve">Kidney Int </w:t>
      </w:r>
      <w:r w:rsidRPr="00923562">
        <w:rPr>
          <w:rFonts w:ascii="Times" w:hAnsi="Times" w:cs="Times New Roman"/>
          <w:lang w:val="en-GB"/>
        </w:rPr>
        <w:t>1999; 56:1524–1533.</w:t>
      </w:r>
    </w:p>
    <w:p w14:paraId="71DCA09C" w14:textId="77777777" w:rsidR="002114B9" w:rsidRPr="00923562" w:rsidRDefault="002114B9" w:rsidP="00923562">
      <w:pPr>
        <w:pStyle w:val="Footnote"/>
        <w:ind w:left="0" w:firstLine="0"/>
        <w:jc w:val="both"/>
        <w:rPr>
          <w:rFonts w:ascii="Times" w:hAnsi="Times" w:cs="Times New Roman"/>
          <w:lang w:val="en-US"/>
        </w:rPr>
      </w:pPr>
    </w:p>
  </w:endnote>
  <w:endnote w:id="121">
    <w:p w14:paraId="380A7543" w14:textId="77777777" w:rsidR="002114B9" w:rsidRPr="00923562" w:rsidRDefault="002114B9" w:rsidP="00923562">
      <w:pPr>
        <w:pStyle w:val="Testonotadichiusura"/>
        <w:rPr>
          <w:rFonts w:ascii="Times" w:hAnsi="Times"/>
          <w:szCs w:val="20"/>
          <w:lang w:val="en-GB"/>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szCs w:val="20"/>
          <w:lang w:val="en-GB"/>
        </w:rPr>
        <w:t>Faglia E, Favales F, Morabito A: New ulceration, new major amputation, and survival rates in di</w:t>
      </w:r>
      <w:r w:rsidRPr="00923562">
        <w:rPr>
          <w:rFonts w:ascii="Times" w:hAnsi="Times"/>
          <w:szCs w:val="20"/>
          <w:lang w:val="en-GB"/>
        </w:rPr>
        <w:t>a</w:t>
      </w:r>
      <w:r w:rsidRPr="00923562">
        <w:rPr>
          <w:rFonts w:ascii="Times" w:hAnsi="Times"/>
          <w:szCs w:val="20"/>
          <w:lang w:val="en-GB"/>
        </w:rPr>
        <w:t xml:space="preserve">betic subjects hospitalized for foot ulceration from 1990 to 1993: a 6.5-year follow-up. </w:t>
      </w:r>
      <w:r w:rsidRPr="00923562">
        <w:rPr>
          <w:rFonts w:ascii="Times" w:hAnsi="Times"/>
          <w:i/>
          <w:iCs/>
          <w:szCs w:val="20"/>
          <w:lang w:val="en-GB"/>
        </w:rPr>
        <w:t xml:space="preserve">Diabetes Care </w:t>
      </w:r>
      <w:r w:rsidRPr="00923562">
        <w:rPr>
          <w:rFonts w:ascii="Times" w:hAnsi="Times"/>
          <w:szCs w:val="20"/>
          <w:lang w:val="en-GB"/>
        </w:rPr>
        <w:t>2001; 24:78–83.</w:t>
      </w:r>
    </w:p>
    <w:p w14:paraId="04415719" w14:textId="77777777" w:rsidR="002114B9" w:rsidRPr="00923562" w:rsidRDefault="002114B9" w:rsidP="00923562">
      <w:pPr>
        <w:pStyle w:val="Testonotadichiusura"/>
        <w:rPr>
          <w:rFonts w:ascii="Times" w:hAnsi="Times"/>
          <w:szCs w:val="20"/>
          <w:lang w:val="en-US"/>
        </w:rPr>
      </w:pPr>
    </w:p>
  </w:endnote>
  <w:endnote w:id="122">
    <w:p w14:paraId="59B6FFB2"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Reiber GE: The epidemiology of diabetic foot problems: proceedings of the Second International Symposium on the diabetic foot. 1996, </w:t>
      </w:r>
      <w:r w:rsidRPr="00923562">
        <w:rPr>
          <w:rFonts w:ascii="Times" w:hAnsi="Times" w:cs="Times New Roman"/>
          <w:i/>
          <w:iCs/>
          <w:lang w:val="en-GB"/>
        </w:rPr>
        <w:t xml:space="preserve">Diabet Med </w:t>
      </w:r>
      <w:r w:rsidRPr="00923562">
        <w:rPr>
          <w:rFonts w:ascii="Times" w:hAnsi="Times" w:cs="Times New Roman"/>
          <w:lang w:val="en-GB"/>
        </w:rPr>
        <w:t>13 (Suppl. 1): S6–S11.</w:t>
      </w:r>
    </w:p>
    <w:p w14:paraId="5C7C308C" w14:textId="77777777" w:rsidR="002114B9" w:rsidRPr="00923562" w:rsidRDefault="002114B9" w:rsidP="00923562">
      <w:pPr>
        <w:pStyle w:val="Footnote"/>
        <w:ind w:left="0" w:firstLine="0"/>
        <w:jc w:val="both"/>
        <w:rPr>
          <w:rFonts w:ascii="Times" w:hAnsi="Times" w:cs="Times New Roman"/>
          <w:lang w:val="en-US"/>
        </w:rPr>
      </w:pPr>
    </w:p>
  </w:endnote>
  <w:endnote w:id="123">
    <w:p w14:paraId="235F3F61"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Frykberg RG, Arora S, Pomposelli FB Jr, LoGerfo F: Functional outcome in the elderly following lower extremity amputation. </w:t>
      </w:r>
      <w:r w:rsidRPr="00923562">
        <w:rPr>
          <w:rFonts w:ascii="Times" w:hAnsi="Times" w:cs="Times New Roman"/>
          <w:i/>
          <w:iCs/>
          <w:lang w:val="en-GB"/>
        </w:rPr>
        <w:t xml:space="preserve">J Foot Ankle Surg </w:t>
      </w:r>
      <w:r w:rsidRPr="00923562">
        <w:rPr>
          <w:rFonts w:ascii="Times" w:hAnsi="Times" w:cs="Times New Roman"/>
          <w:lang w:val="en-GB"/>
        </w:rPr>
        <w:t>1998; 37:181–185.</w:t>
      </w:r>
    </w:p>
    <w:p w14:paraId="180F41E2" w14:textId="77777777" w:rsidR="002114B9" w:rsidRPr="00923562" w:rsidRDefault="002114B9" w:rsidP="00923562">
      <w:pPr>
        <w:pStyle w:val="Footnote"/>
        <w:ind w:left="0" w:firstLine="0"/>
        <w:jc w:val="both"/>
        <w:rPr>
          <w:rFonts w:ascii="Times" w:hAnsi="Times" w:cs="Times New Roman"/>
          <w:lang w:val="en-US"/>
        </w:rPr>
      </w:pPr>
    </w:p>
  </w:endnote>
  <w:endnote w:id="124">
    <w:p w14:paraId="1C5F462F"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Rosemblum BI, Pomposelli FB Jr, Giurini JM, Gibbons GW, Freeman DV, Chrzan JS, Campbell DR, Habershaw GM, LoGerfo FW: Maximizing foot salvage by acombined approach to foot ischemia and neuropathic ulceration in patients with diabetes. </w:t>
      </w:r>
      <w:r w:rsidRPr="00923562">
        <w:rPr>
          <w:rFonts w:ascii="Times" w:hAnsi="Times" w:cs="Times New Roman"/>
          <w:i/>
          <w:iCs/>
          <w:lang w:val="en-GB"/>
        </w:rPr>
        <w:t xml:space="preserve">Diabetes Care </w:t>
      </w:r>
      <w:r w:rsidRPr="00923562">
        <w:rPr>
          <w:rFonts w:ascii="Times" w:hAnsi="Times" w:cs="Times New Roman"/>
          <w:lang w:val="en-GB"/>
        </w:rPr>
        <w:t>1994; 17:983–987.</w:t>
      </w:r>
    </w:p>
    <w:p w14:paraId="0E142CB4" w14:textId="77777777" w:rsidR="002114B9" w:rsidRPr="00923562" w:rsidRDefault="002114B9" w:rsidP="00923562">
      <w:pPr>
        <w:pStyle w:val="Footnote"/>
        <w:ind w:left="0" w:firstLine="0"/>
        <w:jc w:val="both"/>
        <w:rPr>
          <w:rFonts w:ascii="Times" w:hAnsi="Times" w:cs="Times New Roman"/>
          <w:lang w:val="en-US"/>
        </w:rPr>
      </w:pPr>
    </w:p>
  </w:endnote>
  <w:endnote w:id="125">
    <w:p w14:paraId="3703AEA3" w14:textId="77777777" w:rsidR="002114B9" w:rsidRPr="00923562" w:rsidRDefault="002114B9" w:rsidP="00923562">
      <w:pPr>
        <w:pStyle w:val="Testonotadichiusura"/>
        <w:rPr>
          <w:rFonts w:ascii="Times" w:hAnsi="Times"/>
          <w:szCs w:val="20"/>
          <w:lang w:val="en-GB"/>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szCs w:val="20"/>
          <w:lang w:val="en-GB"/>
        </w:rPr>
        <w:t xml:space="preserve">Ramsey SD, Newton K, Blough D, McCulloch DK, Sandhu N, Reiber GE, Wagner  EH: Incidence, outcomes, and cost of foot ulcers in patients with diabetes. </w:t>
      </w:r>
      <w:r w:rsidRPr="00923562">
        <w:rPr>
          <w:rFonts w:ascii="Times" w:hAnsi="Times"/>
          <w:i/>
          <w:iCs/>
          <w:szCs w:val="20"/>
          <w:lang w:val="en-GB"/>
        </w:rPr>
        <w:t xml:space="preserve">Diabetes Care </w:t>
      </w:r>
      <w:r w:rsidRPr="00923562">
        <w:rPr>
          <w:rFonts w:ascii="Times" w:hAnsi="Times"/>
          <w:szCs w:val="20"/>
          <w:lang w:val="en-GB"/>
        </w:rPr>
        <w:t>1999; 22:382–387.</w:t>
      </w:r>
    </w:p>
    <w:p w14:paraId="234F745D" w14:textId="77777777" w:rsidR="002114B9" w:rsidRPr="00923562" w:rsidRDefault="002114B9" w:rsidP="00923562">
      <w:pPr>
        <w:pStyle w:val="Testonotadichiusura"/>
        <w:rPr>
          <w:rFonts w:ascii="Times" w:hAnsi="Times"/>
          <w:szCs w:val="20"/>
          <w:lang w:val="en-US"/>
        </w:rPr>
      </w:pPr>
    </w:p>
  </w:endnote>
  <w:endnote w:id="126">
    <w:p w14:paraId="3A2FE2C3"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Barzilay JI, Kronmal RA, Bittner V, Eaker E, Evans C, Foster ED: Coronary artery disease in diabetic patients with lower-extremity arterial disease: disease characteristics and survival. </w:t>
      </w:r>
      <w:r w:rsidRPr="00923562">
        <w:rPr>
          <w:rFonts w:ascii="Times" w:hAnsi="Times" w:cs="Times New Roman"/>
          <w:i/>
          <w:iCs/>
          <w:lang w:val="en-GB"/>
        </w:rPr>
        <w:t xml:space="preserve">Diabetes Care </w:t>
      </w:r>
      <w:r w:rsidRPr="00923562">
        <w:rPr>
          <w:rFonts w:ascii="Times" w:hAnsi="Times" w:cs="Times New Roman"/>
          <w:lang w:val="en-GB"/>
        </w:rPr>
        <w:t>1997; 20:1381–1387.</w:t>
      </w:r>
    </w:p>
    <w:p w14:paraId="5A1B178C" w14:textId="77777777" w:rsidR="002114B9" w:rsidRPr="00923562" w:rsidRDefault="002114B9" w:rsidP="00923562">
      <w:pPr>
        <w:pStyle w:val="Footnote"/>
        <w:ind w:left="0" w:firstLine="0"/>
        <w:jc w:val="both"/>
        <w:rPr>
          <w:rFonts w:ascii="Times" w:hAnsi="Times" w:cs="Times New Roman"/>
          <w:lang w:val="en-US"/>
        </w:rPr>
      </w:pPr>
    </w:p>
  </w:endnote>
  <w:endnote w:id="127">
    <w:p w14:paraId="5C63455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Boyko EJ, Ahroni JH, Smith DG, Davignon D. Increased mortality associated with diabetic foot ulcer. Diabet Med 1996;13: 967-72.</w:t>
      </w:r>
    </w:p>
    <w:p w14:paraId="67687252" w14:textId="77777777" w:rsidR="002114B9" w:rsidRPr="00923562" w:rsidRDefault="002114B9" w:rsidP="00923562">
      <w:pPr>
        <w:pStyle w:val="Footnote"/>
        <w:ind w:left="0" w:firstLine="0"/>
        <w:jc w:val="both"/>
        <w:rPr>
          <w:rFonts w:ascii="Times" w:hAnsi="Times" w:cs="Times New Roman"/>
          <w:lang w:val="en-US"/>
        </w:rPr>
      </w:pPr>
    </w:p>
  </w:endnote>
  <w:endnote w:id="128">
    <w:p w14:paraId="2CF6B1D2"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Giurini JM, Lyons TE. Diabetic foot complications: diagnosis and management. Int J Low Extrem Wounds 2005;4: 171-82 [Review].</w:t>
      </w:r>
    </w:p>
    <w:p w14:paraId="0F108CB3" w14:textId="77777777" w:rsidR="002114B9" w:rsidRPr="00923562" w:rsidRDefault="002114B9" w:rsidP="00923562">
      <w:pPr>
        <w:pStyle w:val="Footnote"/>
        <w:ind w:left="0" w:firstLine="0"/>
        <w:jc w:val="both"/>
        <w:rPr>
          <w:rFonts w:ascii="Times" w:hAnsi="Times" w:cs="Times New Roman"/>
          <w:lang w:val="en-US"/>
        </w:rPr>
      </w:pPr>
    </w:p>
  </w:endnote>
  <w:endnote w:id="129">
    <w:p w14:paraId="08F2667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 xml:space="preserve">Pinto A, Tuttolomondo A, Di Raimondo D, Fernandez P, La Placa S, Di Gati M, Licata G. </w:t>
      </w:r>
      <w:r w:rsidRPr="00923562">
        <w:rPr>
          <w:rFonts w:ascii="Times" w:hAnsi="Times" w:cs="Times New Roman"/>
          <w:lang w:val="en-GB"/>
        </w:rPr>
        <w:t xml:space="preserve">Cardiovascular risk profile and morbidity in subjects affected by type 2 diabetes mellitus with and without diabetic foot. </w:t>
      </w:r>
      <w:r w:rsidRPr="00923562">
        <w:rPr>
          <w:rStyle w:val="journalname"/>
          <w:rFonts w:ascii="Times" w:hAnsi="Times" w:cs="Times New Roman"/>
          <w:lang w:val="en-US"/>
        </w:rPr>
        <w:t>Metabolism</w:t>
      </w:r>
      <w:r w:rsidRPr="00923562">
        <w:rPr>
          <w:rFonts w:ascii="Times" w:hAnsi="Times" w:cs="Times New Roman"/>
          <w:lang w:val="en-US"/>
        </w:rPr>
        <w:t>. 2008 May;57(5):676-82.</w:t>
      </w:r>
    </w:p>
    <w:p w14:paraId="565219AE" w14:textId="77777777" w:rsidR="002114B9" w:rsidRPr="00923562" w:rsidRDefault="002114B9" w:rsidP="00923562">
      <w:pPr>
        <w:pStyle w:val="Footnote"/>
        <w:ind w:left="0" w:firstLine="0"/>
        <w:jc w:val="both"/>
        <w:rPr>
          <w:rFonts w:ascii="Times" w:hAnsi="Times" w:cs="Times New Roman"/>
          <w:lang w:val="en-US"/>
        </w:rPr>
      </w:pPr>
    </w:p>
  </w:endnote>
  <w:endnote w:id="130">
    <w:p w14:paraId="26B00D5E"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US"/>
        </w:rPr>
        <w:t xml:space="preserve">Ganda OP, Arkin CF. Hyperfibrinogenemia: an important risk factor for vascular complications in diabetes. </w:t>
      </w:r>
      <w:r w:rsidRPr="00923562">
        <w:rPr>
          <w:rFonts w:ascii="Times" w:hAnsi="Times" w:cs="Times New Roman"/>
          <w:lang w:val="en-GB"/>
        </w:rPr>
        <w:t>Diabetes Care 1992;15: 1245-50.</w:t>
      </w:r>
    </w:p>
    <w:p w14:paraId="4AFD8ADE" w14:textId="77777777" w:rsidR="002114B9" w:rsidRPr="00923562" w:rsidRDefault="002114B9" w:rsidP="00923562">
      <w:pPr>
        <w:pStyle w:val="Footnote"/>
        <w:ind w:left="0" w:firstLine="0"/>
        <w:jc w:val="both"/>
        <w:rPr>
          <w:rFonts w:ascii="Times" w:hAnsi="Times" w:cs="Times New Roman"/>
          <w:lang w:val="en-US"/>
        </w:rPr>
      </w:pPr>
    </w:p>
  </w:endnote>
  <w:endnote w:id="131">
    <w:p w14:paraId="7BC53791" w14:textId="77777777" w:rsidR="002114B9" w:rsidRPr="00923562" w:rsidRDefault="002114B9" w:rsidP="00923562">
      <w:pPr>
        <w:pStyle w:val="Footnote"/>
        <w:ind w:left="0" w:firstLine="0"/>
        <w:jc w:val="both"/>
        <w:rPr>
          <w:rFonts w:ascii="Times" w:hAnsi="Times" w:cs="Times New Roman"/>
          <w:b/>
          <w:lang w:val="en-GB"/>
        </w:rPr>
      </w:pPr>
      <w:r w:rsidRPr="00923562">
        <w:rPr>
          <w:rStyle w:val="Rimandonotadichiusura"/>
          <w:rFonts w:ascii="Times" w:hAnsi="Times" w:cs="Times New Roman"/>
        </w:rPr>
        <w:endnoteRef/>
      </w:r>
      <w:r w:rsidRPr="00923562">
        <w:rPr>
          <w:rFonts w:ascii="Times" w:hAnsi="Times" w:cs="Times New Roman"/>
          <w:lang w:val="en-GB"/>
        </w:rPr>
        <w:t>Van Houtum WH, Lavery LA. Outcomes associated with diabetes related amputations in the Netherlands and in the state of California, USA. J Intern Med 1996;240: 227-31</w:t>
      </w:r>
      <w:r w:rsidRPr="00923562">
        <w:rPr>
          <w:rFonts w:ascii="Times" w:hAnsi="Times" w:cs="Times New Roman"/>
          <w:b/>
          <w:lang w:val="en-GB"/>
        </w:rPr>
        <w:t>.</w:t>
      </w:r>
    </w:p>
    <w:p w14:paraId="57F1BC78" w14:textId="77777777" w:rsidR="002114B9" w:rsidRPr="00923562" w:rsidRDefault="002114B9" w:rsidP="00923562">
      <w:pPr>
        <w:pStyle w:val="Footnote"/>
        <w:ind w:left="0" w:firstLine="0"/>
        <w:jc w:val="both"/>
        <w:rPr>
          <w:rFonts w:ascii="Times" w:hAnsi="Times" w:cs="Times New Roman"/>
          <w:lang w:val="en-US"/>
        </w:rPr>
      </w:pPr>
    </w:p>
  </w:endnote>
  <w:endnote w:id="132">
    <w:p w14:paraId="6FD83F1A"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Tesfaye S, Chaturvedi N, Eaton SE, Ward JD, Manes C, Ionescu-Tirgoviste C, et al, for the EURODIAB Prospective Complications Study Group. Vascular risk factors and diabetic neuropathy. N Engl J Med 2005;352: 341-50.</w:t>
      </w:r>
    </w:p>
    <w:p w14:paraId="55F9BDC8" w14:textId="77777777" w:rsidR="002114B9" w:rsidRPr="00923562" w:rsidRDefault="002114B9" w:rsidP="00923562">
      <w:pPr>
        <w:pStyle w:val="Footnote"/>
        <w:ind w:left="0" w:firstLine="0"/>
        <w:jc w:val="both"/>
        <w:rPr>
          <w:rFonts w:ascii="Times" w:hAnsi="Times" w:cs="Times New Roman"/>
          <w:lang w:val="en-US"/>
        </w:rPr>
      </w:pPr>
    </w:p>
  </w:endnote>
  <w:endnote w:id="133">
    <w:p w14:paraId="68F28CE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Zhang J, Ren S, Sun D, Shen GX. Influence of glycation on LDLinduced generation of fibrinolytic regulators in vascular endothelial cells. Arterioscler Thromb Vasc Biol 1998;18: 1140-8.</w:t>
      </w:r>
    </w:p>
  </w:endnote>
  <w:endnote w:id="134">
    <w:p w14:paraId="3C136ACE" w14:textId="77777777" w:rsidR="002114B9" w:rsidRPr="00923562" w:rsidRDefault="002114B9" w:rsidP="00923562">
      <w:pPr>
        <w:pStyle w:val="Footnote"/>
        <w:pageBreakBefor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The Pooling Project Research Group.  Relationship of blood pressure, serum cholesterol, smoking habits, relative weight and ECG abnormalities to incidence of major coronary events: final report of the pooling project. J Chron Dis 1978;31: 201-306.</w:t>
      </w:r>
    </w:p>
    <w:p w14:paraId="4FF53D39" w14:textId="77777777" w:rsidR="002114B9" w:rsidRPr="00923562" w:rsidRDefault="002114B9" w:rsidP="00923562">
      <w:pPr>
        <w:pStyle w:val="Footnote"/>
        <w:pageBreakBefore/>
        <w:ind w:left="0" w:firstLine="0"/>
        <w:jc w:val="both"/>
        <w:rPr>
          <w:rFonts w:ascii="Times" w:hAnsi="Times" w:cs="Times New Roman"/>
          <w:lang w:val="en-US"/>
        </w:rPr>
      </w:pPr>
    </w:p>
  </w:endnote>
  <w:endnote w:id="135">
    <w:p w14:paraId="0E3A8C20"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The Pooling Project Research Group. Relationship of blood pressure, serum cholesterol, smoking habits, relative weight and ECG abnormalities to incidence of major coronary events: final report of the pooling project. J Chron Dis 1978;31:201-306.</w:t>
      </w:r>
    </w:p>
    <w:p w14:paraId="771E67FC" w14:textId="77777777" w:rsidR="002114B9" w:rsidRPr="00923562" w:rsidRDefault="002114B9" w:rsidP="00923562">
      <w:pPr>
        <w:pStyle w:val="Testonotadichiusura"/>
        <w:rPr>
          <w:rFonts w:ascii="Times" w:hAnsi="Times"/>
          <w:szCs w:val="20"/>
          <w:lang w:val="en-US"/>
        </w:rPr>
      </w:pPr>
    </w:p>
  </w:endnote>
  <w:endnote w:id="136">
    <w:p w14:paraId="64882FDF"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Kuller L, Fisher L, McClelland R, Fried L, Cushman M, Jackson S, et al. Differences in prevalence of and risk factors for subclinical vascular disease among black and white participants in the Cardiovascular Health Study. Arterioscler Thromb Vasc Biol 1998;18: 283-93.</w:t>
      </w:r>
    </w:p>
    <w:p w14:paraId="57A16BA1" w14:textId="77777777" w:rsidR="002114B9" w:rsidRPr="00923562" w:rsidRDefault="002114B9" w:rsidP="00923562">
      <w:pPr>
        <w:pStyle w:val="Footnote"/>
        <w:ind w:left="0" w:firstLine="0"/>
        <w:jc w:val="both"/>
        <w:rPr>
          <w:rFonts w:ascii="Times" w:hAnsi="Times" w:cs="Times New Roman"/>
          <w:lang w:val="en-US"/>
        </w:rPr>
      </w:pPr>
    </w:p>
  </w:endnote>
  <w:endnote w:id="137">
    <w:p w14:paraId="66AAF5B9"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Schaper NC, Nabuurs-Franssen MH. The diabetic foot: pathogenesis and clinical evaluation. Semin Vasc Med 2002;2: 221-8.</w:t>
      </w:r>
    </w:p>
    <w:p w14:paraId="47A1AC2C" w14:textId="77777777" w:rsidR="002114B9" w:rsidRPr="00923562" w:rsidRDefault="002114B9" w:rsidP="00923562">
      <w:pPr>
        <w:pStyle w:val="Footnote"/>
        <w:ind w:left="0" w:firstLine="0"/>
        <w:jc w:val="both"/>
        <w:rPr>
          <w:rFonts w:ascii="Times" w:hAnsi="Times" w:cs="Times New Roman"/>
          <w:lang w:val="en-US"/>
        </w:rPr>
      </w:pPr>
    </w:p>
  </w:endnote>
  <w:endnote w:id="138">
    <w:p w14:paraId="2056F864"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Lawall HH, Amann B, Rottmann M, Angelkort B. The role of microcirculatory techniques in patients with diabetic foot syndrome. Vasa 2000;29: 191-7.</w:t>
      </w:r>
    </w:p>
    <w:p w14:paraId="4383D717" w14:textId="77777777" w:rsidR="002114B9" w:rsidRPr="00923562" w:rsidRDefault="002114B9" w:rsidP="00923562">
      <w:pPr>
        <w:pStyle w:val="Footnote"/>
        <w:ind w:left="0" w:firstLine="0"/>
        <w:jc w:val="both"/>
        <w:rPr>
          <w:rFonts w:ascii="Times" w:hAnsi="Times" w:cs="Times New Roman"/>
          <w:lang w:val="en-US"/>
        </w:rPr>
      </w:pPr>
    </w:p>
  </w:endnote>
  <w:endnote w:id="139">
    <w:p w14:paraId="33DF6120" w14:textId="77777777" w:rsidR="002114B9" w:rsidRPr="00923562" w:rsidRDefault="002114B9" w:rsidP="00923562">
      <w:pPr>
        <w:pStyle w:val="Footnote"/>
        <w:ind w:left="0" w:firstLine="0"/>
        <w:jc w:val="both"/>
        <w:rPr>
          <w:rFonts w:ascii="Times" w:hAnsi="Times" w:cs="Times New Roman"/>
        </w:rPr>
      </w:pPr>
      <w:r w:rsidRPr="00923562">
        <w:rPr>
          <w:rStyle w:val="Rimandonotadichiusura"/>
          <w:rFonts w:ascii="Times" w:hAnsi="Times" w:cs="Times New Roman"/>
        </w:rPr>
        <w:endnoteRef/>
      </w:r>
      <w:r w:rsidRPr="00923562">
        <w:rPr>
          <w:rFonts w:ascii="Times" w:hAnsi="Times" w:cs="Times New Roman"/>
          <w:lang w:val="en-US"/>
        </w:rPr>
        <w:t xml:space="preserve">Pinto A, Tuttolomondo A, Di Raimondo D, Fernandez P, Licata G. Risk factors profile and clinical outcome of ischemic stroke patients admitted in a Department of Internal Medicine and classified by TOAST classification. </w:t>
      </w:r>
      <w:r w:rsidRPr="00923562">
        <w:rPr>
          <w:rFonts w:ascii="Times" w:hAnsi="Times" w:cs="Times New Roman"/>
        </w:rPr>
        <w:t>International Angiology 2006;25: 261-7.</w:t>
      </w:r>
    </w:p>
    <w:p w14:paraId="1B9DE550" w14:textId="77777777" w:rsidR="002114B9" w:rsidRPr="00923562" w:rsidRDefault="002114B9" w:rsidP="00923562">
      <w:pPr>
        <w:pStyle w:val="Footnote"/>
        <w:ind w:left="0" w:firstLine="0"/>
        <w:jc w:val="both"/>
        <w:rPr>
          <w:rFonts w:ascii="Times" w:hAnsi="Times" w:cs="Times New Roman"/>
        </w:rPr>
      </w:pPr>
    </w:p>
  </w:endnote>
  <w:endnote w:id="140">
    <w:p w14:paraId="1372FBFE"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rPr>
        <w:t xml:space="preserve">Tuttolomondo A, Pinto A, Salemi G, Di Raimondo D, Di Sciacca R, Fernandez P, et al. </w:t>
      </w:r>
      <w:r w:rsidRPr="00923562">
        <w:rPr>
          <w:rFonts w:ascii="Times" w:hAnsi="Times" w:cs="Times New Roman"/>
          <w:lang w:val="en-GB"/>
        </w:rPr>
        <w:t xml:space="preserve">Diabetic and non-diabetic subjects with ischemic stroke: differences, subtype distribution and outcome. Nutrition Metabolism and Cardiovascular Disease </w:t>
      </w:r>
      <w:r w:rsidRPr="00923562">
        <w:rPr>
          <w:rFonts w:ascii="Times" w:hAnsi="Times" w:cs="Times New Roman"/>
          <w:lang w:val="en-US"/>
        </w:rPr>
        <w:t>2008 Feb;18(2):152-7.</w:t>
      </w:r>
    </w:p>
    <w:p w14:paraId="3D39EF27" w14:textId="77777777" w:rsidR="002114B9" w:rsidRPr="00923562" w:rsidRDefault="002114B9" w:rsidP="00923562">
      <w:pPr>
        <w:pStyle w:val="Footnote"/>
        <w:ind w:left="0" w:firstLine="0"/>
        <w:jc w:val="both"/>
        <w:rPr>
          <w:rFonts w:ascii="Times" w:hAnsi="Times" w:cs="Times New Roman"/>
          <w:lang w:val="en-US"/>
        </w:rPr>
      </w:pPr>
    </w:p>
  </w:endnote>
  <w:endnote w:id="141">
    <w:p w14:paraId="729887A0"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Roper NA, Bilous RW, Kelly WF, Unwin NC, Connolly VM. Excess mortality in a population with diabetes and the impact of material deprivation: longitudinal, population based study. BMJ 2001;322: 1389-93.</w:t>
      </w:r>
    </w:p>
    <w:p w14:paraId="60980ADF" w14:textId="77777777" w:rsidR="002114B9" w:rsidRPr="00923562" w:rsidRDefault="002114B9" w:rsidP="00923562">
      <w:pPr>
        <w:pStyle w:val="Footnote"/>
        <w:ind w:left="0" w:firstLine="0"/>
        <w:jc w:val="both"/>
        <w:rPr>
          <w:rFonts w:ascii="Times" w:hAnsi="Times" w:cs="Times New Roman"/>
          <w:lang w:val="en-US"/>
        </w:rPr>
      </w:pPr>
    </w:p>
  </w:endnote>
  <w:endnote w:id="142">
    <w:p w14:paraId="43E5EFB1"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Jamrozik K, Boradhurst RJ, Anderson CS, Stewart-Wynne EG. The role of lifestyle factors in the etiology of stroke: a population-based case-control study in Perth, Western Australia. Stroke 1994;25: 51-9.</w:t>
      </w:r>
    </w:p>
    <w:p w14:paraId="67293B9B" w14:textId="77777777" w:rsidR="002114B9" w:rsidRPr="00923562" w:rsidRDefault="002114B9" w:rsidP="00923562">
      <w:pPr>
        <w:pStyle w:val="Footnote"/>
        <w:ind w:left="0" w:firstLine="0"/>
        <w:jc w:val="both"/>
        <w:rPr>
          <w:rFonts w:ascii="Times" w:hAnsi="Times" w:cs="Times New Roman"/>
          <w:lang w:val="en-US"/>
        </w:rPr>
      </w:pPr>
    </w:p>
  </w:endnote>
  <w:endnote w:id="143">
    <w:p w14:paraId="33E08F23"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Adams HP, Bendixen BH, Kappelle J, Biller J, Love B, Gordon MD, et al, and the TOAST Investigators. Classification of subtype of acute ischemic stroke. Stroke 1993;24: 35-41.</w:t>
      </w:r>
    </w:p>
    <w:p w14:paraId="48E005C9" w14:textId="77777777" w:rsidR="002114B9" w:rsidRPr="00923562" w:rsidRDefault="002114B9" w:rsidP="00923562">
      <w:pPr>
        <w:pStyle w:val="Footnote"/>
        <w:ind w:left="0" w:firstLine="0"/>
        <w:jc w:val="both"/>
        <w:rPr>
          <w:rFonts w:ascii="Times" w:hAnsi="Times" w:cs="Times New Roman"/>
          <w:lang w:val="en-US"/>
        </w:rPr>
      </w:pPr>
    </w:p>
  </w:endnote>
  <w:endnote w:id="144">
    <w:p w14:paraId="554AC237"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Gazis A, Pound N, Macfarlane R, Treece K, Game F, Jeffcoate W. Mortality in patients with diabetic neuropathic osteoarthropathy (Charcotfoot). Diabet Med 2004;21: 1243-6.</w:t>
      </w:r>
    </w:p>
    <w:p w14:paraId="30099BC9" w14:textId="77777777" w:rsidR="002114B9" w:rsidRPr="00923562" w:rsidRDefault="002114B9" w:rsidP="00923562">
      <w:pPr>
        <w:pStyle w:val="Footnote"/>
        <w:ind w:left="0" w:firstLine="0"/>
        <w:jc w:val="both"/>
        <w:rPr>
          <w:rFonts w:ascii="Times" w:hAnsi="Times" w:cs="Times New Roman"/>
          <w:lang w:val="en-US"/>
        </w:rPr>
      </w:pPr>
    </w:p>
  </w:endnote>
  <w:endnote w:id="145">
    <w:p w14:paraId="7BAA45C2" w14:textId="77777777" w:rsidR="002114B9" w:rsidRPr="00923562" w:rsidRDefault="002114B9" w:rsidP="00923562">
      <w:pPr>
        <w:pStyle w:val="Testonotadichiusura"/>
        <w:rPr>
          <w:rFonts w:ascii="Times" w:hAnsi="Times"/>
          <w:szCs w:val="20"/>
          <w:lang w:val="en-GB"/>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szCs w:val="20"/>
          <w:lang w:val="en-GB"/>
        </w:rPr>
        <w:t xml:space="preserve">Tesfaye S, Chaturvedi N, Eaton SE, Ward JD, Manes C, Ionescu-Tirgoviste C </w:t>
      </w:r>
      <w:r w:rsidRPr="00923562">
        <w:rPr>
          <w:rFonts w:ascii="Times" w:hAnsi="Times"/>
          <w:i/>
          <w:iCs/>
          <w:szCs w:val="20"/>
          <w:lang w:val="en-GB"/>
        </w:rPr>
        <w:t>et al</w:t>
      </w:r>
      <w:r w:rsidRPr="00923562">
        <w:rPr>
          <w:rFonts w:ascii="Times" w:hAnsi="Times"/>
          <w:szCs w:val="20"/>
          <w:lang w:val="en-GB"/>
        </w:rPr>
        <w:t>.; EURODIAB Prospective Complications Study Group. Vascular risk factors and diabetic neuropathy. N Engl J Med 2005;352:341-50.</w:t>
      </w:r>
    </w:p>
    <w:p w14:paraId="4E431837" w14:textId="77777777" w:rsidR="002114B9" w:rsidRPr="00923562" w:rsidRDefault="002114B9" w:rsidP="00923562">
      <w:pPr>
        <w:pStyle w:val="Testonotadichiusura"/>
        <w:rPr>
          <w:rFonts w:ascii="Times" w:hAnsi="Times"/>
          <w:szCs w:val="20"/>
          <w:lang w:val="en-US"/>
        </w:rPr>
      </w:pPr>
    </w:p>
  </w:endnote>
  <w:endnote w:id="146">
    <w:p w14:paraId="7F04CFD1"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Folsom AR, Eckfeldt JH, Weitzman S, Ma J, Chambless LE, Barnes RW </w:t>
      </w:r>
      <w:r w:rsidRPr="00923562">
        <w:rPr>
          <w:rFonts w:ascii="Times" w:hAnsi="Times" w:cs="Times New Roman"/>
          <w:i/>
          <w:iCs/>
          <w:lang w:val="en-GB"/>
        </w:rPr>
        <w:t>et al</w:t>
      </w:r>
      <w:r w:rsidRPr="00923562">
        <w:rPr>
          <w:rFonts w:ascii="Times" w:hAnsi="Times" w:cs="Times New Roman"/>
          <w:lang w:val="en-GB"/>
        </w:rPr>
        <w:t>. for the Atherosclerosis Risk in Communities (ARIC) Study Investigators. Relation of carotid artery wall thickness to diabetes mellitus, fasting glucose and insulin, body size, and physical activity. Stroke 1994; 25: 66-73.</w:t>
      </w:r>
    </w:p>
    <w:p w14:paraId="76A57CF5" w14:textId="77777777" w:rsidR="002114B9" w:rsidRPr="00923562" w:rsidRDefault="002114B9" w:rsidP="00923562">
      <w:pPr>
        <w:pStyle w:val="Footnote"/>
        <w:ind w:left="0" w:firstLine="0"/>
        <w:jc w:val="both"/>
        <w:rPr>
          <w:rFonts w:ascii="Times" w:hAnsi="Times" w:cs="Times New Roman"/>
          <w:lang w:val="en-US"/>
        </w:rPr>
      </w:pPr>
    </w:p>
  </w:endnote>
  <w:endnote w:id="147">
    <w:p w14:paraId="45B7C2E8" w14:textId="77777777" w:rsidR="002114B9" w:rsidRPr="00923562" w:rsidRDefault="002114B9" w:rsidP="00923562">
      <w:pPr>
        <w:pStyle w:val="Footnote"/>
        <w:ind w:left="0" w:firstLine="0"/>
        <w:jc w:val="both"/>
        <w:rPr>
          <w:rFonts w:ascii="Times" w:hAnsi="Times" w:cs="Times New Roman"/>
          <w:lang w:val="en-GB"/>
        </w:rPr>
      </w:pPr>
    </w:p>
    <w:p w14:paraId="35BD1A85"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Kuller LH, Shemanski L, Psaty BM, Borhani NO, Gardin J, Haan MN </w:t>
      </w:r>
      <w:r w:rsidRPr="00923562">
        <w:rPr>
          <w:rFonts w:ascii="Times" w:hAnsi="Times" w:cs="Times New Roman"/>
          <w:i/>
          <w:iCs/>
          <w:lang w:val="en-GB"/>
        </w:rPr>
        <w:t>et al</w:t>
      </w:r>
      <w:r w:rsidRPr="00923562">
        <w:rPr>
          <w:rFonts w:ascii="Times" w:hAnsi="Times" w:cs="Times New Roman"/>
          <w:lang w:val="en-GB"/>
        </w:rPr>
        <w:t>. Subclinical disease as an independent risk factor for cardiovascular disease. Circulation 1995;92: 720-72.</w:t>
      </w:r>
    </w:p>
    <w:p w14:paraId="32AF2ACC" w14:textId="77777777" w:rsidR="002114B9" w:rsidRPr="00923562" w:rsidRDefault="002114B9" w:rsidP="00923562">
      <w:pPr>
        <w:pStyle w:val="Footnote"/>
        <w:ind w:left="0" w:firstLine="0"/>
        <w:jc w:val="both"/>
        <w:rPr>
          <w:rFonts w:ascii="Times" w:hAnsi="Times" w:cs="Times New Roman"/>
          <w:lang w:val="en-US"/>
        </w:rPr>
      </w:pPr>
    </w:p>
  </w:endnote>
  <w:endnote w:id="148">
    <w:p w14:paraId="05099CB8"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en-GB"/>
        </w:rPr>
        <w:t xml:space="preserve">Aoki I, Shimoyama K, Aoki N, Homori M, Yanagisawa A, Nakahara K </w:t>
      </w:r>
      <w:r w:rsidRPr="00923562">
        <w:rPr>
          <w:rFonts w:ascii="Times" w:hAnsi="Times" w:cs="Times New Roman"/>
          <w:i/>
          <w:iCs/>
          <w:lang w:val="en-GB"/>
        </w:rPr>
        <w:t>et al</w:t>
      </w:r>
      <w:r w:rsidRPr="00923562">
        <w:rPr>
          <w:rFonts w:ascii="Times" w:hAnsi="Times" w:cs="Times New Roman"/>
          <w:lang w:val="en-GB"/>
        </w:rPr>
        <w:t>. Platelet-dependent thrombin generation in patients with diabetes mellitus: effects of glycemic control on coagulability in diabetes. J Am Coll Cardio1996;27: 560-6.</w:t>
      </w:r>
    </w:p>
    <w:p w14:paraId="5CCDF2B1" w14:textId="77777777" w:rsidR="002114B9" w:rsidRPr="00923562" w:rsidRDefault="002114B9" w:rsidP="00923562">
      <w:pPr>
        <w:pStyle w:val="Footnote"/>
        <w:ind w:left="0" w:firstLine="0"/>
        <w:jc w:val="both"/>
        <w:rPr>
          <w:rFonts w:ascii="Times" w:hAnsi="Times" w:cs="Times New Roman"/>
          <w:lang w:val="en-US"/>
        </w:rPr>
      </w:pPr>
    </w:p>
  </w:endnote>
  <w:endnote w:id="149">
    <w:p w14:paraId="63E464D0" w14:textId="77777777" w:rsidR="002114B9" w:rsidRPr="00923562" w:rsidRDefault="002114B9" w:rsidP="00923562">
      <w:pPr>
        <w:pStyle w:val="Testonotadichiusura"/>
        <w:rPr>
          <w:rFonts w:ascii="Times" w:hAnsi="Times"/>
          <w:szCs w:val="20"/>
          <w:lang w:val="en-GB"/>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szCs w:val="20"/>
          <w:lang w:val="en-GB"/>
        </w:rPr>
        <w:t xml:space="preserve">Aoki I, Shimoyama K, Aoki N, Homori M, Yanagisawa A, Nakahara K </w:t>
      </w:r>
      <w:r w:rsidRPr="00923562">
        <w:rPr>
          <w:rFonts w:ascii="Times" w:hAnsi="Times"/>
          <w:i/>
          <w:iCs/>
          <w:szCs w:val="20"/>
          <w:lang w:val="en-GB"/>
        </w:rPr>
        <w:t>et al</w:t>
      </w:r>
      <w:r w:rsidRPr="00923562">
        <w:rPr>
          <w:rFonts w:ascii="Times" w:hAnsi="Times"/>
          <w:szCs w:val="20"/>
          <w:lang w:val="en-GB"/>
        </w:rPr>
        <w:t>. Platelet-dependent thrombin generation in patients with diabetes mellitus: effects of glycemic control on coagulability in diabetes. J Am Coll Cardio1996;27:560-6</w:t>
      </w:r>
    </w:p>
    <w:p w14:paraId="4BFC6AB6" w14:textId="77777777" w:rsidR="002114B9" w:rsidRPr="00923562" w:rsidRDefault="002114B9" w:rsidP="00923562">
      <w:pPr>
        <w:pStyle w:val="Testonotadichiusura"/>
        <w:rPr>
          <w:rFonts w:ascii="Times" w:hAnsi="Times"/>
          <w:szCs w:val="20"/>
          <w:lang w:val="en-US"/>
        </w:rPr>
      </w:pPr>
    </w:p>
  </w:endnote>
  <w:endnote w:id="150">
    <w:p w14:paraId="2D969838"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Megherbi SE, Milan C, Minier D, Couvreur G, Osseby GV, Tilling K, et al, for the European BIOMED Study of Stroke Care Group. Association between diabetes and stroke subtype on survival and functional outcome 3 months after stroke. Stroke 2003;34: 688-95.</w:t>
      </w:r>
    </w:p>
    <w:p w14:paraId="055A567E" w14:textId="77777777" w:rsidR="002114B9" w:rsidRPr="00923562" w:rsidRDefault="002114B9" w:rsidP="00923562">
      <w:pPr>
        <w:pStyle w:val="Footnote"/>
        <w:ind w:left="0" w:firstLine="0"/>
        <w:jc w:val="both"/>
        <w:rPr>
          <w:rFonts w:ascii="Times" w:hAnsi="Times" w:cs="Times New Roman"/>
          <w:lang w:val="en-US"/>
        </w:rPr>
      </w:pPr>
    </w:p>
  </w:endnote>
  <w:endnote w:id="151">
    <w:p w14:paraId="75B4D173"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Karapanayiotides TH, Piechowski-Jozwiak B, Vam Melle G, Bogousslavsky J, Devuyst G. Stroke patterns, etiology and prognosis in patients with diabetes mellitus. Neurology 2004;62: 1558-62.</w:t>
      </w:r>
    </w:p>
    <w:p w14:paraId="34D41307" w14:textId="77777777" w:rsidR="002114B9" w:rsidRPr="00923562" w:rsidRDefault="002114B9" w:rsidP="00923562">
      <w:pPr>
        <w:pStyle w:val="Footnote"/>
        <w:ind w:left="0" w:firstLine="0"/>
        <w:jc w:val="both"/>
        <w:rPr>
          <w:rFonts w:ascii="Times" w:hAnsi="Times" w:cs="Times New Roman"/>
          <w:lang w:val="en-US"/>
        </w:rPr>
      </w:pPr>
    </w:p>
  </w:endnote>
  <w:endnote w:id="152">
    <w:p w14:paraId="46EABCE6"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Larsson J, Apelqvist J, Agardh CD, Stenstrom A. Decreasing incidence of major amputation in di</w:t>
      </w:r>
      <w:r w:rsidRPr="00923562">
        <w:rPr>
          <w:rFonts w:ascii="Times" w:hAnsi="Times"/>
          <w:szCs w:val="20"/>
          <w:lang w:val="en-US"/>
        </w:rPr>
        <w:t>a</w:t>
      </w:r>
      <w:r w:rsidRPr="00923562">
        <w:rPr>
          <w:rFonts w:ascii="Times" w:hAnsi="Times"/>
          <w:szCs w:val="20"/>
          <w:lang w:val="en-US"/>
        </w:rPr>
        <w:t>betic patients: a consequence of a multidisciplinary foot care team approach? Diabet Med 12:770-776, 1995</w:t>
      </w:r>
    </w:p>
    <w:p w14:paraId="365D96BA" w14:textId="77777777" w:rsidR="002114B9" w:rsidRPr="00923562" w:rsidRDefault="002114B9" w:rsidP="00923562">
      <w:pPr>
        <w:pStyle w:val="Testonotadichiusura"/>
        <w:rPr>
          <w:rFonts w:ascii="Times" w:hAnsi="Times"/>
          <w:szCs w:val="20"/>
          <w:lang w:val="en-US"/>
        </w:rPr>
      </w:pPr>
    </w:p>
  </w:endnote>
  <w:endnote w:id="153">
    <w:p w14:paraId="3F6C28E0" w14:textId="77777777" w:rsidR="002114B9" w:rsidRPr="00923562" w:rsidRDefault="002114B9" w:rsidP="00923562">
      <w:pPr>
        <w:pStyle w:val="Footnote"/>
        <w:ind w:left="0" w:firstLine="0"/>
        <w:jc w:val="both"/>
        <w:rPr>
          <w:rFonts w:ascii="Times" w:hAnsi="Times" w:cs="Times New Roman"/>
          <w:lang w:val="en-GB"/>
        </w:rPr>
      </w:pPr>
      <w:r w:rsidRPr="00923562">
        <w:rPr>
          <w:rStyle w:val="Rimandonotadichiusura"/>
          <w:rFonts w:ascii="Times" w:hAnsi="Times" w:cs="Times New Roman"/>
        </w:rPr>
        <w:endnoteRef/>
      </w:r>
      <w:r w:rsidRPr="00923562">
        <w:rPr>
          <w:rFonts w:ascii="Times" w:hAnsi="Times" w:cs="Times New Roman"/>
          <w:lang w:val="da-DK"/>
        </w:rPr>
        <w:t xml:space="preserve">Driver VR, Madsen J Goodman RA. </w:t>
      </w:r>
      <w:r w:rsidRPr="00923562">
        <w:rPr>
          <w:rFonts w:ascii="Times" w:hAnsi="Times" w:cs="Times New Roman"/>
          <w:lang w:val="en-GB"/>
        </w:rPr>
        <w:t>Reducing amputation rates in patients with diabetes at a military medical center center: the limb preservation service model. 2005, Diabetes Care 28:248-253.</w:t>
      </w:r>
    </w:p>
    <w:p w14:paraId="3368E1E8" w14:textId="77777777" w:rsidR="002114B9" w:rsidRPr="00923562" w:rsidRDefault="002114B9" w:rsidP="00923562">
      <w:pPr>
        <w:pStyle w:val="Footnote"/>
        <w:ind w:left="0" w:firstLine="0"/>
        <w:jc w:val="both"/>
        <w:rPr>
          <w:rFonts w:ascii="Times" w:hAnsi="Times" w:cs="Times New Roman"/>
          <w:lang w:val="en-US"/>
        </w:rPr>
      </w:pPr>
      <w:r w:rsidRPr="00923562">
        <w:rPr>
          <w:rFonts w:ascii="Times" w:hAnsi="Times" w:cs="Times New Roman"/>
          <w:lang w:val="en-GB"/>
        </w:rPr>
        <w:t xml:space="preserve"> </w:t>
      </w:r>
    </w:p>
  </w:endnote>
  <w:endnote w:id="154">
    <w:p w14:paraId="59AF5486" w14:textId="77777777" w:rsidR="002114B9" w:rsidRPr="00923562" w:rsidRDefault="002114B9" w:rsidP="00923562">
      <w:pPr>
        <w:pStyle w:val="Footnote"/>
        <w:ind w:left="0" w:firstLine="0"/>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US"/>
        </w:rPr>
        <w:t>Driver VR. Silver dressings in clinical practice. Ostomy Wound Manage 50(9A Suppl), 2004:11S-15S.</w:t>
      </w:r>
    </w:p>
    <w:p w14:paraId="364A9151" w14:textId="77777777" w:rsidR="002114B9" w:rsidRPr="00923562" w:rsidRDefault="002114B9" w:rsidP="00923562">
      <w:pPr>
        <w:pStyle w:val="Footnote"/>
        <w:ind w:left="0" w:firstLine="0"/>
        <w:jc w:val="both"/>
        <w:rPr>
          <w:rFonts w:ascii="Times" w:hAnsi="Times" w:cs="Times New Roman"/>
          <w:lang w:val="en-US"/>
        </w:rPr>
      </w:pPr>
    </w:p>
  </w:endnote>
  <w:endnote w:id="155">
    <w:p w14:paraId="65B594D5" w14:textId="77777777" w:rsidR="002114B9" w:rsidRPr="00923562" w:rsidRDefault="002114B9" w:rsidP="00923562">
      <w:pPr>
        <w:pStyle w:val="Footnote"/>
        <w:jc w:val="both"/>
        <w:rPr>
          <w:rFonts w:ascii="Times" w:hAnsi="Times" w:cs="Times New Roman"/>
          <w:lang w:val="en-US"/>
        </w:rPr>
      </w:pPr>
      <w:r w:rsidRPr="00923562">
        <w:rPr>
          <w:rStyle w:val="Rimandonotadichiusura"/>
          <w:rFonts w:ascii="Times" w:hAnsi="Times" w:cs="Times New Roman"/>
        </w:rPr>
        <w:endnoteRef/>
      </w:r>
      <w:r w:rsidRPr="00923562">
        <w:rPr>
          <w:rFonts w:ascii="Times" w:hAnsi="Times" w:cs="Times New Roman"/>
          <w:lang w:val="en-GB"/>
        </w:rPr>
        <w:t xml:space="preserve">Ramasastry SS. Chronic problem wounds. </w:t>
      </w:r>
      <w:r w:rsidRPr="00923562">
        <w:rPr>
          <w:rFonts w:ascii="Times" w:hAnsi="Times" w:cs="Times New Roman"/>
          <w:lang w:val="en-US"/>
        </w:rPr>
        <w:t>1998g Clin Plastic Surg 25:367-396.</w:t>
      </w:r>
    </w:p>
    <w:p w14:paraId="021BA95E" w14:textId="77777777" w:rsidR="002114B9" w:rsidRPr="00923562" w:rsidRDefault="002114B9" w:rsidP="00923562">
      <w:pPr>
        <w:pStyle w:val="Footnote"/>
        <w:jc w:val="both"/>
        <w:rPr>
          <w:rFonts w:ascii="Times" w:hAnsi="Times" w:cs="Times New Roman"/>
          <w:lang w:val="en-US"/>
        </w:rPr>
      </w:pPr>
    </w:p>
  </w:endnote>
  <w:endnote w:id="156">
    <w:p w14:paraId="7A3D2388"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Verma, S.; Buchanan, M.R.; Anderson, T.J. Endothelial function testing as a biomarker of vascular disease. </w:t>
      </w:r>
      <w:r w:rsidRPr="00923562">
        <w:rPr>
          <w:rFonts w:ascii="Times" w:hAnsi="Times"/>
          <w:i/>
          <w:iCs/>
          <w:szCs w:val="20"/>
          <w:lang w:val="en-US"/>
        </w:rPr>
        <w:t>Circulation</w:t>
      </w:r>
      <w:r w:rsidRPr="00923562">
        <w:rPr>
          <w:rFonts w:ascii="Times" w:hAnsi="Times"/>
          <w:szCs w:val="20"/>
          <w:lang w:val="en-US"/>
        </w:rPr>
        <w:t xml:space="preserve"> </w:t>
      </w:r>
      <w:r w:rsidRPr="00923562">
        <w:rPr>
          <w:rFonts w:ascii="Times" w:hAnsi="Times"/>
          <w:b/>
          <w:bCs/>
          <w:szCs w:val="20"/>
          <w:lang w:val="en-US"/>
        </w:rPr>
        <w:t>2003</w:t>
      </w:r>
      <w:r w:rsidRPr="00923562">
        <w:rPr>
          <w:rFonts w:ascii="Times" w:hAnsi="Times"/>
          <w:szCs w:val="20"/>
          <w:lang w:val="en-US"/>
        </w:rPr>
        <w:t xml:space="preserve">, </w:t>
      </w:r>
      <w:r w:rsidRPr="00923562">
        <w:rPr>
          <w:rFonts w:ascii="Times" w:hAnsi="Times"/>
          <w:i/>
          <w:iCs/>
          <w:szCs w:val="20"/>
          <w:lang w:val="en-US"/>
        </w:rPr>
        <w:t>108</w:t>
      </w:r>
      <w:r w:rsidRPr="00923562">
        <w:rPr>
          <w:rFonts w:ascii="Times" w:hAnsi="Times"/>
          <w:szCs w:val="20"/>
          <w:lang w:val="en-US"/>
        </w:rPr>
        <w:t>, 2054–2059, doi:10.1161/01.CIR.0000089191.72957.ED.</w:t>
      </w:r>
    </w:p>
    <w:p w14:paraId="168914F1" w14:textId="77777777" w:rsidR="002114B9" w:rsidRPr="00923562" w:rsidRDefault="002114B9" w:rsidP="00923562">
      <w:pPr>
        <w:pStyle w:val="Testonotadichiusura"/>
        <w:rPr>
          <w:rFonts w:ascii="Times" w:hAnsi="Times"/>
          <w:szCs w:val="20"/>
          <w:lang w:val="en-US"/>
        </w:rPr>
      </w:pPr>
    </w:p>
  </w:endnote>
  <w:endnote w:id="157">
    <w:p w14:paraId="23F527C3" w14:textId="77777777" w:rsidR="002114B9" w:rsidRPr="00923562" w:rsidRDefault="002114B9" w:rsidP="00923562">
      <w:pPr>
        <w:pStyle w:val="Testonotadichiusura"/>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Luscher, T.F.; Vanhoutte, P.M. </w:t>
      </w:r>
      <w:r w:rsidRPr="00923562">
        <w:rPr>
          <w:rFonts w:ascii="Times" w:hAnsi="Times"/>
          <w:i/>
          <w:iCs/>
          <w:szCs w:val="20"/>
          <w:lang w:val="en-US"/>
        </w:rPr>
        <w:t>The Endothelium: Modulator of Cardiovascular Function</w:t>
      </w:r>
      <w:r w:rsidRPr="00923562">
        <w:rPr>
          <w:rFonts w:ascii="Times" w:hAnsi="Times"/>
          <w:szCs w:val="20"/>
          <w:lang w:val="en-US"/>
        </w:rPr>
        <w:t>; CRC Press, 2020; ISBN 978-1-00-008331-6.</w:t>
      </w:r>
    </w:p>
    <w:p w14:paraId="0F031EE3" w14:textId="77777777" w:rsidR="002114B9" w:rsidRPr="00923562" w:rsidRDefault="002114B9" w:rsidP="00923562">
      <w:pPr>
        <w:pStyle w:val="Testonotadichiusura"/>
        <w:rPr>
          <w:rFonts w:ascii="Times" w:hAnsi="Times"/>
          <w:szCs w:val="20"/>
          <w:lang w:val="en-US"/>
        </w:rPr>
      </w:pPr>
    </w:p>
  </w:endnote>
  <w:endnote w:id="158">
    <w:p w14:paraId="05C4A30A"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Cohen RA, Vanhoutte PM. Endothelium-dependent hyperpolarization. Beyond nitric oxide and c</w:t>
      </w:r>
      <w:r w:rsidRPr="00923562">
        <w:rPr>
          <w:rFonts w:ascii="Times" w:hAnsi="Times"/>
          <w:sz w:val="20"/>
          <w:szCs w:val="20"/>
          <w:lang w:val="en-US"/>
        </w:rPr>
        <w:t>y</w:t>
      </w:r>
      <w:r w:rsidRPr="00923562">
        <w:rPr>
          <w:rFonts w:ascii="Times" w:hAnsi="Times"/>
          <w:sz w:val="20"/>
          <w:szCs w:val="20"/>
          <w:lang w:val="en-US"/>
        </w:rPr>
        <w:t>clic GMP. Circulation 1995; 92: 3337-49.</w:t>
      </w:r>
    </w:p>
    <w:p w14:paraId="63AF6F6D" w14:textId="77777777" w:rsidR="002114B9" w:rsidRPr="00923562" w:rsidRDefault="002114B9" w:rsidP="00923562">
      <w:pPr>
        <w:jc w:val="both"/>
        <w:rPr>
          <w:rFonts w:ascii="Times" w:hAnsi="Times"/>
          <w:sz w:val="20"/>
          <w:szCs w:val="20"/>
          <w:lang w:val="en-US"/>
        </w:rPr>
      </w:pPr>
    </w:p>
  </w:endnote>
  <w:endnote w:id="159">
    <w:p w14:paraId="5C529CA9"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Schiffrin EL. A critical review of the role of endothelial factors in the pathogenesis of hypertension. J Cardiovasc Pharmacol 2001; 38 [suppl 2]: S3-S6</w:t>
      </w:r>
    </w:p>
    <w:p w14:paraId="6850E718" w14:textId="77777777" w:rsidR="002114B9" w:rsidRPr="00923562" w:rsidRDefault="002114B9" w:rsidP="00923562">
      <w:pPr>
        <w:jc w:val="both"/>
        <w:rPr>
          <w:rFonts w:ascii="Times" w:hAnsi="Times"/>
          <w:sz w:val="20"/>
          <w:szCs w:val="20"/>
          <w:lang w:val="en-US"/>
        </w:rPr>
      </w:pPr>
    </w:p>
  </w:endnote>
  <w:endnote w:id="160">
    <w:p w14:paraId="02BE6C8C" w14:textId="77777777" w:rsidR="002114B9" w:rsidRPr="00923562" w:rsidRDefault="002114B9" w:rsidP="00923562">
      <w:pPr>
        <w:jc w:val="both"/>
        <w:rPr>
          <w:rFonts w:ascii="Times" w:hAnsi="Times"/>
          <w:sz w:val="20"/>
          <w:szCs w:val="20"/>
        </w:rPr>
      </w:pPr>
      <w:r w:rsidRPr="00923562">
        <w:rPr>
          <w:rStyle w:val="Rimandonotadichiusura"/>
          <w:rFonts w:ascii="Times" w:hAnsi="Times"/>
          <w:sz w:val="20"/>
          <w:szCs w:val="20"/>
        </w:rPr>
        <w:endnoteRef/>
      </w:r>
      <w:r w:rsidRPr="00923562">
        <w:rPr>
          <w:rFonts w:ascii="Times" w:hAnsi="Times"/>
          <w:sz w:val="20"/>
          <w:szCs w:val="20"/>
          <w:lang w:val="en-US"/>
        </w:rPr>
        <w:t xml:space="preserve">Furchgott RF, Zawadzki JV. The obligatory role of endothelial cells in the relaxation of arterial smooth muscle by acetylcholine. </w:t>
      </w:r>
      <w:r w:rsidRPr="00923562">
        <w:rPr>
          <w:rFonts w:ascii="Times" w:hAnsi="Times"/>
          <w:sz w:val="20"/>
          <w:szCs w:val="20"/>
        </w:rPr>
        <w:t>Nature 1980; 288: 373-376.</w:t>
      </w:r>
    </w:p>
    <w:p w14:paraId="5E56EEC1" w14:textId="77777777" w:rsidR="002114B9" w:rsidRPr="00923562" w:rsidRDefault="002114B9" w:rsidP="00923562">
      <w:pPr>
        <w:jc w:val="both"/>
        <w:rPr>
          <w:rFonts w:ascii="Times" w:hAnsi="Times"/>
          <w:sz w:val="20"/>
          <w:szCs w:val="20"/>
        </w:rPr>
      </w:pPr>
    </w:p>
  </w:endnote>
  <w:endnote w:id="161">
    <w:p w14:paraId="48124F49"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rPr>
        <w:t xml:space="preserve">Panza JA , Quyyumi AA, Brush JE jr, Epstein SE. </w:t>
      </w:r>
      <w:r w:rsidRPr="00923562">
        <w:rPr>
          <w:rFonts w:ascii="Times" w:hAnsi="Times"/>
          <w:sz w:val="20"/>
          <w:szCs w:val="20"/>
          <w:lang w:val="en-US"/>
        </w:rPr>
        <w:t>Abnormal endothelium-dependent vascular rela</w:t>
      </w:r>
      <w:r w:rsidRPr="00923562">
        <w:rPr>
          <w:rFonts w:ascii="Times" w:hAnsi="Times"/>
          <w:sz w:val="20"/>
          <w:szCs w:val="20"/>
          <w:lang w:val="en-US"/>
        </w:rPr>
        <w:t>x</w:t>
      </w:r>
      <w:r w:rsidRPr="00923562">
        <w:rPr>
          <w:rFonts w:ascii="Times" w:hAnsi="Times"/>
          <w:sz w:val="20"/>
          <w:szCs w:val="20"/>
          <w:lang w:val="en-US"/>
        </w:rPr>
        <w:t>ation in patients with essential hypertension. N Engl J Med 1990; 323: 22-27</w:t>
      </w:r>
    </w:p>
    <w:p w14:paraId="017886F4" w14:textId="77777777" w:rsidR="002114B9" w:rsidRPr="00923562" w:rsidRDefault="002114B9" w:rsidP="00923562">
      <w:pPr>
        <w:jc w:val="both"/>
        <w:rPr>
          <w:rFonts w:ascii="Times" w:hAnsi="Times"/>
          <w:sz w:val="20"/>
          <w:szCs w:val="20"/>
          <w:lang w:val="en-US"/>
        </w:rPr>
      </w:pPr>
    </w:p>
  </w:endnote>
  <w:endnote w:id="162">
    <w:p w14:paraId="07DDF38B" w14:textId="77777777" w:rsidR="002114B9" w:rsidRPr="00376FD4" w:rsidRDefault="002114B9" w:rsidP="00923562">
      <w:pPr>
        <w:jc w:val="both"/>
        <w:rPr>
          <w:rFonts w:ascii="Times" w:hAnsi="Times"/>
          <w:sz w:val="20"/>
          <w:szCs w:val="20"/>
        </w:rPr>
      </w:pPr>
      <w:r w:rsidRPr="00923562">
        <w:rPr>
          <w:rStyle w:val="Rimandonotadichiusura"/>
          <w:rFonts w:ascii="Times" w:hAnsi="Times"/>
          <w:sz w:val="20"/>
          <w:szCs w:val="20"/>
        </w:rPr>
        <w:endnoteRef/>
      </w:r>
      <w:r w:rsidRPr="00923562">
        <w:rPr>
          <w:rFonts w:ascii="Times" w:hAnsi="Times"/>
          <w:sz w:val="20"/>
          <w:szCs w:val="20"/>
          <w:lang w:val="en-US"/>
        </w:rPr>
        <w:t xml:space="preserve">Park JB, Charbonneau F, Schiffrin EL. Correlation of endothelial function in large and small arteries in human essential hypertension. </w:t>
      </w:r>
      <w:r w:rsidRPr="00376FD4">
        <w:rPr>
          <w:rFonts w:ascii="Times" w:hAnsi="Times"/>
          <w:sz w:val="20"/>
          <w:szCs w:val="20"/>
        </w:rPr>
        <w:t>J Hypertens 2001; 19: 415-420 e 2.</w:t>
      </w:r>
    </w:p>
    <w:p w14:paraId="68D4D81D" w14:textId="77777777" w:rsidR="002114B9" w:rsidRPr="00376FD4" w:rsidRDefault="002114B9" w:rsidP="00923562">
      <w:pPr>
        <w:jc w:val="both"/>
        <w:rPr>
          <w:rFonts w:ascii="Times" w:hAnsi="Times"/>
          <w:sz w:val="20"/>
          <w:szCs w:val="20"/>
        </w:rPr>
      </w:pPr>
    </w:p>
  </w:endnote>
  <w:endnote w:id="163">
    <w:p w14:paraId="4873B3DA"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rPr>
        <w:t xml:space="preserve">Rizzoni D, Porteri E, Guelfi D, Muiesan M, Valentini U, Cimino A, Girelli A, Rodella L, Bianchi R, Sleiman I, Rosei EA. </w:t>
      </w:r>
      <w:r w:rsidRPr="00923562">
        <w:rPr>
          <w:rFonts w:ascii="Times" w:hAnsi="Times"/>
          <w:sz w:val="20"/>
          <w:szCs w:val="20"/>
          <w:lang w:val="en-US"/>
        </w:rPr>
        <w:t>Structural alterations in subcutaneous small arteries of normotensive and hype</w:t>
      </w:r>
      <w:r w:rsidRPr="00923562">
        <w:rPr>
          <w:rFonts w:ascii="Times" w:hAnsi="Times"/>
          <w:sz w:val="20"/>
          <w:szCs w:val="20"/>
          <w:lang w:val="en-US"/>
        </w:rPr>
        <w:t>r</w:t>
      </w:r>
      <w:r w:rsidRPr="00923562">
        <w:rPr>
          <w:rFonts w:ascii="Times" w:hAnsi="Times"/>
          <w:sz w:val="20"/>
          <w:szCs w:val="20"/>
          <w:lang w:val="en-US"/>
        </w:rPr>
        <w:t>tensive patients with non-insulin-dependent diabetes mellitus. Circulation 2002; 103: 1238-124.</w:t>
      </w:r>
    </w:p>
    <w:p w14:paraId="19C79627" w14:textId="77777777" w:rsidR="002114B9" w:rsidRPr="00923562" w:rsidRDefault="002114B9" w:rsidP="00923562">
      <w:pPr>
        <w:jc w:val="both"/>
        <w:rPr>
          <w:rFonts w:ascii="Times" w:hAnsi="Times"/>
          <w:sz w:val="20"/>
          <w:szCs w:val="20"/>
          <w:lang w:val="en-US"/>
        </w:rPr>
      </w:pPr>
    </w:p>
  </w:endnote>
  <w:endnote w:id="164">
    <w:p w14:paraId="18D8157C"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Endermann D, Pu Q, De Ciucesi C, Savoia C, Virdis A, Neves MF, Touyz RM, Schiffrin EL. Persi</w:t>
      </w:r>
      <w:r w:rsidRPr="00923562">
        <w:rPr>
          <w:rFonts w:ascii="Times" w:hAnsi="Times"/>
          <w:sz w:val="20"/>
          <w:szCs w:val="20"/>
          <w:lang w:val="en-US"/>
        </w:rPr>
        <w:t>s</w:t>
      </w:r>
      <w:r w:rsidRPr="00923562">
        <w:rPr>
          <w:rFonts w:ascii="Times" w:hAnsi="Times"/>
          <w:sz w:val="20"/>
          <w:szCs w:val="20"/>
          <w:lang w:val="en-US"/>
        </w:rPr>
        <w:t>tent remodeling of resistence arteries in type 2 diabetic patients on anti-hypertensive treatment. Hype</w:t>
      </w:r>
      <w:r w:rsidRPr="00923562">
        <w:rPr>
          <w:rFonts w:ascii="Times" w:hAnsi="Times"/>
          <w:sz w:val="20"/>
          <w:szCs w:val="20"/>
          <w:lang w:val="en-US"/>
        </w:rPr>
        <w:t>r</w:t>
      </w:r>
      <w:r w:rsidRPr="00923562">
        <w:rPr>
          <w:rFonts w:ascii="Times" w:hAnsi="Times"/>
          <w:sz w:val="20"/>
          <w:szCs w:val="20"/>
          <w:lang w:val="en-US"/>
        </w:rPr>
        <w:t>tension 2004; 43: 399-404.</w:t>
      </w:r>
    </w:p>
    <w:p w14:paraId="34BCFC2E" w14:textId="77777777" w:rsidR="002114B9" w:rsidRPr="00923562" w:rsidRDefault="002114B9" w:rsidP="00923562">
      <w:pPr>
        <w:jc w:val="both"/>
        <w:rPr>
          <w:rFonts w:ascii="Times" w:hAnsi="Times"/>
          <w:sz w:val="20"/>
          <w:szCs w:val="20"/>
          <w:lang w:val="en-US"/>
        </w:rPr>
      </w:pPr>
    </w:p>
  </w:endnote>
  <w:endnote w:id="165">
    <w:p w14:paraId="51234B26"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Monnink SH, van Haelst PL, van Boven AJ, Stroes ES, Tio RA, Plokker TW, Smit AJ, Veeger NJ, Crijns HJ, van Gilst WH. Endothelial dysfunction in patients with coronary artery disease: a compar</w:t>
      </w:r>
      <w:r w:rsidRPr="00923562">
        <w:rPr>
          <w:rFonts w:ascii="Times" w:hAnsi="Times"/>
          <w:sz w:val="20"/>
          <w:szCs w:val="20"/>
          <w:lang w:val="en-US"/>
        </w:rPr>
        <w:t>i</w:t>
      </w:r>
      <w:r w:rsidRPr="00923562">
        <w:rPr>
          <w:rFonts w:ascii="Times" w:hAnsi="Times"/>
          <w:sz w:val="20"/>
          <w:szCs w:val="20"/>
          <w:lang w:val="en-US"/>
        </w:rPr>
        <w:t>son of three frequently reported tests. J Investig Med 2002; 50: 19-24.</w:t>
      </w:r>
    </w:p>
    <w:p w14:paraId="5206D3DC" w14:textId="77777777" w:rsidR="002114B9" w:rsidRPr="00923562" w:rsidRDefault="002114B9" w:rsidP="00923562">
      <w:pPr>
        <w:jc w:val="both"/>
        <w:rPr>
          <w:rFonts w:ascii="Times" w:hAnsi="Times"/>
          <w:sz w:val="20"/>
          <w:szCs w:val="20"/>
          <w:lang w:val="en-US"/>
        </w:rPr>
      </w:pPr>
    </w:p>
  </w:endnote>
  <w:endnote w:id="166">
    <w:p w14:paraId="6AFA7DB4"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Landmesser U, Spiekermann S, Dikalov S, Tatge H, Wilke R, Kohler C, Harrison DG, Hornig B, Drexler H. Vascular oxidative stress and endothelial dysfunction in patients with chronic heart failure: role of xanthine-oxidase and extracellular superoxide dismutase. Circulation 2002; 106: 3073-3078</w:t>
      </w:r>
    </w:p>
    <w:p w14:paraId="26B559FA" w14:textId="77777777" w:rsidR="002114B9" w:rsidRPr="00923562" w:rsidRDefault="002114B9" w:rsidP="00923562">
      <w:pPr>
        <w:jc w:val="both"/>
        <w:rPr>
          <w:rFonts w:ascii="Times" w:hAnsi="Times"/>
          <w:sz w:val="20"/>
          <w:szCs w:val="20"/>
          <w:lang w:val="en-US"/>
        </w:rPr>
      </w:pPr>
    </w:p>
  </w:endnote>
  <w:endnote w:id="167">
    <w:p w14:paraId="1649A1C4"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Ludmer PL, Selwyn AP, Shook TL, et al. Paradoxical vasoconstriction induced by acetylcholine in atherosclerotic coronary arteries. N Engl J Med 1986; 315: 1046-1051.</w:t>
      </w:r>
    </w:p>
    <w:p w14:paraId="21CF9CCB" w14:textId="77777777" w:rsidR="002114B9" w:rsidRPr="00923562" w:rsidRDefault="002114B9" w:rsidP="00923562">
      <w:pPr>
        <w:jc w:val="both"/>
        <w:rPr>
          <w:rFonts w:ascii="Times" w:hAnsi="Times"/>
          <w:sz w:val="20"/>
          <w:szCs w:val="20"/>
          <w:lang w:val="en-US"/>
        </w:rPr>
      </w:pPr>
    </w:p>
  </w:endnote>
  <w:endnote w:id="168">
    <w:p w14:paraId="34BEE14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Lerman A, Burnett JC., Jr Intact and altered endothelium in regulation of vasom</w:t>
      </w:r>
      <w:r w:rsidRPr="00923562">
        <w:rPr>
          <w:rFonts w:ascii="Times" w:hAnsi="Times"/>
          <w:sz w:val="20"/>
          <w:szCs w:val="20"/>
          <w:lang w:val="en-US"/>
        </w:rPr>
        <w:t>o</w:t>
      </w:r>
      <w:r w:rsidRPr="00923562">
        <w:rPr>
          <w:rFonts w:ascii="Times" w:hAnsi="Times"/>
          <w:sz w:val="20"/>
          <w:szCs w:val="20"/>
          <w:lang w:val="en-US"/>
        </w:rPr>
        <w:t>tion. Circulation. 1992;86(Suppl III):III-12–III-19.</w:t>
      </w:r>
    </w:p>
    <w:p w14:paraId="19D4355C" w14:textId="77777777" w:rsidR="002114B9" w:rsidRPr="00923562" w:rsidRDefault="002114B9" w:rsidP="00923562">
      <w:pPr>
        <w:jc w:val="both"/>
        <w:rPr>
          <w:rFonts w:ascii="Times" w:hAnsi="Times"/>
          <w:sz w:val="20"/>
          <w:szCs w:val="20"/>
          <w:lang w:val="en-US"/>
        </w:rPr>
      </w:pPr>
    </w:p>
  </w:endnote>
  <w:endnote w:id="169">
    <w:p w14:paraId="7D0FCD7B"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Sorensen KE, Celermajer DS, Georgakopoulos D, et al. Impairment of endothelium-dependent dil</w:t>
      </w:r>
      <w:r w:rsidRPr="00923562">
        <w:rPr>
          <w:rFonts w:ascii="Times" w:hAnsi="Times"/>
          <w:sz w:val="20"/>
          <w:szCs w:val="20"/>
          <w:lang w:val="en-US"/>
        </w:rPr>
        <w:t>a</w:t>
      </w:r>
      <w:r w:rsidRPr="00923562">
        <w:rPr>
          <w:rFonts w:ascii="Times" w:hAnsi="Times"/>
          <w:sz w:val="20"/>
          <w:szCs w:val="20"/>
          <w:lang w:val="en-US"/>
        </w:rPr>
        <w:t>tion is an early event in children with familial hypercholesterolemia and is related to the lipoprotein (a) level. J Clin Invest.1994;93:50–5.</w:t>
      </w:r>
    </w:p>
    <w:p w14:paraId="624AD753" w14:textId="77777777" w:rsidR="002114B9" w:rsidRPr="00923562" w:rsidRDefault="002114B9" w:rsidP="00923562">
      <w:pPr>
        <w:jc w:val="both"/>
        <w:rPr>
          <w:rFonts w:ascii="Times" w:hAnsi="Times"/>
          <w:sz w:val="20"/>
          <w:szCs w:val="20"/>
          <w:lang w:val="en-US"/>
        </w:rPr>
      </w:pPr>
    </w:p>
  </w:endnote>
  <w:endnote w:id="170">
    <w:p w14:paraId="6C337DDD"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Gokce N, Keaney JF, Jr, Hunter LM, et al. Risk stratification for postoperative cardiovascular events via noninvasive assessment of endothelial function: a prospective study. Circulation. 2002;105:1567–72.</w:t>
      </w:r>
    </w:p>
    <w:p w14:paraId="0E708B03" w14:textId="77777777" w:rsidR="002114B9" w:rsidRPr="00923562" w:rsidRDefault="002114B9" w:rsidP="00923562">
      <w:pPr>
        <w:jc w:val="both"/>
        <w:rPr>
          <w:rFonts w:ascii="Times" w:hAnsi="Times"/>
          <w:sz w:val="20"/>
          <w:szCs w:val="20"/>
          <w:lang w:val="en-US"/>
        </w:rPr>
      </w:pPr>
    </w:p>
  </w:endnote>
  <w:endnote w:id="171">
    <w:p w14:paraId="0E91B228"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Libby P, Ridker PM, Maseri A. Inflammation and atherosclerosis. Circulation.2002;105:1135–43.</w:t>
      </w:r>
    </w:p>
  </w:endnote>
  <w:endnote w:id="172">
    <w:p w14:paraId="066C67A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Griendling KK, Fitzgerald GA. Oxidative stress and cardiovascular injury. Part I: Basic mechanisms and in vivo monitoring of ROS. Circulation 2003; 108: 1912-1916.</w:t>
      </w:r>
    </w:p>
    <w:p w14:paraId="07D0165B" w14:textId="77777777" w:rsidR="002114B9" w:rsidRPr="00923562" w:rsidRDefault="002114B9" w:rsidP="00923562">
      <w:pPr>
        <w:jc w:val="both"/>
        <w:rPr>
          <w:rFonts w:ascii="Times" w:hAnsi="Times"/>
          <w:sz w:val="20"/>
          <w:szCs w:val="20"/>
          <w:lang w:val="en-US"/>
        </w:rPr>
      </w:pPr>
    </w:p>
  </w:endnote>
  <w:endnote w:id="173">
    <w:p w14:paraId="54F6617F"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Chen X, Touyz RM, Park JB, Schiffrin EL. Antioxidant effects of vitamins C and E are associated with altered activation of vascular NADPH oxidase and superoxide dismutase in stroke-prone SHR. Hypertension 2001; 38: 606-61.</w:t>
      </w:r>
    </w:p>
    <w:p w14:paraId="0B072712" w14:textId="77777777" w:rsidR="002114B9" w:rsidRPr="00923562" w:rsidRDefault="002114B9" w:rsidP="00923562">
      <w:pPr>
        <w:jc w:val="both"/>
        <w:rPr>
          <w:rFonts w:ascii="Times" w:hAnsi="Times"/>
          <w:sz w:val="20"/>
          <w:szCs w:val="20"/>
          <w:lang w:val="en-US"/>
        </w:rPr>
      </w:pPr>
    </w:p>
  </w:endnote>
  <w:endnote w:id="174">
    <w:p w14:paraId="2C72A087"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Heitzer T, Schlinzig T, Krohn K, Meinertz T, Munzel T. Endothelial dysfunction, oxidative stress, and risk of cardiovascular events in patients with coronary artery disease. Circulation 2001; 104: 2673-2678.</w:t>
      </w:r>
    </w:p>
    <w:p w14:paraId="44851D5B" w14:textId="77777777" w:rsidR="002114B9" w:rsidRPr="00923562" w:rsidRDefault="002114B9" w:rsidP="00923562">
      <w:pPr>
        <w:jc w:val="both"/>
        <w:rPr>
          <w:rFonts w:ascii="Times" w:hAnsi="Times"/>
          <w:sz w:val="20"/>
          <w:szCs w:val="20"/>
          <w:lang w:val="en-US"/>
        </w:rPr>
      </w:pPr>
    </w:p>
  </w:endnote>
  <w:endnote w:id="175">
    <w:p w14:paraId="41C3FC62"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Lum H, Roebuck KA. Oxidant stress and endothelial cell dysfunction. Am J Physiol Cell Phy</w:t>
      </w:r>
      <w:r w:rsidRPr="00923562">
        <w:rPr>
          <w:rFonts w:ascii="Times" w:hAnsi="Times"/>
          <w:sz w:val="20"/>
          <w:szCs w:val="20"/>
          <w:lang w:val="en-US"/>
        </w:rPr>
        <w:t>s</w:t>
      </w:r>
      <w:r w:rsidRPr="00923562">
        <w:rPr>
          <w:rFonts w:ascii="Times" w:hAnsi="Times"/>
          <w:sz w:val="20"/>
          <w:szCs w:val="20"/>
          <w:lang w:val="en-US"/>
        </w:rPr>
        <w:t>iol. 2001;280:C719–41.</w:t>
      </w:r>
    </w:p>
    <w:p w14:paraId="16B60AA7" w14:textId="77777777" w:rsidR="002114B9" w:rsidRPr="00923562" w:rsidRDefault="002114B9" w:rsidP="00923562">
      <w:pPr>
        <w:jc w:val="both"/>
        <w:rPr>
          <w:rFonts w:ascii="Times" w:hAnsi="Times"/>
          <w:sz w:val="20"/>
          <w:szCs w:val="20"/>
          <w:lang w:val="en-US"/>
        </w:rPr>
      </w:pPr>
    </w:p>
  </w:endnote>
  <w:endnote w:id="176">
    <w:p w14:paraId="60C37458"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Kielstein JT, Bode-Boger SM, Frolich JC, Ritz E, Haller H, Fliser D: Asymmetric dimethylarginine, blood pressure, and renal perfusion in elderly subjects. Circulation 107: 1891–1895, 2003.</w:t>
      </w:r>
    </w:p>
    <w:p w14:paraId="45533F57" w14:textId="77777777" w:rsidR="002114B9" w:rsidRPr="00923562" w:rsidRDefault="002114B9" w:rsidP="00923562">
      <w:pPr>
        <w:jc w:val="both"/>
        <w:rPr>
          <w:rFonts w:ascii="Times" w:hAnsi="Times"/>
          <w:sz w:val="20"/>
          <w:szCs w:val="20"/>
          <w:lang w:val="en-US"/>
        </w:rPr>
      </w:pPr>
    </w:p>
  </w:endnote>
  <w:endnote w:id="177">
    <w:p w14:paraId="25B1D19C"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Dayoub H, Achan V, Adimoolam S, Jacobi J, Stuehlinger MC, Wang BY, Tsao PS, Kimoto M, Va</w:t>
      </w:r>
      <w:r w:rsidRPr="00923562">
        <w:rPr>
          <w:rFonts w:ascii="Times" w:hAnsi="Times"/>
          <w:sz w:val="20"/>
          <w:szCs w:val="20"/>
          <w:lang w:val="en-US"/>
        </w:rPr>
        <w:t>l</w:t>
      </w:r>
      <w:r w:rsidRPr="00923562">
        <w:rPr>
          <w:rFonts w:ascii="Times" w:hAnsi="Times"/>
          <w:sz w:val="20"/>
          <w:szCs w:val="20"/>
          <w:lang w:val="en-US"/>
        </w:rPr>
        <w:t>lance P, Patterson AJ, Cooke JP: Dimethylarginine dimethylaminohydrolase regulates nitric oxide synthesis: genetic and physiological evidence. Circulation 108: 3042–3047, 2003.</w:t>
      </w:r>
    </w:p>
    <w:p w14:paraId="31C321D1" w14:textId="77777777" w:rsidR="002114B9" w:rsidRPr="00923562" w:rsidRDefault="002114B9" w:rsidP="00923562">
      <w:pPr>
        <w:jc w:val="both"/>
        <w:rPr>
          <w:rFonts w:ascii="Times" w:hAnsi="Times"/>
          <w:sz w:val="20"/>
          <w:szCs w:val="20"/>
          <w:lang w:val="en-US"/>
        </w:rPr>
      </w:pPr>
    </w:p>
  </w:endnote>
  <w:endnote w:id="178">
    <w:p w14:paraId="25F52818"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Sanai T, Saitoh M, Sasaki S, Tomita H, Matsunaga T, Okumura K: Effect of shear stress on asy</w:t>
      </w:r>
      <w:r w:rsidRPr="00923562">
        <w:rPr>
          <w:rFonts w:ascii="Times" w:hAnsi="Times"/>
          <w:sz w:val="20"/>
          <w:szCs w:val="20"/>
          <w:lang w:val="en-US"/>
        </w:rPr>
        <w:t>m</w:t>
      </w:r>
      <w:r w:rsidRPr="00923562">
        <w:rPr>
          <w:rFonts w:ascii="Times" w:hAnsi="Times"/>
          <w:sz w:val="20"/>
          <w:szCs w:val="20"/>
          <w:lang w:val="en-US"/>
        </w:rPr>
        <w:t>metric dimethylarginine release from vascular endothelial cells. Hypertension 42: 985–990, 2003.</w:t>
      </w:r>
    </w:p>
    <w:p w14:paraId="490FDA0A" w14:textId="77777777" w:rsidR="002114B9" w:rsidRPr="00923562" w:rsidRDefault="002114B9" w:rsidP="00923562">
      <w:pPr>
        <w:jc w:val="both"/>
        <w:rPr>
          <w:rFonts w:ascii="Times" w:hAnsi="Times"/>
          <w:sz w:val="20"/>
          <w:szCs w:val="20"/>
          <w:lang w:val="en-US"/>
        </w:rPr>
      </w:pPr>
    </w:p>
  </w:endnote>
  <w:endnote w:id="179">
    <w:p w14:paraId="002C89C1" w14:textId="77777777" w:rsidR="002114B9" w:rsidRPr="00923562" w:rsidRDefault="002114B9" w:rsidP="00923562">
      <w:pPr>
        <w:autoSpaceDE w:val="0"/>
        <w:adjustRightInd w:val="0"/>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Stühlinger, M.C.; Oka, R.K.; Graf, E.E.; Schmölzer, I.; Upson, B.M.; Kapoor, O.; Szuba, A.; Mal</w:t>
      </w:r>
      <w:r w:rsidRPr="00923562">
        <w:rPr>
          <w:rFonts w:ascii="Times" w:hAnsi="Times"/>
          <w:sz w:val="20"/>
          <w:szCs w:val="20"/>
          <w:lang w:val="en-US"/>
        </w:rPr>
        <w:t>i</w:t>
      </w:r>
      <w:r w:rsidRPr="00923562">
        <w:rPr>
          <w:rFonts w:ascii="Times" w:hAnsi="Times"/>
          <w:sz w:val="20"/>
          <w:szCs w:val="20"/>
          <w:lang w:val="en-US"/>
        </w:rPr>
        <w:t>now, M.R.; Wascher, T.C.; Pachinger, O.; et al. Endothelial dysfunction induced by hyperhom</w:t>
      </w:r>
      <w:r w:rsidRPr="00923562">
        <w:rPr>
          <w:rFonts w:ascii="Times" w:hAnsi="Times"/>
          <w:sz w:val="20"/>
          <w:szCs w:val="20"/>
          <w:lang w:val="en-US"/>
        </w:rPr>
        <w:t>o</w:t>
      </w:r>
      <w:r w:rsidRPr="00923562">
        <w:rPr>
          <w:rFonts w:ascii="Times" w:hAnsi="Times"/>
          <w:sz w:val="20"/>
          <w:szCs w:val="20"/>
          <w:lang w:val="en-US"/>
        </w:rPr>
        <w:t xml:space="preserve">cyst(e)inemia: Role of asymmetric dimethylarginine. </w:t>
      </w:r>
      <w:r w:rsidRPr="00923562">
        <w:rPr>
          <w:rFonts w:ascii="Times" w:hAnsi="Times"/>
          <w:i/>
          <w:iCs/>
          <w:sz w:val="20"/>
          <w:szCs w:val="20"/>
          <w:lang w:val="en-US"/>
        </w:rPr>
        <w:t>Circulation</w:t>
      </w:r>
      <w:r w:rsidRPr="00923562">
        <w:rPr>
          <w:rFonts w:ascii="Times" w:hAnsi="Times"/>
          <w:sz w:val="20"/>
          <w:szCs w:val="20"/>
          <w:lang w:val="en-US"/>
        </w:rPr>
        <w:t xml:space="preserve"> </w:t>
      </w:r>
      <w:r w:rsidRPr="00923562">
        <w:rPr>
          <w:rFonts w:ascii="Times" w:hAnsi="Times"/>
          <w:b/>
          <w:bCs/>
          <w:sz w:val="20"/>
          <w:szCs w:val="20"/>
          <w:lang w:val="en-US"/>
        </w:rPr>
        <w:t>2003</w:t>
      </w:r>
      <w:r w:rsidRPr="00923562">
        <w:rPr>
          <w:rFonts w:ascii="Times" w:hAnsi="Times"/>
          <w:sz w:val="20"/>
          <w:szCs w:val="20"/>
          <w:lang w:val="en-US"/>
        </w:rPr>
        <w:t xml:space="preserve">, </w:t>
      </w:r>
      <w:r w:rsidRPr="00923562">
        <w:rPr>
          <w:rFonts w:ascii="Times" w:hAnsi="Times"/>
          <w:i/>
          <w:iCs/>
          <w:sz w:val="20"/>
          <w:szCs w:val="20"/>
          <w:lang w:val="en-US"/>
        </w:rPr>
        <w:t>108</w:t>
      </w:r>
      <w:r w:rsidRPr="00923562">
        <w:rPr>
          <w:rFonts w:ascii="Times" w:hAnsi="Times"/>
          <w:sz w:val="20"/>
          <w:szCs w:val="20"/>
          <w:lang w:val="en-US"/>
        </w:rPr>
        <w:t>, 933–938, doi:10.1161/01.CIR.0000085067.55901.89.</w:t>
      </w:r>
    </w:p>
    <w:p w14:paraId="47AD559A" w14:textId="77777777" w:rsidR="002114B9" w:rsidRPr="00923562" w:rsidRDefault="002114B9" w:rsidP="00923562">
      <w:pPr>
        <w:pStyle w:val="Testonotadichiusura"/>
        <w:rPr>
          <w:rFonts w:ascii="Times" w:hAnsi="Times"/>
          <w:szCs w:val="20"/>
          <w:lang w:val="en-US"/>
        </w:rPr>
      </w:pPr>
    </w:p>
  </w:endnote>
  <w:endnote w:id="180">
    <w:p w14:paraId="5FB9E064"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Calles-Escandon J, Cipolla M. Diabetes and endothelial dysfunction: a clinical perspective. Endocr Rev. 2001;22:36–52.</w:t>
      </w:r>
    </w:p>
  </w:endnote>
  <w:endnote w:id="181">
    <w:p w14:paraId="78E256AF"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Cosentino F, Luscher TF. Endothelial dysfunction in diabetes mellitus. J Cardiovasc Pharm</w:t>
      </w:r>
      <w:r w:rsidRPr="00923562">
        <w:rPr>
          <w:rFonts w:ascii="Times" w:hAnsi="Times"/>
          <w:sz w:val="20"/>
          <w:szCs w:val="20"/>
          <w:lang w:val="en-US"/>
        </w:rPr>
        <w:t>a</w:t>
      </w:r>
      <w:r w:rsidRPr="00923562">
        <w:rPr>
          <w:rFonts w:ascii="Times" w:hAnsi="Times"/>
          <w:sz w:val="20"/>
          <w:szCs w:val="20"/>
          <w:lang w:val="en-US"/>
        </w:rPr>
        <w:t>col. 1998;32(Suppl 3):S54–61.</w:t>
      </w:r>
    </w:p>
  </w:endnote>
  <w:endnote w:id="182">
    <w:p w14:paraId="1E24692B"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Yaqoob M, Patrick AW, McClelland P, et al. Relationship between markers of endothelial dysfun</w:t>
      </w:r>
      <w:r w:rsidRPr="00923562">
        <w:rPr>
          <w:rFonts w:ascii="Times" w:hAnsi="Times"/>
          <w:sz w:val="20"/>
          <w:szCs w:val="20"/>
          <w:lang w:val="en-US"/>
        </w:rPr>
        <w:t>c</w:t>
      </w:r>
      <w:r w:rsidRPr="00923562">
        <w:rPr>
          <w:rFonts w:ascii="Times" w:hAnsi="Times"/>
          <w:sz w:val="20"/>
          <w:szCs w:val="20"/>
          <w:lang w:val="en-US"/>
        </w:rPr>
        <w:t>tion, oxidant injury and tubular damage in patients with insulin-dependent diabetes mellitus. Clin Sci (Colch) 1993;85:557–62.</w:t>
      </w:r>
    </w:p>
  </w:endnote>
  <w:endnote w:id="183">
    <w:p w14:paraId="75E3582E"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Myrup B, Mathiesen ER, Ronn B, et al. Endothelial function and serum lipids in the course of deve</w:t>
      </w:r>
      <w:r w:rsidRPr="00923562">
        <w:rPr>
          <w:rFonts w:ascii="Times" w:hAnsi="Times"/>
          <w:sz w:val="20"/>
          <w:szCs w:val="20"/>
          <w:lang w:val="en-US"/>
        </w:rPr>
        <w:t>l</w:t>
      </w:r>
      <w:r w:rsidRPr="00923562">
        <w:rPr>
          <w:rFonts w:ascii="Times" w:hAnsi="Times"/>
          <w:sz w:val="20"/>
          <w:szCs w:val="20"/>
          <w:lang w:val="en-US"/>
        </w:rPr>
        <w:t>oping microalbuminuria in insulin-dependent diabetes mellitus.Diabetes Res. 1994;26:33–9.</w:t>
      </w:r>
    </w:p>
  </w:endnote>
  <w:endnote w:id="184">
    <w:p w14:paraId="2DBADA71"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rPr>
        <w:t xml:space="preserve">Neri S, Bruno CM, Leotta C, et al. </w:t>
      </w:r>
      <w:r w:rsidRPr="00923562">
        <w:rPr>
          <w:rFonts w:ascii="Times" w:hAnsi="Times"/>
          <w:sz w:val="20"/>
          <w:szCs w:val="20"/>
          <w:lang w:val="en-US"/>
        </w:rPr>
        <w:t>Early endothelial alterations in non-insulin-dependent    diabetes mellitus. Int J Clin Lab Res. 1998;28:100–3.</w:t>
      </w:r>
    </w:p>
  </w:endnote>
  <w:endnote w:id="185">
    <w:p w14:paraId="745AF318"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Watts GF, Playford DA. Dyslipoproteinaemia and hyperoxidative stress in the pathogenesis of end</w:t>
      </w:r>
      <w:r w:rsidRPr="00923562">
        <w:rPr>
          <w:rFonts w:ascii="Times" w:hAnsi="Times"/>
          <w:sz w:val="20"/>
          <w:szCs w:val="20"/>
          <w:lang w:val="en-US"/>
        </w:rPr>
        <w:t>o</w:t>
      </w:r>
      <w:r w:rsidRPr="00923562">
        <w:rPr>
          <w:rFonts w:ascii="Times" w:hAnsi="Times"/>
          <w:sz w:val="20"/>
          <w:szCs w:val="20"/>
          <w:lang w:val="en-US"/>
        </w:rPr>
        <w:t>thelial dysfunction in non-insulin dependent diabetes mellitus: a hypoth</w:t>
      </w:r>
      <w:r w:rsidRPr="00923562">
        <w:rPr>
          <w:rFonts w:ascii="Times" w:hAnsi="Times"/>
          <w:sz w:val="20"/>
          <w:szCs w:val="20"/>
          <w:lang w:val="en-US"/>
        </w:rPr>
        <w:t>e</w:t>
      </w:r>
      <w:r w:rsidRPr="00923562">
        <w:rPr>
          <w:rFonts w:ascii="Times" w:hAnsi="Times"/>
          <w:sz w:val="20"/>
          <w:szCs w:val="20"/>
          <w:lang w:val="en-US"/>
        </w:rPr>
        <w:t>sis. Atherosclerosis. 1998;141:17–30.</w:t>
      </w:r>
    </w:p>
  </w:endnote>
  <w:endnote w:id="186">
    <w:p w14:paraId="602CDBF3" w14:textId="77777777" w:rsidR="002114B9" w:rsidRPr="00923562" w:rsidRDefault="002114B9" w:rsidP="00923562">
      <w:pPr>
        <w:jc w:val="both"/>
        <w:rPr>
          <w:rFonts w:ascii="Times" w:hAnsi="Times"/>
          <w:sz w:val="20"/>
          <w:szCs w:val="20"/>
        </w:rPr>
      </w:pPr>
      <w:r w:rsidRPr="00923562">
        <w:rPr>
          <w:rStyle w:val="Rimandonotadichiusura"/>
          <w:rFonts w:ascii="Times" w:hAnsi="Times"/>
          <w:sz w:val="20"/>
          <w:szCs w:val="20"/>
        </w:rPr>
        <w:endnoteRef/>
      </w:r>
      <w:r w:rsidRPr="00923562">
        <w:rPr>
          <w:rFonts w:ascii="Times" w:hAnsi="Times"/>
          <w:sz w:val="20"/>
          <w:szCs w:val="20"/>
          <w:lang w:val="en-US"/>
        </w:rPr>
        <w:t>Steinberg HO, Brechtel G, Johnson A, et al. Insulin-mediated skeletal muscle vasodilation is nitric oxide dependent. A novel action of insulin to increase nitric oxide release. </w:t>
      </w:r>
      <w:r w:rsidRPr="00923562">
        <w:rPr>
          <w:rFonts w:ascii="Times" w:hAnsi="Times"/>
          <w:sz w:val="20"/>
          <w:szCs w:val="20"/>
        </w:rPr>
        <w:t>J Clin I</w:t>
      </w:r>
      <w:r w:rsidRPr="00923562">
        <w:rPr>
          <w:rFonts w:ascii="Times" w:hAnsi="Times"/>
          <w:sz w:val="20"/>
          <w:szCs w:val="20"/>
        </w:rPr>
        <w:t>n</w:t>
      </w:r>
      <w:r w:rsidRPr="00923562">
        <w:rPr>
          <w:rFonts w:ascii="Times" w:hAnsi="Times"/>
          <w:sz w:val="20"/>
          <w:szCs w:val="20"/>
        </w:rPr>
        <w:t>vest. 1994;94:1172–9.</w:t>
      </w:r>
    </w:p>
  </w:endnote>
  <w:endnote w:id="187">
    <w:p w14:paraId="33FED969"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rPr>
        <w:t xml:space="preserve">Ferri C, Bellini C, Desideri G, et al. </w:t>
      </w:r>
      <w:r w:rsidRPr="00923562">
        <w:rPr>
          <w:rFonts w:ascii="Times" w:hAnsi="Times"/>
          <w:sz w:val="20"/>
          <w:szCs w:val="20"/>
          <w:lang w:val="en-US"/>
        </w:rPr>
        <w:t>Circulating endothelin-1 levels in obese patients with the met</w:t>
      </w:r>
      <w:r w:rsidRPr="00923562">
        <w:rPr>
          <w:rFonts w:ascii="Times" w:hAnsi="Times"/>
          <w:sz w:val="20"/>
          <w:szCs w:val="20"/>
          <w:lang w:val="en-US"/>
        </w:rPr>
        <w:t>a</w:t>
      </w:r>
      <w:r w:rsidRPr="00923562">
        <w:rPr>
          <w:rFonts w:ascii="Times" w:hAnsi="Times"/>
          <w:sz w:val="20"/>
          <w:szCs w:val="20"/>
          <w:lang w:val="en-US"/>
        </w:rPr>
        <w:t>bolic syndrome. Exp Clin Endocrinol Diabetes.1997;105(Suppl 2):38–40.</w:t>
      </w:r>
    </w:p>
  </w:endnote>
  <w:endnote w:id="188">
    <w:p w14:paraId="52E76CB5"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Caballero AE, Arora S, Saouaf R, et al. Microvascular and macrovascular reactivity is reduced in subjects at risk for type 2 diabetes. Diabetes.1999;48:1856–62.</w:t>
      </w:r>
    </w:p>
  </w:endnote>
  <w:endnote w:id="189">
    <w:p w14:paraId="1342343F"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Brook RD. Obesity, weight loss, and vascular function. Endocrine 2006; 29: 21-5.</w:t>
      </w:r>
    </w:p>
  </w:endnote>
  <w:endnote w:id="190">
    <w:p w14:paraId="6DDB1C37"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Bouloumie A, Marumo T, Lafontan M, Busse R. Leptin induces oxidative stress in human endothel</w:t>
      </w:r>
      <w:r w:rsidRPr="00923562">
        <w:rPr>
          <w:rFonts w:ascii="Times" w:hAnsi="Times"/>
          <w:sz w:val="20"/>
          <w:szCs w:val="20"/>
          <w:lang w:val="en-US"/>
        </w:rPr>
        <w:t>i</w:t>
      </w:r>
      <w:r w:rsidRPr="00923562">
        <w:rPr>
          <w:rFonts w:ascii="Times" w:hAnsi="Times"/>
          <w:sz w:val="20"/>
          <w:szCs w:val="20"/>
          <w:lang w:val="en-US"/>
        </w:rPr>
        <w:t>al cells. FASEB J 1999; 13: 1231-8.</w:t>
      </w:r>
    </w:p>
  </w:endnote>
  <w:endnote w:id="191">
    <w:p w14:paraId="09D6673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Verma S, Li SH, Wang CH, et al. Resistin promotes endothelial cell activation: further evidence of adipokine-endothelial interaction. Circulation 2003; 108: 736-40.</w:t>
      </w:r>
    </w:p>
  </w:endnote>
  <w:endnote w:id="192">
    <w:p w14:paraId="0141640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Chen H, Montagnani M, Funahashi T, Shimomura I, Quon MJ. Adiponectin stimulates production of nitric oxide in vascular endothelial cells. J Biol Chem 2003; 278: 45021-6.</w:t>
      </w:r>
    </w:p>
  </w:endnote>
  <w:endnote w:id="193">
    <w:p w14:paraId="44A5F305"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Paolisso G, Giugliano D. Oxidative stress and insulin action: is there a relatio</w:t>
      </w:r>
      <w:r w:rsidRPr="00923562">
        <w:rPr>
          <w:rFonts w:ascii="Times" w:hAnsi="Times"/>
          <w:sz w:val="20"/>
          <w:szCs w:val="20"/>
          <w:lang w:val="en-US"/>
        </w:rPr>
        <w:t>n</w:t>
      </w:r>
      <w:r w:rsidRPr="00923562">
        <w:rPr>
          <w:rFonts w:ascii="Times" w:hAnsi="Times"/>
          <w:sz w:val="20"/>
          <w:szCs w:val="20"/>
          <w:lang w:val="en-US"/>
        </w:rPr>
        <w:t>ship? Diabetologia. 1996;39:357–63.</w:t>
      </w:r>
    </w:p>
  </w:endnote>
  <w:endnote w:id="194">
    <w:p w14:paraId="2D68E84D"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Masumoto A, Hirooka Y, Hironaga K, et al. Effect of pravastatin on endothelial function in patients with coronary artery disease (cholesterol-independent effect of pravastatin) Am J Card</w:t>
      </w:r>
      <w:r w:rsidRPr="00923562">
        <w:rPr>
          <w:rFonts w:ascii="Times" w:hAnsi="Times"/>
          <w:sz w:val="20"/>
          <w:szCs w:val="20"/>
          <w:lang w:val="en-US"/>
        </w:rPr>
        <w:t>i</w:t>
      </w:r>
      <w:r w:rsidRPr="00923562">
        <w:rPr>
          <w:rFonts w:ascii="Times" w:hAnsi="Times"/>
          <w:sz w:val="20"/>
          <w:szCs w:val="20"/>
          <w:lang w:val="en-US"/>
        </w:rPr>
        <w:t>ol. 2001;88:1291–4.</w:t>
      </w:r>
    </w:p>
  </w:endnote>
  <w:endnote w:id="195">
    <w:p w14:paraId="2CA49CFA"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Gilligan DM, Guetta V, Panza JA, et al. Selective loss of microvascular endothelial function in h</w:t>
      </w:r>
      <w:r w:rsidRPr="00923562">
        <w:rPr>
          <w:rFonts w:ascii="Times" w:hAnsi="Times"/>
          <w:sz w:val="20"/>
          <w:szCs w:val="20"/>
          <w:lang w:val="en-US"/>
        </w:rPr>
        <w:t>u</w:t>
      </w:r>
      <w:r w:rsidRPr="00923562">
        <w:rPr>
          <w:rFonts w:ascii="Times" w:hAnsi="Times"/>
          <w:sz w:val="20"/>
          <w:szCs w:val="20"/>
          <w:lang w:val="en-US"/>
        </w:rPr>
        <w:t>man hypercholesterolemia. Circulation. 1994;90:35–41.</w:t>
      </w:r>
    </w:p>
  </w:endnote>
  <w:endnote w:id="196">
    <w:p w14:paraId="4226F5D7"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Hamasaki S, Al Suwaidi J, Higano ST, et al. Attenuated coronary flow reserve and vascular remode</w:t>
      </w:r>
      <w:r w:rsidRPr="00923562">
        <w:rPr>
          <w:rFonts w:ascii="Times" w:hAnsi="Times"/>
          <w:sz w:val="20"/>
          <w:szCs w:val="20"/>
          <w:lang w:val="en-US"/>
        </w:rPr>
        <w:t>l</w:t>
      </w:r>
      <w:r w:rsidRPr="00923562">
        <w:rPr>
          <w:rFonts w:ascii="Times" w:hAnsi="Times"/>
          <w:sz w:val="20"/>
          <w:szCs w:val="20"/>
          <w:lang w:val="en-US"/>
        </w:rPr>
        <w:t>ing in patients with hypertension and left ventricular hyperatrophy. J Am Coll Cardiol. 2000;35:1654–60.</w:t>
      </w:r>
    </w:p>
  </w:endnote>
  <w:endnote w:id="197">
    <w:p w14:paraId="6BB21CD5"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Taddei S, Virdis A, Mattei P, et al. Vasodilation to acetylcholine in primary and secondary forms of human hypertension. Hypertension. 1993;21(6 Pt 2):929–33.</w:t>
      </w:r>
    </w:p>
  </w:endnote>
  <w:endnote w:id="198">
    <w:p w14:paraId="2B090E84"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Tao J, Jin YF, Yang Z, et al. Reduced arterial elasticity is associated with endothelial dysfunction in persons of advancing age: comparative study of noninvasive pulse wave analysis and laser Doppler blood flow measurement. Am J Hypertens. 2004;17:654–9.</w:t>
      </w:r>
    </w:p>
  </w:endnote>
  <w:endnote w:id="199">
    <w:p w14:paraId="157EB09A"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Minamino T, Miyauchi H, Yoshida T, et al. The role of vascular cell senescence in atherosclerosis: antisenescence as a novel therapeutic strategy for vascular aging. Curr Vasc Pharmacol. 2004;2:141–8.</w:t>
      </w:r>
    </w:p>
  </w:endnote>
  <w:endnote w:id="200">
    <w:p w14:paraId="3849C4D6"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Taddei S, Virdis A, Mattei P, et al. Aging and endothelial function in normotensive subjects and p</w:t>
      </w:r>
      <w:r w:rsidRPr="00923562">
        <w:rPr>
          <w:rFonts w:ascii="Times" w:hAnsi="Times"/>
          <w:sz w:val="20"/>
          <w:szCs w:val="20"/>
          <w:lang w:val="en-US"/>
        </w:rPr>
        <w:t>a</w:t>
      </w:r>
      <w:r w:rsidRPr="00923562">
        <w:rPr>
          <w:rFonts w:ascii="Times" w:hAnsi="Times"/>
          <w:sz w:val="20"/>
          <w:szCs w:val="20"/>
          <w:lang w:val="en-US"/>
        </w:rPr>
        <w:t>tients with essential hypertension. Circulation.1995;91:1981–7.</w:t>
      </w:r>
    </w:p>
  </w:endnote>
  <w:endnote w:id="201">
    <w:p w14:paraId="011104C3"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Celermajer DS, Adams MR, Clarkson P, et al. Passive smoking and impaired endothelium-dependent arterial dilatation in healthy young adults. N Engl J Med.1996;334:150–4.</w:t>
      </w:r>
    </w:p>
  </w:endnote>
  <w:endnote w:id="202">
    <w:p w14:paraId="04F0571A"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Quere I, Hillaire-Buys D, Brunschwig J, et al. Effects of homocysteine on acetylcholine- and aden</w:t>
      </w:r>
      <w:r w:rsidRPr="00923562">
        <w:rPr>
          <w:rFonts w:ascii="Times" w:hAnsi="Times"/>
          <w:color w:val="000000"/>
          <w:sz w:val="20"/>
          <w:szCs w:val="20"/>
          <w:shd w:val="clear" w:color="auto" w:fill="FFFFFF"/>
          <w:lang w:val="en-US"/>
        </w:rPr>
        <w:t>o</w:t>
      </w:r>
      <w:r w:rsidRPr="00923562">
        <w:rPr>
          <w:rFonts w:ascii="Times" w:hAnsi="Times"/>
          <w:color w:val="000000"/>
          <w:sz w:val="20"/>
          <w:szCs w:val="20"/>
          <w:shd w:val="clear" w:color="auto" w:fill="FFFFFF"/>
          <w:lang w:val="en-US"/>
        </w:rPr>
        <w:t>sine-induced vasodilation of pancreatic vascular bed in rats. Br J Pharmacol. 1997;122:351–7.</w:t>
      </w:r>
    </w:p>
    <w:p w14:paraId="134A4502" w14:textId="77777777" w:rsidR="002114B9" w:rsidRPr="00923562" w:rsidRDefault="002114B9" w:rsidP="00923562">
      <w:pPr>
        <w:pStyle w:val="Testonotadichiusura"/>
        <w:jc w:val="both"/>
        <w:rPr>
          <w:rFonts w:ascii="Times" w:hAnsi="Times"/>
          <w:szCs w:val="20"/>
          <w:lang w:val="en-US"/>
        </w:rPr>
      </w:pPr>
    </w:p>
  </w:endnote>
  <w:endnote w:id="203">
    <w:p w14:paraId="2346246B"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Verhaar MC, Stroes E, Rabelink TJ. Folates and cardiovascular disease.Arterioscler Thromb Vasc Biol. 2002;22:6–13.</w:t>
      </w:r>
    </w:p>
    <w:p w14:paraId="54EFEA67" w14:textId="77777777" w:rsidR="002114B9" w:rsidRPr="00923562" w:rsidRDefault="002114B9" w:rsidP="00923562">
      <w:pPr>
        <w:pStyle w:val="Testonotadichiusura"/>
        <w:jc w:val="both"/>
        <w:rPr>
          <w:rFonts w:ascii="Times" w:hAnsi="Times"/>
          <w:szCs w:val="20"/>
          <w:lang w:val="en-US"/>
        </w:rPr>
      </w:pPr>
    </w:p>
  </w:endnote>
  <w:endnote w:id="204">
    <w:p w14:paraId="1300530D"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de-DE"/>
        </w:rPr>
        <w:t xml:space="preserve"> </w:t>
      </w:r>
      <w:r w:rsidRPr="00923562">
        <w:rPr>
          <w:rFonts w:ascii="Times" w:hAnsi="Times"/>
          <w:color w:val="000000"/>
          <w:sz w:val="20"/>
          <w:szCs w:val="20"/>
          <w:shd w:val="clear" w:color="auto" w:fill="FFFFFF"/>
          <w:lang w:val="de-DE"/>
        </w:rPr>
        <w:t xml:space="preserve">Annuk M, Lind L, Linde T, et al. </w:t>
      </w:r>
      <w:r w:rsidRPr="00923562">
        <w:rPr>
          <w:rFonts w:ascii="Times" w:hAnsi="Times"/>
          <w:color w:val="000000"/>
          <w:sz w:val="20"/>
          <w:szCs w:val="20"/>
          <w:shd w:val="clear" w:color="auto" w:fill="FFFFFF"/>
          <w:lang w:val="en-US"/>
        </w:rPr>
        <w:t>Impaired endothelium-dependent vasodilation in renal failure in humans. Nephrol Dial Transplant. 2001;16:302–6. </w:t>
      </w:r>
    </w:p>
    <w:p w14:paraId="0E7EE734" w14:textId="77777777" w:rsidR="002114B9" w:rsidRPr="00923562" w:rsidRDefault="002114B9" w:rsidP="00923562">
      <w:pPr>
        <w:pStyle w:val="Testonotadichiusura"/>
        <w:jc w:val="both"/>
        <w:rPr>
          <w:rFonts w:ascii="Times" w:hAnsi="Times"/>
          <w:szCs w:val="20"/>
          <w:lang w:val="en-US"/>
        </w:rPr>
      </w:pPr>
    </w:p>
  </w:endnote>
  <w:endnote w:id="205">
    <w:p w14:paraId="35786253"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Miyazaki H, Matsuka H, Itabe H, et al. Hemodialysis impairs endothelial function via oxidative stress. Effects of vitamin E-coated dialyzer. Circulation.2000;101:1002–6.</w:t>
      </w:r>
    </w:p>
    <w:p w14:paraId="6660D8FA" w14:textId="77777777" w:rsidR="002114B9" w:rsidRPr="00923562" w:rsidRDefault="002114B9" w:rsidP="00923562">
      <w:pPr>
        <w:pStyle w:val="Testonotadichiusura"/>
        <w:jc w:val="both"/>
        <w:rPr>
          <w:rFonts w:ascii="Times" w:hAnsi="Times"/>
          <w:szCs w:val="20"/>
          <w:lang w:val="en-US"/>
        </w:rPr>
      </w:pPr>
    </w:p>
  </w:endnote>
  <w:endnote w:id="206">
    <w:p w14:paraId="2C70CBF5"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Cella G, Bellotto F, Tona F, et al. Plasma markers of endothelial dysfunction in pulmonary hype</w:t>
      </w:r>
      <w:r w:rsidRPr="00923562">
        <w:rPr>
          <w:rFonts w:ascii="Times" w:hAnsi="Times"/>
          <w:color w:val="000000"/>
          <w:sz w:val="20"/>
          <w:szCs w:val="20"/>
          <w:shd w:val="clear" w:color="auto" w:fill="FFFFFF"/>
          <w:lang w:val="en-US"/>
        </w:rPr>
        <w:t>r</w:t>
      </w:r>
      <w:r w:rsidRPr="00923562">
        <w:rPr>
          <w:rFonts w:ascii="Times" w:hAnsi="Times"/>
          <w:color w:val="000000"/>
          <w:sz w:val="20"/>
          <w:szCs w:val="20"/>
          <w:shd w:val="clear" w:color="auto" w:fill="FFFFFF"/>
          <w:lang w:val="en-US"/>
        </w:rPr>
        <w:t>tension. Chest. 2001;120:1226–30.</w:t>
      </w:r>
    </w:p>
    <w:p w14:paraId="7E4D475F" w14:textId="77777777" w:rsidR="002114B9" w:rsidRPr="00923562" w:rsidRDefault="002114B9" w:rsidP="00923562">
      <w:pPr>
        <w:pStyle w:val="Testonotadichiusura"/>
        <w:jc w:val="both"/>
        <w:rPr>
          <w:rFonts w:ascii="Times" w:hAnsi="Times"/>
          <w:szCs w:val="20"/>
          <w:lang w:val="en-US"/>
        </w:rPr>
      </w:pPr>
    </w:p>
  </w:endnote>
  <w:endnote w:id="207">
    <w:p w14:paraId="75B811C0"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Dimitrow PP. Coronary endothelial dysfunction in patients with hypertrophic cardiomyop</w:t>
      </w:r>
      <w:r w:rsidRPr="00923562">
        <w:rPr>
          <w:rFonts w:ascii="Times" w:hAnsi="Times"/>
          <w:color w:val="000000"/>
          <w:sz w:val="20"/>
          <w:szCs w:val="20"/>
          <w:shd w:val="clear" w:color="auto" w:fill="FFFFFF"/>
          <w:lang w:val="en-US"/>
        </w:rPr>
        <w:t>a</w:t>
      </w:r>
      <w:r w:rsidRPr="00923562">
        <w:rPr>
          <w:rFonts w:ascii="Times" w:hAnsi="Times"/>
          <w:color w:val="000000"/>
          <w:sz w:val="20"/>
          <w:szCs w:val="20"/>
          <w:shd w:val="clear" w:color="auto" w:fill="FFFFFF"/>
          <w:lang w:val="en-US"/>
        </w:rPr>
        <w:t>thy. Chest. 2002;121:1374.</w:t>
      </w:r>
    </w:p>
    <w:p w14:paraId="318DF7E6" w14:textId="77777777" w:rsidR="002114B9" w:rsidRPr="00923562" w:rsidRDefault="002114B9" w:rsidP="00923562">
      <w:pPr>
        <w:pStyle w:val="Testonotadichiusura"/>
        <w:jc w:val="both"/>
        <w:rPr>
          <w:rFonts w:ascii="Times" w:hAnsi="Times"/>
          <w:szCs w:val="20"/>
          <w:lang w:val="en-US"/>
        </w:rPr>
      </w:pPr>
    </w:p>
  </w:endnote>
  <w:endnote w:id="208">
    <w:p w14:paraId="2E6C03DA" w14:textId="77777777" w:rsidR="002114B9" w:rsidRPr="00923562" w:rsidRDefault="002114B9" w:rsidP="00923562">
      <w:pPr>
        <w:pStyle w:val="Testonotadichiusura"/>
        <w:jc w:val="both"/>
        <w:rPr>
          <w:rFonts w:ascii="Times" w:hAnsi="Times"/>
          <w:szCs w:val="20"/>
          <w:lang w:val="en-US"/>
        </w:rPr>
      </w:pPr>
      <w:r w:rsidRPr="00923562">
        <w:rPr>
          <w:rStyle w:val="Rimandonotadichiusura"/>
          <w:rFonts w:ascii="Times" w:hAnsi="Times"/>
          <w:szCs w:val="20"/>
        </w:rPr>
        <w:endnoteRef/>
      </w:r>
      <w:r w:rsidRPr="00923562">
        <w:rPr>
          <w:rFonts w:ascii="Times" w:hAnsi="Times"/>
          <w:szCs w:val="20"/>
          <w:lang w:val="en-US"/>
        </w:rPr>
        <w:t xml:space="preserve"> </w:t>
      </w:r>
      <w:r w:rsidRPr="00923562">
        <w:rPr>
          <w:rFonts w:ascii="Times" w:hAnsi="Times"/>
          <w:color w:val="000000"/>
          <w:szCs w:val="20"/>
          <w:shd w:val="clear" w:color="auto" w:fill="FFFFFF"/>
          <w:lang w:val="en-US"/>
        </w:rPr>
        <w:t>Aird WC. The role of the endothelium in severe sepsis and multiple organ dysfunction sy</w:t>
      </w:r>
      <w:r w:rsidRPr="00923562">
        <w:rPr>
          <w:rFonts w:ascii="Times" w:hAnsi="Times"/>
          <w:color w:val="000000"/>
          <w:szCs w:val="20"/>
          <w:shd w:val="clear" w:color="auto" w:fill="FFFFFF"/>
          <w:lang w:val="en-US"/>
        </w:rPr>
        <w:t>n</w:t>
      </w:r>
      <w:r w:rsidRPr="00923562">
        <w:rPr>
          <w:rFonts w:ascii="Times" w:hAnsi="Times"/>
          <w:color w:val="000000"/>
          <w:szCs w:val="20"/>
          <w:shd w:val="clear" w:color="auto" w:fill="FFFFFF"/>
          <w:lang w:val="en-US"/>
        </w:rPr>
        <w:t>drome. Blood. 2003;101:3765–77</w:t>
      </w:r>
    </w:p>
  </w:endnote>
  <w:endnote w:id="209">
    <w:p w14:paraId="00DC9F1C"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Nolan D, Watts GF, Herrmann SE, et al. Endothelial function in HIV-infected patients receiving protease inhibitor therapy: does immune competence affect cardiovascular risk? QJM. 2003;96:825–32.</w:t>
      </w:r>
    </w:p>
    <w:p w14:paraId="2AD0B1A4" w14:textId="77777777" w:rsidR="002114B9" w:rsidRPr="00923562" w:rsidRDefault="002114B9" w:rsidP="00923562">
      <w:pPr>
        <w:pStyle w:val="Testonotadichiusura"/>
        <w:jc w:val="both"/>
        <w:rPr>
          <w:rFonts w:ascii="Times" w:hAnsi="Times"/>
          <w:szCs w:val="20"/>
          <w:lang w:val="en-US"/>
        </w:rPr>
      </w:pPr>
    </w:p>
  </w:endnote>
  <w:endnote w:id="210">
    <w:p w14:paraId="233BAA76"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Yavuz D, Deyneli O, Akpinar I, et al. Endothelial function, insulin sensitivity and inflammatory markers in hyperprolactinemic premenopausal women. Eur J Endocrinol. 2003;149:187–93.</w:t>
      </w:r>
    </w:p>
    <w:p w14:paraId="43073397" w14:textId="77777777" w:rsidR="002114B9" w:rsidRPr="00923562" w:rsidRDefault="002114B9" w:rsidP="00923562">
      <w:pPr>
        <w:pStyle w:val="Testonotadichiusura"/>
        <w:jc w:val="both"/>
        <w:rPr>
          <w:rFonts w:ascii="Times" w:hAnsi="Times"/>
          <w:szCs w:val="20"/>
          <w:lang w:val="en-US"/>
        </w:rPr>
      </w:pPr>
    </w:p>
  </w:endnote>
  <w:endnote w:id="211">
    <w:p w14:paraId="06530B54" w14:textId="77777777" w:rsidR="002114B9" w:rsidRPr="00923562" w:rsidRDefault="002114B9" w:rsidP="00923562">
      <w:pPr>
        <w:autoSpaceDE w:val="0"/>
        <w:adjustRightInd w:val="0"/>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 </w:t>
      </w:r>
      <w:r w:rsidRPr="00923562">
        <w:rPr>
          <w:rFonts w:ascii="Times" w:hAnsi="Times"/>
          <w:color w:val="000000"/>
          <w:sz w:val="20"/>
          <w:szCs w:val="20"/>
          <w:shd w:val="clear" w:color="auto" w:fill="FFFFFF"/>
          <w:lang w:val="en-US"/>
        </w:rPr>
        <w:t>Blum A, Simsolo C. The antiphospholipid syndrome and endothelial function. Isr Med Assoc J. 2004;6:556–8.</w:t>
      </w:r>
    </w:p>
    <w:p w14:paraId="3AE63AAE" w14:textId="77777777" w:rsidR="002114B9" w:rsidRPr="00923562" w:rsidRDefault="002114B9" w:rsidP="00923562">
      <w:pPr>
        <w:pStyle w:val="Testonotadichiusura"/>
        <w:jc w:val="both"/>
        <w:rPr>
          <w:rFonts w:ascii="Times" w:hAnsi="Times"/>
          <w:szCs w:val="20"/>
          <w:lang w:val="en-US"/>
        </w:rPr>
      </w:pPr>
    </w:p>
  </w:endnote>
  <w:endnote w:id="212">
    <w:p w14:paraId="2D6602A6"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Verma S, Buchanan MR, Anderson TJ. Endothelial function testing as a biomarker of vascular di</w:t>
      </w:r>
      <w:r w:rsidRPr="00923562">
        <w:rPr>
          <w:rFonts w:ascii="Times" w:hAnsi="Times"/>
          <w:sz w:val="20"/>
          <w:szCs w:val="20"/>
          <w:lang w:val="en-US"/>
        </w:rPr>
        <w:t>s</w:t>
      </w:r>
      <w:r w:rsidRPr="00923562">
        <w:rPr>
          <w:rFonts w:ascii="Times" w:hAnsi="Times"/>
          <w:sz w:val="20"/>
          <w:szCs w:val="20"/>
          <w:lang w:val="en-US"/>
        </w:rPr>
        <w:t>ease. Circulation 2003; 108: 2054-2059.</w:t>
      </w:r>
    </w:p>
  </w:endnote>
  <w:endnote w:id="213">
    <w:p w14:paraId="3D80613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Corretti MC, Anderson TJ, Benjamin EJ, et al. Guidelines for the ultrasound assessment of endoth</w:t>
      </w:r>
      <w:r w:rsidRPr="00923562">
        <w:rPr>
          <w:rFonts w:ascii="Times" w:hAnsi="Times"/>
          <w:sz w:val="20"/>
          <w:szCs w:val="20"/>
          <w:lang w:val="en-US"/>
        </w:rPr>
        <w:t>e</w:t>
      </w:r>
      <w:r w:rsidRPr="00923562">
        <w:rPr>
          <w:rFonts w:ascii="Times" w:hAnsi="Times"/>
          <w:sz w:val="20"/>
          <w:szCs w:val="20"/>
          <w:lang w:val="en-US"/>
        </w:rPr>
        <w:t>lial-dependent flow-mediated vasodilation of the brachial artery: a report of the International Brachial Artery Reactivity Task Force. J Am Coll Cardiol 2002; 39: 257-265.</w:t>
      </w:r>
    </w:p>
  </w:endnote>
  <w:endnote w:id="214">
    <w:p w14:paraId="011D41D6"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Anderson TJ, Uehata A, Gerhard MD, et al. Close relation of endothelial function in the human co</w:t>
      </w:r>
      <w:r w:rsidRPr="00923562">
        <w:rPr>
          <w:rFonts w:ascii="Times" w:hAnsi="Times"/>
          <w:sz w:val="20"/>
          <w:szCs w:val="20"/>
          <w:lang w:val="en-US"/>
        </w:rPr>
        <w:t>r</w:t>
      </w:r>
      <w:r w:rsidRPr="00923562">
        <w:rPr>
          <w:rFonts w:ascii="Times" w:hAnsi="Times"/>
          <w:sz w:val="20"/>
          <w:szCs w:val="20"/>
          <w:lang w:val="en-US"/>
        </w:rPr>
        <w:t>onary and peripheral circulations. J Am Coll Cardiol 1995; 26: 1235-1241.</w:t>
      </w:r>
    </w:p>
  </w:endnote>
  <w:endnote w:id="215">
    <w:p w14:paraId="5A736896"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Hamburg NM, Keyes MJ, Larson MG, Vasan RS, Schnabel R, Pryde MM, Mitchell GF, Sheffy J, Vita JA, Benjamin EJ. Cross-sectional relations of digital vascular function to cardiovascular risk fa</w:t>
      </w:r>
      <w:r w:rsidRPr="00923562">
        <w:rPr>
          <w:rFonts w:ascii="Times" w:hAnsi="Times"/>
          <w:sz w:val="20"/>
          <w:szCs w:val="20"/>
          <w:lang w:val="en-US"/>
        </w:rPr>
        <w:t>c</w:t>
      </w:r>
      <w:r w:rsidRPr="00923562">
        <w:rPr>
          <w:rFonts w:ascii="Times" w:hAnsi="Times"/>
          <w:sz w:val="20"/>
          <w:szCs w:val="20"/>
          <w:lang w:val="en-US"/>
        </w:rPr>
        <w:t>tors in the Framingham Heart Study. Circulation. 2008; 117: 2467–2474.</w:t>
      </w:r>
    </w:p>
  </w:endnote>
  <w:endnote w:id="216">
    <w:p w14:paraId="18802507"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Hristov M, Erl W, Weber PC. Endothelial progenitor cells: mobilization, differentiation, and homing. Arterioscler Thromb Vasc Biol 2003; 23:1185.</w:t>
      </w:r>
    </w:p>
  </w:endnote>
  <w:endnote w:id="217">
    <w:p w14:paraId="07193704"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Boos CJ, Goon PK, Lip GY. Circulating endothelial progenitor cells. N Engl J Med 2005; 353:2613.</w:t>
      </w:r>
    </w:p>
  </w:endnote>
  <w:endnote w:id="218">
    <w:p w14:paraId="6D605424"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Hill JM, Zalos G, Halcox JP, et al. Circulating endothelial progenitor cells, vascular function, and cardiovascular risk. N Engl J Med 2003; 348:593.</w:t>
      </w:r>
    </w:p>
  </w:endnote>
  <w:endnote w:id="219">
    <w:p w14:paraId="2388D20E"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Murasawa S, Kawamoto A, Horii M, et al. Niche-dependent translineage commitment of endothelial progenitor cells, not cell fusion in general, into myocardial lineage cells. Arterioscler Thromb Vasc Biol 2005; 25:1388.</w:t>
      </w:r>
    </w:p>
  </w:endnote>
  <w:endnote w:id="220">
    <w:p w14:paraId="52EF28FE"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Vasa M, Fichtlscherer S, Aicher A, et al. Number and migratory activity of circulating endothelial progenitor cells inversely correlate with risk factors for coronary artery disease. Circ Res 2001; 89:E1.</w:t>
      </w:r>
    </w:p>
  </w:endnote>
  <w:endnote w:id="221">
    <w:p w14:paraId="3C04842C"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Werner N, Kosiol S, Schiegl T, et al. Circulating endothelial progenitor cells and cardiovascular ou</w:t>
      </w:r>
      <w:r w:rsidRPr="00923562">
        <w:rPr>
          <w:rFonts w:ascii="Times" w:hAnsi="Times"/>
          <w:sz w:val="20"/>
          <w:szCs w:val="20"/>
          <w:lang w:val="en-US"/>
        </w:rPr>
        <w:t>t</w:t>
      </w:r>
      <w:r w:rsidRPr="00923562">
        <w:rPr>
          <w:rFonts w:ascii="Times" w:hAnsi="Times"/>
          <w:sz w:val="20"/>
          <w:szCs w:val="20"/>
          <w:lang w:val="en-US"/>
        </w:rPr>
        <w:t>comes. N Engl J Med 2005; 353:999.</w:t>
      </w:r>
    </w:p>
  </w:endnote>
  <w:endnote w:id="222">
    <w:p w14:paraId="144F550B"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Lerman A, Zeiher AM. Endothelial function: cardiac events. Circulation 2005; 111: 363-8.</w:t>
      </w:r>
    </w:p>
  </w:endnote>
  <w:endnote w:id="223">
    <w:p w14:paraId="427E3E4B"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Modena MG, Bonetti L, Coppi F, Bursi F, Rossi R. Prognostic role of reversible endothelial dysfun</w:t>
      </w:r>
      <w:r w:rsidRPr="00923562">
        <w:rPr>
          <w:rFonts w:ascii="Times" w:hAnsi="Times"/>
          <w:sz w:val="20"/>
          <w:szCs w:val="20"/>
          <w:lang w:val="en-US"/>
        </w:rPr>
        <w:t>c</w:t>
      </w:r>
      <w:r w:rsidRPr="00923562">
        <w:rPr>
          <w:rFonts w:ascii="Times" w:hAnsi="Times"/>
          <w:sz w:val="20"/>
          <w:szCs w:val="20"/>
          <w:lang w:val="en-US"/>
        </w:rPr>
        <w:t>tion in hypertensive postmenopausal women. J Am Coll Cardiol 2002; 40: 505-10.</w:t>
      </w:r>
    </w:p>
  </w:endnote>
  <w:endnote w:id="224">
    <w:p w14:paraId="00289F0A"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Widlansky ME,Gokce N, Keaney F, Vita JA. The clinical implications of endothelial dysfunction. J Am Coll Cardiol 2003; 42: 1149-1160.</w:t>
      </w:r>
    </w:p>
  </w:endnote>
  <w:endnote w:id="225">
    <w:p w14:paraId="3169E34E"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Behrendt D, Ganz P. Endothelial function: from vascular biology to clinical applications. Am J Ca</w:t>
      </w:r>
      <w:r w:rsidRPr="00923562">
        <w:rPr>
          <w:rFonts w:ascii="Times" w:hAnsi="Times"/>
          <w:sz w:val="20"/>
          <w:szCs w:val="20"/>
          <w:lang w:val="en-US"/>
        </w:rPr>
        <w:t>r</w:t>
      </w:r>
      <w:r w:rsidRPr="00923562">
        <w:rPr>
          <w:rFonts w:ascii="Times" w:hAnsi="Times"/>
          <w:sz w:val="20"/>
          <w:szCs w:val="20"/>
          <w:lang w:val="en-US"/>
        </w:rPr>
        <w:t>diol 2002; 90: 40L-48L.</w:t>
      </w:r>
    </w:p>
  </w:endnote>
  <w:endnote w:id="226">
    <w:p w14:paraId="4641E24E"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Husain S, Andrews NP, Mulcahy D, et al. Aspirin improves endothelial dysfunction in atheroscler</w:t>
      </w:r>
      <w:r w:rsidRPr="00923562">
        <w:rPr>
          <w:rFonts w:ascii="Times" w:hAnsi="Times"/>
          <w:sz w:val="20"/>
          <w:szCs w:val="20"/>
          <w:lang w:val="en-US"/>
        </w:rPr>
        <w:t>o</w:t>
      </w:r>
      <w:r w:rsidRPr="00923562">
        <w:rPr>
          <w:rFonts w:ascii="Times" w:hAnsi="Times"/>
          <w:sz w:val="20"/>
          <w:szCs w:val="20"/>
          <w:lang w:val="en-US"/>
        </w:rPr>
        <w:t>sis. Circulation 1998; 97:716.</w:t>
      </w:r>
    </w:p>
  </w:endnote>
  <w:endnote w:id="227">
    <w:p w14:paraId="6893B0B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John S, Schmieder RE. Impaired endothelial function in arterial hypertension and hypercholestero</w:t>
      </w:r>
      <w:r w:rsidRPr="00923562">
        <w:rPr>
          <w:rFonts w:ascii="Times" w:hAnsi="Times"/>
          <w:sz w:val="20"/>
          <w:szCs w:val="20"/>
          <w:lang w:val="en-US"/>
        </w:rPr>
        <w:t>l</w:t>
      </w:r>
      <w:r w:rsidRPr="00923562">
        <w:rPr>
          <w:rFonts w:ascii="Times" w:hAnsi="Times"/>
          <w:sz w:val="20"/>
          <w:szCs w:val="20"/>
          <w:lang w:val="en-US"/>
        </w:rPr>
        <w:t>emia: potential mechanisms and differences. J Hypertens 2000; 18: 363-374.</w:t>
      </w:r>
    </w:p>
  </w:endnote>
  <w:endnote w:id="228">
    <w:p w14:paraId="04EE2E6D"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Moertl D, Hammer A, Steiner S, et al. Dose-dependent effects of omega-3-polyunsaturated fatty a</w:t>
      </w:r>
      <w:r w:rsidRPr="00923562">
        <w:rPr>
          <w:rFonts w:ascii="Times" w:hAnsi="Times"/>
          <w:sz w:val="20"/>
          <w:szCs w:val="20"/>
          <w:lang w:val="en-US"/>
        </w:rPr>
        <w:t>c</w:t>
      </w:r>
      <w:r w:rsidRPr="00923562">
        <w:rPr>
          <w:rFonts w:ascii="Times" w:hAnsi="Times"/>
          <w:sz w:val="20"/>
          <w:szCs w:val="20"/>
          <w:lang w:val="en-US"/>
        </w:rPr>
        <w:t>ids on systolic left ventricular function, endothelial function, and markers of inflammation in chronic heart failure of nonischemic origin: a double-blind, placebo-controlled, 3-arm study. Am Heart J 2011; 161:e1.</w:t>
      </w:r>
    </w:p>
  </w:endnote>
  <w:endnote w:id="229">
    <w:p w14:paraId="4077C0F2"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Evans M, Anderson RA, Graham J, et al. Ciprofibrate therapy improves endothelial function and r</w:t>
      </w:r>
      <w:r w:rsidRPr="00923562">
        <w:rPr>
          <w:rFonts w:ascii="Times" w:hAnsi="Times"/>
          <w:sz w:val="20"/>
          <w:szCs w:val="20"/>
          <w:lang w:val="en-US"/>
        </w:rPr>
        <w:t>e</w:t>
      </w:r>
      <w:r w:rsidRPr="00923562">
        <w:rPr>
          <w:rFonts w:ascii="Times" w:hAnsi="Times"/>
          <w:sz w:val="20"/>
          <w:szCs w:val="20"/>
          <w:lang w:val="en-US"/>
        </w:rPr>
        <w:t>duces postprandial lipemia and oxidative stress in type 2 diabetes mellitus. Circulation 2000; 101:1773.</w:t>
      </w:r>
    </w:p>
  </w:endnote>
  <w:endnote w:id="230">
    <w:p w14:paraId="4D31EA57"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Evaluation of endothelial function using finger plethysmography. Faizi AK, Kornmo DW, Agewall S. Clin Physiol Funct Imaging. 2009 Sep;29(5):372-5.</w:t>
      </w:r>
    </w:p>
  </w:endnote>
  <w:endnote w:id="231">
    <w:p w14:paraId="0EF7F11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Sex differences in noninvasive vascular function in the community. Schnabel RB, Biener MP, Wilde S, Sinning CR, Ojeda FM, Zeller T, Lubos E, Lackner KJ, Warnholtz A, Gori T, Espinola-Klein C, Blankenberg S, Munzel T, Wild PS. J Hypertens. 2013 May 9.</w:t>
      </w:r>
    </w:p>
  </w:endnote>
  <w:endnote w:id="232">
    <w:p w14:paraId="58E7A40A"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Black race is associated with digital artery endothelial dysfunction: results from the Heart SCORE study. SR Mulukutla, L Venkitachalam, C Bambs, KE Kip, A Aiyer, OC Marroquin, SE Reis. Eur Heart J. 2010 Aug 24.</w:t>
      </w:r>
    </w:p>
  </w:endnote>
  <w:endnote w:id="233">
    <w:p w14:paraId="498CFA6F"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Racial differences in arterial stiffness and microcirculatory function between black and white amer</w:t>
      </w:r>
      <w:r w:rsidRPr="00923562">
        <w:rPr>
          <w:rFonts w:ascii="Times" w:hAnsi="Times"/>
          <w:sz w:val="20"/>
          <w:szCs w:val="20"/>
          <w:lang w:val="en-US"/>
        </w:rPr>
        <w:t>i</w:t>
      </w:r>
      <w:r w:rsidRPr="00923562">
        <w:rPr>
          <w:rFonts w:ascii="Times" w:hAnsi="Times"/>
          <w:sz w:val="20"/>
          <w:szCs w:val="20"/>
          <w:lang w:val="en-US"/>
        </w:rPr>
        <w:t>cans.Morris AA, Patel RS, Binongo JN, Poole J, Mheid IA, Ahmed Y, Stoyanova N, Vaccarino V, Din-Dzietham R,Gibbons GH, Quyyumi A. J Am Heart Assoc. 2013 Apr 8;2(2):e002154. doi: 10.1161/JAHA.</w:t>
      </w:r>
    </w:p>
  </w:endnote>
  <w:endnote w:id="234">
    <w:p w14:paraId="40705641"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Peripheral artery tonometry demonstrates altered endothelial function in children with type 1 diab</w:t>
      </w:r>
      <w:r w:rsidRPr="00923562">
        <w:rPr>
          <w:rFonts w:ascii="Times" w:hAnsi="Times"/>
          <w:sz w:val="20"/>
          <w:szCs w:val="20"/>
          <w:lang w:val="en-US"/>
        </w:rPr>
        <w:t>e</w:t>
      </w:r>
      <w:r w:rsidRPr="00923562">
        <w:rPr>
          <w:rFonts w:ascii="Times" w:hAnsi="Times"/>
          <w:sz w:val="20"/>
          <w:szCs w:val="20"/>
          <w:lang w:val="en-US"/>
        </w:rPr>
        <w:t>tes.Haller MJ, Stein J, Shuster J, Theriaque D, Silverstein J, Schatz DA, Earing MG, Lerman A, Mahmud FH. Pediatr Diabetes. 2007 Aug; 8(4):193-8.</w:t>
      </w:r>
    </w:p>
  </w:endnote>
  <w:endnote w:id="235">
    <w:p w14:paraId="30A9E4F7"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Altered endothelial function in asymptomatic male adolescents with type 1 diabetes.Mahmud FH, Earing MG, Lee RA, Lteif AN, Driscoll DJ, Lerman A.Congenit Heart Dis. 2006 May; 1(3):98-103.</w:t>
      </w:r>
    </w:p>
  </w:endnote>
  <w:endnote w:id="236">
    <w:p w14:paraId="00C19A0C"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Impaired endothelial function in adolescents with type 1 diabetes mellitus. Mahmud FH, Van Uum S, Kanji N, Thiessen-Philbrook H, Clarson CL. J Pediatr. 2008 Apr;152(4):557-62.</w:t>
      </w:r>
    </w:p>
  </w:endnote>
  <w:endnote w:id="237">
    <w:p w14:paraId="1E3F6852"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Circulating endothelial progenitor cells and large artery structure and function in young subjects with uncomplicated Type 1 Diabetes. </w:t>
      </w:r>
      <w:r w:rsidRPr="00923562">
        <w:rPr>
          <w:rFonts w:ascii="Times" w:hAnsi="Times"/>
          <w:sz w:val="20"/>
          <w:szCs w:val="20"/>
        </w:rPr>
        <w:t>Palombo C, Kozakova M, Morizzo C, Gnesi L, Barsotti MC, Spo</w:t>
      </w:r>
      <w:r w:rsidRPr="00923562">
        <w:rPr>
          <w:rFonts w:ascii="Times" w:hAnsi="Times"/>
          <w:sz w:val="20"/>
          <w:szCs w:val="20"/>
        </w:rPr>
        <w:t>n</w:t>
      </w:r>
      <w:r w:rsidRPr="00923562">
        <w:rPr>
          <w:rFonts w:ascii="Times" w:hAnsi="Times"/>
          <w:sz w:val="20"/>
          <w:szCs w:val="20"/>
        </w:rPr>
        <w:t xml:space="preserve">toni P, Massart F, Salvi P, Balbarini A,Saggese G, Di Stefano R, Federico G. Cardiovasc Diabetol. </w:t>
      </w:r>
      <w:r w:rsidRPr="00923562">
        <w:rPr>
          <w:rFonts w:ascii="Times" w:hAnsi="Times"/>
          <w:sz w:val="20"/>
          <w:szCs w:val="20"/>
          <w:lang w:val="en-US"/>
        </w:rPr>
        <w:t>2011 Oct 8;10:88.</w:t>
      </w:r>
    </w:p>
  </w:endnote>
  <w:endnote w:id="238">
    <w:p w14:paraId="0191E0D8"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Endothelial Dysfunction: An Early Cardiovascular Risk Marker in Asymptomatic Obese Individ</w:t>
      </w:r>
      <w:r w:rsidRPr="00923562">
        <w:rPr>
          <w:rFonts w:ascii="Times" w:hAnsi="Times"/>
          <w:sz w:val="20"/>
          <w:szCs w:val="20"/>
          <w:lang w:val="en-US"/>
        </w:rPr>
        <w:t>u</w:t>
      </w:r>
      <w:r w:rsidRPr="00923562">
        <w:rPr>
          <w:rFonts w:ascii="Times" w:hAnsi="Times"/>
          <w:sz w:val="20"/>
          <w:szCs w:val="20"/>
          <w:lang w:val="en-US"/>
        </w:rPr>
        <w:t>alswith Prediabetes.Gupta AK, Ravussin E, Johannsen DL, Stull AJ, Cefalu WT, Johnson WD.Br J Med Med Res. 2012 May 30;2(3):413-423.</w:t>
      </w:r>
    </w:p>
  </w:endnote>
  <w:endnote w:id="239">
    <w:p w14:paraId="546B6F49"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Endothelial dysfunction in type 2 diabetic patients with normal coronary arteries A digital reactive hyperemia study. </w:t>
      </w:r>
      <w:r w:rsidRPr="00923562">
        <w:rPr>
          <w:rFonts w:ascii="Times" w:hAnsi="Times"/>
          <w:sz w:val="20"/>
          <w:szCs w:val="20"/>
        </w:rPr>
        <w:t>Gargiulo P, Marciano C, Savarese G, D'Amore C, Paolillo S, Esposito G, Santoma</w:t>
      </w:r>
      <w:r w:rsidRPr="00923562">
        <w:rPr>
          <w:rFonts w:ascii="Times" w:hAnsi="Times"/>
          <w:sz w:val="20"/>
          <w:szCs w:val="20"/>
        </w:rPr>
        <w:t>u</w:t>
      </w:r>
      <w:r w:rsidRPr="00923562">
        <w:rPr>
          <w:rFonts w:ascii="Times" w:hAnsi="Times"/>
          <w:sz w:val="20"/>
          <w:szCs w:val="20"/>
        </w:rPr>
        <w:t xml:space="preserve">ro M, Marsico F, Ruggiero D, Scala O, Marzano A, Cecere M, Casaretti L, Perrone Filardi P. Int J Cardiol. </w:t>
      </w:r>
      <w:r w:rsidRPr="00923562">
        <w:rPr>
          <w:rFonts w:ascii="Times" w:hAnsi="Times"/>
          <w:sz w:val="20"/>
          <w:szCs w:val="20"/>
          <w:lang w:val="en-US"/>
        </w:rPr>
        <w:t>2011 Aug 16.</w:t>
      </w:r>
    </w:p>
  </w:endnote>
  <w:endnote w:id="240">
    <w:p w14:paraId="3899172E"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Adverse Alterations in Mitochondrial Function Contribute to Type 2 Diabetes Mellitus-Induced E</w:t>
      </w:r>
      <w:r w:rsidRPr="00923562">
        <w:rPr>
          <w:rFonts w:ascii="Times" w:hAnsi="Times"/>
          <w:sz w:val="20"/>
          <w:szCs w:val="20"/>
          <w:lang w:val="en-US"/>
        </w:rPr>
        <w:t>n</w:t>
      </w:r>
      <w:r w:rsidRPr="00923562">
        <w:rPr>
          <w:rFonts w:ascii="Times" w:hAnsi="Times"/>
          <w:sz w:val="20"/>
          <w:szCs w:val="20"/>
          <w:lang w:val="en-US"/>
        </w:rPr>
        <w:t>dothelial Dysfunction in Humans. Kizhakekuttu TJ, Wang J, Dharmashankar K, Ying R, Gutterman DD, Vita JA, Widlansky ME. Arterioscler Thromb Vasc Biol. 2012 Oct; 32(10):2531-9.</w:t>
      </w:r>
    </w:p>
  </w:endnote>
  <w:endnote w:id="241">
    <w:p w14:paraId="641B0A43"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Endothelial dysfunction in type 2 diabetic patients with normal coronary arteries. </w:t>
      </w:r>
      <w:r w:rsidRPr="00923562">
        <w:rPr>
          <w:rFonts w:ascii="Times" w:hAnsi="Times"/>
          <w:sz w:val="20"/>
          <w:szCs w:val="20"/>
        </w:rPr>
        <w:t>A peripheral art</w:t>
      </w:r>
      <w:r w:rsidRPr="00923562">
        <w:rPr>
          <w:rFonts w:ascii="Times" w:hAnsi="Times"/>
          <w:sz w:val="20"/>
          <w:szCs w:val="20"/>
        </w:rPr>
        <w:t>e</w:t>
      </w:r>
      <w:r w:rsidRPr="00923562">
        <w:rPr>
          <w:rFonts w:ascii="Times" w:hAnsi="Times"/>
          <w:sz w:val="20"/>
          <w:szCs w:val="20"/>
        </w:rPr>
        <w:t>rial tonometry study. [Article in Italian] Ruggiero D, Savarese G, Formisano R, Bologna A, Mattiello G, Pirozzi E, Gambardella F, Lo Iudice F, Petraglia L, Vitagliano A, Casaretti L, Della Ratta GL, M</w:t>
      </w:r>
      <w:r w:rsidRPr="00923562">
        <w:rPr>
          <w:rFonts w:ascii="Times" w:hAnsi="Times"/>
          <w:sz w:val="20"/>
          <w:szCs w:val="20"/>
        </w:rPr>
        <w:t>o</w:t>
      </w:r>
      <w:r w:rsidRPr="00923562">
        <w:rPr>
          <w:rFonts w:ascii="Times" w:hAnsi="Times"/>
          <w:sz w:val="20"/>
          <w:szCs w:val="20"/>
        </w:rPr>
        <w:t xml:space="preserve">sca S, Filardi PP. </w:t>
      </w:r>
      <w:r w:rsidRPr="00923562">
        <w:rPr>
          <w:rFonts w:ascii="Times" w:hAnsi="Times"/>
          <w:sz w:val="20"/>
          <w:szCs w:val="20"/>
          <w:lang w:val="en-US"/>
        </w:rPr>
        <w:t>Monaldi Arch Chest Dis. 2012 Mar;78(1):34-9.</w:t>
      </w:r>
    </w:p>
  </w:endnote>
  <w:endnote w:id="242">
    <w:p w14:paraId="7C65A246"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 xml:space="preserve">Relationship between fluctuations in glucose levels measured by continuous glucose monitoring andvascular endothelial dysfunction in type 2 diabetes mellitus. </w:t>
      </w:r>
      <w:r w:rsidRPr="00923562">
        <w:rPr>
          <w:rFonts w:ascii="Times" w:hAnsi="Times"/>
          <w:sz w:val="20"/>
          <w:szCs w:val="20"/>
        </w:rPr>
        <w:t>Torimoto K, Okada Y, Mori H, Tan</w:t>
      </w:r>
      <w:r w:rsidRPr="00923562">
        <w:rPr>
          <w:rFonts w:ascii="Times" w:hAnsi="Times"/>
          <w:sz w:val="20"/>
          <w:szCs w:val="20"/>
        </w:rPr>
        <w:t>a</w:t>
      </w:r>
      <w:r w:rsidRPr="00923562">
        <w:rPr>
          <w:rFonts w:ascii="Times" w:hAnsi="Times"/>
          <w:sz w:val="20"/>
          <w:szCs w:val="20"/>
        </w:rPr>
        <w:t xml:space="preserve">ka Y. Cardiovasc Diabetol. </w:t>
      </w:r>
      <w:r w:rsidRPr="00923562">
        <w:rPr>
          <w:rFonts w:ascii="Times" w:hAnsi="Times"/>
          <w:sz w:val="20"/>
          <w:szCs w:val="20"/>
          <w:lang w:val="en-US"/>
        </w:rPr>
        <w:t>2013 Jan 2;12(1):1. doi: 10.1186/1475-2840-12-1.</w:t>
      </w:r>
    </w:p>
  </w:endnote>
  <w:endnote w:id="243">
    <w:p w14:paraId="620F53E2"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Impaired vascular function in obese adolescents with insulin resistance. Mahmud FH, Hill DJ, Cuerden MS, Clarson CL. J Pediatr. 2009 Nov; 155(5):678-82.</w:t>
      </w:r>
    </w:p>
  </w:endnote>
  <w:endnote w:id="244">
    <w:p w14:paraId="0111FA12"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Comparison of the Effect of the Metabolic Syndrome and Multiple Traditional Cardiovascular Risk Factors on Vascular Function. Li J, Flammer AJ, Lennon RJ, Nelson RE, Gulati R, Friedman PA, Thomas RJ, Sandhu NP, Hua Q, Lerman LO, Lerman A. Mayo Clin Proc. 2012 Oct;87(10):968-75.</w:t>
      </w:r>
    </w:p>
  </w:endnote>
  <w:endnote w:id="245">
    <w:p w14:paraId="29B32669"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Dietary treatment with rice containing resistant starch improves markers of endothelial function with reduction of postprandial blood glucose and oxidative stress in patients with prediabetes or newly d</w:t>
      </w:r>
      <w:r w:rsidRPr="00923562">
        <w:rPr>
          <w:rFonts w:ascii="Times" w:hAnsi="Times"/>
          <w:sz w:val="20"/>
          <w:szCs w:val="20"/>
          <w:lang w:val="en-US"/>
        </w:rPr>
        <w:t>i</w:t>
      </w:r>
      <w:r w:rsidRPr="00923562">
        <w:rPr>
          <w:rFonts w:ascii="Times" w:hAnsi="Times"/>
          <w:sz w:val="20"/>
          <w:szCs w:val="20"/>
          <w:lang w:val="en-US"/>
        </w:rPr>
        <w:t>agnosed type 2 diabetes.Kwak JH, Paik JK, Kim HI, Kim OY, Shin DY, Kim HJ, Lee JH, Lee JH.Atherosclerosis. 2012 Oct;224(2):457-64.</w:t>
      </w:r>
    </w:p>
  </w:endnote>
  <w:endnote w:id="246">
    <w:p w14:paraId="58D54184"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High-polyphenol chocolate reduces endothelial dysfunction and oxidative stress during acute trans</w:t>
      </w:r>
      <w:r w:rsidRPr="00923562">
        <w:rPr>
          <w:rFonts w:ascii="Times" w:hAnsi="Times"/>
          <w:sz w:val="20"/>
          <w:szCs w:val="20"/>
          <w:lang w:val="en-US"/>
        </w:rPr>
        <w:t>i</w:t>
      </w:r>
      <w:r w:rsidRPr="00923562">
        <w:rPr>
          <w:rFonts w:ascii="Times" w:hAnsi="Times"/>
          <w:sz w:val="20"/>
          <w:szCs w:val="20"/>
          <w:lang w:val="en-US"/>
        </w:rPr>
        <w:t>ent hyperglycaemia in Type 2 diabetes: a pilot randomized controlled trial. Mellor DD, Madden LA, Smith KA, Kilpatrick ES, Atkin SL. Diabet Med. 2012 Oct 6. doi: 10.1111/dme.12030.</w:t>
      </w:r>
    </w:p>
  </w:endnote>
  <w:endnote w:id="247">
    <w:p w14:paraId="083F5337"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Noninvasive identification of patients with early coronary atherosclerosis by assessment of digital reactive hyperemia. Bonetti PO, Pumper GM, Higano ST, Holmes DR Jr, Kuvin JT, Lerman A. J Am Coll Cardiol. 2004 Dec 7; 44(11):2137-41.</w:t>
      </w:r>
    </w:p>
  </w:endnote>
  <w:endnote w:id="248">
    <w:p w14:paraId="00681025"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The Prevalence of Endothelial Dysfunction in Patients With and Without Coronary Artery Disease.S Toggweiler, A Schoenenberger, N Urbanek, P Erne. Clin Cardiol. 2010;33(12):746-52.</w:t>
      </w:r>
    </w:p>
  </w:endnote>
  <w:endnote w:id="249">
    <w:p w14:paraId="33400088"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Noninvasive identification of patients with early coronary atherosclerosis by assessment of digital reactive hyperemia. Bonetti PO, Pumper GM, Higano ST, Holmes DR Jr, Kuvin JT, Lerman A. J Am Coll Cardiol. 2004 Dec 7; 44(11):2137-41.</w:t>
      </w:r>
    </w:p>
  </w:endnote>
  <w:endnote w:id="250">
    <w:p w14:paraId="396137E0"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T-cadherin is present on endothelial microparticles and is elevated in plasma in early atherosclerosis. Philippova M, Suter Y, Toggweiler S, Schoenenberger AW, Joshi MB, Kyriakakis E, Erne P, Resink TJ. Eur Heart J. 2011 Mar;32(6):760-71.</w:t>
      </w:r>
    </w:p>
  </w:endnote>
  <w:endnote w:id="251">
    <w:p w14:paraId="61A965C3"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Augmentation Index Association With Reactive Hyperemia as Assessed by Peripheral Arterial T</w:t>
      </w:r>
      <w:r w:rsidRPr="00923562">
        <w:rPr>
          <w:rFonts w:ascii="Times" w:hAnsi="Times"/>
          <w:sz w:val="20"/>
          <w:szCs w:val="20"/>
          <w:lang w:val="en-US"/>
        </w:rPr>
        <w:t>o</w:t>
      </w:r>
      <w:r w:rsidRPr="00923562">
        <w:rPr>
          <w:rFonts w:ascii="Times" w:hAnsi="Times"/>
          <w:sz w:val="20"/>
          <w:szCs w:val="20"/>
          <w:lang w:val="en-US"/>
        </w:rPr>
        <w:t>nometry in Hypertension. Yang WI, Park S, Youn JC, Son NH, Lee SH, Kang SM, Jang Y. Am J H</w:t>
      </w:r>
      <w:r w:rsidRPr="00923562">
        <w:rPr>
          <w:rFonts w:ascii="Times" w:hAnsi="Times"/>
          <w:sz w:val="20"/>
          <w:szCs w:val="20"/>
          <w:lang w:val="en-US"/>
        </w:rPr>
        <w:t>y</w:t>
      </w:r>
      <w:r w:rsidRPr="00923562">
        <w:rPr>
          <w:rFonts w:ascii="Times" w:hAnsi="Times"/>
          <w:sz w:val="20"/>
          <w:szCs w:val="20"/>
          <w:lang w:val="en-US"/>
        </w:rPr>
        <w:t>pertens. 2011 Nov;24(11):1234-8.</w:t>
      </w:r>
    </w:p>
  </w:endnote>
  <w:endnote w:id="252">
    <w:p w14:paraId="3AB1DE6E"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Characterisation of hypertensive patients with improved endothelial function after dark chocolate consumption.d'El-Rei J, Cunha AR, Burlá A, Burlá M, Oigman W, Neves MF, Virdis A, Medeiros F. Int J Hypertens. 2013;2013:985087. doi: 10.1155/2013/985087. Epub 2013 Mar 5.</w:t>
      </w:r>
    </w:p>
  </w:endnote>
  <w:endnote w:id="253">
    <w:p w14:paraId="54AEEDB6"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Effect of Brief Secondhand Smoke Exposure on Endothelial Function and Circulating Markers of Inflammation. P O. Bonetti, E Lardi, C Geissmann, M U. Kuhn, H Bruesch, W H. Reinhart. Ather</w:t>
      </w:r>
      <w:r w:rsidRPr="00923562">
        <w:rPr>
          <w:rFonts w:ascii="Times" w:hAnsi="Times"/>
          <w:sz w:val="20"/>
          <w:szCs w:val="20"/>
          <w:lang w:val="en-US"/>
        </w:rPr>
        <w:t>o</w:t>
      </w:r>
      <w:r w:rsidRPr="00923562">
        <w:rPr>
          <w:rFonts w:ascii="Times" w:hAnsi="Times"/>
          <w:sz w:val="20"/>
          <w:szCs w:val="20"/>
          <w:lang w:val="en-US"/>
        </w:rPr>
        <w:t>sclerosis 2010 Dec 22 Epub.</w:t>
      </w:r>
    </w:p>
  </w:endnote>
  <w:endnote w:id="254">
    <w:p w14:paraId="55E25175" w14:textId="77777777" w:rsidR="002114B9" w:rsidRPr="00923562" w:rsidRDefault="002114B9" w:rsidP="00923562">
      <w:pPr>
        <w:jc w:val="both"/>
        <w:rPr>
          <w:rFonts w:ascii="Times" w:hAnsi="Times"/>
          <w:sz w:val="20"/>
          <w:szCs w:val="20"/>
          <w:lang w:val="en-US"/>
        </w:rPr>
      </w:pPr>
      <w:r w:rsidRPr="00923562">
        <w:rPr>
          <w:rStyle w:val="Rimandonotadichiusura"/>
          <w:rFonts w:ascii="Times" w:hAnsi="Times"/>
          <w:sz w:val="20"/>
          <w:szCs w:val="20"/>
        </w:rPr>
        <w:endnoteRef/>
      </w:r>
      <w:r w:rsidRPr="00923562">
        <w:rPr>
          <w:rFonts w:ascii="Times" w:hAnsi="Times"/>
          <w:sz w:val="20"/>
          <w:szCs w:val="20"/>
          <w:lang w:val="en-US"/>
        </w:rPr>
        <w:t>Impact of acute smoking on artery function in healthy chronic smokers. Xue C, Sun YH, Ding RJ, Fu YY, Hu DY. Zhonghua Xin Xue Guan Bing Za Zhi. 2011 May;39(5):410-3.</w:t>
      </w:r>
    </w:p>
  </w:endnote>
  <w:endnote w:id="255">
    <w:p w14:paraId="7EE179CE" w14:textId="77777777" w:rsidR="002114B9" w:rsidRPr="00923562" w:rsidRDefault="002114B9" w:rsidP="00923562">
      <w:pPr>
        <w:autoSpaceDE w:val="0"/>
        <w:adjustRightInd w:val="0"/>
        <w:jc w:val="both"/>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E.E. Kershaw, J.S. Flier, Adipose tissue as an endocrine organ.J. Clin. Endocrinol. Metab. 89, (2004) 2548–2556.</w:t>
      </w:r>
    </w:p>
    <w:p w14:paraId="2B0ADFBB" w14:textId="77777777" w:rsidR="002114B9" w:rsidRPr="00923562" w:rsidRDefault="002114B9" w:rsidP="00923562">
      <w:pPr>
        <w:autoSpaceDE w:val="0"/>
        <w:adjustRightInd w:val="0"/>
        <w:jc w:val="both"/>
        <w:rPr>
          <w:rFonts w:ascii="Times" w:hAnsi="Times"/>
          <w:sz w:val="20"/>
          <w:szCs w:val="20"/>
          <w:lang w:val="en-GB"/>
        </w:rPr>
      </w:pPr>
    </w:p>
  </w:endnote>
  <w:endnote w:id="256">
    <w:p w14:paraId="5B35C134"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N.E. Gulcelik, A. Usman, A. Gu¨rlek, Role of adipocytokines in predicting the development of di</w:t>
      </w:r>
      <w:r w:rsidRPr="00923562">
        <w:rPr>
          <w:rFonts w:ascii="Times" w:hAnsi="Times"/>
          <w:sz w:val="20"/>
          <w:szCs w:val="20"/>
          <w:lang w:val="en-GB"/>
        </w:rPr>
        <w:t>a</w:t>
      </w:r>
      <w:r w:rsidRPr="00923562">
        <w:rPr>
          <w:rFonts w:ascii="Times" w:hAnsi="Times"/>
          <w:sz w:val="20"/>
          <w:szCs w:val="20"/>
          <w:lang w:val="en-GB"/>
        </w:rPr>
        <w:t>betes and its late complications, 2009.Endocrine 36, 397–403.</w:t>
      </w:r>
    </w:p>
    <w:p w14:paraId="3841D18A" w14:textId="77777777" w:rsidR="002114B9" w:rsidRPr="00923562" w:rsidRDefault="002114B9" w:rsidP="00923562">
      <w:pPr>
        <w:autoSpaceDE w:val="0"/>
        <w:adjustRightInd w:val="0"/>
        <w:rPr>
          <w:rFonts w:ascii="Times" w:hAnsi="Times"/>
          <w:sz w:val="20"/>
          <w:szCs w:val="20"/>
          <w:lang w:val="en-GB"/>
        </w:rPr>
      </w:pPr>
    </w:p>
  </w:endnote>
  <w:endnote w:id="257">
    <w:p w14:paraId="50107951"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M. Blu¨her, Adipose tissue dysfunction in obesity. Exp. Clin. Endocrinol. 2009, Diabetes 117, 241–250.</w:t>
      </w:r>
    </w:p>
    <w:p w14:paraId="230AFEA1" w14:textId="77777777" w:rsidR="002114B9" w:rsidRPr="00923562" w:rsidRDefault="002114B9" w:rsidP="00923562">
      <w:pPr>
        <w:pStyle w:val="Testonotadichiusura"/>
        <w:rPr>
          <w:rFonts w:ascii="Times" w:hAnsi="Times"/>
          <w:szCs w:val="20"/>
          <w:lang w:val="en-GB"/>
        </w:rPr>
      </w:pPr>
    </w:p>
  </w:endnote>
  <w:endnote w:id="258">
    <w:p w14:paraId="77D73708"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H.E. Bays, ‘‘Sick fat,’’ metabolic disease, and atherosclerosis. 2009, Am. J. Med. 122, S26–S37. </w:t>
      </w:r>
    </w:p>
    <w:p w14:paraId="1667383A" w14:textId="77777777" w:rsidR="002114B9" w:rsidRPr="00923562" w:rsidRDefault="002114B9" w:rsidP="00923562">
      <w:pPr>
        <w:autoSpaceDE w:val="0"/>
        <w:adjustRightInd w:val="0"/>
        <w:rPr>
          <w:rFonts w:ascii="Times" w:hAnsi="Times"/>
          <w:sz w:val="20"/>
          <w:szCs w:val="20"/>
          <w:lang w:val="en-GB"/>
        </w:rPr>
      </w:pPr>
    </w:p>
  </w:endnote>
  <w:endnote w:id="259">
    <w:p w14:paraId="10E4C88A"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S. Kralisch, M. Blu¨her, R. Paschke, M. Stumvoll, M. Fasshauer, Adipokines and adipocyte targets in the future management ofobesity and the metabolic syndrome. 2007, Mini Rev. Med. Chem. 7,39–45.</w:t>
      </w:r>
    </w:p>
    <w:p w14:paraId="33EE03D7" w14:textId="77777777" w:rsidR="002114B9" w:rsidRPr="00923562" w:rsidRDefault="002114B9" w:rsidP="00923562">
      <w:pPr>
        <w:pStyle w:val="Testonotadichiusura"/>
        <w:rPr>
          <w:rFonts w:ascii="Times" w:hAnsi="Times"/>
          <w:szCs w:val="20"/>
          <w:lang w:val="en-GB"/>
        </w:rPr>
      </w:pPr>
    </w:p>
  </w:endnote>
  <w:endnote w:id="260">
    <w:p w14:paraId="4D16214D"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L.F. Van Gaal, I.L. Mertens, C.E. DeBlock, Mechanisms linking obesity with cardiovascular disease. 2006, Nature 444, 875–880.</w:t>
      </w:r>
    </w:p>
    <w:p w14:paraId="65086AC6" w14:textId="77777777" w:rsidR="002114B9" w:rsidRPr="00923562" w:rsidRDefault="002114B9" w:rsidP="00923562">
      <w:pPr>
        <w:autoSpaceDE w:val="0"/>
        <w:adjustRightInd w:val="0"/>
        <w:rPr>
          <w:rFonts w:ascii="Times" w:hAnsi="Times"/>
          <w:sz w:val="20"/>
          <w:szCs w:val="20"/>
          <w:lang w:val="en-GB"/>
        </w:rPr>
      </w:pPr>
    </w:p>
  </w:endnote>
  <w:endnote w:id="261">
    <w:p w14:paraId="0EF52C0A"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K. Brochu-Gaudreau, C. Rehfeldt, R. Blouin, V. Bordignon, B.D. Murphy, M.F. Palin, Adiponectin action from head to toe. 2010, Endocrine 37, 11–32.</w:t>
      </w:r>
    </w:p>
    <w:p w14:paraId="6EA723A4" w14:textId="77777777" w:rsidR="002114B9" w:rsidRPr="00923562" w:rsidRDefault="002114B9" w:rsidP="00923562">
      <w:pPr>
        <w:autoSpaceDE w:val="0"/>
        <w:adjustRightInd w:val="0"/>
        <w:rPr>
          <w:rFonts w:ascii="Times" w:hAnsi="Times"/>
          <w:sz w:val="20"/>
          <w:szCs w:val="20"/>
          <w:lang w:val="en-GB"/>
        </w:rPr>
      </w:pPr>
    </w:p>
  </w:endnote>
  <w:endnote w:id="262">
    <w:p w14:paraId="1D0F4AA2"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M.E. Trujillo, P.E. Scherer, Adiponectin—journey from an adipocyte secretory protein to biomarker of the metabolic syndrome. 2005, J. Intern. Med. 257, 167–175.</w:t>
      </w:r>
    </w:p>
    <w:p w14:paraId="6EAEECA9" w14:textId="77777777" w:rsidR="002114B9" w:rsidRPr="00923562" w:rsidRDefault="002114B9" w:rsidP="00923562">
      <w:pPr>
        <w:autoSpaceDE w:val="0"/>
        <w:adjustRightInd w:val="0"/>
        <w:rPr>
          <w:rFonts w:ascii="Times" w:hAnsi="Times"/>
          <w:sz w:val="20"/>
          <w:szCs w:val="20"/>
          <w:lang w:val="en-GB"/>
        </w:rPr>
      </w:pPr>
    </w:p>
  </w:endnote>
  <w:endnote w:id="263">
    <w:p w14:paraId="47B9F7FF"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Hotamisligil GS. Inflammation and metabolic disorders. </w:t>
      </w:r>
      <w:r w:rsidRPr="00923562">
        <w:rPr>
          <w:rFonts w:ascii="Times" w:hAnsi="Times"/>
          <w:i/>
          <w:iCs/>
          <w:sz w:val="20"/>
          <w:szCs w:val="20"/>
          <w:lang w:val="en-GB"/>
        </w:rPr>
        <w:t xml:space="preserve">Nature </w:t>
      </w:r>
      <w:r w:rsidRPr="00923562">
        <w:rPr>
          <w:rFonts w:ascii="Times" w:hAnsi="Times"/>
          <w:sz w:val="20"/>
          <w:szCs w:val="20"/>
          <w:lang w:val="en-GB"/>
        </w:rPr>
        <w:t>2006; 444:860–867.</w:t>
      </w:r>
    </w:p>
    <w:p w14:paraId="446BBAFE" w14:textId="77777777" w:rsidR="002114B9" w:rsidRPr="00923562" w:rsidRDefault="002114B9" w:rsidP="00923562">
      <w:pPr>
        <w:autoSpaceDE w:val="0"/>
        <w:adjustRightInd w:val="0"/>
        <w:rPr>
          <w:rFonts w:ascii="Times" w:hAnsi="Times"/>
          <w:i/>
          <w:iCs/>
          <w:sz w:val="20"/>
          <w:szCs w:val="20"/>
          <w:lang w:val="en-GB"/>
        </w:rPr>
      </w:pPr>
    </w:p>
  </w:endnote>
  <w:endnote w:id="264">
    <w:p w14:paraId="73F17571"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Shetty GK, Economides PA, Horton ES, Mantzoros CS, Veves A. Circulating adiponectin and resi</w:t>
      </w:r>
      <w:r w:rsidRPr="00923562">
        <w:rPr>
          <w:rFonts w:ascii="Times" w:hAnsi="Times"/>
          <w:sz w:val="20"/>
          <w:szCs w:val="20"/>
          <w:lang w:val="en-GB"/>
        </w:rPr>
        <w:t>s</w:t>
      </w:r>
      <w:r w:rsidRPr="00923562">
        <w:rPr>
          <w:rFonts w:ascii="Times" w:hAnsi="Times"/>
          <w:sz w:val="20"/>
          <w:szCs w:val="20"/>
          <w:lang w:val="en-GB"/>
        </w:rPr>
        <w:t xml:space="preserve">tin levels in relation to metabolic factors, inflammatory markers, and vascular reactivity in diabetic patients and subjects at risk for diabetes. </w:t>
      </w:r>
      <w:r w:rsidRPr="00923562">
        <w:rPr>
          <w:rFonts w:ascii="Times" w:hAnsi="Times"/>
          <w:i/>
          <w:iCs/>
          <w:sz w:val="20"/>
          <w:szCs w:val="20"/>
          <w:lang w:val="en-GB"/>
        </w:rPr>
        <w:t xml:space="preserve">Diabetes Care </w:t>
      </w:r>
      <w:r w:rsidRPr="00923562">
        <w:rPr>
          <w:rFonts w:ascii="Times" w:hAnsi="Times"/>
          <w:sz w:val="20"/>
          <w:szCs w:val="20"/>
          <w:lang w:val="en-GB"/>
        </w:rPr>
        <w:t>2004; 27:2450–2457.</w:t>
      </w:r>
    </w:p>
    <w:p w14:paraId="113361B8" w14:textId="77777777" w:rsidR="002114B9" w:rsidRPr="00923562" w:rsidRDefault="002114B9" w:rsidP="00923562">
      <w:pPr>
        <w:autoSpaceDE w:val="0"/>
        <w:adjustRightInd w:val="0"/>
        <w:rPr>
          <w:rFonts w:ascii="Times" w:hAnsi="Times"/>
          <w:sz w:val="20"/>
          <w:szCs w:val="20"/>
          <w:lang w:val="en-GB"/>
        </w:rPr>
      </w:pPr>
    </w:p>
  </w:endnote>
  <w:endnote w:id="265">
    <w:p w14:paraId="7B389872"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Tilg H, Moschen AR. Adipocytokines: mediators linking adipose tissue,inflammation and immunity. </w:t>
      </w:r>
      <w:r w:rsidRPr="00923562">
        <w:rPr>
          <w:rFonts w:ascii="Times" w:hAnsi="Times"/>
          <w:i/>
          <w:iCs/>
          <w:sz w:val="20"/>
          <w:szCs w:val="20"/>
          <w:lang w:val="en-GB"/>
        </w:rPr>
        <w:t xml:space="preserve">Nat Rev Immunol </w:t>
      </w:r>
      <w:r w:rsidRPr="00923562">
        <w:rPr>
          <w:rFonts w:ascii="Times" w:hAnsi="Times"/>
          <w:sz w:val="20"/>
          <w:szCs w:val="20"/>
          <w:lang w:val="en-GB"/>
        </w:rPr>
        <w:t>2006; 6:772–783.</w:t>
      </w:r>
    </w:p>
    <w:p w14:paraId="453D4DFE" w14:textId="77777777" w:rsidR="002114B9" w:rsidRPr="00923562" w:rsidRDefault="002114B9" w:rsidP="00923562">
      <w:pPr>
        <w:autoSpaceDE w:val="0"/>
        <w:adjustRightInd w:val="0"/>
        <w:rPr>
          <w:rFonts w:ascii="Times" w:hAnsi="Times"/>
          <w:sz w:val="20"/>
          <w:szCs w:val="20"/>
          <w:lang w:val="en-GB"/>
        </w:rPr>
      </w:pPr>
    </w:p>
  </w:endnote>
  <w:endnote w:id="266">
    <w:p w14:paraId="5BE5D76C"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lang w:val="en-GB"/>
        </w:rPr>
        <w:t xml:space="preserve"> Shoelson SE, Herrero L, Naaz A. Obesity, inflammation, and insulin resistance. </w:t>
      </w:r>
      <w:r w:rsidRPr="00923562">
        <w:rPr>
          <w:rFonts w:ascii="Times" w:hAnsi="Times"/>
          <w:i/>
          <w:iCs/>
          <w:sz w:val="20"/>
          <w:szCs w:val="20"/>
          <w:lang w:val="en-GB"/>
        </w:rPr>
        <w:t xml:space="preserve">Gastroenterology </w:t>
      </w:r>
      <w:r w:rsidRPr="00923562">
        <w:rPr>
          <w:rFonts w:ascii="Times" w:hAnsi="Times"/>
          <w:sz w:val="20"/>
          <w:szCs w:val="20"/>
          <w:lang w:val="en-GB"/>
        </w:rPr>
        <w:t>2007; 132:2169–2180.</w:t>
      </w:r>
    </w:p>
    <w:p w14:paraId="1B863562" w14:textId="77777777" w:rsidR="002114B9" w:rsidRPr="00923562" w:rsidRDefault="002114B9" w:rsidP="00923562">
      <w:pPr>
        <w:autoSpaceDE w:val="0"/>
        <w:adjustRightInd w:val="0"/>
        <w:rPr>
          <w:rFonts w:ascii="Times" w:hAnsi="Times"/>
          <w:sz w:val="20"/>
          <w:szCs w:val="20"/>
          <w:lang w:val="en-GB"/>
        </w:rPr>
      </w:pPr>
    </w:p>
  </w:endnote>
  <w:endnote w:id="267">
    <w:p w14:paraId="06BAC0B4" w14:textId="77777777" w:rsidR="002114B9" w:rsidRPr="00923562" w:rsidRDefault="002114B9" w:rsidP="00923562">
      <w:pPr>
        <w:autoSpaceDE w:val="0"/>
        <w:adjustRightInd w:val="0"/>
        <w:rPr>
          <w:rFonts w:ascii="Times" w:hAnsi="Times"/>
          <w:sz w:val="20"/>
          <w:szCs w:val="20"/>
        </w:rPr>
      </w:pPr>
      <w:r w:rsidRPr="00923562">
        <w:rPr>
          <w:rStyle w:val="Rimandonotadichiusura"/>
          <w:rFonts w:ascii="Times" w:hAnsi="Times"/>
          <w:sz w:val="20"/>
          <w:szCs w:val="20"/>
        </w:rPr>
        <w:endnoteRef/>
      </w:r>
      <w:r w:rsidRPr="00923562">
        <w:rPr>
          <w:rFonts w:ascii="Times" w:hAnsi="Times"/>
          <w:sz w:val="20"/>
          <w:szCs w:val="20"/>
          <w:lang w:val="en-GB"/>
        </w:rPr>
        <w:t xml:space="preserve"> Weisberg SP, McCann D, Desai M </w:t>
      </w:r>
      <w:r w:rsidRPr="00923562">
        <w:rPr>
          <w:rFonts w:ascii="Times" w:hAnsi="Times"/>
          <w:i/>
          <w:iCs/>
          <w:sz w:val="20"/>
          <w:szCs w:val="20"/>
          <w:lang w:val="en-GB"/>
        </w:rPr>
        <w:t>et al</w:t>
      </w:r>
      <w:r w:rsidRPr="00923562">
        <w:rPr>
          <w:rFonts w:ascii="Times" w:hAnsi="Times"/>
          <w:sz w:val="20"/>
          <w:szCs w:val="20"/>
          <w:lang w:val="en-GB"/>
        </w:rPr>
        <w:t xml:space="preserve">. Obesity is associated with macrophage accumulation in adipose tissue. </w:t>
      </w:r>
      <w:r w:rsidRPr="00923562">
        <w:rPr>
          <w:rFonts w:ascii="Times" w:hAnsi="Times"/>
          <w:i/>
          <w:iCs/>
          <w:sz w:val="20"/>
          <w:szCs w:val="20"/>
        </w:rPr>
        <w:t xml:space="preserve">J Clin Invest </w:t>
      </w:r>
      <w:r w:rsidRPr="00923562">
        <w:rPr>
          <w:rFonts w:ascii="Times" w:hAnsi="Times"/>
          <w:sz w:val="20"/>
          <w:szCs w:val="20"/>
        </w:rPr>
        <w:t>2003;112: 1796–1808.</w:t>
      </w:r>
    </w:p>
    <w:p w14:paraId="457F7389" w14:textId="77777777" w:rsidR="002114B9" w:rsidRPr="00923562" w:rsidRDefault="002114B9" w:rsidP="00923562">
      <w:pPr>
        <w:autoSpaceDE w:val="0"/>
        <w:adjustRightInd w:val="0"/>
        <w:rPr>
          <w:rFonts w:ascii="Times" w:hAnsi="Times"/>
          <w:sz w:val="20"/>
          <w:szCs w:val="20"/>
        </w:rPr>
      </w:pPr>
    </w:p>
  </w:endnote>
  <w:endnote w:id="268">
    <w:p w14:paraId="458026CF" w14:textId="77777777" w:rsidR="002114B9" w:rsidRPr="00923562" w:rsidRDefault="002114B9" w:rsidP="00923562">
      <w:pPr>
        <w:autoSpaceDE w:val="0"/>
        <w:adjustRightInd w:val="0"/>
        <w:rPr>
          <w:rFonts w:ascii="Times" w:hAnsi="Times"/>
          <w:sz w:val="20"/>
          <w:szCs w:val="20"/>
          <w:lang w:val="en-GB"/>
        </w:rPr>
      </w:pPr>
      <w:r w:rsidRPr="00923562">
        <w:rPr>
          <w:rStyle w:val="Rimandonotadichiusura"/>
          <w:rFonts w:ascii="Times" w:hAnsi="Times"/>
          <w:sz w:val="20"/>
          <w:szCs w:val="20"/>
        </w:rPr>
        <w:endnoteRef/>
      </w:r>
      <w:r w:rsidRPr="00923562">
        <w:rPr>
          <w:rFonts w:ascii="Times" w:hAnsi="Times"/>
          <w:sz w:val="20"/>
          <w:szCs w:val="20"/>
        </w:rPr>
        <w:t xml:space="preserve">Natali A, Toschi E, Baldeweg S </w:t>
      </w:r>
      <w:r w:rsidRPr="00923562">
        <w:rPr>
          <w:rFonts w:ascii="Times" w:hAnsi="Times"/>
          <w:i/>
          <w:iCs/>
          <w:sz w:val="20"/>
          <w:szCs w:val="20"/>
        </w:rPr>
        <w:t>et al</w:t>
      </w:r>
      <w:r w:rsidRPr="00923562">
        <w:rPr>
          <w:rFonts w:ascii="Times" w:hAnsi="Times"/>
          <w:sz w:val="20"/>
          <w:szCs w:val="20"/>
        </w:rPr>
        <w:t xml:space="preserve">. </w:t>
      </w:r>
      <w:r w:rsidRPr="00923562">
        <w:rPr>
          <w:rFonts w:ascii="Times" w:hAnsi="Times"/>
          <w:sz w:val="20"/>
          <w:szCs w:val="20"/>
          <w:lang w:val="en-GB"/>
        </w:rPr>
        <w:t xml:space="preserve">Clustering of insulin resistance with vascular dysfunction and low-grade inflammation in type 2 diabetes. </w:t>
      </w:r>
      <w:r w:rsidRPr="00923562">
        <w:rPr>
          <w:rFonts w:ascii="Times" w:hAnsi="Times"/>
          <w:i/>
          <w:iCs/>
          <w:sz w:val="20"/>
          <w:szCs w:val="20"/>
          <w:lang w:val="en-GB"/>
        </w:rPr>
        <w:t xml:space="preserve">Diabetes </w:t>
      </w:r>
      <w:r w:rsidRPr="00923562">
        <w:rPr>
          <w:rFonts w:ascii="Times" w:hAnsi="Times"/>
          <w:sz w:val="20"/>
          <w:szCs w:val="20"/>
          <w:lang w:val="en-GB"/>
        </w:rPr>
        <w:t>2006;55: 1133–1140.</w:t>
      </w:r>
    </w:p>
    <w:p w14:paraId="605DBD72" w14:textId="77777777" w:rsidR="002114B9" w:rsidRPr="00923562" w:rsidRDefault="002114B9" w:rsidP="00923562">
      <w:pPr>
        <w:pStyle w:val="Testonotadichiusura"/>
        <w:rPr>
          <w:rFonts w:ascii="Times" w:hAnsi="Times"/>
          <w:szCs w:val="20"/>
          <w:lang w:val="en-GB"/>
        </w:rPr>
      </w:pPr>
      <w:r w:rsidRPr="00923562">
        <w:rPr>
          <w:rFonts w:ascii="Times" w:hAnsi="Times"/>
          <w:szCs w:val="20"/>
          <w:lang w:val="en-GB"/>
        </w:rPr>
        <w:t xml:space="preserve"> </w:t>
      </w:r>
    </w:p>
  </w:endnote>
  <w:endnote w:id="269">
    <w:p w14:paraId="0739ADFC" w14:textId="77777777" w:rsidR="002114B9" w:rsidRPr="00923562" w:rsidRDefault="002114B9" w:rsidP="00923562">
      <w:pPr>
        <w:autoSpaceDE w:val="0"/>
        <w:adjustRightInd w:val="0"/>
        <w:rPr>
          <w:rFonts w:ascii="Times" w:hAnsi="Times"/>
          <w:sz w:val="20"/>
          <w:szCs w:val="20"/>
        </w:rPr>
      </w:pPr>
      <w:r w:rsidRPr="00923562">
        <w:rPr>
          <w:rStyle w:val="Rimandonotadichiusura"/>
          <w:rFonts w:ascii="Times" w:hAnsi="Times"/>
          <w:sz w:val="20"/>
          <w:szCs w:val="20"/>
        </w:rPr>
        <w:endnoteRef/>
      </w:r>
      <w:r w:rsidRPr="00923562">
        <w:rPr>
          <w:rFonts w:ascii="Times" w:hAnsi="Times"/>
          <w:sz w:val="20"/>
          <w:szCs w:val="20"/>
          <w:lang w:val="en-GB"/>
        </w:rPr>
        <w:t xml:space="preserve"> Couillard C, Ruel G, Archer WR </w:t>
      </w:r>
      <w:r w:rsidRPr="00923562">
        <w:rPr>
          <w:rFonts w:ascii="Times" w:hAnsi="Times"/>
          <w:i/>
          <w:iCs/>
          <w:sz w:val="20"/>
          <w:szCs w:val="20"/>
          <w:lang w:val="en-GB"/>
        </w:rPr>
        <w:t>et al</w:t>
      </w:r>
      <w:r w:rsidRPr="00923562">
        <w:rPr>
          <w:rFonts w:ascii="Times" w:hAnsi="Times"/>
          <w:sz w:val="20"/>
          <w:szCs w:val="20"/>
          <w:lang w:val="en-GB"/>
        </w:rPr>
        <w:t xml:space="preserve">. Circulating levels of oxidative stress markers and endothelial adhesion molecules in men with abdominal obesity. </w:t>
      </w:r>
      <w:r w:rsidRPr="00923562">
        <w:rPr>
          <w:rFonts w:ascii="Times" w:hAnsi="Times"/>
          <w:i/>
          <w:iCs/>
          <w:sz w:val="20"/>
          <w:szCs w:val="20"/>
        </w:rPr>
        <w:t xml:space="preserve">J Clin Endocrinol Metab </w:t>
      </w:r>
      <w:r w:rsidRPr="00923562">
        <w:rPr>
          <w:rFonts w:ascii="Times" w:hAnsi="Times"/>
          <w:sz w:val="20"/>
          <w:szCs w:val="20"/>
        </w:rPr>
        <w:t>2005;90: 6454–6459.</w:t>
      </w:r>
    </w:p>
    <w:p w14:paraId="4AD461C8" w14:textId="77777777" w:rsidR="002114B9" w:rsidRPr="00923562" w:rsidRDefault="002114B9" w:rsidP="00923562">
      <w:pPr>
        <w:autoSpaceDE w:val="0"/>
        <w:adjustRightInd w:val="0"/>
        <w:rPr>
          <w:rFonts w:ascii="Times" w:hAnsi="Times"/>
          <w:sz w:val="20"/>
          <w:szCs w:val="20"/>
        </w:rPr>
      </w:pPr>
    </w:p>
  </w:endnote>
  <w:endnote w:id="270">
    <w:p w14:paraId="50B80933" w14:textId="77777777" w:rsidR="002114B9" w:rsidRPr="00923562" w:rsidRDefault="002114B9" w:rsidP="00923562">
      <w:pPr>
        <w:autoSpaceDE w:val="0"/>
        <w:adjustRightInd w:val="0"/>
        <w:rPr>
          <w:rFonts w:ascii="Times" w:hAnsi="Times"/>
          <w:sz w:val="20"/>
          <w:szCs w:val="20"/>
        </w:rPr>
      </w:pPr>
      <w:r w:rsidRPr="00923562">
        <w:rPr>
          <w:rStyle w:val="Rimandonotadichiusura"/>
          <w:rFonts w:ascii="Times" w:hAnsi="Times"/>
          <w:sz w:val="20"/>
          <w:szCs w:val="20"/>
        </w:rPr>
        <w:endnoteRef/>
      </w:r>
      <w:r w:rsidRPr="00923562">
        <w:rPr>
          <w:rFonts w:ascii="Times" w:hAnsi="Times"/>
          <w:sz w:val="20"/>
          <w:szCs w:val="20"/>
        </w:rPr>
        <w:t xml:space="preserve"> Després JP, Lemieux I, Bergeron J </w:t>
      </w:r>
      <w:r w:rsidRPr="00923562">
        <w:rPr>
          <w:rFonts w:ascii="Times" w:hAnsi="Times"/>
          <w:i/>
          <w:iCs/>
          <w:sz w:val="20"/>
          <w:szCs w:val="20"/>
        </w:rPr>
        <w:t>et al</w:t>
      </w:r>
      <w:r w:rsidRPr="00923562">
        <w:rPr>
          <w:rFonts w:ascii="Times" w:hAnsi="Times"/>
          <w:sz w:val="20"/>
          <w:szCs w:val="20"/>
        </w:rPr>
        <w:t xml:space="preserve">. </w:t>
      </w:r>
      <w:r w:rsidRPr="00923562">
        <w:rPr>
          <w:rFonts w:ascii="Times" w:hAnsi="Times"/>
          <w:sz w:val="20"/>
          <w:szCs w:val="20"/>
          <w:lang w:val="en-GB"/>
        </w:rPr>
        <w:t>Abdominal obesity and the metabolic syndrome: contrib</w:t>
      </w:r>
      <w:r w:rsidRPr="00923562">
        <w:rPr>
          <w:rFonts w:ascii="Times" w:hAnsi="Times"/>
          <w:sz w:val="20"/>
          <w:szCs w:val="20"/>
          <w:lang w:val="en-GB"/>
        </w:rPr>
        <w:t>u</w:t>
      </w:r>
      <w:r w:rsidRPr="00923562">
        <w:rPr>
          <w:rFonts w:ascii="Times" w:hAnsi="Times"/>
          <w:sz w:val="20"/>
          <w:szCs w:val="20"/>
          <w:lang w:val="en-GB"/>
        </w:rPr>
        <w:t xml:space="preserve">tion to global cardiometabolic risk. </w:t>
      </w:r>
      <w:r w:rsidRPr="00923562">
        <w:rPr>
          <w:rFonts w:ascii="Times" w:hAnsi="Times"/>
          <w:i/>
          <w:iCs/>
          <w:sz w:val="20"/>
          <w:szCs w:val="20"/>
        </w:rPr>
        <w:t xml:space="preserve">Arterioscler Thromb Vasc Biol </w:t>
      </w:r>
      <w:r w:rsidRPr="00923562">
        <w:rPr>
          <w:rFonts w:ascii="Times" w:hAnsi="Times"/>
          <w:sz w:val="20"/>
          <w:szCs w:val="20"/>
        </w:rPr>
        <w:t>2008; 28:1039–1049.</w:t>
      </w:r>
    </w:p>
    <w:p w14:paraId="3F45D7AC" w14:textId="77777777" w:rsidR="002114B9" w:rsidRPr="00923562" w:rsidRDefault="002114B9" w:rsidP="00923562">
      <w:pPr>
        <w:autoSpaceDE w:val="0"/>
        <w:adjustRightInd w:val="0"/>
        <w:rPr>
          <w:rFonts w:ascii="Times" w:hAnsi="Times"/>
          <w:sz w:val="20"/>
          <w:szCs w:val="20"/>
        </w:rPr>
      </w:pPr>
    </w:p>
  </w:endnote>
  <w:endnote w:id="271">
    <w:p w14:paraId="33071434"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Style w:val="Rimandonotadichiusura"/>
          <w:rFonts w:ascii="Times Roman" w:hAnsi="Times Roman"/>
          <w:sz w:val="20"/>
          <w:szCs w:val="20"/>
        </w:rPr>
        <w:endnoteRef/>
      </w:r>
      <w:r w:rsidRPr="003D7A46">
        <w:rPr>
          <w:rFonts w:ascii="Times Roman" w:hAnsi="Times Roman"/>
          <w:sz w:val="20"/>
          <w:szCs w:val="20"/>
        </w:rPr>
        <w:t xml:space="preserve"> Tuttolomondo A, Di Raimondo D, Casuccio A, et al. </w:t>
      </w:r>
      <w:r w:rsidRPr="003D7A46">
        <w:rPr>
          <w:rFonts w:ascii="Times Roman" w:hAnsi="Times Roman"/>
          <w:sz w:val="20"/>
          <w:szCs w:val="20"/>
          <w:lang w:val="en-US"/>
        </w:rPr>
        <w:t>Endothelial function, adipokine serum levels and white matter hyperintesities in subjects with diabetic foot syndrome [published online ahead of print, 2019 Apr 12]. </w:t>
      </w:r>
      <w:r w:rsidRPr="003D7A46">
        <w:rPr>
          <w:rFonts w:ascii="Times Roman" w:hAnsi="Times Roman"/>
          <w:i/>
          <w:iCs/>
          <w:sz w:val="20"/>
          <w:szCs w:val="20"/>
          <w:lang w:val="en-US"/>
        </w:rPr>
        <w:t>J Clin Endocrinol Metab</w:t>
      </w:r>
      <w:r w:rsidRPr="003D7A46">
        <w:rPr>
          <w:rFonts w:ascii="Times Roman" w:hAnsi="Times Roman"/>
          <w:sz w:val="20"/>
          <w:szCs w:val="20"/>
          <w:lang w:val="en-US"/>
        </w:rPr>
        <w:t>. 2019;jc.2018-02507. doi:10.1210/jc.2018-02507 R. D. Abbott, F. N. Brand, and W. B. Kannel, “Epidemiology of some peripheral arterial findings in diabe</w:t>
      </w:r>
      <w:r w:rsidRPr="003D7A46">
        <w:rPr>
          <w:rFonts w:ascii="Times Roman" w:hAnsi="Times Roman"/>
          <w:sz w:val="20"/>
          <w:szCs w:val="20"/>
          <w:lang w:val="en-US"/>
        </w:rPr>
        <w:t>t</w:t>
      </w:r>
      <w:r w:rsidRPr="003D7A46">
        <w:rPr>
          <w:rFonts w:ascii="Times Roman" w:hAnsi="Times Roman"/>
          <w:sz w:val="20"/>
          <w:szCs w:val="20"/>
          <w:lang w:val="en-US"/>
        </w:rPr>
        <w:t>ic men and women: experiences from the Framingham Study,” The American Jour- nal of Medicine, vol. 88, no. 4, pp. 376–381, 1990</w:t>
      </w:r>
    </w:p>
    <w:p w14:paraId="319ED58D"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A. Pinto, A. Tuttolomondo, D. Di Raimondo et al., “Cardiovas- cular risk profile and morbidity in subjects affected by type 2 diabetes mellitus with and without diabetic foot,” Metabolism, vol. 57, no. 5, pp. 676–682, 2008.</w:t>
      </w:r>
    </w:p>
    <w:p w14:paraId="357340B7"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A. Tuttolomondo, S. La Placa, D. Di Raimondo et al., “Adiponectin, resistin and IL-6 plasma levels in subjects with diabetic foot and possible correlations with clinical variables and cardiovascular co-morbidity,” Cardiovascular Diabetology, vol. 9, article 50, 2010.</w:t>
      </w:r>
    </w:p>
    <w:p w14:paraId="3DEAAB58" w14:textId="4B57F40C"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Tuttolomondo A, Casuccio A, Guercio G, Maida C, Del Cuore A, Di Raimondo D, Simonetta I, Di Bona D, Pecoraro R, Della Corte V, Gulotta E, Gulotta G, Pinto A. Arterial stiffness, endothelial and cognitive function in subjects with type 2 diabetes in accordance with absence or presence of diabetic foot syndrome.Cardiovasc Diabetol. 2017 Jan 6;16(1):2. doi: 10.1186/s12933-016-0483-5.</w:t>
      </w:r>
    </w:p>
    <w:p w14:paraId="6EBC2DE6"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 xml:space="preserve">Jhamb S, Vangaveti VN, Malabu UH. Genetic and molecular basis of diabetic foot ulcers: Clinical review. </w:t>
      </w:r>
      <w:r w:rsidRPr="003D7A46">
        <w:rPr>
          <w:rFonts w:ascii="Times Roman" w:hAnsi="Times Roman"/>
          <w:sz w:val="20"/>
          <w:szCs w:val="20"/>
        </w:rPr>
        <w:t>J Tissue Viability. 2016 Nov;25(4):229-236. doi: 10.1016/j.jtv.2016.06.005. Epub 2016 Jun 25. PMID: 27372176.</w:t>
      </w:r>
    </w:p>
    <w:p w14:paraId="4439D614"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 xml:space="preserve">Davis FM, Kimball A, Boniakowski A, Gallagher K. Dysfunctional Wound Healing in Diabetic Foot Ulcers: New Crossroads. </w:t>
      </w:r>
      <w:r w:rsidRPr="003D7A46">
        <w:rPr>
          <w:rFonts w:ascii="Times Roman" w:hAnsi="Times Roman"/>
          <w:sz w:val="20"/>
          <w:szCs w:val="20"/>
        </w:rPr>
        <w:t>Curr Diab Rep. 2018 Jan 23;18(1):2. doi: 10.1007/s11892-018-0970-z. PMID: 29362914.</w:t>
      </w:r>
    </w:p>
    <w:p w14:paraId="79D68B1D"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Lin CJ, Lan YM, Ou MQ, Ji LQ, Lin SD. Expression of miR-217 and HIF-1</w:t>
      </w:r>
      <w:r w:rsidRPr="003D7A46">
        <w:rPr>
          <w:rFonts w:ascii="Times Roman" w:hAnsi="Times Roman"/>
          <w:sz w:val="20"/>
          <w:szCs w:val="20"/>
        </w:rPr>
        <w:t>α</w:t>
      </w:r>
      <w:r w:rsidRPr="003D7A46">
        <w:rPr>
          <w:rFonts w:ascii="Times Roman" w:hAnsi="Times Roman"/>
          <w:sz w:val="20"/>
          <w:szCs w:val="20"/>
          <w:lang w:val="en-US"/>
        </w:rPr>
        <w:t>/VEGF pathway in p</w:t>
      </w:r>
      <w:r w:rsidRPr="003D7A46">
        <w:rPr>
          <w:rFonts w:ascii="Times Roman" w:hAnsi="Times Roman"/>
          <w:sz w:val="20"/>
          <w:szCs w:val="20"/>
          <w:lang w:val="en-US"/>
        </w:rPr>
        <w:t>a</w:t>
      </w:r>
      <w:r w:rsidRPr="003D7A46">
        <w:rPr>
          <w:rFonts w:ascii="Times Roman" w:hAnsi="Times Roman"/>
          <w:sz w:val="20"/>
          <w:szCs w:val="20"/>
          <w:lang w:val="en-US"/>
        </w:rPr>
        <w:t>tients with diabetic foot ulcer and its effect on angiogenesis of diabetic foot ulcer rats. J Endocrinol Invest. 2019 Nov;42(11):1307-1317. doi: 10.1007/s40618-019-01053-2. Epub 2019 May 11. PMID: 31079353.</w:t>
      </w:r>
    </w:p>
    <w:p w14:paraId="36A3CD2C"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Dhamodharan U, Viswanathan V, Krishnamoorthy E, Rajaram R, Aravindhan V. Genetic association of IL-6, TNF-</w:t>
      </w:r>
      <w:r w:rsidRPr="003D7A46">
        <w:rPr>
          <w:rFonts w:ascii="Times Roman" w:hAnsi="Times Roman"/>
          <w:sz w:val="20"/>
          <w:szCs w:val="20"/>
        </w:rPr>
        <w:t>α</w:t>
      </w:r>
      <w:r w:rsidRPr="003D7A46">
        <w:rPr>
          <w:rFonts w:ascii="Times Roman" w:hAnsi="Times Roman"/>
          <w:sz w:val="20"/>
          <w:szCs w:val="20"/>
          <w:lang w:val="en-US"/>
        </w:rPr>
        <w:t xml:space="preserve"> and SDF-1 polymorphisms with serum cytokine levels in diabetic foot ulcer. </w:t>
      </w:r>
      <w:r w:rsidRPr="003D7A46">
        <w:rPr>
          <w:rFonts w:ascii="Times Roman" w:hAnsi="Times Roman"/>
          <w:sz w:val="20"/>
          <w:szCs w:val="20"/>
        </w:rPr>
        <w:t>Gene. 2015 Jul 1;565(1):62 doi:10.1016/j.gene.2015.03.063. Epub 2015 Mar 31. PMID: 25839939.</w:t>
      </w:r>
    </w:p>
    <w:p w14:paraId="4502F1B8"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Viswanathan V, Dhamodharan U, Srinivasan V, Rajaram R, Aravindhan V. Single nucleotide pol</w:t>
      </w:r>
      <w:r w:rsidRPr="003D7A46">
        <w:rPr>
          <w:rFonts w:ascii="Times Roman" w:hAnsi="Times Roman"/>
          <w:sz w:val="20"/>
          <w:szCs w:val="20"/>
          <w:lang w:val="en-US"/>
        </w:rPr>
        <w:t>y</w:t>
      </w:r>
      <w:r w:rsidRPr="003D7A46">
        <w:rPr>
          <w:rFonts w:ascii="Times Roman" w:hAnsi="Times Roman"/>
          <w:sz w:val="20"/>
          <w:szCs w:val="20"/>
          <w:lang w:val="en-US"/>
        </w:rPr>
        <w:t>morphisms in cytokine/chemokine genes are associated with severe infection, ulcer grade and amput</w:t>
      </w:r>
      <w:r w:rsidRPr="003D7A46">
        <w:rPr>
          <w:rFonts w:ascii="Times Roman" w:hAnsi="Times Roman"/>
          <w:sz w:val="20"/>
          <w:szCs w:val="20"/>
          <w:lang w:val="en-US"/>
        </w:rPr>
        <w:t>a</w:t>
      </w:r>
      <w:r w:rsidRPr="003D7A46">
        <w:rPr>
          <w:rFonts w:ascii="Times Roman" w:hAnsi="Times Roman"/>
          <w:sz w:val="20"/>
          <w:szCs w:val="20"/>
          <w:lang w:val="en-US"/>
        </w:rPr>
        <w:t xml:space="preserve">tion in diabetic foot ulcer. Int J Biol Macromol. 2018 Oct 15;118(Pt B):1995-2000. doi: 10.1016/j.ijbiomac.2018.07.083. </w:t>
      </w:r>
      <w:r w:rsidRPr="003D7A46">
        <w:rPr>
          <w:rFonts w:ascii="Times Roman" w:hAnsi="Times Roman"/>
          <w:sz w:val="20"/>
          <w:szCs w:val="20"/>
        </w:rPr>
        <w:t>Epub 2018 Jul 14. PMID: 30009916.</w:t>
      </w:r>
    </w:p>
    <w:p w14:paraId="1CFFE66E"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 xml:space="preserve">Erdogan M, Kulaksizoglu M, Solmaz S, Berdeli A. The relationship of Interleukin-6 -174 G&gt;C gene polymorphism in type 2 diabetic patients with and without diabetic foot ulcers in Turkish population. </w:t>
      </w:r>
      <w:r w:rsidRPr="003D7A46">
        <w:rPr>
          <w:rFonts w:ascii="Times Roman" w:hAnsi="Times Roman"/>
          <w:sz w:val="20"/>
          <w:szCs w:val="20"/>
        </w:rPr>
        <w:t>Foot (Edinb). 2017 Mar;30:27-31. doi: 10.1016/j.foot.2017.02.001. Epub 2017 Feb 10. PMID: 28257947.</w:t>
      </w:r>
    </w:p>
    <w:p w14:paraId="2037C17C"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rPr>
        <w:t xml:space="preserve">Corapcioglu D, Sahin M, Emral R, Celebi ZK, Sener O, Gedik VT. </w:t>
      </w:r>
      <w:r w:rsidRPr="003D7A46">
        <w:rPr>
          <w:rFonts w:ascii="Times Roman" w:hAnsi="Times Roman"/>
          <w:sz w:val="20"/>
          <w:szCs w:val="20"/>
          <w:lang w:val="en-US"/>
        </w:rPr>
        <w:t>Association of the G894T pol</w:t>
      </w:r>
      <w:r w:rsidRPr="003D7A46">
        <w:rPr>
          <w:rFonts w:ascii="Times Roman" w:hAnsi="Times Roman"/>
          <w:sz w:val="20"/>
          <w:szCs w:val="20"/>
          <w:lang w:val="en-US"/>
        </w:rPr>
        <w:t>y</w:t>
      </w:r>
      <w:r w:rsidRPr="003D7A46">
        <w:rPr>
          <w:rFonts w:ascii="Times Roman" w:hAnsi="Times Roman"/>
          <w:sz w:val="20"/>
          <w:szCs w:val="20"/>
          <w:lang w:val="en-US"/>
        </w:rPr>
        <w:t>morphism of the endothelial nitric oxide synthase gene with diabetic foot syndrome foot ulcer, diabe</w:t>
      </w:r>
      <w:r w:rsidRPr="003D7A46">
        <w:rPr>
          <w:rFonts w:ascii="Times Roman" w:hAnsi="Times Roman"/>
          <w:sz w:val="20"/>
          <w:szCs w:val="20"/>
          <w:lang w:val="en-US"/>
        </w:rPr>
        <w:t>t</w:t>
      </w:r>
      <w:r w:rsidRPr="003D7A46">
        <w:rPr>
          <w:rFonts w:ascii="Times Roman" w:hAnsi="Times Roman"/>
          <w:sz w:val="20"/>
          <w:szCs w:val="20"/>
          <w:lang w:val="en-US"/>
        </w:rPr>
        <w:t xml:space="preserve">ic complications, and comorbid vascular diseases: a Turkish case-control study. </w:t>
      </w:r>
      <w:r w:rsidRPr="003D7A46">
        <w:rPr>
          <w:rFonts w:ascii="Times Roman" w:hAnsi="Times Roman"/>
          <w:sz w:val="20"/>
          <w:szCs w:val="20"/>
        </w:rPr>
        <w:t>Genet Test Mol Bi</w:t>
      </w:r>
      <w:r w:rsidRPr="003D7A46">
        <w:rPr>
          <w:rFonts w:ascii="Times Roman" w:hAnsi="Times Roman"/>
          <w:sz w:val="20"/>
          <w:szCs w:val="20"/>
        </w:rPr>
        <w:t>o</w:t>
      </w:r>
      <w:r w:rsidRPr="003D7A46">
        <w:rPr>
          <w:rFonts w:ascii="Times Roman" w:hAnsi="Times Roman"/>
          <w:sz w:val="20"/>
          <w:szCs w:val="20"/>
        </w:rPr>
        <w:t>markers. 2010 Aug;14(4):483-8. doi: 10.1089/gtmb.2010.0023. PMID: 20642368.</w:t>
      </w:r>
    </w:p>
    <w:p w14:paraId="16067C61"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 xml:space="preserve">Li X, Lu Y, Wei P. Association between VEGF genetic variants and diabetic foot ulcer in Chinese Han population: A case-control study. </w:t>
      </w:r>
      <w:r w:rsidRPr="003D7A46">
        <w:rPr>
          <w:rFonts w:ascii="Times Roman" w:hAnsi="Times Roman"/>
          <w:sz w:val="20"/>
          <w:szCs w:val="20"/>
        </w:rPr>
        <w:t>Medicine (Baltimore). 2018 May;97(20):e10672. doi: 10.1097/MD.0000000000010672. PMID: 29768333; PMCID: PMC5976339.</w:t>
      </w:r>
    </w:p>
    <w:p w14:paraId="11DE4FE9"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rPr>
        <w:t xml:space="preserve">Amoli MM, Hasani-Ranjbar S, Roohipour N, Sayahpour FA, Amiri P, Zahedi P, Mehrab-Mohseni M, Heshmat R, Larijani B, Tavakkoly-Bazzaz J. VEGF gene polymorphism association with diabetic foot ulcer. </w:t>
      </w:r>
      <w:r w:rsidRPr="003D7A46">
        <w:rPr>
          <w:rFonts w:ascii="Times Roman" w:hAnsi="Times Roman"/>
          <w:sz w:val="20"/>
          <w:szCs w:val="20"/>
          <w:lang w:val="en-US"/>
        </w:rPr>
        <w:t xml:space="preserve">Diabetes Res Clin Pract. 2011 Aug;93(2):215-219. doi: 10.1016/j.diabres.2011.04.016. Epub 2011 May 18. </w:t>
      </w:r>
      <w:r w:rsidRPr="003D7A46">
        <w:rPr>
          <w:rFonts w:ascii="Times Roman" w:hAnsi="Times Roman"/>
          <w:sz w:val="20"/>
          <w:szCs w:val="20"/>
        </w:rPr>
        <w:t>PMID: 21596454.</w:t>
      </w:r>
    </w:p>
    <w:p w14:paraId="18AC59BD"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Erdogan M, Kulaksizoglu M, Tetik A, Solmaz S, Kucukaslan AS, Eroglu Z. The relationship of the endothelial nitric oxide synthase (eNOS) and vascular endothelial growth factor (VEGF) gene pol</w:t>
      </w:r>
      <w:r w:rsidRPr="003D7A46">
        <w:rPr>
          <w:rFonts w:ascii="Times Roman" w:hAnsi="Times Roman"/>
          <w:sz w:val="20"/>
          <w:szCs w:val="20"/>
          <w:lang w:val="en-US"/>
        </w:rPr>
        <w:t>y</w:t>
      </w:r>
      <w:r w:rsidRPr="003D7A46">
        <w:rPr>
          <w:rFonts w:ascii="Times Roman" w:hAnsi="Times Roman"/>
          <w:sz w:val="20"/>
          <w:szCs w:val="20"/>
          <w:lang w:val="en-US"/>
        </w:rPr>
        <w:t xml:space="preserve">morphism in Turkish type 2 diabetic patients with and without diabetic foot ulcers. </w:t>
      </w:r>
      <w:r w:rsidRPr="003D7A46">
        <w:rPr>
          <w:rFonts w:ascii="Times Roman" w:hAnsi="Times Roman"/>
          <w:sz w:val="20"/>
          <w:szCs w:val="20"/>
        </w:rPr>
        <w:t>Foot (Edinb). 2018 Dec;37:5-10. doi: 10.1016/j.foot.2018.06.006. Epub 2018 Jun 26. PMID: 30321858.</w:t>
      </w:r>
    </w:p>
    <w:p w14:paraId="26FB7510"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Pichu S, Sathiyamoorthy J, Krishnamoorthy E, Umapathy D, Viswanathan V. Impact of the hypoxia inducible factor-1</w:t>
      </w:r>
      <w:r w:rsidRPr="003D7A46">
        <w:rPr>
          <w:rFonts w:ascii="Times Roman" w:hAnsi="Times Roman"/>
          <w:sz w:val="20"/>
          <w:szCs w:val="20"/>
        </w:rPr>
        <w:t>α</w:t>
      </w:r>
      <w:r w:rsidRPr="003D7A46">
        <w:rPr>
          <w:rFonts w:ascii="Times Roman" w:hAnsi="Times Roman"/>
          <w:sz w:val="20"/>
          <w:szCs w:val="20"/>
          <w:lang w:val="en-US"/>
        </w:rPr>
        <w:t xml:space="preserve"> (HIF-1</w:t>
      </w:r>
      <w:r w:rsidRPr="003D7A46">
        <w:rPr>
          <w:rFonts w:ascii="Times Roman" w:hAnsi="Times Roman"/>
          <w:sz w:val="20"/>
          <w:szCs w:val="20"/>
        </w:rPr>
        <w:t>α</w:t>
      </w:r>
      <w:r w:rsidRPr="003D7A46">
        <w:rPr>
          <w:rFonts w:ascii="Times Roman" w:hAnsi="Times Roman"/>
          <w:sz w:val="20"/>
          <w:szCs w:val="20"/>
          <w:lang w:val="en-US"/>
        </w:rPr>
        <w:t xml:space="preserve">) pro582ser polymorphism and its gene expression on diabetic foot ulcers. Diabetes Res Clin Pract. 2015 Sep;109(3):533-40. doi: 10.1016/j.diabres.2015.05.014. Epub 2015 May 22. </w:t>
      </w:r>
      <w:r w:rsidRPr="003D7A46">
        <w:rPr>
          <w:rFonts w:ascii="Times Roman" w:hAnsi="Times Roman"/>
          <w:sz w:val="20"/>
          <w:szCs w:val="20"/>
        </w:rPr>
        <w:t>PMID: 26113285.</w:t>
      </w:r>
    </w:p>
    <w:p w14:paraId="17C6B2A5" w14:textId="77777777" w:rsidR="002114B9" w:rsidRPr="003D7A46" w:rsidRDefault="002114B9" w:rsidP="003D7A46">
      <w:pPr>
        <w:pBdr>
          <w:top w:val="nil"/>
          <w:left w:val="nil"/>
          <w:bottom w:val="nil"/>
          <w:right w:val="nil"/>
          <w:between w:val="nil"/>
        </w:pBdr>
        <w:jc w:val="both"/>
        <w:rPr>
          <w:rFonts w:ascii="Times Roman" w:hAnsi="Times Roman"/>
          <w:sz w:val="20"/>
          <w:szCs w:val="20"/>
        </w:rPr>
      </w:pPr>
      <w:r w:rsidRPr="003D7A46">
        <w:rPr>
          <w:rFonts w:ascii="Times Roman" w:hAnsi="Times Roman"/>
          <w:sz w:val="20"/>
          <w:szCs w:val="20"/>
          <w:lang w:val="en-US"/>
        </w:rPr>
        <w:t>Pichu S, Vimalraj S, Sathiyamoorthy J, Viswanathan V. Association of hypoxia inducible factor-1 a</w:t>
      </w:r>
      <w:r w:rsidRPr="003D7A46">
        <w:rPr>
          <w:rFonts w:ascii="Times Roman" w:hAnsi="Times Roman"/>
          <w:sz w:val="20"/>
          <w:szCs w:val="20"/>
          <w:lang w:val="en-US"/>
        </w:rPr>
        <w:t>l</w:t>
      </w:r>
      <w:r w:rsidRPr="003D7A46">
        <w:rPr>
          <w:rFonts w:ascii="Times Roman" w:hAnsi="Times Roman"/>
          <w:sz w:val="20"/>
          <w:szCs w:val="20"/>
          <w:lang w:val="en-US"/>
        </w:rPr>
        <w:t xml:space="preserve">pha exon 12 mutation in diabetic patients with and without diabetic foot ulcer. Int J Biol Macromol. 2018 Nov;119:833-837. doi: 10.1016/j.ijbiomac.2018.08.011. Epub 2018 Aug 4. </w:t>
      </w:r>
      <w:r w:rsidRPr="003D7A46">
        <w:rPr>
          <w:rFonts w:ascii="Times Roman" w:hAnsi="Times Roman"/>
          <w:sz w:val="20"/>
          <w:szCs w:val="20"/>
        </w:rPr>
        <w:t>PMID: 30086330.</w:t>
      </w:r>
    </w:p>
    <w:p w14:paraId="3CC01086"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Hedjazifar, S.; Khatib Shahidi, R.; Hammarstedt, A.; Bonnet, L.; Church, C.; Boucher, J.; Blüher, M.; Smith, U. The Novel Adipokine Gremlin 1 Antagonizes Insulin Action and Is Increased in Type 2 D</w:t>
      </w:r>
      <w:r w:rsidRPr="003D7A46">
        <w:rPr>
          <w:rFonts w:ascii="Times Roman" w:hAnsi="Times Roman"/>
          <w:sz w:val="20"/>
          <w:szCs w:val="20"/>
          <w:lang w:val="en-US"/>
        </w:rPr>
        <w:t>i</w:t>
      </w:r>
      <w:r w:rsidRPr="003D7A46">
        <w:rPr>
          <w:rFonts w:ascii="Times Roman" w:hAnsi="Times Roman"/>
          <w:sz w:val="20"/>
          <w:szCs w:val="20"/>
          <w:lang w:val="en-US"/>
        </w:rPr>
        <w:t>abetes and NAFLD/NASH. Diabetes 2020, 69, 331–341, doi:10.2337/db19-0701.</w:t>
      </w:r>
    </w:p>
    <w:p w14:paraId="2F46C171" w14:textId="77777777" w:rsidR="002114B9" w:rsidRPr="003D7A46" w:rsidRDefault="002114B9" w:rsidP="003D7A46">
      <w:pPr>
        <w:widowControl w:val="0"/>
        <w:tabs>
          <w:tab w:val="left" w:pos="220"/>
          <w:tab w:val="left" w:pos="720"/>
        </w:tabs>
        <w:autoSpaceDE w:val="0"/>
        <w:autoSpaceDN w:val="0"/>
        <w:adjustRightInd w:val="0"/>
        <w:spacing w:after="213"/>
        <w:rPr>
          <w:rFonts w:ascii="Times Roman" w:eastAsiaTheme="minorHAnsi" w:hAnsi="Times Roman" w:cs="Times Roman"/>
          <w:sz w:val="20"/>
          <w:szCs w:val="20"/>
          <w:lang w:eastAsia="en-US"/>
        </w:rPr>
      </w:pPr>
      <w:r w:rsidRPr="003D7A46">
        <w:rPr>
          <w:rFonts w:ascii="Times Roman" w:eastAsiaTheme="minorHAnsi" w:hAnsi="Times Roman" w:cs="Times Roman"/>
          <w:sz w:val="20"/>
          <w:szCs w:val="20"/>
          <w:lang w:eastAsia="en-US"/>
        </w:rPr>
        <w:t>Reiber GE, Ledoux WR. Epidemiology of diabetic foot ulcers and amputa- tions: evidence for preve</w:t>
      </w:r>
      <w:r w:rsidRPr="003D7A46">
        <w:rPr>
          <w:rFonts w:ascii="Times Roman" w:eastAsiaTheme="minorHAnsi" w:hAnsi="Times Roman" w:cs="Times Roman"/>
          <w:sz w:val="20"/>
          <w:szCs w:val="20"/>
          <w:lang w:eastAsia="en-US"/>
        </w:rPr>
        <w:t>n</w:t>
      </w:r>
      <w:r w:rsidRPr="003D7A46">
        <w:rPr>
          <w:rFonts w:ascii="Times Roman" w:eastAsiaTheme="minorHAnsi" w:hAnsi="Times Roman" w:cs="Times Roman"/>
          <w:sz w:val="20"/>
          <w:szCs w:val="20"/>
          <w:lang w:eastAsia="en-US"/>
        </w:rPr>
        <w:t>tion. In: The Evidence Base for Diabetes Care; Wiley. 2003; pp. 641–665 ISBN 978-0-470-84658-2.  </w:t>
      </w:r>
    </w:p>
    <w:p w14:paraId="4877E0F2" w14:textId="77777777" w:rsidR="002114B9" w:rsidRPr="003D7A46" w:rsidRDefault="002114B9" w:rsidP="003D7A46">
      <w:pPr>
        <w:widowControl w:val="0"/>
        <w:tabs>
          <w:tab w:val="left" w:pos="220"/>
          <w:tab w:val="left" w:pos="720"/>
        </w:tabs>
        <w:autoSpaceDE w:val="0"/>
        <w:autoSpaceDN w:val="0"/>
        <w:adjustRightInd w:val="0"/>
        <w:spacing w:after="213"/>
        <w:rPr>
          <w:rFonts w:ascii="Times Roman" w:eastAsiaTheme="minorHAnsi" w:hAnsi="Times Roman" w:cs="Times Roman"/>
          <w:sz w:val="20"/>
          <w:szCs w:val="20"/>
          <w:lang w:eastAsia="en-US"/>
        </w:rPr>
      </w:pPr>
      <w:r w:rsidRPr="003D7A46">
        <w:rPr>
          <w:rFonts w:ascii="Times Roman" w:eastAsiaTheme="minorHAnsi" w:hAnsi="Times Roman" w:cs="Times Roman"/>
          <w:sz w:val="20"/>
          <w:szCs w:val="20"/>
          <w:lang w:eastAsia="en-US"/>
        </w:rPr>
        <w:t>Boyko EJ, Ahroni JH, Cohen V, Nelson KM, Heagerty PJ. Prediction of diabetic foot ulcer occurre</w:t>
      </w:r>
      <w:r w:rsidRPr="003D7A46">
        <w:rPr>
          <w:rFonts w:ascii="Times Roman" w:eastAsiaTheme="minorHAnsi" w:hAnsi="Times Roman" w:cs="Times Roman"/>
          <w:sz w:val="20"/>
          <w:szCs w:val="20"/>
          <w:lang w:eastAsia="en-US"/>
        </w:rPr>
        <w:t>n</w:t>
      </w:r>
      <w:r w:rsidRPr="003D7A46">
        <w:rPr>
          <w:rFonts w:ascii="Times Roman" w:eastAsiaTheme="minorHAnsi" w:hAnsi="Times Roman" w:cs="Times Roman"/>
          <w:sz w:val="20"/>
          <w:szCs w:val="20"/>
          <w:lang w:eastAsia="en-US"/>
        </w:rPr>
        <w:t>ce using commonly available clinical informa- tion: the Seattle Diabetic Foot Study. Diabetes Care. 2006;29:1202–7. https://doi.org/10.2337/dc05-2031.  </w:t>
      </w:r>
    </w:p>
    <w:p w14:paraId="39FD7609" w14:textId="77777777" w:rsidR="002114B9" w:rsidRPr="003D7A46" w:rsidRDefault="002114B9" w:rsidP="003D7A46">
      <w:pPr>
        <w:widowControl w:val="0"/>
        <w:tabs>
          <w:tab w:val="left" w:pos="220"/>
          <w:tab w:val="left" w:pos="720"/>
        </w:tabs>
        <w:autoSpaceDE w:val="0"/>
        <w:autoSpaceDN w:val="0"/>
        <w:adjustRightInd w:val="0"/>
        <w:spacing w:after="213"/>
        <w:rPr>
          <w:rFonts w:ascii="Times Roman" w:eastAsiaTheme="minorHAnsi" w:hAnsi="Times Roman" w:cs="Times Roman"/>
          <w:sz w:val="20"/>
          <w:szCs w:val="20"/>
          <w:lang w:eastAsia="en-US"/>
        </w:rPr>
      </w:pPr>
      <w:r w:rsidRPr="003D7A46">
        <w:rPr>
          <w:rFonts w:ascii="Times Roman" w:eastAsiaTheme="minorHAnsi" w:hAnsi="Times Roman" w:cs="Times Roman"/>
          <w:sz w:val="20"/>
          <w:szCs w:val="20"/>
          <w:lang w:eastAsia="en-US"/>
        </w:rPr>
        <w:t>Pop-Busui R, Boulton AJ, Feldman EL, Bril V, Freeman R, Malik RA, Sosenko JM, Ziegler D. Di</w:t>
      </w:r>
      <w:r w:rsidRPr="003D7A46">
        <w:rPr>
          <w:rFonts w:ascii="Times Roman" w:eastAsiaTheme="minorHAnsi" w:hAnsi="Times Roman" w:cs="Times Roman"/>
          <w:sz w:val="20"/>
          <w:szCs w:val="20"/>
          <w:lang w:eastAsia="en-US"/>
        </w:rPr>
        <w:t>a</w:t>
      </w:r>
      <w:r w:rsidRPr="003D7A46">
        <w:rPr>
          <w:rFonts w:ascii="Times Roman" w:eastAsiaTheme="minorHAnsi" w:hAnsi="Times Roman" w:cs="Times Roman"/>
          <w:sz w:val="20"/>
          <w:szCs w:val="20"/>
          <w:lang w:eastAsia="en-US"/>
        </w:rPr>
        <w:t>betic neuropathy: a position statement by the American Diabetes Association. Diabetes Care. 2017;40(1):136–54. https://doi.org/ 10.2337/dc16-2042x.  </w:t>
      </w:r>
    </w:p>
    <w:p w14:paraId="3D5E2BAC" w14:textId="083A464E" w:rsidR="002114B9" w:rsidRPr="003D7A46" w:rsidRDefault="002114B9" w:rsidP="003D7A46">
      <w:pPr>
        <w:widowControl w:val="0"/>
        <w:tabs>
          <w:tab w:val="left" w:pos="220"/>
          <w:tab w:val="left" w:pos="720"/>
        </w:tabs>
        <w:autoSpaceDE w:val="0"/>
        <w:autoSpaceDN w:val="0"/>
        <w:adjustRightInd w:val="0"/>
        <w:spacing w:after="213"/>
        <w:rPr>
          <w:rFonts w:ascii="Times Roman" w:eastAsiaTheme="minorHAnsi" w:hAnsi="Times Roman" w:cs="Times Roman"/>
          <w:sz w:val="20"/>
          <w:szCs w:val="20"/>
          <w:lang w:eastAsia="en-US"/>
        </w:rPr>
      </w:pPr>
      <w:r w:rsidRPr="003D7A46">
        <w:rPr>
          <w:rFonts w:ascii="Times Roman" w:eastAsiaTheme="minorHAnsi" w:hAnsi="Times Roman" w:cs="Times Roman"/>
          <w:sz w:val="20"/>
          <w:szCs w:val="20"/>
          <w:lang w:eastAsia="en-US"/>
        </w:rPr>
        <w:t>Sapa M-C, Sagot J-C, Touvenot G, Xavier F, Hidalgo Diaz J-J, Facca S, Zaré M, Liverneaux P. Co</w:t>
      </w:r>
      <w:r w:rsidRPr="003D7A46">
        <w:rPr>
          <w:rFonts w:ascii="Times Roman" w:eastAsiaTheme="minorHAnsi" w:hAnsi="Times Roman" w:cs="Times Roman"/>
          <w:sz w:val="20"/>
          <w:szCs w:val="20"/>
          <w:lang w:eastAsia="en-US"/>
        </w:rPr>
        <w:t>m</w:t>
      </w:r>
      <w:r w:rsidRPr="003D7A46">
        <w:rPr>
          <w:rFonts w:ascii="Times Roman" w:eastAsiaTheme="minorHAnsi" w:hAnsi="Times Roman" w:cs="Times Roman"/>
          <w:sz w:val="20"/>
          <w:szCs w:val="20"/>
          <w:lang w:eastAsia="en-US"/>
        </w:rPr>
        <w:t>parison of tactile sensitivity measured with   a new digital esthesiometer (Beam Test) relative to Se</w:t>
      </w:r>
      <w:r w:rsidRPr="003D7A46">
        <w:rPr>
          <w:rFonts w:ascii="Times Roman" w:eastAsiaTheme="minorHAnsi" w:hAnsi="Times Roman" w:cs="Times Roman"/>
          <w:sz w:val="20"/>
          <w:szCs w:val="20"/>
          <w:lang w:eastAsia="en-US"/>
        </w:rPr>
        <w:t>m</w:t>
      </w:r>
      <w:r w:rsidRPr="003D7A46">
        <w:rPr>
          <w:rFonts w:ascii="Times Roman" w:eastAsiaTheme="minorHAnsi" w:hAnsi="Times Roman" w:cs="Times Roman"/>
          <w:sz w:val="20"/>
          <w:szCs w:val="20"/>
          <w:lang w:eastAsia="en-US"/>
        </w:rPr>
        <w:t>mes-Weinstein monofilament analog esthesiometer. Hand Surg Rehabil. 2019;38:242–5. https://doi.org/10.1016/j.hansur.2019.06.003. Supplement 1. American Diabetes Association: clinical practice recom- mendations 2000. Diabetes Care. 2000;23(Suppl 1):1–116.  </w:t>
      </w:r>
    </w:p>
    <w:p w14:paraId="60BE337C" w14:textId="77777777" w:rsidR="002114B9" w:rsidRPr="003D7A46" w:rsidRDefault="002114B9" w:rsidP="003D7A46">
      <w:pPr>
        <w:widowControl w:val="0"/>
        <w:tabs>
          <w:tab w:val="left" w:pos="220"/>
          <w:tab w:val="left" w:pos="720"/>
        </w:tabs>
        <w:autoSpaceDE w:val="0"/>
        <w:autoSpaceDN w:val="0"/>
        <w:adjustRightInd w:val="0"/>
        <w:spacing w:after="213"/>
        <w:rPr>
          <w:rFonts w:ascii="Times Roman" w:eastAsiaTheme="minorHAnsi" w:hAnsi="Times Roman" w:cs="Times Roman"/>
          <w:sz w:val="20"/>
          <w:szCs w:val="20"/>
          <w:lang w:eastAsia="en-US"/>
        </w:rPr>
      </w:pPr>
      <w:r w:rsidRPr="003D7A46">
        <w:rPr>
          <w:rFonts w:ascii="Times Roman" w:eastAsiaTheme="minorHAnsi" w:hAnsi="Times Roman" w:cs="Times Roman"/>
          <w:sz w:val="20"/>
          <w:szCs w:val="20"/>
          <w:lang w:eastAsia="en-US"/>
        </w:rPr>
        <w:t>Williams B, Mancia G, Spiering W, Agabiti Rosei E, Azizi M, Burnier M, Clement DL, Coca A, de Simone G, Dominiczak A, et al. 2018 ESC/ESH Guidelines for the management of arterial hyperte</w:t>
      </w:r>
      <w:r w:rsidRPr="003D7A46">
        <w:rPr>
          <w:rFonts w:ascii="Times Roman" w:eastAsiaTheme="minorHAnsi" w:hAnsi="Times Roman" w:cs="Times Roman"/>
          <w:sz w:val="20"/>
          <w:szCs w:val="20"/>
          <w:lang w:eastAsia="en-US"/>
        </w:rPr>
        <w:t>n</w:t>
      </w:r>
      <w:r w:rsidRPr="003D7A46">
        <w:rPr>
          <w:rFonts w:ascii="Times Roman" w:eastAsiaTheme="minorHAnsi" w:hAnsi="Times Roman" w:cs="Times Roman"/>
          <w:sz w:val="20"/>
          <w:szCs w:val="20"/>
          <w:lang w:eastAsia="en-US"/>
        </w:rPr>
        <w:t>sion. Eur Heart J. 2018;39:3021–104. https://doi.org/10.1093/eurheartj/ehy339.  </w:t>
      </w:r>
    </w:p>
    <w:p w14:paraId="7BC9F941" w14:textId="77777777" w:rsidR="002114B9" w:rsidRPr="003D7A46" w:rsidRDefault="002114B9" w:rsidP="003D7A46">
      <w:pPr>
        <w:widowControl w:val="0"/>
        <w:tabs>
          <w:tab w:val="left" w:pos="220"/>
          <w:tab w:val="left" w:pos="720"/>
        </w:tabs>
        <w:autoSpaceDE w:val="0"/>
        <w:autoSpaceDN w:val="0"/>
        <w:adjustRightInd w:val="0"/>
        <w:spacing w:after="213"/>
        <w:rPr>
          <w:rFonts w:ascii="Times Roman" w:eastAsiaTheme="minorHAnsi" w:hAnsi="Times Roman" w:cs="Times Roman"/>
          <w:sz w:val="20"/>
          <w:szCs w:val="20"/>
          <w:lang w:eastAsia="en-US"/>
        </w:rPr>
      </w:pPr>
      <w:r w:rsidRPr="003D7A46">
        <w:rPr>
          <w:rFonts w:ascii="Times Roman" w:eastAsiaTheme="minorHAnsi" w:hAnsi="Times Roman" w:cs="Times Roman"/>
          <w:sz w:val="20"/>
          <w:szCs w:val="20"/>
          <w:lang w:eastAsia="en-US"/>
        </w:rPr>
        <w:t>Jellinger PS, Smith DA, Mehta AE, Ganda O, Handelsman Y, Rodbard HW, Shepherd MD, Seibel JA. AACE Task Force for Management of Dyslipi- demia and Prevention of Atherosclerosis Amer</w:t>
      </w:r>
      <w:r w:rsidRPr="003D7A46">
        <w:rPr>
          <w:rFonts w:ascii="Times Roman" w:eastAsiaTheme="minorHAnsi" w:hAnsi="Times Roman" w:cs="Times Roman"/>
          <w:sz w:val="20"/>
          <w:szCs w:val="20"/>
          <w:lang w:eastAsia="en-US"/>
        </w:rPr>
        <w:t>i</w:t>
      </w:r>
      <w:r w:rsidRPr="003D7A46">
        <w:rPr>
          <w:rFonts w:ascii="Times Roman" w:eastAsiaTheme="minorHAnsi" w:hAnsi="Times Roman" w:cs="Times Roman"/>
          <w:sz w:val="20"/>
          <w:szCs w:val="20"/>
          <w:lang w:eastAsia="en-US"/>
        </w:rPr>
        <w:t>can Association of Clinical Endocrinologists’ Guidelines for Management of Dyslipidemia and Pr</w:t>
      </w:r>
      <w:r w:rsidRPr="003D7A46">
        <w:rPr>
          <w:rFonts w:ascii="Times Roman" w:eastAsiaTheme="minorHAnsi" w:hAnsi="Times Roman" w:cs="Times Roman"/>
          <w:sz w:val="20"/>
          <w:szCs w:val="20"/>
          <w:lang w:eastAsia="en-US"/>
        </w:rPr>
        <w:t>e</w:t>
      </w:r>
      <w:r w:rsidRPr="003D7A46">
        <w:rPr>
          <w:rFonts w:ascii="Times Roman" w:eastAsiaTheme="minorHAnsi" w:hAnsi="Times Roman" w:cs="Times Roman"/>
          <w:sz w:val="20"/>
          <w:szCs w:val="20"/>
          <w:lang w:eastAsia="en-US"/>
        </w:rPr>
        <w:t>vention of Atherosclerosis: executive summary. Endocr Pract Off J Am Coll Endocrinol Am Assoc Clin Endocrinol. 2012;18:269–93. https://doi. org/10.4158/ep.18.2.269.  </w:t>
      </w:r>
    </w:p>
    <w:p w14:paraId="0E6C3152" w14:textId="77777777" w:rsidR="002114B9" w:rsidRPr="003D7A46" w:rsidRDefault="002114B9" w:rsidP="003D7A46">
      <w:pPr>
        <w:widowControl w:val="0"/>
        <w:tabs>
          <w:tab w:val="left" w:pos="220"/>
          <w:tab w:val="left" w:pos="720"/>
        </w:tabs>
        <w:autoSpaceDE w:val="0"/>
        <w:autoSpaceDN w:val="0"/>
        <w:adjustRightInd w:val="0"/>
        <w:spacing w:after="213"/>
        <w:rPr>
          <w:rFonts w:ascii="Times Roman" w:eastAsiaTheme="minorHAnsi" w:hAnsi="Times Roman" w:cs="Times Roman"/>
          <w:sz w:val="20"/>
          <w:szCs w:val="20"/>
          <w:lang w:eastAsia="en-US"/>
        </w:rPr>
      </w:pPr>
      <w:r w:rsidRPr="003D7A46">
        <w:rPr>
          <w:rFonts w:ascii="Times Roman" w:eastAsiaTheme="minorHAnsi" w:hAnsi="Times Roman" w:cs="Times Roman"/>
          <w:sz w:val="20"/>
          <w:szCs w:val="20"/>
          <w:lang w:eastAsia="en-US"/>
        </w:rPr>
        <w:t>Folstein MF, Folstein SE, Mchugh PR. “Mini-mental state”. A practical method for grading the cogn</w:t>
      </w:r>
      <w:r w:rsidRPr="003D7A46">
        <w:rPr>
          <w:rFonts w:ascii="Times Roman" w:eastAsiaTheme="minorHAnsi" w:hAnsi="Times Roman" w:cs="Times Roman"/>
          <w:sz w:val="20"/>
          <w:szCs w:val="20"/>
          <w:lang w:eastAsia="en-US"/>
        </w:rPr>
        <w:t>i</w:t>
      </w:r>
      <w:r w:rsidRPr="003D7A46">
        <w:rPr>
          <w:rFonts w:ascii="Times Roman" w:eastAsiaTheme="minorHAnsi" w:hAnsi="Times Roman" w:cs="Times Roman"/>
          <w:sz w:val="20"/>
          <w:szCs w:val="20"/>
          <w:lang w:eastAsia="en-US"/>
        </w:rPr>
        <w:t>tive state of patients for the clinician. J Psychiatr Res. 1975;12:189–98. https://doi.org/10.1016/0022-3956(75) 90026-6.</w:t>
      </w:r>
    </w:p>
    <w:p w14:paraId="67ACD042"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Siasos G, Gouliopoulos N, Moschos MM, Oikonomou E, Kollia C, Konsola T, Athanasiou D, Siasou G, Mourouzis K, Zisimos K, Papavassiliou AG, Stefanadis C, Tousoulis D Role of endothelial dy</w:t>
      </w:r>
      <w:r w:rsidRPr="003D7A46">
        <w:rPr>
          <w:rFonts w:ascii="Times Roman" w:hAnsi="Times Roman"/>
          <w:sz w:val="20"/>
          <w:szCs w:val="20"/>
          <w:lang w:val="en-US"/>
        </w:rPr>
        <w:t>s</w:t>
      </w:r>
      <w:r w:rsidRPr="003D7A46">
        <w:rPr>
          <w:rFonts w:ascii="Times Roman" w:hAnsi="Times Roman"/>
          <w:sz w:val="20"/>
          <w:szCs w:val="20"/>
          <w:lang w:val="en-US"/>
        </w:rPr>
        <w:t>function and arterial stiffness in the development of diabetic retinopathy.Diabetes Care. 2015 Jan;38(1):e9-e10.</w:t>
      </w:r>
    </w:p>
    <w:p w14:paraId="6BBE5A07" w14:textId="77777777" w:rsidR="002114B9" w:rsidRPr="003D7A46" w:rsidRDefault="002114B9" w:rsidP="003D7A46">
      <w:pPr>
        <w:pStyle w:val="Testonotadichiusura"/>
        <w:jc w:val="both"/>
        <w:rPr>
          <w:rFonts w:ascii="Times Roman" w:hAnsi="Times Roman"/>
          <w:szCs w:val="20"/>
          <w:lang w:val="en-US"/>
        </w:rPr>
      </w:pPr>
      <w:r w:rsidRPr="003D7A46">
        <w:rPr>
          <w:rFonts w:ascii="Times Roman" w:hAnsi="Times Roman"/>
          <w:szCs w:val="20"/>
          <w:lang w:val="en-US"/>
        </w:rPr>
        <w:t>Libby P, Aikawa M, Jain MK. Vascular endothelium and atherosclerosis. Handb Exp Pharmacol 2006:285–306. 29;  Moncada S, Palmer RM, Higgs EA. Nitric oxide: physiology, pathophysiology, and pharmacology. Pharmacol Rev 1991;43: 109 – 42.</w:t>
      </w:r>
    </w:p>
    <w:p w14:paraId="0090A786"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Treasure CB, Klein JL, Vita JA, Manoukian SV, Renwick GH, Selwyn AP, Ganz P, Alexander RW.Hypertension and left ventricular hypertrophy are associated with impaired endothelium-mediated relaxation in human coronary resistance vessels.Circulation. 1993 Jan;87(1):86-93.</w:t>
      </w:r>
    </w:p>
    <w:p w14:paraId="48775F39" w14:textId="77777777" w:rsidR="002114B9" w:rsidRPr="003D7A46" w:rsidRDefault="002114B9" w:rsidP="003D7A46">
      <w:pPr>
        <w:pBdr>
          <w:top w:val="nil"/>
          <w:left w:val="nil"/>
          <w:bottom w:val="nil"/>
          <w:right w:val="nil"/>
          <w:between w:val="nil"/>
        </w:pBdr>
        <w:ind w:left="720"/>
        <w:jc w:val="both"/>
        <w:rPr>
          <w:rFonts w:ascii="Times Roman" w:hAnsi="Times Roman"/>
          <w:sz w:val="20"/>
          <w:szCs w:val="20"/>
          <w:lang w:val="en-US"/>
        </w:rPr>
      </w:pPr>
    </w:p>
    <w:p w14:paraId="268CF99B"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r w:rsidRPr="003D7A46">
        <w:rPr>
          <w:rFonts w:ascii="Times Roman" w:hAnsi="Times Roman"/>
          <w:sz w:val="20"/>
          <w:szCs w:val="20"/>
          <w:lang w:val="en-US"/>
        </w:rPr>
        <w:t>Kearney-Schwartz A, Rossignol P, Bracard S, Felblinger J, Fay R, Boivin JM, Lecompte T, Lacolley P, Benetos A, Zannad F.Vascular structure and function is correlated to cognitive performance and white matter hyperintensities in older hypertensive patients with subjective memory co</w:t>
      </w:r>
      <w:r w:rsidRPr="003D7A46">
        <w:rPr>
          <w:rFonts w:ascii="Times Roman" w:hAnsi="Times Roman"/>
          <w:sz w:val="20"/>
          <w:szCs w:val="20"/>
          <w:lang w:val="en-US"/>
        </w:rPr>
        <w:t>m</w:t>
      </w:r>
      <w:r w:rsidRPr="003D7A46">
        <w:rPr>
          <w:rFonts w:ascii="Times Roman" w:hAnsi="Times Roman"/>
          <w:sz w:val="20"/>
          <w:szCs w:val="20"/>
          <w:lang w:val="en-US"/>
        </w:rPr>
        <w:t>plaints.Stroke. 2009 Apr;40(4):1229-36.</w:t>
      </w:r>
    </w:p>
    <w:p w14:paraId="095083D5" w14:textId="77777777" w:rsidR="002114B9" w:rsidRPr="003D7A46" w:rsidRDefault="002114B9" w:rsidP="003D7A46">
      <w:pPr>
        <w:pBdr>
          <w:top w:val="nil"/>
          <w:left w:val="nil"/>
          <w:bottom w:val="nil"/>
          <w:right w:val="nil"/>
          <w:between w:val="nil"/>
        </w:pBdr>
        <w:jc w:val="both"/>
        <w:rPr>
          <w:rFonts w:ascii="Times Roman" w:hAnsi="Times Roman"/>
          <w:sz w:val="20"/>
          <w:szCs w:val="20"/>
          <w:lang w:val="en-US"/>
        </w:rPr>
      </w:pPr>
    </w:p>
    <w:p w14:paraId="70DE31A8" w14:textId="77777777" w:rsidR="002114B9" w:rsidRPr="003D7A46" w:rsidRDefault="002114B9" w:rsidP="003D7A46">
      <w:pPr>
        <w:pStyle w:val="Footnote"/>
        <w:ind w:left="0" w:firstLine="0"/>
        <w:jc w:val="both"/>
        <w:rPr>
          <w:rFonts w:ascii="Times Roman" w:hAnsi="Times Roman" w:cs="Times New Roman"/>
          <w:lang w:val="en-US"/>
        </w:rPr>
      </w:pPr>
      <w:r w:rsidRPr="003D7A46">
        <w:rPr>
          <w:rFonts w:ascii="Times Roman" w:hAnsi="Times Roman" w:cs="Times New Roman"/>
        </w:rPr>
        <w:t xml:space="preserve">Tuttolomondo A, Pinto A, Salemi G, Di Raimondo D, Di Sciacca R, Fernandez P, et al. </w:t>
      </w:r>
      <w:r w:rsidRPr="003D7A46">
        <w:rPr>
          <w:rFonts w:ascii="Times Roman" w:hAnsi="Times Roman" w:cs="Times New Roman"/>
          <w:lang w:val="en-GB"/>
        </w:rPr>
        <w:t xml:space="preserve">Diabetic and non-diabetic subjects with ischemic stroke: differences, subtype distribution and outcome. Nutrition Metabolism and Cardiovascular Disease </w:t>
      </w:r>
      <w:r w:rsidRPr="003D7A46">
        <w:rPr>
          <w:rFonts w:ascii="Times Roman" w:hAnsi="Times Roman" w:cs="Times New Roman"/>
          <w:lang w:val="en-US"/>
        </w:rPr>
        <w:t>2008 Feb;18(2):152-7.</w:t>
      </w:r>
    </w:p>
    <w:p w14:paraId="1723EB7A" w14:textId="77777777" w:rsidR="002114B9" w:rsidRPr="003D7A46" w:rsidRDefault="002114B9" w:rsidP="003D7A46">
      <w:pPr>
        <w:pStyle w:val="Footnote"/>
        <w:ind w:left="0" w:firstLine="0"/>
        <w:jc w:val="both"/>
        <w:rPr>
          <w:rFonts w:ascii="Times Roman" w:hAnsi="Times Roman" w:cs="Times New Roman"/>
          <w:lang w:val="en-US"/>
        </w:rPr>
      </w:pPr>
    </w:p>
    <w:p w14:paraId="580D5B18" w14:textId="77777777" w:rsidR="002114B9" w:rsidRPr="003D7A46" w:rsidRDefault="002114B9" w:rsidP="003D7A46">
      <w:pPr>
        <w:pStyle w:val="Testonotadichiusura"/>
        <w:rPr>
          <w:rFonts w:ascii="Times Roman" w:hAnsi="Times Roman"/>
          <w:szCs w:val="20"/>
          <w:lang w:val="en-US"/>
        </w:rPr>
      </w:pPr>
      <w:r w:rsidRPr="003D7A46">
        <w:rPr>
          <w:rFonts w:ascii="Times Roman" w:hAnsi="Times Roman"/>
          <w:szCs w:val="20"/>
        </w:rPr>
        <w:t xml:space="preserve">Tuttolomondo A, Di Raimondo D, Casuccio A, et al. </w:t>
      </w:r>
      <w:r w:rsidRPr="003D7A46">
        <w:rPr>
          <w:rFonts w:ascii="Times Roman" w:hAnsi="Times Roman"/>
          <w:szCs w:val="20"/>
          <w:lang w:val="en-US"/>
        </w:rPr>
        <w:t>Endothelial function, adipokine serum levels and white matter hyperintesities in subjects with diabetic foot syndrome [published online ahead of print, 2019 Apr 12]. </w:t>
      </w:r>
      <w:r w:rsidRPr="003D7A46">
        <w:rPr>
          <w:rFonts w:ascii="Times Roman" w:hAnsi="Times Roman"/>
          <w:i/>
          <w:iCs/>
          <w:szCs w:val="20"/>
          <w:lang w:val="en-US"/>
        </w:rPr>
        <w:t>J Clin Endocrinol Metab</w:t>
      </w:r>
      <w:r w:rsidRPr="003D7A46">
        <w:rPr>
          <w:rFonts w:ascii="Times Roman" w:hAnsi="Times Roman"/>
          <w:szCs w:val="20"/>
          <w:lang w:val="en-US"/>
        </w:rPr>
        <w:t>. 2019;jc.2018-02507. doi:10.1210/jc.2018-02507.</w:t>
      </w:r>
    </w:p>
    <w:p w14:paraId="136C9544" w14:textId="77777777" w:rsidR="002114B9" w:rsidRPr="003D7A46" w:rsidRDefault="002114B9" w:rsidP="003D7A46">
      <w:pPr>
        <w:pStyle w:val="Testonotadichiusura"/>
        <w:rPr>
          <w:rFonts w:ascii="Times Roman" w:hAnsi="Times Roman"/>
          <w:szCs w:val="20"/>
          <w:lang w:val="en-US"/>
        </w:rPr>
      </w:pPr>
    </w:p>
    <w:p w14:paraId="47A71A9C" w14:textId="77777777" w:rsidR="002114B9" w:rsidRPr="003D7A46" w:rsidRDefault="002114B9" w:rsidP="003D7A46">
      <w:pPr>
        <w:rPr>
          <w:rFonts w:ascii="Times Roman" w:hAnsi="Times Roman"/>
          <w:sz w:val="20"/>
          <w:szCs w:val="20"/>
        </w:rPr>
      </w:pPr>
      <w:r w:rsidRPr="003D7A46">
        <w:rPr>
          <w:rFonts w:ascii="Times Roman" w:hAnsi="Times Roman" w:cs="Segoe UI"/>
          <w:sz w:val="20"/>
          <w:szCs w:val="20"/>
          <w:shd w:val="clear" w:color="auto" w:fill="FFFFFF"/>
          <w:lang w:val="en-US"/>
        </w:rPr>
        <w:t xml:space="preserve">Teng Z, Feng J, Qi Q, Dong Y, Xiao Y, Xie X, Meng N, Chen H, Zhang W, Lv P. Long-Term Use of Metformin Is Associated With Reduced Risk of Cognitive Impairment With Alleviation of Cerebral Small Vessel Disease Burden in Patients With Type 2 Diabetes. </w:t>
      </w:r>
      <w:r w:rsidRPr="003D7A46">
        <w:rPr>
          <w:rFonts w:ascii="Times Roman" w:hAnsi="Times Roman" w:cs="Segoe UI"/>
          <w:sz w:val="20"/>
          <w:szCs w:val="20"/>
          <w:shd w:val="clear" w:color="auto" w:fill="FFFFFF"/>
        </w:rPr>
        <w:t>Front Aging Neurosci. 2021 Oct 29;13:773797. doi: 10.3389/fnagi.2021.773797. PMID: 34776938; PMCID: PMC8589019.</w:t>
      </w:r>
    </w:p>
    <w:p w14:paraId="70B4A265" w14:textId="77777777" w:rsidR="002114B9" w:rsidRPr="003D7A46" w:rsidRDefault="002114B9" w:rsidP="003D7A46">
      <w:pPr>
        <w:rPr>
          <w:rFonts w:ascii="Times Roman" w:hAnsi="Times Roman"/>
          <w:sz w:val="20"/>
          <w:szCs w:val="20"/>
          <w:lang w:val="en-US"/>
        </w:rPr>
      </w:pPr>
      <w:r w:rsidRPr="003D7A46">
        <w:rPr>
          <w:rFonts w:ascii="Times Roman" w:hAnsi="Times Roman"/>
          <w:sz w:val="20"/>
          <w:szCs w:val="20"/>
          <w:lang w:val="en-US"/>
        </w:rPr>
        <w:t xml:space="preserve"> McMahon R, Murphy M, Clarkson M, Taal M, Mackenzie HS, Godson C, Martin F, Brady HR (2002) IHG-2, a mesangial cell gene induced by high glucose, is human gremlin. J Biol Chem 275(14):9901–9904. https://doi. org/10.1074/jbc.275.14.9901.</w:t>
      </w:r>
    </w:p>
    <w:p w14:paraId="5CC6E0B8" w14:textId="77777777" w:rsidR="002114B9" w:rsidRPr="003D7A46" w:rsidRDefault="002114B9" w:rsidP="003D7A46">
      <w:pPr>
        <w:rPr>
          <w:rFonts w:ascii="Times Roman" w:hAnsi="Times Roman"/>
          <w:sz w:val="20"/>
          <w:szCs w:val="20"/>
          <w:lang w:val="en-US"/>
        </w:rPr>
      </w:pPr>
    </w:p>
    <w:p w14:paraId="54A7DF90" w14:textId="77777777" w:rsidR="002114B9" w:rsidRPr="003D7A46" w:rsidRDefault="002114B9" w:rsidP="003D7A46">
      <w:pPr>
        <w:rPr>
          <w:rFonts w:ascii="Times Roman" w:hAnsi="Times Roman" w:cs="Segoe UI"/>
          <w:sz w:val="20"/>
          <w:szCs w:val="20"/>
          <w:shd w:val="clear" w:color="auto" w:fill="FFFFFF"/>
          <w:lang w:val="en-US"/>
        </w:rPr>
      </w:pPr>
      <w:r w:rsidRPr="003D7A46">
        <w:rPr>
          <w:rFonts w:ascii="Times Roman" w:hAnsi="Times Roman" w:cs="Segoe UI"/>
          <w:sz w:val="20"/>
          <w:szCs w:val="20"/>
          <w:shd w:val="clear" w:color="auto" w:fill="FFFFFF"/>
          <w:lang w:val="en-US"/>
        </w:rPr>
        <w:t>Hedjazifar S, Khatib Shahidi R, Hammarstedt A, Bonnet L, Church C, Boucher J, Blüher M, Smith U. The Novel Adipokine Gremlin 1 Antagonizes Insulin Action and Is Increased in Type 2 Diabetes and NAFLD/NASH. Diabetes. 2020 Mar;69(3):331-341. doi: 10.2337/db19-0701. Epub 2019 Dec 27. PMID: 31882566.</w:t>
      </w:r>
    </w:p>
    <w:p w14:paraId="473886A8" w14:textId="77777777" w:rsidR="002114B9" w:rsidRPr="003D7A46" w:rsidRDefault="002114B9" w:rsidP="003D7A46">
      <w:pPr>
        <w:rPr>
          <w:rFonts w:ascii="Times Roman" w:hAnsi="Times Roman" w:cs="Segoe UI"/>
          <w:sz w:val="20"/>
          <w:szCs w:val="20"/>
          <w:shd w:val="clear" w:color="auto" w:fill="FFFFFF"/>
          <w:lang w:val="en-US"/>
        </w:rPr>
      </w:pPr>
    </w:p>
    <w:p w14:paraId="5E92B1B9" w14:textId="77777777" w:rsidR="002114B9" w:rsidRPr="003D7A46" w:rsidRDefault="002114B9" w:rsidP="003D7A46">
      <w:pPr>
        <w:rPr>
          <w:rFonts w:ascii="Times Roman" w:hAnsi="Times Roman" w:cs="Segoe UI"/>
          <w:sz w:val="20"/>
          <w:szCs w:val="20"/>
          <w:shd w:val="clear" w:color="auto" w:fill="FFFFFF"/>
          <w:lang w:val="en-US"/>
        </w:rPr>
      </w:pPr>
    </w:p>
    <w:p w14:paraId="3CB8E61E" w14:textId="77777777" w:rsidR="002114B9" w:rsidRPr="003D7A46" w:rsidRDefault="002114B9" w:rsidP="003D7A46">
      <w:pPr>
        <w:rPr>
          <w:rFonts w:ascii="Times Roman" w:hAnsi="Times Roman"/>
          <w:sz w:val="20"/>
          <w:szCs w:val="20"/>
          <w:lang w:val="en-US"/>
        </w:rPr>
      </w:pPr>
      <w:r w:rsidRPr="003D7A46">
        <w:rPr>
          <w:rFonts w:ascii="Times Roman" w:hAnsi="Times Roman"/>
          <w:sz w:val="20"/>
          <w:szCs w:val="20"/>
          <w:lang w:val="en-US"/>
        </w:rPr>
        <w:t>Mitola S, Ravelli C, Moroni E, Salvi V, Leali D, BallmerHofer K, Zammataro L, Presta M (2010) Gremlin is a novel agonist of the major proangiogenic receptor VEGFR2. Blood 116(18):3677–3680. https://doi. org/10.1182/blood-2010-06-291930.</w:t>
      </w:r>
    </w:p>
    <w:p w14:paraId="1C60D38F" w14:textId="77777777" w:rsidR="002114B9" w:rsidRPr="003D7A46" w:rsidRDefault="002114B9" w:rsidP="003D7A46">
      <w:pPr>
        <w:rPr>
          <w:rFonts w:ascii="Times Roman" w:hAnsi="Times Roman"/>
          <w:sz w:val="20"/>
          <w:szCs w:val="20"/>
          <w:lang w:val="en-US"/>
        </w:rPr>
      </w:pPr>
    </w:p>
    <w:p w14:paraId="49A0D370" w14:textId="77777777" w:rsidR="002114B9" w:rsidRPr="003D7A46" w:rsidRDefault="002114B9" w:rsidP="003D7A46">
      <w:pPr>
        <w:rPr>
          <w:rFonts w:ascii="Times Roman" w:hAnsi="Times Roman"/>
          <w:sz w:val="20"/>
          <w:szCs w:val="20"/>
          <w:lang w:val="en-US"/>
        </w:rPr>
      </w:pPr>
      <w:r w:rsidRPr="003D7A46">
        <w:rPr>
          <w:rFonts w:ascii="Times Roman" w:hAnsi="Times Roman" w:cs="Segoe UI"/>
          <w:sz w:val="20"/>
          <w:szCs w:val="20"/>
          <w:shd w:val="clear" w:color="auto" w:fill="FFFFFF"/>
          <w:lang w:val="en-US"/>
        </w:rPr>
        <w:t>Müller II, Schneider M, Müller KAL, Lunov O, Borst O, Simmet T, Gawaz M. Protective role of Gremlin-1 in myocardial function. Eur J Clin Invest. 2021 Jul;51(7):e13539. doi: 10.1111/eci.13539. Epub 2021 Mar 17. PMID: 33729579.</w:t>
      </w:r>
    </w:p>
    <w:p w14:paraId="39DC5C42" w14:textId="77777777" w:rsidR="002114B9" w:rsidRPr="003D7A46" w:rsidRDefault="002114B9" w:rsidP="003D7A46">
      <w:pPr>
        <w:rPr>
          <w:rFonts w:ascii="Times Roman" w:hAnsi="Times Roman"/>
          <w:sz w:val="20"/>
          <w:szCs w:val="20"/>
          <w:lang w:val="en-US"/>
        </w:rPr>
      </w:pPr>
    </w:p>
    <w:p w14:paraId="55CC3162" w14:textId="77777777" w:rsidR="002114B9" w:rsidRPr="003D7A46" w:rsidRDefault="002114B9" w:rsidP="003D7A46">
      <w:pPr>
        <w:rPr>
          <w:rFonts w:ascii="Times Roman" w:hAnsi="Times Roman"/>
          <w:sz w:val="20"/>
          <w:szCs w:val="20"/>
          <w:lang w:val="en-US"/>
        </w:rPr>
      </w:pPr>
    </w:p>
    <w:p w14:paraId="158F5B8A" w14:textId="77777777" w:rsidR="002114B9" w:rsidRPr="003D7A46" w:rsidRDefault="002114B9" w:rsidP="003D7A46">
      <w:pPr>
        <w:rPr>
          <w:rFonts w:ascii="Times Roman" w:hAnsi="Times Roman"/>
          <w:sz w:val="20"/>
          <w:szCs w:val="20"/>
          <w:lang w:val="en-US"/>
        </w:rPr>
      </w:pPr>
      <w:r w:rsidRPr="003D7A46">
        <w:rPr>
          <w:rFonts w:ascii="Times Roman" w:hAnsi="Times Roman" w:cs="Segoe UI"/>
          <w:sz w:val="20"/>
          <w:szCs w:val="20"/>
          <w:shd w:val="clear" w:color="auto" w:fill="FFFFFF"/>
          <w:lang w:val="en-US"/>
        </w:rPr>
        <w:t>O'Reilly S. Gremlin: a complex molecule regulating wound healing and fibrosis. Cell Mol Life Sci. 2021 Dec;78(24):7917-7923. doi: 10.1007/s00018-021-03964-x. Epub 2021 Nov 3. PMID: 34731251</w:t>
      </w:r>
      <w:r w:rsidRPr="003D7A46">
        <w:rPr>
          <w:rFonts w:ascii="Times Roman" w:hAnsi="Times Roman" w:cs="Segoe UI"/>
          <w:sz w:val="20"/>
          <w:szCs w:val="20"/>
          <w:shd w:val="clear" w:color="auto" w:fill="FFFFFF"/>
          <w:lang w:val="en-US"/>
        </w:rPr>
        <w:br/>
      </w:r>
    </w:p>
    <w:p w14:paraId="1433F92A" w14:textId="7130BFF8" w:rsidR="002114B9" w:rsidRPr="003D7A46" w:rsidRDefault="002114B9" w:rsidP="003D7A46">
      <w:pPr>
        <w:rPr>
          <w:rFonts w:ascii="Times Roman" w:hAnsi="Times Roman"/>
          <w:sz w:val="20"/>
          <w:szCs w:val="20"/>
          <w:lang w:val="en-US"/>
        </w:rPr>
      </w:pPr>
      <w:r w:rsidRPr="003D7A46">
        <w:rPr>
          <w:rFonts w:ascii="Times Roman" w:hAnsi="Times Roman" w:cs="Calibri"/>
          <w:sz w:val="20"/>
          <w:szCs w:val="20"/>
          <w:lang w:val="en-US"/>
        </w:rPr>
        <w:t>Gremlin1 blocks vascular endothelial growth factor signalling in the pulmonary microvascular end</w:t>
      </w:r>
      <w:r w:rsidRPr="003D7A46">
        <w:rPr>
          <w:rFonts w:ascii="Times Roman" w:hAnsi="Times Roman" w:cs="Calibri"/>
          <w:sz w:val="20"/>
          <w:szCs w:val="20"/>
          <w:lang w:val="en-US"/>
        </w:rPr>
        <w:t>o</w:t>
      </w:r>
      <w:r w:rsidRPr="003D7A46">
        <w:rPr>
          <w:rFonts w:ascii="Times Roman" w:hAnsi="Times Roman" w:cs="Calibri"/>
          <w:sz w:val="20"/>
          <w:szCs w:val="20"/>
          <w:lang w:val="en-US"/>
        </w:rPr>
        <w:t>thelium</w:t>
      </w:r>
      <w:r w:rsidRPr="003D7A46">
        <w:rPr>
          <w:rFonts w:ascii="Times Roman" w:hAnsi="Times Roman" w:cs="Calibri"/>
          <w:b/>
          <w:bCs/>
          <w:sz w:val="20"/>
          <w:szCs w:val="20"/>
          <w:lang w:val="en-US"/>
        </w:rPr>
        <w:t xml:space="preserve">; </w:t>
      </w:r>
      <w:r w:rsidRPr="003D7A46">
        <w:rPr>
          <w:rFonts w:ascii="Times Roman" w:hAnsi="Times Roman" w:cs="Calibri"/>
          <w:sz w:val="20"/>
          <w:szCs w:val="20"/>
          <w:lang w:val="en-US"/>
        </w:rPr>
        <w:t>Simon C Rowan</w:t>
      </w:r>
      <w:r w:rsidRPr="003D7A46">
        <w:rPr>
          <w:rFonts w:ascii="Times Roman" w:hAnsi="Times Roman" w:cs="Calibri"/>
          <w:position w:val="8"/>
          <w:sz w:val="20"/>
          <w:szCs w:val="20"/>
          <w:lang w:val="en-US"/>
        </w:rPr>
        <w:t>1</w:t>
      </w:r>
      <w:r w:rsidRPr="003D7A46">
        <w:rPr>
          <w:rFonts w:ascii="Times Roman" w:hAnsi="Times Roman" w:cs="Calibri"/>
          <w:sz w:val="20"/>
          <w:szCs w:val="20"/>
          <w:lang w:val="en-US"/>
        </w:rPr>
        <w:t>, Lucie Piouceau</w:t>
      </w:r>
      <w:r w:rsidRPr="003D7A46">
        <w:rPr>
          <w:rFonts w:ascii="Times Roman" w:hAnsi="Times Roman" w:cs="Calibri"/>
          <w:position w:val="8"/>
          <w:sz w:val="20"/>
          <w:szCs w:val="20"/>
          <w:lang w:val="en-US"/>
        </w:rPr>
        <w:t>1</w:t>
      </w:r>
      <w:r w:rsidRPr="003D7A46">
        <w:rPr>
          <w:rFonts w:ascii="Times Roman" w:hAnsi="Times Roman" w:cs="Calibri"/>
          <w:sz w:val="20"/>
          <w:szCs w:val="20"/>
          <w:lang w:val="en-US"/>
        </w:rPr>
        <w:t>, Joanna Cornwell</w:t>
      </w:r>
      <w:r w:rsidRPr="003D7A46">
        <w:rPr>
          <w:rFonts w:ascii="Times Roman" w:hAnsi="Times Roman" w:cs="Calibri"/>
          <w:position w:val="8"/>
          <w:sz w:val="20"/>
          <w:szCs w:val="20"/>
          <w:lang w:val="en-US"/>
        </w:rPr>
        <w:t>1</w:t>
      </w:r>
      <w:r w:rsidRPr="003D7A46">
        <w:rPr>
          <w:rFonts w:ascii="Times Roman" w:hAnsi="Times Roman" w:cs="Calibri"/>
          <w:sz w:val="20"/>
          <w:szCs w:val="20"/>
          <w:lang w:val="en-US"/>
        </w:rPr>
        <w:t>, Lili Li</w:t>
      </w:r>
      <w:r w:rsidRPr="003D7A46">
        <w:rPr>
          <w:rFonts w:ascii="Times Roman" w:hAnsi="Times Roman" w:cs="Calibri"/>
          <w:position w:val="8"/>
          <w:sz w:val="20"/>
          <w:szCs w:val="20"/>
          <w:lang w:val="en-US"/>
        </w:rPr>
        <w:t>1</w:t>
      </w:r>
      <w:r w:rsidRPr="003D7A46">
        <w:rPr>
          <w:rFonts w:ascii="Times Roman" w:hAnsi="Times Roman" w:cs="Calibri"/>
          <w:sz w:val="20"/>
          <w:szCs w:val="20"/>
          <w:lang w:val="en-US"/>
        </w:rPr>
        <w:t>, Paul McLoughlin</w:t>
      </w:r>
      <w:r w:rsidRPr="003D7A46">
        <w:rPr>
          <w:rFonts w:ascii="Times Roman" w:hAnsi="Times Roman" w:cs="Calibri"/>
          <w:position w:val="8"/>
          <w:sz w:val="20"/>
          <w:szCs w:val="20"/>
          <w:lang w:val="en-US"/>
        </w:rPr>
        <w:t>1 1</w:t>
      </w:r>
      <w:r w:rsidRPr="003D7A46">
        <w:rPr>
          <w:rFonts w:ascii="Times Roman" w:hAnsi="Times Roman" w:cs="Calibri"/>
          <w:sz w:val="20"/>
          <w:szCs w:val="20"/>
          <w:lang w:val="en-US"/>
        </w:rPr>
        <w:t xml:space="preserve">UCD School of Medicine and Conway Institute, University College Dublin. </w:t>
      </w:r>
    </w:p>
    <w:p w14:paraId="28EA8199" w14:textId="77777777" w:rsidR="002114B9" w:rsidRPr="003D7A46" w:rsidRDefault="002114B9" w:rsidP="003D7A46">
      <w:pPr>
        <w:spacing w:before="100" w:beforeAutospacing="1" w:after="100" w:afterAutospacing="1"/>
        <w:rPr>
          <w:rFonts w:ascii="Times Roman" w:hAnsi="Times Roman"/>
          <w:sz w:val="20"/>
          <w:szCs w:val="20"/>
          <w:lang w:val="en-US"/>
        </w:rPr>
      </w:pPr>
      <w:r w:rsidRPr="003D7A46">
        <w:rPr>
          <w:rFonts w:ascii="Times Roman" w:hAnsi="Times Roman"/>
          <w:sz w:val="20"/>
          <w:szCs w:val="20"/>
          <w:lang w:val="en-US"/>
        </w:rPr>
        <w:t>High Plasma Levels of Gremlin-1 and Macrophage Migration Inhibitory Factor, but Not Their Ratio, Indicate an Increased Risk for Acute Coronary Syndrome in Patients With Type 2 Diabetes Mellitus Karin A.L. Mu ̈ller, MD; Dominik Rath, MD; Martina Schmid, MD; Heiko Schoenleber, MD; Meinrad Gawaz, MD; Tobias Geisler, MD; Iris I. Mu ̈ller, MD Department of Cardiology and Circul</w:t>
      </w:r>
      <w:r w:rsidRPr="003D7A46">
        <w:rPr>
          <w:rFonts w:ascii="Times Roman" w:hAnsi="Times Roman"/>
          <w:sz w:val="20"/>
          <w:szCs w:val="20"/>
          <w:lang w:val="en-US"/>
        </w:rPr>
        <w:t>a</w:t>
      </w:r>
      <w:r w:rsidRPr="003D7A46">
        <w:rPr>
          <w:rFonts w:ascii="Times Roman" w:hAnsi="Times Roman"/>
          <w:sz w:val="20"/>
          <w:szCs w:val="20"/>
          <w:lang w:val="en-US"/>
        </w:rPr>
        <w:t>tory Diseases (K. Mu ̈ller, Rath, Schmid, Schoenleber, Gawaz, Geisler, I. Muller), Internal Medicine Clinic III, Eberhard Karls University Tu ̈bingen, Tu ̈bingen, Germany; La Jolla Institute for Allergy and Immunology (K. Mu ̈ller), La Jolla, California.</w:t>
      </w:r>
    </w:p>
    <w:p w14:paraId="5A1B49AF" w14:textId="77777777" w:rsidR="002114B9" w:rsidRDefault="002114B9" w:rsidP="003D7A46">
      <w:pPr>
        <w:spacing w:before="100" w:beforeAutospacing="1" w:after="100" w:afterAutospacing="1"/>
        <w:rPr>
          <w:rFonts w:ascii="Times Roman" w:hAnsi="Times Roman"/>
          <w:sz w:val="20"/>
          <w:szCs w:val="20"/>
        </w:rPr>
      </w:pPr>
      <w:r w:rsidRPr="003D7A46">
        <w:rPr>
          <w:rFonts w:ascii="Times Roman" w:hAnsi="Times Roman"/>
          <w:sz w:val="20"/>
          <w:szCs w:val="20"/>
        </w:rPr>
        <w:t xml:space="preserve">Grillo E, Ravelli C, Corsini M, et al. </w:t>
      </w:r>
      <w:r w:rsidRPr="003D7A46">
        <w:rPr>
          <w:rFonts w:ascii="Times Roman" w:hAnsi="Times Roman"/>
          <w:sz w:val="20"/>
          <w:szCs w:val="20"/>
          <w:lang w:val="en-US"/>
        </w:rPr>
        <w:t xml:space="preserve">Monomeric gremlin is a novel vascular endothelial growth factor receptor-2 antagonist. </w:t>
      </w:r>
      <w:r w:rsidRPr="003D7A46">
        <w:rPr>
          <w:rFonts w:ascii="Times Roman" w:hAnsi="Times Roman" w:cs="Arial"/>
          <w:i/>
          <w:iCs/>
          <w:sz w:val="20"/>
          <w:szCs w:val="20"/>
        </w:rPr>
        <w:t xml:space="preserve">Oncotarget </w:t>
      </w:r>
      <w:r w:rsidRPr="003D7A46">
        <w:rPr>
          <w:rFonts w:ascii="Times Roman" w:hAnsi="Times Roman"/>
          <w:sz w:val="20"/>
          <w:szCs w:val="20"/>
        </w:rPr>
        <w:t xml:space="preserve">2016; 7: 35353-35368. 2016/05/14. DOI: 9286 [pii]10.18632/oncotarget.9286. </w:t>
      </w:r>
    </w:p>
    <w:p w14:paraId="4381BD42" w14:textId="63E69710" w:rsidR="002114B9" w:rsidRPr="003D7A46" w:rsidRDefault="002114B9" w:rsidP="003D7A46">
      <w:pPr>
        <w:spacing w:before="100" w:beforeAutospacing="1" w:after="100" w:afterAutospacing="1"/>
        <w:rPr>
          <w:rFonts w:ascii="Times Roman" w:hAnsi="Times Roman"/>
          <w:sz w:val="20"/>
          <w:szCs w:val="20"/>
        </w:rPr>
      </w:pPr>
      <w:r w:rsidRPr="003D7A46">
        <w:rPr>
          <w:rFonts w:ascii="Times Roman" w:hAnsi="Times Roman" w:cs="Segoe UI"/>
          <w:sz w:val="20"/>
          <w:szCs w:val="20"/>
          <w:shd w:val="clear" w:color="auto" w:fill="FFFFFF"/>
          <w:lang w:val="en-US"/>
        </w:rPr>
        <w:t>Lee JW, Bae SH, Jeong JW, Kim SH, Kim KW. Hypoxia-inducible factor (HIF-1)alpha: its protein stability and biological functions. Exp Mol Med. 2004 Feb 29;36(1):1-12. doi: 10.1038/emm.2004.1. PMID: 15031665.</w:t>
      </w:r>
    </w:p>
    <w:p w14:paraId="634653C8" w14:textId="77777777" w:rsidR="002114B9" w:rsidRPr="003D7A46" w:rsidRDefault="002114B9" w:rsidP="003D7A46">
      <w:pPr>
        <w:rPr>
          <w:rFonts w:ascii="Times Roman" w:hAnsi="Times Roman"/>
          <w:sz w:val="20"/>
          <w:szCs w:val="20"/>
          <w:lang w:val="en-US"/>
        </w:rPr>
      </w:pPr>
      <w:r w:rsidRPr="003D7A46">
        <w:rPr>
          <w:rFonts w:ascii="Times Roman" w:hAnsi="Times Roman" w:cs="Segoe UI"/>
          <w:sz w:val="20"/>
          <w:szCs w:val="20"/>
          <w:shd w:val="clear" w:color="auto" w:fill="FFFFFF"/>
          <w:lang w:val="en-US"/>
        </w:rPr>
        <w:t>Catrina SB, Zheng X. Hypoxia and hypoxia-inducible factors in diabetes and its complications. Di</w:t>
      </w:r>
      <w:r w:rsidRPr="003D7A46">
        <w:rPr>
          <w:rFonts w:ascii="Times Roman" w:hAnsi="Times Roman" w:cs="Segoe UI"/>
          <w:sz w:val="20"/>
          <w:szCs w:val="20"/>
          <w:shd w:val="clear" w:color="auto" w:fill="FFFFFF"/>
          <w:lang w:val="en-US"/>
        </w:rPr>
        <w:t>a</w:t>
      </w:r>
      <w:r w:rsidRPr="003D7A46">
        <w:rPr>
          <w:rFonts w:ascii="Times Roman" w:hAnsi="Times Roman" w:cs="Segoe UI"/>
          <w:sz w:val="20"/>
          <w:szCs w:val="20"/>
          <w:shd w:val="clear" w:color="auto" w:fill="FFFFFF"/>
          <w:lang w:val="en-US"/>
        </w:rPr>
        <w:t>betologia. 2021 Apr;64(4):709-716. doi: 10.1007/s00125-021-05380-z. Epub 2021 Jan 26. PMID: 33496820; PMCID: PMC7940280</w:t>
      </w:r>
    </w:p>
    <w:p w14:paraId="1C091273" w14:textId="77777777" w:rsidR="002114B9" w:rsidRPr="003D7A46" w:rsidRDefault="002114B9" w:rsidP="003D7A46">
      <w:pPr>
        <w:rPr>
          <w:rFonts w:ascii="Times Roman" w:hAnsi="Times Roman"/>
          <w:sz w:val="20"/>
          <w:szCs w:val="20"/>
          <w:lang w:val="en-US"/>
        </w:rPr>
      </w:pPr>
      <w:r w:rsidRPr="003D7A46">
        <w:rPr>
          <w:rFonts w:ascii="Times Roman" w:hAnsi="Times Roman"/>
          <w:sz w:val="20"/>
          <w:szCs w:val="20"/>
          <w:lang w:val="en-US"/>
        </w:rPr>
        <w:t>Zubair M, Ahmad J. Role of growth factors and cytokines in diabetic foot ulcer healing: A detailed review. Rev Endocr Metab Disord. 2019 Jun;20(2):207-217. doi: 10.1007/s11154-019-09492-1. PMID: 30937614.</w:t>
      </w:r>
    </w:p>
    <w:p w14:paraId="231583BF" w14:textId="77777777" w:rsidR="002114B9" w:rsidRPr="003D7A46" w:rsidRDefault="002114B9" w:rsidP="003D7A46">
      <w:pPr>
        <w:rPr>
          <w:rFonts w:ascii="Times Roman" w:hAnsi="Times Roman"/>
          <w:sz w:val="20"/>
          <w:szCs w:val="20"/>
        </w:rPr>
      </w:pPr>
      <w:r w:rsidRPr="003D7A46">
        <w:rPr>
          <w:rFonts w:ascii="Times Roman" w:hAnsi="Times Roman" w:cs="Segoe UI"/>
          <w:sz w:val="20"/>
          <w:szCs w:val="20"/>
          <w:shd w:val="clear" w:color="auto" w:fill="FFFFFF"/>
        </w:rPr>
        <w:t>Zhu Y, Liu Z, Wang Y, Wang Z, Shi J, Xie X, Jin L, Chu X, Wang X. C-reactive protein, frailty and overnight hospital admission in elderly individuals: A population-based study. Arch Gerontol Geriatr. 2016 May-Jun;64:1-5. doi: 10.1016/j.archger.2015.08.009. Epub 2015 Aug 11. PMID: 26952370.</w:t>
      </w:r>
    </w:p>
    <w:p w14:paraId="0B6BF22F" w14:textId="77777777" w:rsidR="002114B9" w:rsidRPr="003D7A46" w:rsidRDefault="002114B9" w:rsidP="003D7A46">
      <w:pPr>
        <w:rPr>
          <w:rFonts w:ascii="Times Roman" w:hAnsi="Times Roman"/>
          <w:sz w:val="20"/>
          <w:szCs w:val="20"/>
        </w:rPr>
      </w:pPr>
      <w:r w:rsidRPr="003D7A46">
        <w:rPr>
          <w:rFonts w:ascii="Times Roman" w:hAnsi="Times Roman" w:cs="Segoe UI"/>
          <w:sz w:val="20"/>
          <w:szCs w:val="20"/>
          <w:shd w:val="clear" w:color="auto" w:fill="FFFFFF"/>
        </w:rPr>
        <w:t>Bleda S, De Haro J, Varela C, Esparza L, Ferruelo A, Acin F. Vascular endothelial growth factor p</w:t>
      </w:r>
      <w:r w:rsidRPr="003D7A46">
        <w:rPr>
          <w:rFonts w:ascii="Times Roman" w:hAnsi="Times Roman" w:cs="Segoe UI"/>
          <w:sz w:val="20"/>
          <w:szCs w:val="20"/>
          <w:shd w:val="clear" w:color="auto" w:fill="FFFFFF"/>
        </w:rPr>
        <w:t>o</w:t>
      </w:r>
      <w:r w:rsidRPr="003D7A46">
        <w:rPr>
          <w:rFonts w:ascii="Times Roman" w:hAnsi="Times Roman" w:cs="Segoe UI"/>
          <w:sz w:val="20"/>
          <w:szCs w:val="20"/>
          <w:shd w:val="clear" w:color="auto" w:fill="FFFFFF"/>
        </w:rPr>
        <w:t>lymorphisms are involved in the late vascular complications in Type II diabetic patients. Diab Vasc Dis Res. 2012 Jan;9(1):68-74. doi: 10.1177/1479164111426162. Epub 2011 Nov 7. PMID: 22064697.</w:t>
      </w:r>
    </w:p>
    <w:p w14:paraId="756FBBC5" w14:textId="722FE8E9" w:rsidR="002114B9" w:rsidRDefault="002114B9" w:rsidP="00923562">
      <w:pPr>
        <w:pStyle w:val="Testonotadichiusura"/>
        <w:rPr>
          <w:rFonts w:ascii="Times" w:hAnsi="Times"/>
          <w:szCs w:val="20"/>
          <w:lang w:val="en-US"/>
        </w:rPr>
      </w:pPr>
    </w:p>
    <w:p w14:paraId="257F6E2A" w14:textId="77777777" w:rsidR="002114B9" w:rsidRDefault="002114B9" w:rsidP="00923562">
      <w:pPr>
        <w:pStyle w:val="Testonotadichiusura"/>
        <w:rPr>
          <w:rFonts w:ascii="Times" w:hAnsi="Times"/>
          <w:szCs w:val="20"/>
          <w:lang w:val="en-US"/>
        </w:rPr>
      </w:pPr>
    </w:p>
    <w:p w14:paraId="24B1FA5B" w14:textId="77777777" w:rsidR="002114B9" w:rsidRPr="00923562" w:rsidRDefault="002114B9" w:rsidP="00923562">
      <w:pPr>
        <w:pStyle w:val="Testonotadichiusura"/>
        <w:rPr>
          <w:rFonts w:ascii="Times" w:hAnsi="Times"/>
          <w:szCs w:val="20"/>
          <w:lang w:val="en-US"/>
        </w:rPr>
      </w:pPr>
    </w:p>
    <w:p w14:paraId="5A83700C" w14:textId="77777777" w:rsidR="002114B9" w:rsidRPr="00923562" w:rsidRDefault="002114B9" w:rsidP="00923562">
      <w:pPr>
        <w:pStyle w:val="Testonotadichiusura"/>
        <w:rPr>
          <w:rFonts w:ascii="Times" w:hAnsi="Times"/>
          <w:szCs w:val="20"/>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variable"/>
    <w:sig w:usb0="800000AF" w:usb1="1001ECEA" w:usb2="00000000" w:usb3="00000000" w:csb0="00000001" w:csb1="00000000"/>
  </w:font>
  <w:font w:name="SimSun">
    <w:altName w:val="宋体"/>
    <w:charset w:val="86"/>
    <w:family w:val="auto"/>
    <w:pitch w:val="variable"/>
    <w:sig w:usb0="00000003" w:usb1="288F0000" w:usb2="00000016" w:usb3="00000000" w:csb0="00040001" w:csb1="00000000"/>
  </w:font>
  <w:font w:name="TimesNewRomanPSMT">
    <w:altName w:val="Times New Roman"/>
    <w:panose1 w:val="00000000000000000000"/>
    <w:charset w:val="00"/>
    <w:family w:val="roman"/>
    <w:notTrueType/>
    <w:pitch w:val="default"/>
  </w:font>
  <w:font w:name="Liberation Serif">
    <w:altName w:val="Times New Roman"/>
    <w:charset w:val="00"/>
    <w:family w:val="roman"/>
    <w:pitch w:val="variable"/>
    <w:sig w:usb0="E0000AFF" w:usb1="500078FF" w:usb2="00000021" w:usb3="00000000" w:csb0="000001BF" w:csb1="00000000"/>
  </w:font>
  <w:font w:name="Mangal">
    <w:panose1 w:val="00000000000000000000"/>
    <w:charset w:val="01"/>
    <w:family w:val="roman"/>
    <w:notTrueType/>
    <w:pitch w:val="variable"/>
    <w:sig w:usb0="00002000" w:usb1="00000000" w:usb2="00000000" w:usb3="00000000" w:csb0="00000000" w:csb1="00000000"/>
  </w:font>
  <w:font w:name="Liberation Sans">
    <w:altName w:val="Arial"/>
    <w:charset w:val="00"/>
    <w:family w:val="swiss"/>
    <w:pitch w:val="variable"/>
    <w:sig w:usb0="E0000AFF" w:usb1="500078FF" w:usb2="00000021" w:usb3="00000000" w:csb0="000001BF" w:csb1="00000000"/>
  </w:font>
  <w:font w:name="Microsoft YaHei">
    <w:charset w:val="86"/>
    <w:family w:val="swiss"/>
    <w:pitch w:val="variable"/>
    <w:sig w:usb0="80000287" w:usb1="28CF3C52" w:usb2="00000016" w:usb3="00000000" w:csb0="0004001F" w:csb1="00000000"/>
  </w:font>
  <w:font w:name="Segoe UI">
    <w:altName w:val="Arial"/>
    <w:charset w:val="00"/>
    <w:family w:val="swiss"/>
    <w:pitch w:val="variable"/>
    <w:sig w:usb0="E5002EFF" w:usb1="C000E47F" w:usb2="00000029" w:usb3="00000000" w:csb0="000001FF"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E00002FF" w:usb1="6AC7FDFB" w:usb2="00000012" w:usb3="00000000" w:csb0="0002009F" w:csb1="00000000"/>
  </w:font>
  <w:font w:name="Times">
    <w:altName w:val="Times Roman"/>
    <w:panose1 w:val="02000500000000000000"/>
    <w:charset w:val="4D"/>
    <w:family w:val="roman"/>
    <w:notTrueType/>
    <w:pitch w:val="variable"/>
    <w:sig w:usb0="00000003" w:usb1="00000000" w:usb2="00000000" w:usb3="00000000" w:csb0="00000001" w:csb1="00000000"/>
  </w:font>
  <w:font w:name="Times Roman">
    <w:panose1 w:val="00000500000000020000"/>
    <w:charset w:val="00"/>
    <w:family w:val="auto"/>
    <w:pitch w:val="variable"/>
    <w:sig w:usb0="E00002FF" w:usb1="5000205A" w:usb2="00000000" w:usb3="00000000" w:csb0="0000019F" w:csb1="00000000"/>
  </w:font>
  <w:font w:name="Arial">
    <w:panose1 w:val="020B0604020202020204"/>
    <w:charset w:val="00"/>
    <w:family w:val="auto"/>
    <w:pitch w:val="variable"/>
    <w:sig w:usb0="E0002AFF" w:usb1="C0007843" w:usb2="00000009" w:usb3="00000000" w:csb0="000001FF" w:csb1="00000000"/>
  </w:font>
  <w:font w:name="PalatinoLinotype-Roman">
    <w:altName w:val="MS Mincho"/>
    <w:panose1 w:val="00000000000000000000"/>
    <w:charset w:val="80"/>
    <w:family w:val="auto"/>
    <w:notTrueType/>
    <w:pitch w:val="default"/>
    <w:sig w:usb0="00000003" w:usb1="08070000" w:usb2="00000010" w:usb3="00000000" w:csb0="00020009"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0BB994" w14:textId="77777777" w:rsidR="002114B9" w:rsidRDefault="002114B9">
      <w:r>
        <w:rPr>
          <w:color w:val="000000"/>
        </w:rPr>
        <w:separator/>
      </w:r>
    </w:p>
  </w:footnote>
  <w:footnote w:type="continuationSeparator" w:id="0">
    <w:p w14:paraId="31B77146" w14:textId="77777777" w:rsidR="002114B9" w:rsidRDefault="002114B9">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12408"/>
    <w:multiLevelType w:val="hybridMultilevel"/>
    <w:tmpl w:val="2A5A116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4BD7F39"/>
    <w:multiLevelType w:val="multilevel"/>
    <w:tmpl w:val="2108B1E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nsid w:val="06162FEF"/>
    <w:multiLevelType w:val="multilevel"/>
    <w:tmpl w:val="5D06391E"/>
    <w:styleLink w:val="WW8Num14"/>
    <w:lvl w:ilvl="0">
      <w:numFmt w:val="bullet"/>
      <w:lvlText w:val=""/>
      <w:lvlJc w:val="left"/>
      <w:pPr>
        <w:ind w:left="720" w:hanging="360"/>
      </w:pPr>
    </w:lvl>
    <w:lvl w:ilvl="1">
      <w:numFmt w:val="bullet"/>
      <w:lvlText w:val="o"/>
      <w:lvlJc w:val="left"/>
      <w:pPr>
        <w:ind w:left="1440" w:hanging="360"/>
      </w:p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lvl>
    <w:lvl w:ilvl="8">
      <w:numFmt w:val="bullet"/>
      <w:lvlText w:val=""/>
      <w:lvlJc w:val="left"/>
      <w:pPr>
        <w:ind w:left="6480" w:hanging="360"/>
      </w:pPr>
    </w:lvl>
  </w:abstractNum>
  <w:abstractNum w:abstractNumId="3">
    <w:nsid w:val="077B1C27"/>
    <w:multiLevelType w:val="multilevel"/>
    <w:tmpl w:val="62A4CDCC"/>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8BA6A50"/>
    <w:multiLevelType w:val="multilevel"/>
    <w:tmpl w:val="A8881D12"/>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5">
    <w:nsid w:val="09A408D0"/>
    <w:multiLevelType w:val="multilevel"/>
    <w:tmpl w:val="7ECAA414"/>
    <w:lvl w:ilvl="0">
      <w:start w:val="7"/>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A0052D3"/>
    <w:multiLevelType w:val="multilevel"/>
    <w:tmpl w:val="852A25AA"/>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0EE319D"/>
    <w:multiLevelType w:val="hybridMultilevel"/>
    <w:tmpl w:val="39828274"/>
    <w:lvl w:ilvl="0" w:tplc="5B1834FC">
      <w:start w:val="37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125C7AF2"/>
    <w:multiLevelType w:val="multilevel"/>
    <w:tmpl w:val="F6CC89C4"/>
    <w:lvl w:ilvl="0">
      <w:start w:val="1"/>
      <w:numFmt w:val="decimal"/>
      <w:lvlText w:val="%1."/>
      <w:lvlJc w:val="left"/>
      <w:pPr>
        <w:tabs>
          <w:tab w:val="num" w:pos="720"/>
        </w:tabs>
        <w:ind w:left="720" w:hanging="360"/>
      </w:pPr>
      <w:rPr>
        <w:lang w:val="en-US"/>
      </w:r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9">
    <w:nsid w:val="13E15140"/>
    <w:multiLevelType w:val="multilevel"/>
    <w:tmpl w:val="B952037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nsid w:val="1A7D5A45"/>
    <w:multiLevelType w:val="multilevel"/>
    <w:tmpl w:val="AE16F250"/>
    <w:styleLink w:val="WW8Num17"/>
    <w:lvl w:ilvl="0">
      <w:numFmt w:val="bullet"/>
      <w:lvlText w:val=""/>
      <w:lvlJc w:val="left"/>
      <w:pPr>
        <w:ind w:left="720" w:hanging="360"/>
      </w:pPr>
    </w:lvl>
    <w:lvl w:ilvl="1">
      <w:numFmt w:val="bullet"/>
      <w:lvlText w:val="o"/>
      <w:lvlJc w:val="left"/>
      <w:pPr>
        <w:ind w:left="1440" w:hanging="360"/>
      </w:p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lvl>
    <w:lvl w:ilvl="8">
      <w:numFmt w:val="bullet"/>
      <w:lvlText w:val=""/>
      <w:lvlJc w:val="left"/>
      <w:pPr>
        <w:ind w:left="6480" w:hanging="360"/>
      </w:pPr>
    </w:lvl>
  </w:abstractNum>
  <w:abstractNum w:abstractNumId="11">
    <w:nsid w:val="1B165A37"/>
    <w:multiLevelType w:val="hybridMultilevel"/>
    <w:tmpl w:val="B69624D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227171E0"/>
    <w:multiLevelType w:val="multilevel"/>
    <w:tmpl w:val="52D632A0"/>
    <w:styleLink w:val="WW8Num2"/>
    <w:lvl w:ilvl="0">
      <w:start w:val="8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43C52C9"/>
    <w:multiLevelType w:val="multilevel"/>
    <w:tmpl w:val="44FE50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4DC4132"/>
    <w:multiLevelType w:val="hybridMultilevel"/>
    <w:tmpl w:val="D0E2FA3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258B7C66"/>
    <w:multiLevelType w:val="multilevel"/>
    <w:tmpl w:val="692667DE"/>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AE667C1"/>
    <w:multiLevelType w:val="multilevel"/>
    <w:tmpl w:val="334687D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7">
    <w:nsid w:val="2CD113F4"/>
    <w:multiLevelType w:val="hybridMultilevel"/>
    <w:tmpl w:val="451A5C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2FC60133"/>
    <w:multiLevelType w:val="multilevel"/>
    <w:tmpl w:val="4A9A770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9">
    <w:nsid w:val="342E7B1D"/>
    <w:multiLevelType w:val="hybridMultilevel"/>
    <w:tmpl w:val="F048A0E8"/>
    <w:lvl w:ilvl="0" w:tplc="F8800152">
      <w:start w:val="38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37631E65"/>
    <w:multiLevelType w:val="hybridMultilevel"/>
    <w:tmpl w:val="85C8CF94"/>
    <w:lvl w:ilvl="0" w:tplc="01705E28">
      <w:start w:val="3"/>
      <w:numFmt w:val="bullet"/>
      <w:lvlText w:val="-"/>
      <w:lvlJc w:val="left"/>
      <w:pPr>
        <w:ind w:left="720" w:hanging="360"/>
      </w:pPr>
      <w:rPr>
        <w:rFonts w:ascii="Times New Roman" w:eastAsia="SimSu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3A784C89"/>
    <w:multiLevelType w:val="hybridMultilevel"/>
    <w:tmpl w:val="D0EEC728"/>
    <w:lvl w:ilvl="0" w:tplc="AE50E668">
      <w:start w:val="37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3B5D26F9"/>
    <w:multiLevelType w:val="multilevel"/>
    <w:tmpl w:val="A964E53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3">
    <w:nsid w:val="436832C2"/>
    <w:multiLevelType w:val="multilevel"/>
    <w:tmpl w:val="E2A42F9E"/>
    <w:styleLink w:val="WW8Num3"/>
    <w:lvl w:ilvl="0">
      <w:numFmt w:val="bullet"/>
      <w:lvlText w:val=""/>
      <w:lvlJc w:val="left"/>
      <w:pPr>
        <w:ind w:left="720" w:hanging="360"/>
      </w:pPr>
    </w:lvl>
    <w:lvl w:ilvl="1">
      <w:numFmt w:val="bullet"/>
      <w:lvlText w:val="o"/>
      <w:lvlJc w:val="left"/>
      <w:pPr>
        <w:ind w:left="1440" w:hanging="360"/>
      </w:p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lvl>
    <w:lvl w:ilvl="8">
      <w:numFmt w:val="bullet"/>
      <w:lvlText w:val=""/>
      <w:lvlJc w:val="left"/>
      <w:pPr>
        <w:ind w:left="6480" w:hanging="360"/>
      </w:pPr>
    </w:lvl>
  </w:abstractNum>
  <w:abstractNum w:abstractNumId="24">
    <w:nsid w:val="4A420B11"/>
    <w:multiLevelType w:val="multilevel"/>
    <w:tmpl w:val="7248A1E4"/>
    <w:styleLink w:val="WW8Num6"/>
    <w:lvl w:ilvl="0">
      <w:start w:val="4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4F913C97"/>
    <w:multiLevelType w:val="multilevel"/>
    <w:tmpl w:val="4FB8998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nsid w:val="5063219E"/>
    <w:multiLevelType w:val="multilevel"/>
    <w:tmpl w:val="ACDE6EF0"/>
    <w:styleLink w:val="WW8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525D6E7E"/>
    <w:multiLevelType w:val="hybridMultilevel"/>
    <w:tmpl w:val="403A4C9C"/>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nsid w:val="52986010"/>
    <w:multiLevelType w:val="hybridMultilevel"/>
    <w:tmpl w:val="36F00EB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nsid w:val="66842D3D"/>
    <w:multiLevelType w:val="multilevel"/>
    <w:tmpl w:val="7A5A3C9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0">
    <w:nsid w:val="684D1B9B"/>
    <w:multiLevelType w:val="hybridMultilevel"/>
    <w:tmpl w:val="6EB2FB44"/>
    <w:lvl w:ilvl="0" w:tplc="05A61A5A">
      <w:start w:val="379"/>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nsid w:val="6A5A47F1"/>
    <w:multiLevelType w:val="multilevel"/>
    <w:tmpl w:val="7E1670F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B3C1DAF"/>
    <w:multiLevelType w:val="multilevel"/>
    <w:tmpl w:val="DEBC8ABA"/>
    <w:styleLink w:val="WW8Num4"/>
    <w:lvl w:ilvl="0">
      <w:start w:val="31"/>
      <w:numFmt w:val="decimal"/>
      <w:lvlText w:val="%1"/>
      <w:lvlJc w:val="left"/>
      <w:pPr>
        <w:ind w:left="900"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33">
    <w:nsid w:val="6DB86B58"/>
    <w:multiLevelType w:val="hybridMultilevel"/>
    <w:tmpl w:val="9F308CEA"/>
    <w:lvl w:ilvl="0" w:tplc="0658A864">
      <w:start w:val="27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nsid w:val="7F3D173E"/>
    <w:multiLevelType w:val="hybridMultilevel"/>
    <w:tmpl w:val="65DADBCC"/>
    <w:lvl w:ilvl="0" w:tplc="EF3A2142">
      <w:start w:val="278"/>
      <w:numFmt w:val="decimal"/>
      <w:lvlText w:val="%1"/>
      <w:lvlJc w:val="left"/>
      <w:pPr>
        <w:ind w:left="720" w:hanging="360"/>
      </w:pPr>
      <w:rPr>
        <w:rFonts w:ascii="TimesNewRomanPSMT" w:hAnsi="TimesNewRomanPSMT" w:hint="default"/>
        <w:sz w:val="16"/>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2"/>
  </w:num>
  <w:num w:numId="2">
    <w:abstractNumId w:val="24"/>
  </w:num>
  <w:num w:numId="3">
    <w:abstractNumId w:val="10"/>
  </w:num>
  <w:num w:numId="4">
    <w:abstractNumId w:val="23"/>
  </w:num>
  <w:num w:numId="5">
    <w:abstractNumId w:val="2"/>
  </w:num>
  <w:num w:numId="6">
    <w:abstractNumId w:val="26"/>
  </w:num>
  <w:num w:numId="7">
    <w:abstractNumId w:val="4"/>
  </w:num>
  <w:num w:numId="8">
    <w:abstractNumId w:val="11"/>
  </w:num>
  <w:num w:numId="9">
    <w:abstractNumId w:val="12"/>
  </w:num>
  <w:num w:numId="10">
    <w:abstractNumId w:val="0"/>
  </w:num>
  <w:num w:numId="11">
    <w:abstractNumId w:val="20"/>
  </w:num>
  <w:num w:numId="12">
    <w:abstractNumId w:val="28"/>
  </w:num>
  <w:num w:numId="13">
    <w:abstractNumId w:val="27"/>
  </w:num>
  <w:num w:numId="14">
    <w:abstractNumId w:val="14"/>
  </w:num>
  <w:num w:numId="15">
    <w:abstractNumId w:val="13"/>
  </w:num>
  <w:num w:numId="16">
    <w:abstractNumId w:val="31"/>
  </w:num>
  <w:num w:numId="17">
    <w:abstractNumId w:val="29"/>
  </w:num>
  <w:num w:numId="18">
    <w:abstractNumId w:val="1"/>
  </w:num>
  <w:num w:numId="19">
    <w:abstractNumId w:val="22"/>
  </w:num>
  <w:num w:numId="20">
    <w:abstractNumId w:val="18"/>
  </w:num>
  <w:num w:numId="21">
    <w:abstractNumId w:val="9"/>
  </w:num>
  <w:num w:numId="22">
    <w:abstractNumId w:val="15"/>
  </w:num>
  <w:num w:numId="23">
    <w:abstractNumId w:val="6"/>
  </w:num>
  <w:num w:numId="24">
    <w:abstractNumId w:val="8"/>
  </w:num>
  <w:num w:numId="25">
    <w:abstractNumId w:val="21"/>
  </w:num>
  <w:num w:numId="26">
    <w:abstractNumId w:val="7"/>
  </w:num>
  <w:num w:numId="27">
    <w:abstractNumId w:val="30"/>
  </w:num>
  <w:num w:numId="28">
    <w:abstractNumId w:val="19"/>
  </w:num>
  <w:num w:numId="29">
    <w:abstractNumId w:val="16"/>
  </w:num>
  <w:num w:numId="30">
    <w:abstractNumId w:val="17"/>
  </w:num>
  <w:num w:numId="31">
    <w:abstractNumId w:val="3"/>
  </w:num>
  <w:num w:numId="32">
    <w:abstractNumId w:val="33"/>
  </w:num>
  <w:num w:numId="33">
    <w:abstractNumId w:val="34"/>
  </w:num>
  <w:num w:numId="34">
    <w:abstractNumId w:val="25"/>
  </w:num>
  <w:num w:numId="35">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hideSpellingErrors/>
  <w:defaultTabStop w:val="709"/>
  <w:autoHyphenation/>
  <w:hyphenationZone w:val="283"/>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0F75"/>
    <w:rsid w:val="00001431"/>
    <w:rsid w:val="000020AF"/>
    <w:rsid w:val="00006740"/>
    <w:rsid w:val="00006A61"/>
    <w:rsid w:val="00014AC1"/>
    <w:rsid w:val="00015416"/>
    <w:rsid w:val="00025FF9"/>
    <w:rsid w:val="000263A8"/>
    <w:rsid w:val="000333AA"/>
    <w:rsid w:val="000347AC"/>
    <w:rsid w:val="0003540E"/>
    <w:rsid w:val="00042EAF"/>
    <w:rsid w:val="00045BDF"/>
    <w:rsid w:val="00047C94"/>
    <w:rsid w:val="000512FB"/>
    <w:rsid w:val="000516E6"/>
    <w:rsid w:val="0005518F"/>
    <w:rsid w:val="0006480E"/>
    <w:rsid w:val="00064861"/>
    <w:rsid w:val="00067F7D"/>
    <w:rsid w:val="0007086F"/>
    <w:rsid w:val="0007226F"/>
    <w:rsid w:val="0007229F"/>
    <w:rsid w:val="000758F4"/>
    <w:rsid w:val="000811A2"/>
    <w:rsid w:val="0008327D"/>
    <w:rsid w:val="000843F6"/>
    <w:rsid w:val="000924AC"/>
    <w:rsid w:val="0009520F"/>
    <w:rsid w:val="000A2EE7"/>
    <w:rsid w:val="000A4298"/>
    <w:rsid w:val="000A670E"/>
    <w:rsid w:val="000B20FC"/>
    <w:rsid w:val="000B345B"/>
    <w:rsid w:val="000B75E8"/>
    <w:rsid w:val="000C7052"/>
    <w:rsid w:val="000C7EF8"/>
    <w:rsid w:val="000D26BD"/>
    <w:rsid w:val="000E5AB2"/>
    <w:rsid w:val="000F5704"/>
    <w:rsid w:val="00103EB5"/>
    <w:rsid w:val="00104696"/>
    <w:rsid w:val="001127CA"/>
    <w:rsid w:val="00114D02"/>
    <w:rsid w:val="001150BE"/>
    <w:rsid w:val="001151C6"/>
    <w:rsid w:val="00117C39"/>
    <w:rsid w:val="001217E9"/>
    <w:rsid w:val="0012410D"/>
    <w:rsid w:val="001254A3"/>
    <w:rsid w:val="00126261"/>
    <w:rsid w:val="00135005"/>
    <w:rsid w:val="001362E5"/>
    <w:rsid w:val="00145766"/>
    <w:rsid w:val="00145E9F"/>
    <w:rsid w:val="001526CE"/>
    <w:rsid w:val="001545F5"/>
    <w:rsid w:val="00175EC3"/>
    <w:rsid w:val="00177D55"/>
    <w:rsid w:val="00177FC4"/>
    <w:rsid w:val="00181479"/>
    <w:rsid w:val="00186FE7"/>
    <w:rsid w:val="00187356"/>
    <w:rsid w:val="001900B1"/>
    <w:rsid w:val="0019297E"/>
    <w:rsid w:val="00193A7D"/>
    <w:rsid w:val="00195ACA"/>
    <w:rsid w:val="00195B5A"/>
    <w:rsid w:val="001A12A1"/>
    <w:rsid w:val="001A2693"/>
    <w:rsid w:val="001A4BA5"/>
    <w:rsid w:val="001B0CE1"/>
    <w:rsid w:val="001B21AF"/>
    <w:rsid w:val="001B2BB8"/>
    <w:rsid w:val="001B39DC"/>
    <w:rsid w:val="001B7C91"/>
    <w:rsid w:val="001C023B"/>
    <w:rsid w:val="001C175E"/>
    <w:rsid w:val="001C2365"/>
    <w:rsid w:val="001C2EE0"/>
    <w:rsid w:val="001C38B7"/>
    <w:rsid w:val="001C76A3"/>
    <w:rsid w:val="001D23FA"/>
    <w:rsid w:val="001D2B7C"/>
    <w:rsid w:val="001E1E97"/>
    <w:rsid w:val="001E235D"/>
    <w:rsid w:val="001E4221"/>
    <w:rsid w:val="001E7E55"/>
    <w:rsid w:val="001F0DAA"/>
    <w:rsid w:val="001F1B01"/>
    <w:rsid w:val="002010A5"/>
    <w:rsid w:val="00201EC3"/>
    <w:rsid w:val="00207CCD"/>
    <w:rsid w:val="002114B9"/>
    <w:rsid w:val="00223EF5"/>
    <w:rsid w:val="00232BDA"/>
    <w:rsid w:val="00237132"/>
    <w:rsid w:val="00237CCA"/>
    <w:rsid w:val="00237D20"/>
    <w:rsid w:val="00241100"/>
    <w:rsid w:val="00243912"/>
    <w:rsid w:val="0024753D"/>
    <w:rsid w:val="00253CBC"/>
    <w:rsid w:val="00260D82"/>
    <w:rsid w:val="0026541B"/>
    <w:rsid w:val="00270D47"/>
    <w:rsid w:val="00274550"/>
    <w:rsid w:val="00282745"/>
    <w:rsid w:val="00293A06"/>
    <w:rsid w:val="0029691F"/>
    <w:rsid w:val="002A0394"/>
    <w:rsid w:val="002A3147"/>
    <w:rsid w:val="002B2D80"/>
    <w:rsid w:val="002B3EA2"/>
    <w:rsid w:val="002C6081"/>
    <w:rsid w:val="002D08B4"/>
    <w:rsid w:val="002D664F"/>
    <w:rsid w:val="002D6D6B"/>
    <w:rsid w:val="002E0833"/>
    <w:rsid w:val="002E196D"/>
    <w:rsid w:val="002E24F5"/>
    <w:rsid w:val="002E3121"/>
    <w:rsid w:val="002E34F0"/>
    <w:rsid w:val="002E4DE7"/>
    <w:rsid w:val="002E7093"/>
    <w:rsid w:val="002F43A5"/>
    <w:rsid w:val="002F459D"/>
    <w:rsid w:val="002F50D1"/>
    <w:rsid w:val="00306CAB"/>
    <w:rsid w:val="003075ED"/>
    <w:rsid w:val="00315760"/>
    <w:rsid w:val="003218BA"/>
    <w:rsid w:val="00330E1C"/>
    <w:rsid w:val="00330F15"/>
    <w:rsid w:val="00332785"/>
    <w:rsid w:val="00333D9B"/>
    <w:rsid w:val="00340B49"/>
    <w:rsid w:val="00346082"/>
    <w:rsid w:val="0035610C"/>
    <w:rsid w:val="00357E29"/>
    <w:rsid w:val="00360169"/>
    <w:rsid w:val="00360364"/>
    <w:rsid w:val="00374499"/>
    <w:rsid w:val="00375458"/>
    <w:rsid w:val="00376ABA"/>
    <w:rsid w:val="00376FD4"/>
    <w:rsid w:val="00381CAD"/>
    <w:rsid w:val="003A58A4"/>
    <w:rsid w:val="003A5B73"/>
    <w:rsid w:val="003A7B72"/>
    <w:rsid w:val="003A7D3E"/>
    <w:rsid w:val="003B30B7"/>
    <w:rsid w:val="003B3C01"/>
    <w:rsid w:val="003B666D"/>
    <w:rsid w:val="003C0098"/>
    <w:rsid w:val="003C4A68"/>
    <w:rsid w:val="003C710F"/>
    <w:rsid w:val="003C7302"/>
    <w:rsid w:val="003C7AF5"/>
    <w:rsid w:val="003D0C8A"/>
    <w:rsid w:val="003D6AF4"/>
    <w:rsid w:val="003D7A46"/>
    <w:rsid w:val="003E56D6"/>
    <w:rsid w:val="003E713A"/>
    <w:rsid w:val="003F056A"/>
    <w:rsid w:val="003F1508"/>
    <w:rsid w:val="003F1BB9"/>
    <w:rsid w:val="003F4AA9"/>
    <w:rsid w:val="003F4AF9"/>
    <w:rsid w:val="00400B8F"/>
    <w:rsid w:val="004050E4"/>
    <w:rsid w:val="004062DB"/>
    <w:rsid w:val="00411A26"/>
    <w:rsid w:val="00412169"/>
    <w:rsid w:val="0041473F"/>
    <w:rsid w:val="0041796E"/>
    <w:rsid w:val="004261A9"/>
    <w:rsid w:val="004307F5"/>
    <w:rsid w:val="00434A94"/>
    <w:rsid w:val="004403D3"/>
    <w:rsid w:val="00441993"/>
    <w:rsid w:val="0044284C"/>
    <w:rsid w:val="00444768"/>
    <w:rsid w:val="004465B9"/>
    <w:rsid w:val="00454AC2"/>
    <w:rsid w:val="004635FF"/>
    <w:rsid w:val="0046528D"/>
    <w:rsid w:val="00467102"/>
    <w:rsid w:val="00473836"/>
    <w:rsid w:val="00475852"/>
    <w:rsid w:val="00481255"/>
    <w:rsid w:val="00491C07"/>
    <w:rsid w:val="0049307F"/>
    <w:rsid w:val="00493AD9"/>
    <w:rsid w:val="00496175"/>
    <w:rsid w:val="004A0416"/>
    <w:rsid w:val="004A2936"/>
    <w:rsid w:val="004A3EEC"/>
    <w:rsid w:val="004A5C09"/>
    <w:rsid w:val="004B013C"/>
    <w:rsid w:val="004B06C2"/>
    <w:rsid w:val="004B327F"/>
    <w:rsid w:val="004C0535"/>
    <w:rsid w:val="004C08F6"/>
    <w:rsid w:val="004C1535"/>
    <w:rsid w:val="004C6C7F"/>
    <w:rsid w:val="004C721B"/>
    <w:rsid w:val="004C7F19"/>
    <w:rsid w:val="004D1C3D"/>
    <w:rsid w:val="004D2644"/>
    <w:rsid w:val="004D2ED1"/>
    <w:rsid w:val="004D47F9"/>
    <w:rsid w:val="004D79E8"/>
    <w:rsid w:val="004D7EF0"/>
    <w:rsid w:val="004E3D41"/>
    <w:rsid w:val="004E447E"/>
    <w:rsid w:val="004E5E0E"/>
    <w:rsid w:val="004F1509"/>
    <w:rsid w:val="004F188C"/>
    <w:rsid w:val="004F64EB"/>
    <w:rsid w:val="004F766E"/>
    <w:rsid w:val="00503A8F"/>
    <w:rsid w:val="00503E95"/>
    <w:rsid w:val="005041A9"/>
    <w:rsid w:val="00504507"/>
    <w:rsid w:val="00510CDE"/>
    <w:rsid w:val="0051385A"/>
    <w:rsid w:val="00517706"/>
    <w:rsid w:val="005224FA"/>
    <w:rsid w:val="00524B85"/>
    <w:rsid w:val="00525270"/>
    <w:rsid w:val="00525DB6"/>
    <w:rsid w:val="0053298D"/>
    <w:rsid w:val="005364E2"/>
    <w:rsid w:val="0053653D"/>
    <w:rsid w:val="00536B51"/>
    <w:rsid w:val="0054646C"/>
    <w:rsid w:val="005524E9"/>
    <w:rsid w:val="005528C1"/>
    <w:rsid w:val="00553BBE"/>
    <w:rsid w:val="00557F4E"/>
    <w:rsid w:val="00560F75"/>
    <w:rsid w:val="005727AD"/>
    <w:rsid w:val="00573C67"/>
    <w:rsid w:val="005871A2"/>
    <w:rsid w:val="00595117"/>
    <w:rsid w:val="005A0C66"/>
    <w:rsid w:val="005A7EDC"/>
    <w:rsid w:val="005B2219"/>
    <w:rsid w:val="005C239A"/>
    <w:rsid w:val="005C5F7C"/>
    <w:rsid w:val="005D402F"/>
    <w:rsid w:val="005D71CD"/>
    <w:rsid w:val="005E14B2"/>
    <w:rsid w:val="005E4BC5"/>
    <w:rsid w:val="005F5E12"/>
    <w:rsid w:val="006047BD"/>
    <w:rsid w:val="00605D85"/>
    <w:rsid w:val="00620CA5"/>
    <w:rsid w:val="0062477D"/>
    <w:rsid w:val="0063185E"/>
    <w:rsid w:val="0063262C"/>
    <w:rsid w:val="00633064"/>
    <w:rsid w:val="00640FF3"/>
    <w:rsid w:val="00642217"/>
    <w:rsid w:val="00644EBF"/>
    <w:rsid w:val="0065143C"/>
    <w:rsid w:val="0065183E"/>
    <w:rsid w:val="006556EB"/>
    <w:rsid w:val="00656C8B"/>
    <w:rsid w:val="006607B4"/>
    <w:rsid w:val="0066261B"/>
    <w:rsid w:val="00664943"/>
    <w:rsid w:val="006652B8"/>
    <w:rsid w:val="00667546"/>
    <w:rsid w:val="00676392"/>
    <w:rsid w:val="006817B9"/>
    <w:rsid w:val="00684B76"/>
    <w:rsid w:val="0068562E"/>
    <w:rsid w:val="0068770A"/>
    <w:rsid w:val="00690EC2"/>
    <w:rsid w:val="00693431"/>
    <w:rsid w:val="006A086D"/>
    <w:rsid w:val="006A241C"/>
    <w:rsid w:val="006A2C9D"/>
    <w:rsid w:val="006A65EC"/>
    <w:rsid w:val="006B0602"/>
    <w:rsid w:val="006B159C"/>
    <w:rsid w:val="006B1697"/>
    <w:rsid w:val="006B298E"/>
    <w:rsid w:val="006C143F"/>
    <w:rsid w:val="006C383D"/>
    <w:rsid w:val="006C6EB1"/>
    <w:rsid w:val="006D0A3E"/>
    <w:rsid w:val="006D50EC"/>
    <w:rsid w:val="006E14DF"/>
    <w:rsid w:val="006E49DF"/>
    <w:rsid w:val="006E660A"/>
    <w:rsid w:val="007018AA"/>
    <w:rsid w:val="00701EBE"/>
    <w:rsid w:val="00702E05"/>
    <w:rsid w:val="0070450E"/>
    <w:rsid w:val="00706156"/>
    <w:rsid w:val="00711C8E"/>
    <w:rsid w:val="00712321"/>
    <w:rsid w:val="00714D7F"/>
    <w:rsid w:val="00720BE0"/>
    <w:rsid w:val="00724A35"/>
    <w:rsid w:val="00725FF8"/>
    <w:rsid w:val="00727E85"/>
    <w:rsid w:val="00734724"/>
    <w:rsid w:val="007364D5"/>
    <w:rsid w:val="00736637"/>
    <w:rsid w:val="007441FB"/>
    <w:rsid w:val="00745893"/>
    <w:rsid w:val="00745F16"/>
    <w:rsid w:val="00752B4B"/>
    <w:rsid w:val="00757574"/>
    <w:rsid w:val="00757C61"/>
    <w:rsid w:val="00763873"/>
    <w:rsid w:val="00765AD3"/>
    <w:rsid w:val="00776449"/>
    <w:rsid w:val="0078094C"/>
    <w:rsid w:val="00783145"/>
    <w:rsid w:val="007863AE"/>
    <w:rsid w:val="00793B1C"/>
    <w:rsid w:val="007968D8"/>
    <w:rsid w:val="007A3411"/>
    <w:rsid w:val="007A639A"/>
    <w:rsid w:val="007B0FBD"/>
    <w:rsid w:val="007B15AE"/>
    <w:rsid w:val="007B1C7A"/>
    <w:rsid w:val="007B2610"/>
    <w:rsid w:val="007B6260"/>
    <w:rsid w:val="007B7065"/>
    <w:rsid w:val="007C7BB8"/>
    <w:rsid w:val="007D14DC"/>
    <w:rsid w:val="007D36B2"/>
    <w:rsid w:val="007D483B"/>
    <w:rsid w:val="007E298E"/>
    <w:rsid w:val="007E5412"/>
    <w:rsid w:val="007F7821"/>
    <w:rsid w:val="00801576"/>
    <w:rsid w:val="00801C84"/>
    <w:rsid w:val="00801FF4"/>
    <w:rsid w:val="00805D65"/>
    <w:rsid w:val="00805EF9"/>
    <w:rsid w:val="00806B9C"/>
    <w:rsid w:val="00806F45"/>
    <w:rsid w:val="008077DE"/>
    <w:rsid w:val="0081092B"/>
    <w:rsid w:val="008209E6"/>
    <w:rsid w:val="008265D5"/>
    <w:rsid w:val="008329E7"/>
    <w:rsid w:val="00836295"/>
    <w:rsid w:val="0083742D"/>
    <w:rsid w:val="00840307"/>
    <w:rsid w:val="0084314D"/>
    <w:rsid w:val="00846BB1"/>
    <w:rsid w:val="00850113"/>
    <w:rsid w:val="008556F4"/>
    <w:rsid w:val="0086046A"/>
    <w:rsid w:val="008720DB"/>
    <w:rsid w:val="00874A31"/>
    <w:rsid w:val="00877962"/>
    <w:rsid w:val="008823EB"/>
    <w:rsid w:val="008913AC"/>
    <w:rsid w:val="00893A87"/>
    <w:rsid w:val="00897F15"/>
    <w:rsid w:val="008A3460"/>
    <w:rsid w:val="008A5A15"/>
    <w:rsid w:val="008B5859"/>
    <w:rsid w:val="008B7B5E"/>
    <w:rsid w:val="008C059A"/>
    <w:rsid w:val="008C2220"/>
    <w:rsid w:val="008C240D"/>
    <w:rsid w:val="008D2603"/>
    <w:rsid w:val="008D2A40"/>
    <w:rsid w:val="008D609C"/>
    <w:rsid w:val="008E07D2"/>
    <w:rsid w:val="008E3021"/>
    <w:rsid w:val="008E41F6"/>
    <w:rsid w:val="008F0BF3"/>
    <w:rsid w:val="008F2FD8"/>
    <w:rsid w:val="00900A57"/>
    <w:rsid w:val="0090568F"/>
    <w:rsid w:val="00912000"/>
    <w:rsid w:val="00915A90"/>
    <w:rsid w:val="00923562"/>
    <w:rsid w:val="00933D86"/>
    <w:rsid w:val="009419A8"/>
    <w:rsid w:val="0094309F"/>
    <w:rsid w:val="00943310"/>
    <w:rsid w:val="00943B34"/>
    <w:rsid w:val="00951475"/>
    <w:rsid w:val="00952D24"/>
    <w:rsid w:val="00953B50"/>
    <w:rsid w:val="0095549C"/>
    <w:rsid w:val="0096202E"/>
    <w:rsid w:val="0096267B"/>
    <w:rsid w:val="00967B35"/>
    <w:rsid w:val="00974A01"/>
    <w:rsid w:val="00974F73"/>
    <w:rsid w:val="00981F9E"/>
    <w:rsid w:val="0098245E"/>
    <w:rsid w:val="009832E6"/>
    <w:rsid w:val="00983A12"/>
    <w:rsid w:val="00985B21"/>
    <w:rsid w:val="009965E9"/>
    <w:rsid w:val="009B189E"/>
    <w:rsid w:val="009C2B28"/>
    <w:rsid w:val="009C5697"/>
    <w:rsid w:val="009C5A78"/>
    <w:rsid w:val="009D154D"/>
    <w:rsid w:val="009D7E6E"/>
    <w:rsid w:val="009E1416"/>
    <w:rsid w:val="009E61A0"/>
    <w:rsid w:val="009E62CE"/>
    <w:rsid w:val="009F4E92"/>
    <w:rsid w:val="009F5EA8"/>
    <w:rsid w:val="00A013D1"/>
    <w:rsid w:val="00A04291"/>
    <w:rsid w:val="00A1096D"/>
    <w:rsid w:val="00A10A58"/>
    <w:rsid w:val="00A14941"/>
    <w:rsid w:val="00A17305"/>
    <w:rsid w:val="00A2242B"/>
    <w:rsid w:val="00A255CA"/>
    <w:rsid w:val="00A262BF"/>
    <w:rsid w:val="00A40283"/>
    <w:rsid w:val="00A4044B"/>
    <w:rsid w:val="00A4127C"/>
    <w:rsid w:val="00A5499B"/>
    <w:rsid w:val="00A57187"/>
    <w:rsid w:val="00A61159"/>
    <w:rsid w:val="00A61B85"/>
    <w:rsid w:val="00A64C4E"/>
    <w:rsid w:val="00A64DE1"/>
    <w:rsid w:val="00A90542"/>
    <w:rsid w:val="00A90853"/>
    <w:rsid w:val="00A9404A"/>
    <w:rsid w:val="00AB0CC3"/>
    <w:rsid w:val="00AB1D5B"/>
    <w:rsid w:val="00AB20BE"/>
    <w:rsid w:val="00AB37A1"/>
    <w:rsid w:val="00AD108C"/>
    <w:rsid w:val="00AD13C5"/>
    <w:rsid w:val="00AD45B1"/>
    <w:rsid w:val="00AD5FF9"/>
    <w:rsid w:val="00AE04AF"/>
    <w:rsid w:val="00AE660D"/>
    <w:rsid w:val="00AE7327"/>
    <w:rsid w:val="00AE7C2D"/>
    <w:rsid w:val="00AF0BD4"/>
    <w:rsid w:val="00AF0D8B"/>
    <w:rsid w:val="00AF162B"/>
    <w:rsid w:val="00AF3F9B"/>
    <w:rsid w:val="00AF5896"/>
    <w:rsid w:val="00AF682A"/>
    <w:rsid w:val="00AF78C6"/>
    <w:rsid w:val="00AF7B4D"/>
    <w:rsid w:val="00B02044"/>
    <w:rsid w:val="00B02700"/>
    <w:rsid w:val="00B077F2"/>
    <w:rsid w:val="00B126FB"/>
    <w:rsid w:val="00B1542F"/>
    <w:rsid w:val="00B17922"/>
    <w:rsid w:val="00B17B87"/>
    <w:rsid w:val="00B20E44"/>
    <w:rsid w:val="00B23C6A"/>
    <w:rsid w:val="00B2628C"/>
    <w:rsid w:val="00B26978"/>
    <w:rsid w:val="00B273B7"/>
    <w:rsid w:val="00B327DD"/>
    <w:rsid w:val="00B36B4A"/>
    <w:rsid w:val="00B3729E"/>
    <w:rsid w:val="00B42776"/>
    <w:rsid w:val="00B503B1"/>
    <w:rsid w:val="00B5375F"/>
    <w:rsid w:val="00B54A7D"/>
    <w:rsid w:val="00B60859"/>
    <w:rsid w:val="00B63F92"/>
    <w:rsid w:val="00B66FBD"/>
    <w:rsid w:val="00B67CB0"/>
    <w:rsid w:val="00B71D5F"/>
    <w:rsid w:val="00B74C5F"/>
    <w:rsid w:val="00B77014"/>
    <w:rsid w:val="00B8254C"/>
    <w:rsid w:val="00B8394D"/>
    <w:rsid w:val="00B918F0"/>
    <w:rsid w:val="00B930D4"/>
    <w:rsid w:val="00B947BF"/>
    <w:rsid w:val="00BA2B0F"/>
    <w:rsid w:val="00BA335A"/>
    <w:rsid w:val="00BA4946"/>
    <w:rsid w:val="00BA55A3"/>
    <w:rsid w:val="00BA5AB0"/>
    <w:rsid w:val="00BA629C"/>
    <w:rsid w:val="00BA7CA5"/>
    <w:rsid w:val="00BB090F"/>
    <w:rsid w:val="00BB4976"/>
    <w:rsid w:val="00BB7B48"/>
    <w:rsid w:val="00BC28E4"/>
    <w:rsid w:val="00BC36DA"/>
    <w:rsid w:val="00BC3C7A"/>
    <w:rsid w:val="00BC60CB"/>
    <w:rsid w:val="00BD03E8"/>
    <w:rsid w:val="00BD36CB"/>
    <w:rsid w:val="00BD4191"/>
    <w:rsid w:val="00BD591B"/>
    <w:rsid w:val="00BD7377"/>
    <w:rsid w:val="00BE0104"/>
    <w:rsid w:val="00BE35D9"/>
    <w:rsid w:val="00BE39BA"/>
    <w:rsid w:val="00C01A71"/>
    <w:rsid w:val="00C04C31"/>
    <w:rsid w:val="00C05520"/>
    <w:rsid w:val="00C064F6"/>
    <w:rsid w:val="00C06769"/>
    <w:rsid w:val="00C10E25"/>
    <w:rsid w:val="00C12C8D"/>
    <w:rsid w:val="00C12DBE"/>
    <w:rsid w:val="00C137BC"/>
    <w:rsid w:val="00C15FCE"/>
    <w:rsid w:val="00C178CC"/>
    <w:rsid w:val="00C22180"/>
    <w:rsid w:val="00C24C63"/>
    <w:rsid w:val="00C25377"/>
    <w:rsid w:val="00C335B5"/>
    <w:rsid w:val="00C410B9"/>
    <w:rsid w:val="00C41E78"/>
    <w:rsid w:val="00C42839"/>
    <w:rsid w:val="00C447E5"/>
    <w:rsid w:val="00C457A3"/>
    <w:rsid w:val="00C47187"/>
    <w:rsid w:val="00C55D3C"/>
    <w:rsid w:val="00C56D7D"/>
    <w:rsid w:val="00C6100F"/>
    <w:rsid w:val="00C61E6B"/>
    <w:rsid w:val="00C75F0A"/>
    <w:rsid w:val="00C76944"/>
    <w:rsid w:val="00C76E48"/>
    <w:rsid w:val="00C918F8"/>
    <w:rsid w:val="00C93C38"/>
    <w:rsid w:val="00C95480"/>
    <w:rsid w:val="00CA1E67"/>
    <w:rsid w:val="00CA44EE"/>
    <w:rsid w:val="00CB34BA"/>
    <w:rsid w:val="00CB480C"/>
    <w:rsid w:val="00CB695A"/>
    <w:rsid w:val="00CB744E"/>
    <w:rsid w:val="00CC2ACF"/>
    <w:rsid w:val="00CC4D58"/>
    <w:rsid w:val="00CD019A"/>
    <w:rsid w:val="00CD4ECD"/>
    <w:rsid w:val="00CE251C"/>
    <w:rsid w:val="00CE2CF7"/>
    <w:rsid w:val="00CE3B2D"/>
    <w:rsid w:val="00CE4500"/>
    <w:rsid w:val="00CF006B"/>
    <w:rsid w:val="00CF016C"/>
    <w:rsid w:val="00CF0AD1"/>
    <w:rsid w:val="00CF1E71"/>
    <w:rsid w:val="00CF2088"/>
    <w:rsid w:val="00CF3C04"/>
    <w:rsid w:val="00CF5E1A"/>
    <w:rsid w:val="00CF732A"/>
    <w:rsid w:val="00D01523"/>
    <w:rsid w:val="00D07264"/>
    <w:rsid w:val="00D103F2"/>
    <w:rsid w:val="00D12601"/>
    <w:rsid w:val="00D127CE"/>
    <w:rsid w:val="00D20114"/>
    <w:rsid w:val="00D24CC4"/>
    <w:rsid w:val="00D311BB"/>
    <w:rsid w:val="00D332BD"/>
    <w:rsid w:val="00D3498F"/>
    <w:rsid w:val="00D34AA3"/>
    <w:rsid w:val="00D35410"/>
    <w:rsid w:val="00D37491"/>
    <w:rsid w:val="00D41DB8"/>
    <w:rsid w:val="00D460D5"/>
    <w:rsid w:val="00D525C3"/>
    <w:rsid w:val="00D525F4"/>
    <w:rsid w:val="00D54B3D"/>
    <w:rsid w:val="00D615E8"/>
    <w:rsid w:val="00D65904"/>
    <w:rsid w:val="00D66160"/>
    <w:rsid w:val="00D77549"/>
    <w:rsid w:val="00D80FDC"/>
    <w:rsid w:val="00D82B04"/>
    <w:rsid w:val="00D8372E"/>
    <w:rsid w:val="00D84FD0"/>
    <w:rsid w:val="00D8598B"/>
    <w:rsid w:val="00D922F0"/>
    <w:rsid w:val="00D95192"/>
    <w:rsid w:val="00DB0A8D"/>
    <w:rsid w:val="00DB46F6"/>
    <w:rsid w:val="00DB4B82"/>
    <w:rsid w:val="00DB5E14"/>
    <w:rsid w:val="00DB72C5"/>
    <w:rsid w:val="00DB72CB"/>
    <w:rsid w:val="00DC1398"/>
    <w:rsid w:val="00DC42A5"/>
    <w:rsid w:val="00DD469F"/>
    <w:rsid w:val="00DD70C2"/>
    <w:rsid w:val="00DE22C6"/>
    <w:rsid w:val="00DF71A0"/>
    <w:rsid w:val="00E07EA0"/>
    <w:rsid w:val="00E13422"/>
    <w:rsid w:val="00E15585"/>
    <w:rsid w:val="00E200A7"/>
    <w:rsid w:val="00E21821"/>
    <w:rsid w:val="00E25EC8"/>
    <w:rsid w:val="00E264E6"/>
    <w:rsid w:val="00E2686B"/>
    <w:rsid w:val="00E32035"/>
    <w:rsid w:val="00E321EA"/>
    <w:rsid w:val="00E32AE6"/>
    <w:rsid w:val="00E35AE6"/>
    <w:rsid w:val="00E37742"/>
    <w:rsid w:val="00E41771"/>
    <w:rsid w:val="00E41FA7"/>
    <w:rsid w:val="00E44A7A"/>
    <w:rsid w:val="00E45287"/>
    <w:rsid w:val="00E541A1"/>
    <w:rsid w:val="00E55B99"/>
    <w:rsid w:val="00E57710"/>
    <w:rsid w:val="00E6041A"/>
    <w:rsid w:val="00E613EC"/>
    <w:rsid w:val="00E63069"/>
    <w:rsid w:val="00E70356"/>
    <w:rsid w:val="00E71DBE"/>
    <w:rsid w:val="00E7440B"/>
    <w:rsid w:val="00E76A27"/>
    <w:rsid w:val="00E76FED"/>
    <w:rsid w:val="00E85EE4"/>
    <w:rsid w:val="00E8681F"/>
    <w:rsid w:val="00E9058D"/>
    <w:rsid w:val="00E9274C"/>
    <w:rsid w:val="00E95F7B"/>
    <w:rsid w:val="00EA56EA"/>
    <w:rsid w:val="00EA650E"/>
    <w:rsid w:val="00EB7015"/>
    <w:rsid w:val="00EC0D37"/>
    <w:rsid w:val="00EC36FF"/>
    <w:rsid w:val="00ED0372"/>
    <w:rsid w:val="00ED04A7"/>
    <w:rsid w:val="00ED23F2"/>
    <w:rsid w:val="00ED57EE"/>
    <w:rsid w:val="00ED7C78"/>
    <w:rsid w:val="00EE0B57"/>
    <w:rsid w:val="00EE4C74"/>
    <w:rsid w:val="00EF1820"/>
    <w:rsid w:val="00EF3A75"/>
    <w:rsid w:val="00EF75E4"/>
    <w:rsid w:val="00F031C8"/>
    <w:rsid w:val="00F1424E"/>
    <w:rsid w:val="00F2058F"/>
    <w:rsid w:val="00F20AF4"/>
    <w:rsid w:val="00F27EFF"/>
    <w:rsid w:val="00F32CD7"/>
    <w:rsid w:val="00F3634C"/>
    <w:rsid w:val="00F37102"/>
    <w:rsid w:val="00F37F9E"/>
    <w:rsid w:val="00F45E78"/>
    <w:rsid w:val="00F46CBB"/>
    <w:rsid w:val="00F4749D"/>
    <w:rsid w:val="00F50DD5"/>
    <w:rsid w:val="00F54FD0"/>
    <w:rsid w:val="00F57C98"/>
    <w:rsid w:val="00F64870"/>
    <w:rsid w:val="00F71561"/>
    <w:rsid w:val="00F72626"/>
    <w:rsid w:val="00F80F20"/>
    <w:rsid w:val="00F82BBA"/>
    <w:rsid w:val="00F92BFA"/>
    <w:rsid w:val="00FA23F1"/>
    <w:rsid w:val="00FA3E57"/>
    <w:rsid w:val="00FA7087"/>
    <w:rsid w:val="00FB3B85"/>
    <w:rsid w:val="00FB4471"/>
    <w:rsid w:val="00FB5C3F"/>
    <w:rsid w:val="00FB7461"/>
    <w:rsid w:val="00FC5204"/>
    <w:rsid w:val="00FD3BDB"/>
    <w:rsid w:val="00FD3FFC"/>
    <w:rsid w:val="00FD6A6C"/>
    <w:rsid w:val="00FE245C"/>
    <w:rsid w:val="00FE40CB"/>
    <w:rsid w:val="00FF3586"/>
    <w:rsid w:val="00FF584A"/>
    <w:rsid w:val="00FF7440"/>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961D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SimSun" w:hAnsi="Liberation Serif"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st" w:uiPriority="0"/>
    <w:lsdException w:name="Title" w:semiHidden="0" w:uiPriority="0" w:unhideWhenUsed="0" w:qFormat="1"/>
    <w:lsdException w:name="Signature" w:uiPriority="0"/>
    <w:lsdException w:name="Default Paragraph Font" w:uiPriority="1"/>
    <w:lsdException w:name="Subtitle" w:semiHidden="0" w:uiPriority="0" w:unhideWhenUsed="0" w:qFormat="1"/>
    <w:lsdException w:name="Salutation"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D2603"/>
    <w:pPr>
      <w:widowControl/>
      <w:suppressAutoHyphens w:val="0"/>
      <w:autoSpaceDN/>
      <w:textAlignment w:val="auto"/>
    </w:pPr>
    <w:rPr>
      <w:rFonts w:ascii="Times New Roman" w:eastAsia="Times New Roman" w:hAnsi="Times New Roman" w:cs="Times New Roman"/>
      <w:kern w:val="0"/>
      <w:lang w:eastAsia="it-IT" w:bidi="ar-SA"/>
    </w:rPr>
  </w:style>
  <w:style w:type="paragraph" w:styleId="Titolo1">
    <w:name w:val="heading 1"/>
    <w:basedOn w:val="Heading"/>
    <w:next w:val="Textbody"/>
    <w:link w:val="Titolo1Carattere"/>
    <w:rsid w:val="00FB7461"/>
    <w:pPr>
      <w:outlineLvl w:val="0"/>
    </w:pPr>
    <w:rPr>
      <w:b/>
      <w:bCs/>
    </w:rPr>
  </w:style>
  <w:style w:type="paragraph" w:styleId="Titolo2">
    <w:name w:val="heading 2"/>
    <w:basedOn w:val="Heading"/>
    <w:next w:val="Textbody"/>
    <w:link w:val="Titolo2Carattere"/>
    <w:rsid w:val="00FB7461"/>
    <w:pPr>
      <w:spacing w:before="200"/>
      <w:outlineLvl w:val="1"/>
    </w:pPr>
    <w:rPr>
      <w:b/>
      <w:bCs/>
    </w:rPr>
  </w:style>
  <w:style w:type="paragraph" w:styleId="Titolo3">
    <w:name w:val="heading 3"/>
    <w:basedOn w:val="Heading"/>
    <w:next w:val="Textbody"/>
    <w:link w:val="Titolo3Carattere"/>
    <w:rsid w:val="00FB7461"/>
    <w:pPr>
      <w:spacing w:before="140"/>
      <w:outlineLvl w:val="2"/>
    </w:pPr>
    <w:rPr>
      <w:b/>
      <w:bCs/>
    </w:rPr>
  </w:style>
  <w:style w:type="character" w:default="1" w:styleId="Carattere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FB7461"/>
  </w:style>
  <w:style w:type="paragraph" w:customStyle="1" w:styleId="Heading">
    <w:name w:val="Heading"/>
    <w:basedOn w:val="Standard"/>
    <w:next w:val="Textbody"/>
    <w:rsid w:val="00FB7461"/>
    <w:pPr>
      <w:keepNext/>
      <w:spacing w:before="240" w:after="120"/>
    </w:pPr>
    <w:rPr>
      <w:rFonts w:ascii="Liberation Sans" w:eastAsia="Microsoft YaHei" w:hAnsi="Liberation Sans"/>
      <w:sz w:val="28"/>
      <w:szCs w:val="28"/>
    </w:rPr>
  </w:style>
  <w:style w:type="paragraph" w:customStyle="1" w:styleId="Textbody">
    <w:name w:val="Text body"/>
    <w:basedOn w:val="Standard"/>
    <w:rsid w:val="00FB7461"/>
    <w:pPr>
      <w:spacing w:after="140" w:line="288" w:lineRule="auto"/>
    </w:pPr>
  </w:style>
  <w:style w:type="paragraph" w:styleId="Elenco">
    <w:name w:val="List"/>
    <w:basedOn w:val="Textbody"/>
    <w:rsid w:val="00FB7461"/>
  </w:style>
  <w:style w:type="paragraph" w:styleId="Didascalia">
    <w:name w:val="caption"/>
    <w:basedOn w:val="Standard"/>
    <w:rsid w:val="00FB7461"/>
    <w:pPr>
      <w:suppressLineNumbers/>
      <w:spacing w:before="120" w:after="120"/>
    </w:pPr>
    <w:rPr>
      <w:i/>
      <w:iCs/>
    </w:rPr>
  </w:style>
  <w:style w:type="paragraph" w:customStyle="1" w:styleId="Index">
    <w:name w:val="Index"/>
    <w:basedOn w:val="Standard"/>
    <w:rsid w:val="00FB7461"/>
    <w:pPr>
      <w:suppressLineNumbers/>
    </w:pPr>
  </w:style>
  <w:style w:type="paragraph" w:customStyle="1" w:styleId="Quotations">
    <w:name w:val="Quotations"/>
    <w:basedOn w:val="Standard"/>
    <w:rsid w:val="00FB7461"/>
    <w:pPr>
      <w:spacing w:after="283"/>
      <w:ind w:left="567" w:right="567"/>
    </w:pPr>
  </w:style>
  <w:style w:type="paragraph" w:styleId="Titolo">
    <w:name w:val="Title"/>
    <w:basedOn w:val="Heading"/>
    <w:next w:val="Textbody"/>
    <w:link w:val="TitoloCarattere"/>
    <w:rsid w:val="00FB7461"/>
    <w:pPr>
      <w:jc w:val="center"/>
    </w:pPr>
    <w:rPr>
      <w:b/>
      <w:bCs/>
      <w:sz w:val="56"/>
      <w:szCs w:val="56"/>
    </w:rPr>
  </w:style>
  <w:style w:type="paragraph" w:styleId="Sottotitolo">
    <w:name w:val="Subtitle"/>
    <w:basedOn w:val="Heading"/>
    <w:next w:val="Textbody"/>
    <w:link w:val="SottotitoloCarattere"/>
    <w:rsid w:val="00FB7461"/>
    <w:pPr>
      <w:spacing w:before="60"/>
      <w:jc w:val="center"/>
    </w:pPr>
    <w:rPr>
      <w:sz w:val="36"/>
      <w:szCs w:val="36"/>
    </w:rPr>
  </w:style>
  <w:style w:type="paragraph" w:customStyle="1" w:styleId="Framecontents">
    <w:name w:val="Frame contents"/>
    <w:basedOn w:val="Standard"/>
    <w:rsid w:val="00FB7461"/>
  </w:style>
  <w:style w:type="paragraph" w:customStyle="1" w:styleId="ListContents">
    <w:name w:val="List Contents"/>
    <w:basedOn w:val="Standard"/>
    <w:rsid w:val="00FB7461"/>
    <w:pPr>
      <w:ind w:left="567"/>
    </w:pPr>
  </w:style>
  <w:style w:type="paragraph" w:customStyle="1" w:styleId="TableContents">
    <w:name w:val="Table Contents"/>
    <w:basedOn w:val="Standard"/>
    <w:rsid w:val="00FB7461"/>
    <w:pPr>
      <w:suppressLineNumbers/>
    </w:pPr>
  </w:style>
  <w:style w:type="paragraph" w:customStyle="1" w:styleId="Addressee">
    <w:name w:val="Addressee"/>
    <w:basedOn w:val="Standard"/>
    <w:rsid w:val="00FB7461"/>
    <w:pPr>
      <w:suppressLineNumbers/>
      <w:spacing w:after="60"/>
    </w:pPr>
  </w:style>
  <w:style w:type="paragraph" w:styleId="Firma">
    <w:name w:val="Signature"/>
    <w:basedOn w:val="Standard"/>
    <w:link w:val="FirmaCarattere"/>
    <w:rsid w:val="00FB7461"/>
    <w:pPr>
      <w:suppressLineNumbers/>
    </w:pPr>
  </w:style>
  <w:style w:type="paragraph" w:styleId="Formuladiapertura">
    <w:name w:val="Salutation"/>
    <w:basedOn w:val="Standard"/>
    <w:link w:val="FormuladiaperturaCarattere"/>
    <w:rsid w:val="00FB7461"/>
    <w:pPr>
      <w:suppressLineNumbers/>
    </w:pPr>
  </w:style>
  <w:style w:type="paragraph" w:styleId="Intestazione">
    <w:name w:val="header"/>
    <w:basedOn w:val="Standard"/>
    <w:link w:val="IntestazioneCarattere"/>
    <w:rsid w:val="00FB7461"/>
    <w:pPr>
      <w:suppressLineNumbers/>
      <w:tabs>
        <w:tab w:val="center" w:pos="4819"/>
        <w:tab w:val="right" w:pos="9638"/>
      </w:tabs>
    </w:pPr>
  </w:style>
  <w:style w:type="paragraph" w:customStyle="1" w:styleId="HorizontalLine">
    <w:name w:val="Horizontal Line"/>
    <w:basedOn w:val="Standard"/>
    <w:next w:val="Textbody"/>
    <w:rsid w:val="00FB7461"/>
    <w:pPr>
      <w:suppressLineNumbers/>
      <w:spacing w:after="283"/>
    </w:pPr>
    <w:rPr>
      <w:sz w:val="12"/>
      <w:szCs w:val="12"/>
    </w:rPr>
  </w:style>
  <w:style w:type="paragraph" w:customStyle="1" w:styleId="Sender">
    <w:name w:val="Sender"/>
    <w:basedOn w:val="Standard"/>
    <w:rsid w:val="00FB7461"/>
    <w:pPr>
      <w:suppressLineNumbers/>
      <w:spacing w:after="60"/>
    </w:pPr>
  </w:style>
  <w:style w:type="paragraph" w:customStyle="1" w:styleId="Footnote">
    <w:name w:val="Footnote"/>
    <w:basedOn w:val="Standard"/>
    <w:rsid w:val="00FB7461"/>
    <w:pPr>
      <w:suppressLineNumbers/>
      <w:ind w:left="339" w:hanging="339"/>
    </w:pPr>
    <w:rPr>
      <w:sz w:val="20"/>
      <w:szCs w:val="20"/>
    </w:rPr>
  </w:style>
  <w:style w:type="paragraph" w:customStyle="1" w:styleId="Endnote">
    <w:name w:val="Endnote"/>
    <w:basedOn w:val="Standard"/>
    <w:rsid w:val="00FB7461"/>
    <w:pPr>
      <w:suppressLineNumbers/>
      <w:ind w:left="339" w:hanging="339"/>
    </w:pPr>
    <w:rPr>
      <w:sz w:val="20"/>
      <w:szCs w:val="20"/>
    </w:rPr>
  </w:style>
  <w:style w:type="paragraph" w:styleId="Pidipagina">
    <w:name w:val="footer"/>
    <w:basedOn w:val="Standard"/>
    <w:link w:val="PidipaginaCarattere"/>
    <w:uiPriority w:val="99"/>
    <w:rsid w:val="00FB7461"/>
    <w:pPr>
      <w:suppressLineNumbers/>
      <w:tabs>
        <w:tab w:val="center" w:pos="4819"/>
        <w:tab w:val="right" w:pos="9638"/>
      </w:tabs>
    </w:pPr>
  </w:style>
  <w:style w:type="character" w:customStyle="1" w:styleId="FootnoteSymbol">
    <w:name w:val="Footnote Symbol"/>
    <w:rsid w:val="00FB7461"/>
  </w:style>
  <w:style w:type="character" w:customStyle="1" w:styleId="Footnoteanchor">
    <w:name w:val="Footnote anchor"/>
    <w:rsid w:val="00FB7461"/>
    <w:rPr>
      <w:position w:val="0"/>
      <w:vertAlign w:val="superscript"/>
    </w:rPr>
  </w:style>
  <w:style w:type="character" w:customStyle="1" w:styleId="EndnoteSymbol">
    <w:name w:val="Endnote Symbol"/>
    <w:rsid w:val="00FB7461"/>
  </w:style>
  <w:style w:type="character" w:customStyle="1" w:styleId="Endnoteanchor">
    <w:name w:val="Endnote anchor"/>
    <w:rsid w:val="00FB7461"/>
    <w:rPr>
      <w:position w:val="0"/>
      <w:vertAlign w:val="superscript"/>
    </w:rPr>
  </w:style>
  <w:style w:type="character" w:customStyle="1" w:styleId="BulletSymbols">
    <w:name w:val="Bullet Symbols"/>
    <w:rsid w:val="00FB7461"/>
    <w:rPr>
      <w:rFonts w:ascii="OpenSymbol" w:eastAsia="OpenSymbol" w:hAnsi="OpenSymbol" w:cs="OpenSymbol"/>
    </w:rPr>
  </w:style>
  <w:style w:type="character" w:customStyle="1" w:styleId="Internetlink">
    <w:name w:val="Internet link"/>
    <w:rsid w:val="00FB7461"/>
    <w:rPr>
      <w:color w:val="000080"/>
      <w:u w:val="single"/>
    </w:rPr>
  </w:style>
  <w:style w:type="character" w:customStyle="1" w:styleId="Character20style">
    <w:name w:val="Character_20_style"/>
    <w:rsid w:val="00FB7461"/>
  </w:style>
  <w:style w:type="character" w:customStyle="1" w:styleId="Carpredefinitoparagrafo1">
    <w:name w:val="Car. predefinito paragrafo1"/>
    <w:rsid w:val="00FB7461"/>
  </w:style>
  <w:style w:type="character" w:customStyle="1" w:styleId="journalname">
    <w:name w:val="journalname"/>
    <w:basedOn w:val="Carpredefinitoparagrafo1"/>
    <w:rsid w:val="00FB7461"/>
  </w:style>
  <w:style w:type="numbering" w:customStyle="1" w:styleId="WW8Num4">
    <w:name w:val="WW8Num4"/>
    <w:basedOn w:val="Nessunelenco"/>
    <w:rsid w:val="00FB7461"/>
    <w:pPr>
      <w:numPr>
        <w:numId w:val="1"/>
      </w:numPr>
    </w:pPr>
  </w:style>
  <w:style w:type="numbering" w:customStyle="1" w:styleId="WW8Num6">
    <w:name w:val="WW8Num6"/>
    <w:basedOn w:val="Nessunelenco"/>
    <w:rsid w:val="00FB7461"/>
    <w:pPr>
      <w:numPr>
        <w:numId w:val="2"/>
      </w:numPr>
    </w:pPr>
  </w:style>
  <w:style w:type="numbering" w:customStyle="1" w:styleId="WW8Num2">
    <w:name w:val="WW8Num2"/>
    <w:basedOn w:val="Nessunelenco"/>
    <w:rsid w:val="00FB7461"/>
    <w:pPr>
      <w:numPr>
        <w:numId w:val="9"/>
      </w:numPr>
    </w:pPr>
  </w:style>
  <w:style w:type="numbering" w:customStyle="1" w:styleId="WW8Num17">
    <w:name w:val="WW8Num17"/>
    <w:basedOn w:val="Nessunelenco"/>
    <w:rsid w:val="00FB7461"/>
    <w:pPr>
      <w:numPr>
        <w:numId w:val="3"/>
      </w:numPr>
    </w:pPr>
  </w:style>
  <w:style w:type="numbering" w:customStyle="1" w:styleId="WW8Num3">
    <w:name w:val="WW8Num3"/>
    <w:basedOn w:val="Nessunelenco"/>
    <w:rsid w:val="00FB7461"/>
    <w:pPr>
      <w:numPr>
        <w:numId w:val="4"/>
      </w:numPr>
    </w:pPr>
  </w:style>
  <w:style w:type="numbering" w:customStyle="1" w:styleId="WW8Num14">
    <w:name w:val="WW8Num14"/>
    <w:basedOn w:val="Nessunelenco"/>
    <w:rsid w:val="00FB7461"/>
    <w:pPr>
      <w:numPr>
        <w:numId w:val="5"/>
      </w:numPr>
    </w:pPr>
  </w:style>
  <w:style w:type="numbering" w:customStyle="1" w:styleId="WW8Num5">
    <w:name w:val="WW8Num5"/>
    <w:basedOn w:val="Nessunelenco"/>
    <w:rsid w:val="00FB7461"/>
    <w:pPr>
      <w:numPr>
        <w:numId w:val="6"/>
      </w:numPr>
    </w:pPr>
  </w:style>
  <w:style w:type="character" w:styleId="Rimandonotaapidipagina">
    <w:name w:val="footnote reference"/>
    <w:basedOn w:val="Caratterepredefinitoparagrafo"/>
    <w:uiPriority w:val="99"/>
    <w:semiHidden/>
    <w:unhideWhenUsed/>
    <w:rsid w:val="00FB7461"/>
    <w:rPr>
      <w:vertAlign w:val="superscript"/>
    </w:rPr>
  </w:style>
  <w:style w:type="paragraph" w:styleId="Testonotadichiusura">
    <w:name w:val="endnote text"/>
    <w:basedOn w:val="Normale"/>
    <w:link w:val="TestonotadichiusuraCarattere"/>
    <w:uiPriority w:val="99"/>
    <w:unhideWhenUsed/>
    <w:rsid w:val="00DB4B82"/>
    <w:rPr>
      <w:sz w:val="20"/>
      <w:szCs w:val="18"/>
    </w:rPr>
  </w:style>
  <w:style w:type="character" w:customStyle="1" w:styleId="TestonotadichiusuraCarattere">
    <w:name w:val="Testo nota di chiusura Carattere"/>
    <w:basedOn w:val="Caratterepredefinitoparagrafo"/>
    <w:link w:val="Testonotadichiusura"/>
    <w:uiPriority w:val="99"/>
    <w:rsid w:val="00DB4B82"/>
    <w:rPr>
      <w:sz w:val="20"/>
      <w:szCs w:val="18"/>
    </w:rPr>
  </w:style>
  <w:style w:type="paragraph" w:styleId="Testonotaapidipagina">
    <w:name w:val="footnote text"/>
    <w:basedOn w:val="Normale"/>
    <w:link w:val="TestonotaapidipaginaCarattere"/>
    <w:uiPriority w:val="99"/>
    <w:semiHidden/>
    <w:unhideWhenUsed/>
    <w:rsid w:val="00DB4B82"/>
    <w:rPr>
      <w:sz w:val="20"/>
      <w:szCs w:val="18"/>
    </w:rPr>
  </w:style>
  <w:style w:type="character" w:customStyle="1" w:styleId="TestonotaapidipaginaCarattere">
    <w:name w:val="Testo nota a piè di pagina Carattere"/>
    <w:basedOn w:val="Caratterepredefinitoparagrafo"/>
    <w:link w:val="Testonotaapidipagina"/>
    <w:uiPriority w:val="99"/>
    <w:semiHidden/>
    <w:rsid w:val="00DB4B82"/>
    <w:rPr>
      <w:sz w:val="20"/>
      <w:szCs w:val="18"/>
    </w:rPr>
  </w:style>
  <w:style w:type="character" w:styleId="Rimandonotadichiusura">
    <w:name w:val="endnote reference"/>
    <w:basedOn w:val="Caratterepredefinitoparagrafo"/>
    <w:uiPriority w:val="99"/>
    <w:semiHidden/>
    <w:unhideWhenUsed/>
    <w:rsid w:val="00DB4B82"/>
    <w:rPr>
      <w:vertAlign w:val="superscript"/>
    </w:rPr>
  </w:style>
  <w:style w:type="paragraph" w:styleId="Testofumetto">
    <w:name w:val="Balloon Text"/>
    <w:basedOn w:val="Normale"/>
    <w:link w:val="TestofumettoCarattere"/>
    <w:uiPriority w:val="99"/>
    <w:semiHidden/>
    <w:unhideWhenUsed/>
    <w:rsid w:val="001900B1"/>
    <w:rPr>
      <w:rFonts w:ascii="Segoe UI" w:hAnsi="Segoe UI"/>
      <w:sz w:val="18"/>
      <w:szCs w:val="16"/>
    </w:rPr>
  </w:style>
  <w:style w:type="character" w:customStyle="1" w:styleId="TestofumettoCarattere">
    <w:name w:val="Testo fumetto Carattere"/>
    <w:basedOn w:val="Caratterepredefinitoparagrafo"/>
    <w:link w:val="Testofumetto"/>
    <w:uiPriority w:val="99"/>
    <w:semiHidden/>
    <w:rsid w:val="001900B1"/>
    <w:rPr>
      <w:rFonts w:ascii="Segoe UI" w:hAnsi="Segoe UI"/>
      <w:sz w:val="18"/>
      <w:szCs w:val="16"/>
    </w:rPr>
  </w:style>
  <w:style w:type="table" w:customStyle="1" w:styleId="Elencochiaro-Colore11">
    <w:name w:val="Elenco chiaro - Colore 11"/>
    <w:basedOn w:val="Tabellanormale"/>
    <w:uiPriority w:val="61"/>
    <w:rsid w:val="00FD3FFC"/>
    <w:pPr>
      <w:widowControl/>
      <w:suppressAutoHyphens w:val="0"/>
      <w:autoSpaceDN/>
      <w:textAlignment w:val="auto"/>
    </w:pPr>
    <w:rPr>
      <w:rFonts w:asciiTheme="minorHAnsi" w:eastAsiaTheme="minorHAnsi" w:hAnsiTheme="minorHAnsi" w:cstheme="minorBidi"/>
      <w:kern w:val="0"/>
      <w:sz w:val="22"/>
      <w:szCs w:val="22"/>
      <w:lang w:eastAsia="en-US" w:bidi="ar-SA"/>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PidipaginaCarattere">
    <w:name w:val="Piè di pagina Carattere"/>
    <w:basedOn w:val="Caratterepredefinitoparagrafo"/>
    <w:link w:val="Pidipagina"/>
    <w:uiPriority w:val="99"/>
    <w:rsid w:val="00193A7D"/>
  </w:style>
  <w:style w:type="character" w:styleId="Numeropagina">
    <w:name w:val="page number"/>
    <w:basedOn w:val="Caratterepredefinitoparagrafo"/>
    <w:uiPriority w:val="99"/>
    <w:semiHidden/>
    <w:unhideWhenUsed/>
    <w:rsid w:val="00193A7D"/>
  </w:style>
  <w:style w:type="character" w:customStyle="1" w:styleId="IntestazioneCarattere">
    <w:name w:val="Intestazione Carattere"/>
    <w:basedOn w:val="Caratterepredefinitoparagrafo"/>
    <w:link w:val="Intestazione"/>
    <w:rsid w:val="00193A7D"/>
  </w:style>
  <w:style w:type="paragraph" w:styleId="Paragrafoelenco">
    <w:name w:val="List Paragraph"/>
    <w:basedOn w:val="Normale"/>
    <w:uiPriority w:val="34"/>
    <w:qFormat/>
    <w:rsid w:val="00193A7D"/>
    <w:pPr>
      <w:ind w:left="720"/>
      <w:contextualSpacing/>
    </w:pPr>
    <w:rPr>
      <w:szCs w:val="21"/>
    </w:rPr>
  </w:style>
  <w:style w:type="character" w:customStyle="1" w:styleId="Titolo1Carattere">
    <w:name w:val="Titolo 1 Carattere"/>
    <w:basedOn w:val="Caratterepredefinitoparagrafo"/>
    <w:link w:val="Titolo1"/>
    <w:rsid w:val="00193A7D"/>
    <w:rPr>
      <w:rFonts w:ascii="Liberation Sans" w:eastAsia="Microsoft YaHei" w:hAnsi="Liberation Sans"/>
      <w:b/>
      <w:bCs/>
      <w:sz w:val="28"/>
      <w:szCs w:val="28"/>
    </w:rPr>
  </w:style>
  <w:style w:type="character" w:customStyle="1" w:styleId="Titolo2Carattere">
    <w:name w:val="Titolo 2 Carattere"/>
    <w:basedOn w:val="Caratterepredefinitoparagrafo"/>
    <w:link w:val="Titolo2"/>
    <w:rsid w:val="00193A7D"/>
    <w:rPr>
      <w:rFonts w:ascii="Liberation Sans" w:eastAsia="Microsoft YaHei" w:hAnsi="Liberation Sans"/>
      <w:b/>
      <w:bCs/>
      <w:sz w:val="28"/>
      <w:szCs w:val="28"/>
    </w:rPr>
  </w:style>
  <w:style w:type="character" w:customStyle="1" w:styleId="Titolo3Carattere">
    <w:name w:val="Titolo 3 Carattere"/>
    <w:basedOn w:val="Caratterepredefinitoparagrafo"/>
    <w:link w:val="Titolo3"/>
    <w:rsid w:val="00193A7D"/>
    <w:rPr>
      <w:rFonts w:ascii="Liberation Sans" w:eastAsia="Microsoft YaHei" w:hAnsi="Liberation Sans"/>
      <w:b/>
      <w:bCs/>
      <w:sz w:val="28"/>
      <w:szCs w:val="28"/>
    </w:rPr>
  </w:style>
  <w:style w:type="character" w:customStyle="1" w:styleId="TitoloCarattere">
    <w:name w:val="Titolo Carattere"/>
    <w:basedOn w:val="Caratterepredefinitoparagrafo"/>
    <w:link w:val="Titolo"/>
    <w:rsid w:val="00193A7D"/>
    <w:rPr>
      <w:rFonts w:ascii="Liberation Sans" w:eastAsia="Microsoft YaHei" w:hAnsi="Liberation Sans"/>
      <w:b/>
      <w:bCs/>
      <w:sz w:val="56"/>
      <w:szCs w:val="56"/>
    </w:rPr>
  </w:style>
  <w:style w:type="character" w:customStyle="1" w:styleId="SottotitoloCarattere">
    <w:name w:val="Sottotitolo Carattere"/>
    <w:basedOn w:val="Caratterepredefinitoparagrafo"/>
    <w:link w:val="Sottotitolo"/>
    <w:rsid w:val="00193A7D"/>
    <w:rPr>
      <w:rFonts w:ascii="Liberation Sans" w:eastAsia="Microsoft YaHei" w:hAnsi="Liberation Sans"/>
      <w:sz w:val="36"/>
      <w:szCs w:val="36"/>
    </w:rPr>
  </w:style>
  <w:style w:type="character" w:customStyle="1" w:styleId="FirmaCarattere">
    <w:name w:val="Firma Carattere"/>
    <w:basedOn w:val="Caratterepredefinitoparagrafo"/>
    <w:link w:val="Firma"/>
    <w:rsid w:val="00193A7D"/>
  </w:style>
  <w:style w:type="character" w:customStyle="1" w:styleId="FormuladiaperturaCarattere">
    <w:name w:val="Formula di apertura Carattere"/>
    <w:basedOn w:val="Caratterepredefinitoparagrafo"/>
    <w:link w:val="Formuladiapertura"/>
    <w:rsid w:val="00193A7D"/>
  </w:style>
  <w:style w:type="table" w:styleId="Elencochiaro-Colore2">
    <w:name w:val="Light List Accent 2"/>
    <w:basedOn w:val="Tabellanormale"/>
    <w:uiPriority w:val="61"/>
    <w:semiHidden/>
    <w:unhideWhenUsed/>
    <w:rsid w:val="00193A7D"/>
    <w:pPr>
      <w:widowControl/>
      <w:suppressAutoHyphens w:val="0"/>
      <w:autoSpaceDN/>
      <w:textAlignment w:val="auto"/>
    </w:pPr>
    <w:rPr>
      <w:rFonts w:asciiTheme="minorHAnsi" w:hAnsiTheme="minorHAnsi" w:cstheme="minorBidi"/>
      <w:kern w:val="0"/>
      <w:sz w:val="22"/>
      <w:szCs w:val="22"/>
      <w:lang w:eastAsia="en-US" w:bidi="ar-SA"/>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ED7D31" w:themeFill="accent2"/>
      </w:tcPr>
    </w:tblStylePr>
    <w:tblStylePr w:type="lastRow">
      <w:pPr>
        <w:spacing w:beforeLines="0" w:before="0" w:beforeAutospacing="0" w:afterLines="0" w:after="0" w:afterAutospacing="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Grigliatabella">
    <w:name w:val="Table Grid"/>
    <w:basedOn w:val="Tabellanormale"/>
    <w:uiPriority w:val="59"/>
    <w:rsid w:val="00193A7D"/>
    <w:pPr>
      <w:widowControl/>
      <w:suppressAutoHyphens w:val="0"/>
      <w:autoSpaceDN/>
      <w:textAlignment w:val="auto"/>
    </w:pPr>
    <w:rPr>
      <w:rFonts w:asciiTheme="minorHAnsi" w:hAnsiTheme="minorHAnsi" w:cstheme="minorBidi"/>
      <w:kern w:val="0"/>
      <w:lang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ibliografia1">
    <w:name w:val="Bibliografia1"/>
    <w:basedOn w:val="Normale"/>
    <w:link w:val="BibliographyCarattere"/>
    <w:rsid w:val="00193A7D"/>
    <w:pPr>
      <w:tabs>
        <w:tab w:val="left" w:pos="380"/>
      </w:tabs>
      <w:ind w:left="384" w:hanging="384"/>
      <w:jc w:val="both"/>
    </w:pPr>
  </w:style>
  <w:style w:type="character" w:customStyle="1" w:styleId="BibliographyCarattere">
    <w:name w:val="Bibliography Carattere"/>
    <w:basedOn w:val="Caratterepredefinitoparagrafo"/>
    <w:link w:val="Bibliografia1"/>
    <w:rsid w:val="00193A7D"/>
    <w:rPr>
      <w:rFonts w:ascii="Times New Roman" w:hAnsi="Times New Roman" w:cs="Times New Roman"/>
    </w:rPr>
  </w:style>
  <w:style w:type="table" w:customStyle="1" w:styleId="PlainTable5">
    <w:name w:val="Plain Table 5"/>
    <w:basedOn w:val="Tabellanormale"/>
    <w:uiPriority w:val="45"/>
    <w:rsid w:val="00943310"/>
    <w:pPr>
      <w:widowControl/>
      <w:suppressAutoHyphens w:val="0"/>
      <w:autoSpaceDN/>
      <w:jc w:val="both"/>
      <w:textAlignment w:val="auto"/>
    </w:pPr>
    <w:rPr>
      <w:rFonts w:asciiTheme="minorHAnsi" w:eastAsiaTheme="minorHAnsi" w:hAnsiTheme="minorHAnsi" w:cstheme="minorBidi"/>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eWeb">
    <w:name w:val="Normal (Web)"/>
    <w:basedOn w:val="Normale"/>
    <w:uiPriority w:val="99"/>
    <w:semiHidden/>
    <w:unhideWhenUsed/>
    <w:rsid w:val="0068770A"/>
    <w:pPr>
      <w:spacing w:before="100" w:beforeAutospacing="1" w:after="100" w:afterAutospacing="1"/>
    </w:pPr>
  </w:style>
  <w:style w:type="paragraph" w:styleId="PreformattatoHTML">
    <w:name w:val="HTML Preformatted"/>
    <w:basedOn w:val="Normale"/>
    <w:link w:val="PreformattatoHTMLCarattere"/>
    <w:uiPriority w:val="99"/>
    <w:semiHidden/>
    <w:unhideWhenUsed/>
    <w:rsid w:val="004D1C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atterepredefinitoparagrafo"/>
    <w:link w:val="PreformattatoHTML"/>
    <w:uiPriority w:val="99"/>
    <w:semiHidden/>
    <w:rsid w:val="004D1C3D"/>
    <w:rPr>
      <w:rFonts w:ascii="Courier New" w:eastAsia="Times New Roman" w:hAnsi="Courier New" w:cs="Courier New"/>
      <w:kern w:val="0"/>
      <w:sz w:val="20"/>
      <w:szCs w:val="20"/>
      <w:lang w:eastAsia="it-IT" w:bidi="ar-SA"/>
    </w:rPr>
  </w:style>
  <w:style w:type="character" w:customStyle="1" w:styleId="y2iqfc">
    <w:name w:val="y2iqfc"/>
    <w:basedOn w:val="Caratterepredefinitoparagrafo"/>
    <w:rsid w:val="004D1C3D"/>
  </w:style>
  <w:style w:type="paragraph" w:styleId="Nessunaspaziatura">
    <w:name w:val="No Spacing"/>
    <w:uiPriority w:val="1"/>
    <w:qFormat/>
    <w:rsid w:val="004D1C3D"/>
    <w:pPr>
      <w:widowControl/>
      <w:suppressAutoHyphens w:val="0"/>
      <w:autoSpaceDN/>
      <w:textAlignment w:val="auto"/>
    </w:pPr>
    <w:rPr>
      <w:rFonts w:ascii="Times New Roman" w:eastAsia="Times New Roman" w:hAnsi="Times New Roman" w:cs="Times New Roman"/>
      <w:kern w:val="0"/>
      <w:lang w:eastAsia="it-IT" w:bidi="ar-SA"/>
    </w:rPr>
  </w:style>
  <w:style w:type="character" w:styleId="CitazioneHTML">
    <w:name w:val="HTML Cite"/>
    <w:basedOn w:val="Caratterepredefinitoparagrafo"/>
    <w:uiPriority w:val="99"/>
    <w:semiHidden/>
    <w:unhideWhenUsed/>
    <w:rsid w:val="0029691F"/>
    <w:rPr>
      <w:i/>
      <w:iCs/>
    </w:rPr>
  </w:style>
  <w:style w:type="character" w:styleId="Collegamentoipertestuale">
    <w:name w:val="Hyperlink"/>
    <w:basedOn w:val="Caratterepredefinitoparagrafo"/>
    <w:uiPriority w:val="99"/>
    <w:unhideWhenUsed/>
    <w:rsid w:val="0029691F"/>
    <w:rPr>
      <w:color w:val="0000FF"/>
      <w:u w:val="single"/>
    </w:rPr>
  </w:style>
  <w:style w:type="character" w:customStyle="1" w:styleId="cs1-lock-free">
    <w:name w:val="cs1-lock-free"/>
    <w:basedOn w:val="Caratterepredefinitoparagrafo"/>
    <w:rsid w:val="0029691F"/>
  </w:style>
  <w:style w:type="character" w:customStyle="1" w:styleId="UnresolvedMention">
    <w:name w:val="Unresolved Mention"/>
    <w:basedOn w:val="Caratterepredefinitoparagrafo"/>
    <w:uiPriority w:val="99"/>
    <w:semiHidden/>
    <w:unhideWhenUsed/>
    <w:rsid w:val="003C710F"/>
    <w:rPr>
      <w:color w:val="605E5C"/>
      <w:shd w:val="clear" w:color="auto" w:fill="E1DFDD"/>
    </w:rPr>
  </w:style>
  <w:style w:type="character" w:styleId="Collegamentovisitato">
    <w:name w:val="FollowedHyperlink"/>
    <w:basedOn w:val="Caratterepredefinitoparagrafo"/>
    <w:uiPriority w:val="99"/>
    <w:semiHidden/>
    <w:unhideWhenUsed/>
    <w:rsid w:val="00AF0D8B"/>
    <w:rPr>
      <w:color w:val="954F72" w:themeColor="followedHyperlink"/>
      <w:u w:val="single"/>
    </w:rPr>
  </w:style>
  <w:style w:type="character" w:customStyle="1" w:styleId="Menzionenonrisolta1">
    <w:name w:val="Menzione non risolta1"/>
    <w:basedOn w:val="Caratterepredefinitoparagrafo"/>
    <w:uiPriority w:val="99"/>
    <w:semiHidden/>
    <w:unhideWhenUsed/>
    <w:rsid w:val="00A9404A"/>
    <w:rPr>
      <w:color w:val="605E5C"/>
      <w:shd w:val="clear" w:color="auto" w:fill="E1DFDD"/>
    </w:rPr>
  </w:style>
  <w:style w:type="character" w:styleId="Enfasigrassetto">
    <w:name w:val="Strong"/>
    <w:basedOn w:val="Caratterepredefinitoparagrafo"/>
    <w:uiPriority w:val="22"/>
    <w:qFormat/>
    <w:rsid w:val="00A9404A"/>
    <w:rPr>
      <w:b/>
      <w:bCs/>
    </w:rPr>
  </w:style>
  <w:style w:type="table" w:customStyle="1" w:styleId="ListTable7ColorfulAccent3">
    <w:name w:val="List Table 7 Colorful Accent 3"/>
    <w:basedOn w:val="Tabellanormale"/>
    <w:uiPriority w:val="52"/>
    <w:rsid w:val="00605D85"/>
    <w:pPr>
      <w:widowControl/>
      <w:suppressAutoHyphens w:val="0"/>
      <w:autoSpaceDN/>
      <w:textAlignment w:val="auto"/>
    </w:pPr>
    <w:rPr>
      <w:rFonts w:asciiTheme="minorHAnsi" w:eastAsiaTheme="minorHAnsi" w:hAnsiTheme="minorHAnsi" w:cstheme="minorBidi"/>
      <w:color w:val="7B7B7B" w:themeColor="accent3" w:themeShade="BF"/>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semplice51">
    <w:name w:val="Tabella semplice 51"/>
    <w:basedOn w:val="Tabellanormale"/>
    <w:uiPriority w:val="45"/>
    <w:rsid w:val="00D3498F"/>
    <w:pPr>
      <w:widowControl/>
      <w:suppressAutoHyphens w:val="0"/>
      <w:autoSpaceDN/>
      <w:jc w:val="both"/>
      <w:textAlignment w:val="auto"/>
    </w:pPr>
    <w:rPr>
      <w:rFonts w:asciiTheme="minorHAnsi" w:eastAsiaTheme="minorHAnsi" w:hAnsiTheme="minorHAnsi" w:cstheme="minorBidi"/>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elenco7acolori-colore31">
    <w:name w:val="Tabella elenco 7 a colori - colore 31"/>
    <w:basedOn w:val="Tabellanormale"/>
    <w:uiPriority w:val="52"/>
    <w:rsid w:val="00D3498F"/>
    <w:pPr>
      <w:widowControl/>
      <w:suppressAutoHyphens w:val="0"/>
      <w:autoSpaceDN/>
      <w:textAlignment w:val="auto"/>
    </w:pPr>
    <w:rPr>
      <w:rFonts w:asciiTheme="minorHAnsi" w:eastAsiaTheme="minorHAnsi" w:hAnsiTheme="minorHAnsi" w:cstheme="minorBidi"/>
      <w:color w:val="7B7B7B" w:themeColor="accent3" w:themeShade="BF"/>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1">
    <w:name w:val="Plain Table 1"/>
    <w:basedOn w:val="Tabellanormale"/>
    <w:uiPriority w:val="41"/>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ellanormale"/>
    <w:uiPriority w:val="40"/>
    <w:rsid w:val="00D3498F"/>
    <w:pPr>
      <w:widowControl/>
      <w:suppressAutoHyphens w:val="0"/>
      <w:autoSpaceDN/>
      <w:textAlignment w:val="auto"/>
    </w:pPr>
    <w:rPr>
      <w:rFonts w:asciiTheme="minorHAnsi" w:eastAsiaTheme="minorHAnsi" w:hAnsiTheme="minorHAnsi" w:cstheme="minorBidi"/>
      <w:kern w:val="0"/>
      <w:lang w:eastAsia="en-US" w:bidi="ar-S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2">
    <w:name w:val="Plain Table 2"/>
    <w:basedOn w:val="Tabellanormale"/>
    <w:uiPriority w:val="42"/>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4">
    <w:name w:val="Grid Table 4"/>
    <w:basedOn w:val="Tabellanormale"/>
    <w:uiPriority w:val="49"/>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
    <w:name w:val="List Table 2"/>
    <w:basedOn w:val="Tabellanormale"/>
    <w:uiPriority w:val="47"/>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7ColorfulAccent6">
    <w:name w:val="Grid Table 7 Colorful Accent 6"/>
    <w:basedOn w:val="Tabellanormale"/>
    <w:uiPriority w:val="52"/>
    <w:rsid w:val="00D3498F"/>
    <w:pPr>
      <w:widowControl/>
      <w:suppressAutoHyphens w:val="0"/>
      <w:autoSpaceDN/>
      <w:textAlignment w:val="auto"/>
    </w:pPr>
    <w:rPr>
      <w:rFonts w:asciiTheme="minorHAnsi" w:eastAsiaTheme="minorHAnsi" w:hAnsiTheme="minorHAnsi" w:cstheme="minorBidi"/>
      <w:color w:val="538135" w:themeColor="accent6" w:themeShade="BF"/>
      <w:kern w:val="0"/>
      <w:lang w:eastAsia="en-US" w:bidi="ar-SA"/>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ridTable5Dark">
    <w:name w:val="Grid Table 5 Dark"/>
    <w:basedOn w:val="Tabellanormale"/>
    <w:uiPriority w:val="50"/>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1Light">
    <w:name w:val="Grid Table 1 Light"/>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2">
    <w:name w:val="Grid Table 2"/>
    <w:basedOn w:val="Tabellanormale"/>
    <w:uiPriority w:val="47"/>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Accent3">
    <w:name w:val="Grid Table 1 Light Accent 3"/>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5">
    <w:name w:val="Grid Table 1 Light Accent 5"/>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Accent2">
    <w:name w:val="Grid Table 1 Light Accent 2"/>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5DarkAccent5">
    <w:name w:val="Grid Table 5 Dark Accent 5"/>
    <w:basedOn w:val="Tabellanormale"/>
    <w:uiPriority w:val="50"/>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1">
    <w:name w:val="Grid Table 5 Dark Accent 1"/>
    <w:basedOn w:val="Tabellanormale"/>
    <w:uiPriority w:val="50"/>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6ColorfulAccent5">
    <w:name w:val="Grid Table 6 Colorful Accent 5"/>
    <w:basedOn w:val="Tabellanormale"/>
    <w:uiPriority w:val="51"/>
    <w:rsid w:val="00D3498F"/>
    <w:pPr>
      <w:widowControl/>
      <w:suppressAutoHyphens w:val="0"/>
      <w:autoSpaceDN/>
      <w:textAlignment w:val="auto"/>
    </w:pPr>
    <w:rPr>
      <w:rFonts w:asciiTheme="minorHAnsi" w:eastAsiaTheme="minorHAnsi" w:hAnsiTheme="minorHAnsi" w:cstheme="minorBidi"/>
      <w:color w:val="2F5496" w:themeColor="accent5" w:themeShade="BF"/>
      <w:kern w:val="0"/>
      <w:lang w:eastAsia="en-US" w:bidi="ar-SA"/>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ListTable5DarkAccent5">
    <w:name w:val="List Table 5 Dark Accent 5"/>
    <w:basedOn w:val="Tabellanormale"/>
    <w:uiPriority w:val="50"/>
    <w:rsid w:val="00D3498F"/>
    <w:pPr>
      <w:widowControl/>
      <w:suppressAutoHyphens w:val="0"/>
      <w:autoSpaceDN/>
      <w:textAlignment w:val="auto"/>
    </w:pPr>
    <w:rPr>
      <w:rFonts w:asciiTheme="minorHAnsi" w:eastAsiaTheme="minorHAnsi" w:hAnsiTheme="minorHAnsi" w:cstheme="minorBidi"/>
      <w:color w:val="FFFFFF" w:themeColor="background1"/>
      <w:kern w:val="0"/>
      <w:lang w:eastAsia="en-US" w:bidi="ar-SA"/>
    </w:rPr>
    <w:tblPr>
      <w:tblStyleRowBandSize w:val="1"/>
      <w:tblStyleColBandSize w:val="1"/>
      <w:tblInd w:w="0" w:type="dxa"/>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CellMar>
        <w:top w:w="0" w:type="dxa"/>
        <w:left w:w="108" w:type="dxa"/>
        <w:bottom w:w="0" w:type="dxa"/>
        <w:right w:w="108" w:type="dxa"/>
      </w:tblCellMar>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GridTable4Accent5">
    <w:name w:val="Grid Table 4 Accent 5"/>
    <w:basedOn w:val="Tabellanormale"/>
    <w:uiPriority w:val="49"/>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SimSun" w:hAnsi="Liberation Serif"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st" w:uiPriority="0"/>
    <w:lsdException w:name="Title" w:semiHidden="0" w:uiPriority="0" w:unhideWhenUsed="0" w:qFormat="1"/>
    <w:lsdException w:name="Signature" w:uiPriority="0"/>
    <w:lsdException w:name="Default Paragraph Font" w:uiPriority="1"/>
    <w:lsdException w:name="Subtitle" w:semiHidden="0" w:uiPriority="0" w:unhideWhenUsed="0" w:qFormat="1"/>
    <w:lsdException w:name="Salutation"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D2603"/>
    <w:pPr>
      <w:widowControl/>
      <w:suppressAutoHyphens w:val="0"/>
      <w:autoSpaceDN/>
      <w:textAlignment w:val="auto"/>
    </w:pPr>
    <w:rPr>
      <w:rFonts w:ascii="Times New Roman" w:eastAsia="Times New Roman" w:hAnsi="Times New Roman" w:cs="Times New Roman"/>
      <w:kern w:val="0"/>
      <w:lang w:eastAsia="it-IT" w:bidi="ar-SA"/>
    </w:rPr>
  </w:style>
  <w:style w:type="paragraph" w:styleId="Titolo1">
    <w:name w:val="heading 1"/>
    <w:basedOn w:val="Heading"/>
    <w:next w:val="Textbody"/>
    <w:link w:val="Titolo1Carattere"/>
    <w:rsid w:val="00FB7461"/>
    <w:pPr>
      <w:outlineLvl w:val="0"/>
    </w:pPr>
    <w:rPr>
      <w:b/>
      <w:bCs/>
    </w:rPr>
  </w:style>
  <w:style w:type="paragraph" w:styleId="Titolo2">
    <w:name w:val="heading 2"/>
    <w:basedOn w:val="Heading"/>
    <w:next w:val="Textbody"/>
    <w:link w:val="Titolo2Carattere"/>
    <w:rsid w:val="00FB7461"/>
    <w:pPr>
      <w:spacing w:before="200"/>
      <w:outlineLvl w:val="1"/>
    </w:pPr>
    <w:rPr>
      <w:b/>
      <w:bCs/>
    </w:rPr>
  </w:style>
  <w:style w:type="paragraph" w:styleId="Titolo3">
    <w:name w:val="heading 3"/>
    <w:basedOn w:val="Heading"/>
    <w:next w:val="Textbody"/>
    <w:link w:val="Titolo3Carattere"/>
    <w:rsid w:val="00FB7461"/>
    <w:pPr>
      <w:spacing w:before="140"/>
      <w:outlineLvl w:val="2"/>
    </w:pPr>
    <w:rPr>
      <w:b/>
      <w:bCs/>
    </w:rPr>
  </w:style>
  <w:style w:type="character" w:default="1" w:styleId="Carattere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FB7461"/>
  </w:style>
  <w:style w:type="paragraph" w:customStyle="1" w:styleId="Heading">
    <w:name w:val="Heading"/>
    <w:basedOn w:val="Standard"/>
    <w:next w:val="Textbody"/>
    <w:rsid w:val="00FB7461"/>
    <w:pPr>
      <w:keepNext/>
      <w:spacing w:before="240" w:after="120"/>
    </w:pPr>
    <w:rPr>
      <w:rFonts w:ascii="Liberation Sans" w:eastAsia="Microsoft YaHei" w:hAnsi="Liberation Sans"/>
      <w:sz w:val="28"/>
      <w:szCs w:val="28"/>
    </w:rPr>
  </w:style>
  <w:style w:type="paragraph" w:customStyle="1" w:styleId="Textbody">
    <w:name w:val="Text body"/>
    <w:basedOn w:val="Standard"/>
    <w:rsid w:val="00FB7461"/>
    <w:pPr>
      <w:spacing w:after="140" w:line="288" w:lineRule="auto"/>
    </w:pPr>
  </w:style>
  <w:style w:type="paragraph" w:styleId="Elenco">
    <w:name w:val="List"/>
    <w:basedOn w:val="Textbody"/>
    <w:rsid w:val="00FB7461"/>
  </w:style>
  <w:style w:type="paragraph" w:styleId="Didascalia">
    <w:name w:val="caption"/>
    <w:basedOn w:val="Standard"/>
    <w:rsid w:val="00FB7461"/>
    <w:pPr>
      <w:suppressLineNumbers/>
      <w:spacing w:before="120" w:after="120"/>
    </w:pPr>
    <w:rPr>
      <w:i/>
      <w:iCs/>
    </w:rPr>
  </w:style>
  <w:style w:type="paragraph" w:customStyle="1" w:styleId="Index">
    <w:name w:val="Index"/>
    <w:basedOn w:val="Standard"/>
    <w:rsid w:val="00FB7461"/>
    <w:pPr>
      <w:suppressLineNumbers/>
    </w:pPr>
  </w:style>
  <w:style w:type="paragraph" w:customStyle="1" w:styleId="Quotations">
    <w:name w:val="Quotations"/>
    <w:basedOn w:val="Standard"/>
    <w:rsid w:val="00FB7461"/>
    <w:pPr>
      <w:spacing w:after="283"/>
      <w:ind w:left="567" w:right="567"/>
    </w:pPr>
  </w:style>
  <w:style w:type="paragraph" w:styleId="Titolo">
    <w:name w:val="Title"/>
    <w:basedOn w:val="Heading"/>
    <w:next w:val="Textbody"/>
    <w:link w:val="TitoloCarattere"/>
    <w:rsid w:val="00FB7461"/>
    <w:pPr>
      <w:jc w:val="center"/>
    </w:pPr>
    <w:rPr>
      <w:b/>
      <w:bCs/>
      <w:sz w:val="56"/>
      <w:szCs w:val="56"/>
    </w:rPr>
  </w:style>
  <w:style w:type="paragraph" w:styleId="Sottotitolo">
    <w:name w:val="Subtitle"/>
    <w:basedOn w:val="Heading"/>
    <w:next w:val="Textbody"/>
    <w:link w:val="SottotitoloCarattere"/>
    <w:rsid w:val="00FB7461"/>
    <w:pPr>
      <w:spacing w:before="60"/>
      <w:jc w:val="center"/>
    </w:pPr>
    <w:rPr>
      <w:sz w:val="36"/>
      <w:szCs w:val="36"/>
    </w:rPr>
  </w:style>
  <w:style w:type="paragraph" w:customStyle="1" w:styleId="Framecontents">
    <w:name w:val="Frame contents"/>
    <w:basedOn w:val="Standard"/>
    <w:rsid w:val="00FB7461"/>
  </w:style>
  <w:style w:type="paragraph" w:customStyle="1" w:styleId="ListContents">
    <w:name w:val="List Contents"/>
    <w:basedOn w:val="Standard"/>
    <w:rsid w:val="00FB7461"/>
    <w:pPr>
      <w:ind w:left="567"/>
    </w:pPr>
  </w:style>
  <w:style w:type="paragraph" w:customStyle="1" w:styleId="TableContents">
    <w:name w:val="Table Contents"/>
    <w:basedOn w:val="Standard"/>
    <w:rsid w:val="00FB7461"/>
    <w:pPr>
      <w:suppressLineNumbers/>
    </w:pPr>
  </w:style>
  <w:style w:type="paragraph" w:customStyle="1" w:styleId="Addressee">
    <w:name w:val="Addressee"/>
    <w:basedOn w:val="Standard"/>
    <w:rsid w:val="00FB7461"/>
    <w:pPr>
      <w:suppressLineNumbers/>
      <w:spacing w:after="60"/>
    </w:pPr>
  </w:style>
  <w:style w:type="paragraph" w:styleId="Firma">
    <w:name w:val="Signature"/>
    <w:basedOn w:val="Standard"/>
    <w:link w:val="FirmaCarattere"/>
    <w:rsid w:val="00FB7461"/>
    <w:pPr>
      <w:suppressLineNumbers/>
    </w:pPr>
  </w:style>
  <w:style w:type="paragraph" w:styleId="Formuladiapertura">
    <w:name w:val="Salutation"/>
    <w:basedOn w:val="Standard"/>
    <w:link w:val="FormuladiaperturaCarattere"/>
    <w:rsid w:val="00FB7461"/>
    <w:pPr>
      <w:suppressLineNumbers/>
    </w:pPr>
  </w:style>
  <w:style w:type="paragraph" w:styleId="Intestazione">
    <w:name w:val="header"/>
    <w:basedOn w:val="Standard"/>
    <w:link w:val="IntestazioneCarattere"/>
    <w:rsid w:val="00FB7461"/>
    <w:pPr>
      <w:suppressLineNumbers/>
      <w:tabs>
        <w:tab w:val="center" w:pos="4819"/>
        <w:tab w:val="right" w:pos="9638"/>
      </w:tabs>
    </w:pPr>
  </w:style>
  <w:style w:type="paragraph" w:customStyle="1" w:styleId="HorizontalLine">
    <w:name w:val="Horizontal Line"/>
    <w:basedOn w:val="Standard"/>
    <w:next w:val="Textbody"/>
    <w:rsid w:val="00FB7461"/>
    <w:pPr>
      <w:suppressLineNumbers/>
      <w:spacing w:after="283"/>
    </w:pPr>
    <w:rPr>
      <w:sz w:val="12"/>
      <w:szCs w:val="12"/>
    </w:rPr>
  </w:style>
  <w:style w:type="paragraph" w:customStyle="1" w:styleId="Sender">
    <w:name w:val="Sender"/>
    <w:basedOn w:val="Standard"/>
    <w:rsid w:val="00FB7461"/>
    <w:pPr>
      <w:suppressLineNumbers/>
      <w:spacing w:after="60"/>
    </w:pPr>
  </w:style>
  <w:style w:type="paragraph" w:customStyle="1" w:styleId="Footnote">
    <w:name w:val="Footnote"/>
    <w:basedOn w:val="Standard"/>
    <w:rsid w:val="00FB7461"/>
    <w:pPr>
      <w:suppressLineNumbers/>
      <w:ind w:left="339" w:hanging="339"/>
    </w:pPr>
    <w:rPr>
      <w:sz w:val="20"/>
      <w:szCs w:val="20"/>
    </w:rPr>
  </w:style>
  <w:style w:type="paragraph" w:customStyle="1" w:styleId="Endnote">
    <w:name w:val="Endnote"/>
    <w:basedOn w:val="Standard"/>
    <w:rsid w:val="00FB7461"/>
    <w:pPr>
      <w:suppressLineNumbers/>
      <w:ind w:left="339" w:hanging="339"/>
    </w:pPr>
    <w:rPr>
      <w:sz w:val="20"/>
      <w:szCs w:val="20"/>
    </w:rPr>
  </w:style>
  <w:style w:type="paragraph" w:styleId="Pidipagina">
    <w:name w:val="footer"/>
    <w:basedOn w:val="Standard"/>
    <w:link w:val="PidipaginaCarattere"/>
    <w:uiPriority w:val="99"/>
    <w:rsid w:val="00FB7461"/>
    <w:pPr>
      <w:suppressLineNumbers/>
      <w:tabs>
        <w:tab w:val="center" w:pos="4819"/>
        <w:tab w:val="right" w:pos="9638"/>
      </w:tabs>
    </w:pPr>
  </w:style>
  <w:style w:type="character" w:customStyle="1" w:styleId="FootnoteSymbol">
    <w:name w:val="Footnote Symbol"/>
    <w:rsid w:val="00FB7461"/>
  </w:style>
  <w:style w:type="character" w:customStyle="1" w:styleId="Footnoteanchor">
    <w:name w:val="Footnote anchor"/>
    <w:rsid w:val="00FB7461"/>
    <w:rPr>
      <w:position w:val="0"/>
      <w:vertAlign w:val="superscript"/>
    </w:rPr>
  </w:style>
  <w:style w:type="character" w:customStyle="1" w:styleId="EndnoteSymbol">
    <w:name w:val="Endnote Symbol"/>
    <w:rsid w:val="00FB7461"/>
  </w:style>
  <w:style w:type="character" w:customStyle="1" w:styleId="Endnoteanchor">
    <w:name w:val="Endnote anchor"/>
    <w:rsid w:val="00FB7461"/>
    <w:rPr>
      <w:position w:val="0"/>
      <w:vertAlign w:val="superscript"/>
    </w:rPr>
  </w:style>
  <w:style w:type="character" w:customStyle="1" w:styleId="BulletSymbols">
    <w:name w:val="Bullet Symbols"/>
    <w:rsid w:val="00FB7461"/>
    <w:rPr>
      <w:rFonts w:ascii="OpenSymbol" w:eastAsia="OpenSymbol" w:hAnsi="OpenSymbol" w:cs="OpenSymbol"/>
    </w:rPr>
  </w:style>
  <w:style w:type="character" w:customStyle="1" w:styleId="Internetlink">
    <w:name w:val="Internet link"/>
    <w:rsid w:val="00FB7461"/>
    <w:rPr>
      <w:color w:val="000080"/>
      <w:u w:val="single"/>
    </w:rPr>
  </w:style>
  <w:style w:type="character" w:customStyle="1" w:styleId="Character20style">
    <w:name w:val="Character_20_style"/>
    <w:rsid w:val="00FB7461"/>
  </w:style>
  <w:style w:type="character" w:customStyle="1" w:styleId="Carpredefinitoparagrafo1">
    <w:name w:val="Car. predefinito paragrafo1"/>
    <w:rsid w:val="00FB7461"/>
  </w:style>
  <w:style w:type="character" w:customStyle="1" w:styleId="journalname">
    <w:name w:val="journalname"/>
    <w:basedOn w:val="Carpredefinitoparagrafo1"/>
    <w:rsid w:val="00FB7461"/>
  </w:style>
  <w:style w:type="numbering" w:customStyle="1" w:styleId="WW8Num4">
    <w:name w:val="WW8Num4"/>
    <w:basedOn w:val="Nessunelenco"/>
    <w:rsid w:val="00FB7461"/>
    <w:pPr>
      <w:numPr>
        <w:numId w:val="1"/>
      </w:numPr>
    </w:pPr>
  </w:style>
  <w:style w:type="numbering" w:customStyle="1" w:styleId="WW8Num6">
    <w:name w:val="WW8Num6"/>
    <w:basedOn w:val="Nessunelenco"/>
    <w:rsid w:val="00FB7461"/>
    <w:pPr>
      <w:numPr>
        <w:numId w:val="2"/>
      </w:numPr>
    </w:pPr>
  </w:style>
  <w:style w:type="numbering" w:customStyle="1" w:styleId="WW8Num2">
    <w:name w:val="WW8Num2"/>
    <w:basedOn w:val="Nessunelenco"/>
    <w:rsid w:val="00FB7461"/>
    <w:pPr>
      <w:numPr>
        <w:numId w:val="9"/>
      </w:numPr>
    </w:pPr>
  </w:style>
  <w:style w:type="numbering" w:customStyle="1" w:styleId="WW8Num17">
    <w:name w:val="WW8Num17"/>
    <w:basedOn w:val="Nessunelenco"/>
    <w:rsid w:val="00FB7461"/>
    <w:pPr>
      <w:numPr>
        <w:numId w:val="3"/>
      </w:numPr>
    </w:pPr>
  </w:style>
  <w:style w:type="numbering" w:customStyle="1" w:styleId="WW8Num3">
    <w:name w:val="WW8Num3"/>
    <w:basedOn w:val="Nessunelenco"/>
    <w:rsid w:val="00FB7461"/>
    <w:pPr>
      <w:numPr>
        <w:numId w:val="4"/>
      </w:numPr>
    </w:pPr>
  </w:style>
  <w:style w:type="numbering" w:customStyle="1" w:styleId="WW8Num14">
    <w:name w:val="WW8Num14"/>
    <w:basedOn w:val="Nessunelenco"/>
    <w:rsid w:val="00FB7461"/>
    <w:pPr>
      <w:numPr>
        <w:numId w:val="5"/>
      </w:numPr>
    </w:pPr>
  </w:style>
  <w:style w:type="numbering" w:customStyle="1" w:styleId="WW8Num5">
    <w:name w:val="WW8Num5"/>
    <w:basedOn w:val="Nessunelenco"/>
    <w:rsid w:val="00FB7461"/>
    <w:pPr>
      <w:numPr>
        <w:numId w:val="6"/>
      </w:numPr>
    </w:pPr>
  </w:style>
  <w:style w:type="character" w:styleId="Rimandonotaapidipagina">
    <w:name w:val="footnote reference"/>
    <w:basedOn w:val="Caratterepredefinitoparagrafo"/>
    <w:uiPriority w:val="99"/>
    <w:semiHidden/>
    <w:unhideWhenUsed/>
    <w:rsid w:val="00FB7461"/>
    <w:rPr>
      <w:vertAlign w:val="superscript"/>
    </w:rPr>
  </w:style>
  <w:style w:type="paragraph" w:styleId="Testonotadichiusura">
    <w:name w:val="endnote text"/>
    <w:basedOn w:val="Normale"/>
    <w:link w:val="TestonotadichiusuraCarattere"/>
    <w:uiPriority w:val="99"/>
    <w:unhideWhenUsed/>
    <w:rsid w:val="00DB4B82"/>
    <w:rPr>
      <w:sz w:val="20"/>
      <w:szCs w:val="18"/>
    </w:rPr>
  </w:style>
  <w:style w:type="character" w:customStyle="1" w:styleId="TestonotadichiusuraCarattere">
    <w:name w:val="Testo nota di chiusura Carattere"/>
    <w:basedOn w:val="Caratterepredefinitoparagrafo"/>
    <w:link w:val="Testonotadichiusura"/>
    <w:uiPriority w:val="99"/>
    <w:rsid w:val="00DB4B82"/>
    <w:rPr>
      <w:sz w:val="20"/>
      <w:szCs w:val="18"/>
    </w:rPr>
  </w:style>
  <w:style w:type="paragraph" w:styleId="Testonotaapidipagina">
    <w:name w:val="footnote text"/>
    <w:basedOn w:val="Normale"/>
    <w:link w:val="TestonotaapidipaginaCarattere"/>
    <w:uiPriority w:val="99"/>
    <w:semiHidden/>
    <w:unhideWhenUsed/>
    <w:rsid w:val="00DB4B82"/>
    <w:rPr>
      <w:sz w:val="20"/>
      <w:szCs w:val="18"/>
    </w:rPr>
  </w:style>
  <w:style w:type="character" w:customStyle="1" w:styleId="TestonotaapidipaginaCarattere">
    <w:name w:val="Testo nota a piè di pagina Carattere"/>
    <w:basedOn w:val="Caratterepredefinitoparagrafo"/>
    <w:link w:val="Testonotaapidipagina"/>
    <w:uiPriority w:val="99"/>
    <w:semiHidden/>
    <w:rsid w:val="00DB4B82"/>
    <w:rPr>
      <w:sz w:val="20"/>
      <w:szCs w:val="18"/>
    </w:rPr>
  </w:style>
  <w:style w:type="character" w:styleId="Rimandonotadichiusura">
    <w:name w:val="endnote reference"/>
    <w:basedOn w:val="Caratterepredefinitoparagrafo"/>
    <w:uiPriority w:val="99"/>
    <w:semiHidden/>
    <w:unhideWhenUsed/>
    <w:rsid w:val="00DB4B82"/>
    <w:rPr>
      <w:vertAlign w:val="superscript"/>
    </w:rPr>
  </w:style>
  <w:style w:type="paragraph" w:styleId="Testofumetto">
    <w:name w:val="Balloon Text"/>
    <w:basedOn w:val="Normale"/>
    <w:link w:val="TestofumettoCarattere"/>
    <w:uiPriority w:val="99"/>
    <w:semiHidden/>
    <w:unhideWhenUsed/>
    <w:rsid w:val="001900B1"/>
    <w:rPr>
      <w:rFonts w:ascii="Segoe UI" w:hAnsi="Segoe UI"/>
      <w:sz w:val="18"/>
      <w:szCs w:val="16"/>
    </w:rPr>
  </w:style>
  <w:style w:type="character" w:customStyle="1" w:styleId="TestofumettoCarattere">
    <w:name w:val="Testo fumetto Carattere"/>
    <w:basedOn w:val="Caratterepredefinitoparagrafo"/>
    <w:link w:val="Testofumetto"/>
    <w:uiPriority w:val="99"/>
    <w:semiHidden/>
    <w:rsid w:val="001900B1"/>
    <w:rPr>
      <w:rFonts w:ascii="Segoe UI" w:hAnsi="Segoe UI"/>
      <w:sz w:val="18"/>
      <w:szCs w:val="16"/>
    </w:rPr>
  </w:style>
  <w:style w:type="table" w:customStyle="1" w:styleId="Elencochiaro-Colore11">
    <w:name w:val="Elenco chiaro - Colore 11"/>
    <w:basedOn w:val="Tabellanormale"/>
    <w:uiPriority w:val="61"/>
    <w:rsid w:val="00FD3FFC"/>
    <w:pPr>
      <w:widowControl/>
      <w:suppressAutoHyphens w:val="0"/>
      <w:autoSpaceDN/>
      <w:textAlignment w:val="auto"/>
    </w:pPr>
    <w:rPr>
      <w:rFonts w:asciiTheme="minorHAnsi" w:eastAsiaTheme="minorHAnsi" w:hAnsiTheme="minorHAnsi" w:cstheme="minorBidi"/>
      <w:kern w:val="0"/>
      <w:sz w:val="22"/>
      <w:szCs w:val="22"/>
      <w:lang w:eastAsia="en-US" w:bidi="ar-SA"/>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PidipaginaCarattere">
    <w:name w:val="Piè di pagina Carattere"/>
    <w:basedOn w:val="Caratterepredefinitoparagrafo"/>
    <w:link w:val="Pidipagina"/>
    <w:uiPriority w:val="99"/>
    <w:rsid w:val="00193A7D"/>
  </w:style>
  <w:style w:type="character" w:styleId="Numeropagina">
    <w:name w:val="page number"/>
    <w:basedOn w:val="Caratterepredefinitoparagrafo"/>
    <w:uiPriority w:val="99"/>
    <w:semiHidden/>
    <w:unhideWhenUsed/>
    <w:rsid w:val="00193A7D"/>
  </w:style>
  <w:style w:type="character" w:customStyle="1" w:styleId="IntestazioneCarattere">
    <w:name w:val="Intestazione Carattere"/>
    <w:basedOn w:val="Caratterepredefinitoparagrafo"/>
    <w:link w:val="Intestazione"/>
    <w:rsid w:val="00193A7D"/>
  </w:style>
  <w:style w:type="paragraph" w:styleId="Paragrafoelenco">
    <w:name w:val="List Paragraph"/>
    <w:basedOn w:val="Normale"/>
    <w:uiPriority w:val="34"/>
    <w:qFormat/>
    <w:rsid w:val="00193A7D"/>
    <w:pPr>
      <w:ind w:left="720"/>
      <w:contextualSpacing/>
    </w:pPr>
    <w:rPr>
      <w:szCs w:val="21"/>
    </w:rPr>
  </w:style>
  <w:style w:type="character" w:customStyle="1" w:styleId="Titolo1Carattere">
    <w:name w:val="Titolo 1 Carattere"/>
    <w:basedOn w:val="Caratterepredefinitoparagrafo"/>
    <w:link w:val="Titolo1"/>
    <w:rsid w:val="00193A7D"/>
    <w:rPr>
      <w:rFonts w:ascii="Liberation Sans" w:eastAsia="Microsoft YaHei" w:hAnsi="Liberation Sans"/>
      <w:b/>
      <w:bCs/>
      <w:sz w:val="28"/>
      <w:szCs w:val="28"/>
    </w:rPr>
  </w:style>
  <w:style w:type="character" w:customStyle="1" w:styleId="Titolo2Carattere">
    <w:name w:val="Titolo 2 Carattere"/>
    <w:basedOn w:val="Caratterepredefinitoparagrafo"/>
    <w:link w:val="Titolo2"/>
    <w:rsid w:val="00193A7D"/>
    <w:rPr>
      <w:rFonts w:ascii="Liberation Sans" w:eastAsia="Microsoft YaHei" w:hAnsi="Liberation Sans"/>
      <w:b/>
      <w:bCs/>
      <w:sz w:val="28"/>
      <w:szCs w:val="28"/>
    </w:rPr>
  </w:style>
  <w:style w:type="character" w:customStyle="1" w:styleId="Titolo3Carattere">
    <w:name w:val="Titolo 3 Carattere"/>
    <w:basedOn w:val="Caratterepredefinitoparagrafo"/>
    <w:link w:val="Titolo3"/>
    <w:rsid w:val="00193A7D"/>
    <w:rPr>
      <w:rFonts w:ascii="Liberation Sans" w:eastAsia="Microsoft YaHei" w:hAnsi="Liberation Sans"/>
      <w:b/>
      <w:bCs/>
      <w:sz w:val="28"/>
      <w:szCs w:val="28"/>
    </w:rPr>
  </w:style>
  <w:style w:type="character" w:customStyle="1" w:styleId="TitoloCarattere">
    <w:name w:val="Titolo Carattere"/>
    <w:basedOn w:val="Caratterepredefinitoparagrafo"/>
    <w:link w:val="Titolo"/>
    <w:rsid w:val="00193A7D"/>
    <w:rPr>
      <w:rFonts w:ascii="Liberation Sans" w:eastAsia="Microsoft YaHei" w:hAnsi="Liberation Sans"/>
      <w:b/>
      <w:bCs/>
      <w:sz w:val="56"/>
      <w:szCs w:val="56"/>
    </w:rPr>
  </w:style>
  <w:style w:type="character" w:customStyle="1" w:styleId="SottotitoloCarattere">
    <w:name w:val="Sottotitolo Carattere"/>
    <w:basedOn w:val="Caratterepredefinitoparagrafo"/>
    <w:link w:val="Sottotitolo"/>
    <w:rsid w:val="00193A7D"/>
    <w:rPr>
      <w:rFonts w:ascii="Liberation Sans" w:eastAsia="Microsoft YaHei" w:hAnsi="Liberation Sans"/>
      <w:sz w:val="36"/>
      <w:szCs w:val="36"/>
    </w:rPr>
  </w:style>
  <w:style w:type="character" w:customStyle="1" w:styleId="FirmaCarattere">
    <w:name w:val="Firma Carattere"/>
    <w:basedOn w:val="Caratterepredefinitoparagrafo"/>
    <w:link w:val="Firma"/>
    <w:rsid w:val="00193A7D"/>
  </w:style>
  <w:style w:type="character" w:customStyle="1" w:styleId="FormuladiaperturaCarattere">
    <w:name w:val="Formula di apertura Carattere"/>
    <w:basedOn w:val="Caratterepredefinitoparagrafo"/>
    <w:link w:val="Formuladiapertura"/>
    <w:rsid w:val="00193A7D"/>
  </w:style>
  <w:style w:type="table" w:styleId="Elencochiaro-Colore2">
    <w:name w:val="Light List Accent 2"/>
    <w:basedOn w:val="Tabellanormale"/>
    <w:uiPriority w:val="61"/>
    <w:semiHidden/>
    <w:unhideWhenUsed/>
    <w:rsid w:val="00193A7D"/>
    <w:pPr>
      <w:widowControl/>
      <w:suppressAutoHyphens w:val="0"/>
      <w:autoSpaceDN/>
      <w:textAlignment w:val="auto"/>
    </w:pPr>
    <w:rPr>
      <w:rFonts w:asciiTheme="minorHAnsi" w:hAnsiTheme="minorHAnsi" w:cstheme="minorBidi"/>
      <w:kern w:val="0"/>
      <w:sz w:val="22"/>
      <w:szCs w:val="22"/>
      <w:lang w:eastAsia="en-US" w:bidi="ar-SA"/>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ED7D31" w:themeFill="accent2"/>
      </w:tcPr>
    </w:tblStylePr>
    <w:tblStylePr w:type="lastRow">
      <w:pPr>
        <w:spacing w:beforeLines="0" w:before="0" w:beforeAutospacing="0" w:afterLines="0" w:after="0" w:afterAutospacing="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Grigliatabella">
    <w:name w:val="Table Grid"/>
    <w:basedOn w:val="Tabellanormale"/>
    <w:uiPriority w:val="59"/>
    <w:rsid w:val="00193A7D"/>
    <w:pPr>
      <w:widowControl/>
      <w:suppressAutoHyphens w:val="0"/>
      <w:autoSpaceDN/>
      <w:textAlignment w:val="auto"/>
    </w:pPr>
    <w:rPr>
      <w:rFonts w:asciiTheme="minorHAnsi" w:hAnsiTheme="minorHAnsi" w:cstheme="minorBidi"/>
      <w:kern w:val="0"/>
      <w:lang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ibliografia1">
    <w:name w:val="Bibliografia1"/>
    <w:basedOn w:val="Normale"/>
    <w:link w:val="BibliographyCarattere"/>
    <w:rsid w:val="00193A7D"/>
    <w:pPr>
      <w:tabs>
        <w:tab w:val="left" w:pos="380"/>
      </w:tabs>
      <w:ind w:left="384" w:hanging="384"/>
      <w:jc w:val="both"/>
    </w:pPr>
  </w:style>
  <w:style w:type="character" w:customStyle="1" w:styleId="BibliographyCarattere">
    <w:name w:val="Bibliography Carattere"/>
    <w:basedOn w:val="Caratterepredefinitoparagrafo"/>
    <w:link w:val="Bibliografia1"/>
    <w:rsid w:val="00193A7D"/>
    <w:rPr>
      <w:rFonts w:ascii="Times New Roman" w:hAnsi="Times New Roman" w:cs="Times New Roman"/>
    </w:rPr>
  </w:style>
  <w:style w:type="table" w:customStyle="1" w:styleId="PlainTable5">
    <w:name w:val="Plain Table 5"/>
    <w:basedOn w:val="Tabellanormale"/>
    <w:uiPriority w:val="45"/>
    <w:rsid w:val="00943310"/>
    <w:pPr>
      <w:widowControl/>
      <w:suppressAutoHyphens w:val="0"/>
      <w:autoSpaceDN/>
      <w:jc w:val="both"/>
      <w:textAlignment w:val="auto"/>
    </w:pPr>
    <w:rPr>
      <w:rFonts w:asciiTheme="minorHAnsi" w:eastAsiaTheme="minorHAnsi" w:hAnsiTheme="minorHAnsi" w:cstheme="minorBidi"/>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eWeb">
    <w:name w:val="Normal (Web)"/>
    <w:basedOn w:val="Normale"/>
    <w:uiPriority w:val="99"/>
    <w:semiHidden/>
    <w:unhideWhenUsed/>
    <w:rsid w:val="0068770A"/>
    <w:pPr>
      <w:spacing w:before="100" w:beforeAutospacing="1" w:after="100" w:afterAutospacing="1"/>
    </w:pPr>
  </w:style>
  <w:style w:type="paragraph" w:styleId="PreformattatoHTML">
    <w:name w:val="HTML Preformatted"/>
    <w:basedOn w:val="Normale"/>
    <w:link w:val="PreformattatoHTMLCarattere"/>
    <w:uiPriority w:val="99"/>
    <w:semiHidden/>
    <w:unhideWhenUsed/>
    <w:rsid w:val="004D1C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atterepredefinitoparagrafo"/>
    <w:link w:val="PreformattatoHTML"/>
    <w:uiPriority w:val="99"/>
    <w:semiHidden/>
    <w:rsid w:val="004D1C3D"/>
    <w:rPr>
      <w:rFonts w:ascii="Courier New" w:eastAsia="Times New Roman" w:hAnsi="Courier New" w:cs="Courier New"/>
      <w:kern w:val="0"/>
      <w:sz w:val="20"/>
      <w:szCs w:val="20"/>
      <w:lang w:eastAsia="it-IT" w:bidi="ar-SA"/>
    </w:rPr>
  </w:style>
  <w:style w:type="character" w:customStyle="1" w:styleId="y2iqfc">
    <w:name w:val="y2iqfc"/>
    <w:basedOn w:val="Caratterepredefinitoparagrafo"/>
    <w:rsid w:val="004D1C3D"/>
  </w:style>
  <w:style w:type="paragraph" w:styleId="Nessunaspaziatura">
    <w:name w:val="No Spacing"/>
    <w:uiPriority w:val="1"/>
    <w:qFormat/>
    <w:rsid w:val="004D1C3D"/>
    <w:pPr>
      <w:widowControl/>
      <w:suppressAutoHyphens w:val="0"/>
      <w:autoSpaceDN/>
      <w:textAlignment w:val="auto"/>
    </w:pPr>
    <w:rPr>
      <w:rFonts w:ascii="Times New Roman" w:eastAsia="Times New Roman" w:hAnsi="Times New Roman" w:cs="Times New Roman"/>
      <w:kern w:val="0"/>
      <w:lang w:eastAsia="it-IT" w:bidi="ar-SA"/>
    </w:rPr>
  </w:style>
  <w:style w:type="character" w:styleId="CitazioneHTML">
    <w:name w:val="HTML Cite"/>
    <w:basedOn w:val="Caratterepredefinitoparagrafo"/>
    <w:uiPriority w:val="99"/>
    <w:semiHidden/>
    <w:unhideWhenUsed/>
    <w:rsid w:val="0029691F"/>
    <w:rPr>
      <w:i/>
      <w:iCs/>
    </w:rPr>
  </w:style>
  <w:style w:type="character" w:styleId="Collegamentoipertestuale">
    <w:name w:val="Hyperlink"/>
    <w:basedOn w:val="Caratterepredefinitoparagrafo"/>
    <w:uiPriority w:val="99"/>
    <w:unhideWhenUsed/>
    <w:rsid w:val="0029691F"/>
    <w:rPr>
      <w:color w:val="0000FF"/>
      <w:u w:val="single"/>
    </w:rPr>
  </w:style>
  <w:style w:type="character" w:customStyle="1" w:styleId="cs1-lock-free">
    <w:name w:val="cs1-lock-free"/>
    <w:basedOn w:val="Caratterepredefinitoparagrafo"/>
    <w:rsid w:val="0029691F"/>
  </w:style>
  <w:style w:type="character" w:customStyle="1" w:styleId="UnresolvedMention">
    <w:name w:val="Unresolved Mention"/>
    <w:basedOn w:val="Caratterepredefinitoparagrafo"/>
    <w:uiPriority w:val="99"/>
    <w:semiHidden/>
    <w:unhideWhenUsed/>
    <w:rsid w:val="003C710F"/>
    <w:rPr>
      <w:color w:val="605E5C"/>
      <w:shd w:val="clear" w:color="auto" w:fill="E1DFDD"/>
    </w:rPr>
  </w:style>
  <w:style w:type="character" w:styleId="Collegamentovisitato">
    <w:name w:val="FollowedHyperlink"/>
    <w:basedOn w:val="Caratterepredefinitoparagrafo"/>
    <w:uiPriority w:val="99"/>
    <w:semiHidden/>
    <w:unhideWhenUsed/>
    <w:rsid w:val="00AF0D8B"/>
    <w:rPr>
      <w:color w:val="954F72" w:themeColor="followedHyperlink"/>
      <w:u w:val="single"/>
    </w:rPr>
  </w:style>
  <w:style w:type="character" w:customStyle="1" w:styleId="Menzionenonrisolta1">
    <w:name w:val="Menzione non risolta1"/>
    <w:basedOn w:val="Caratterepredefinitoparagrafo"/>
    <w:uiPriority w:val="99"/>
    <w:semiHidden/>
    <w:unhideWhenUsed/>
    <w:rsid w:val="00A9404A"/>
    <w:rPr>
      <w:color w:val="605E5C"/>
      <w:shd w:val="clear" w:color="auto" w:fill="E1DFDD"/>
    </w:rPr>
  </w:style>
  <w:style w:type="character" w:styleId="Enfasigrassetto">
    <w:name w:val="Strong"/>
    <w:basedOn w:val="Caratterepredefinitoparagrafo"/>
    <w:uiPriority w:val="22"/>
    <w:qFormat/>
    <w:rsid w:val="00A9404A"/>
    <w:rPr>
      <w:b/>
      <w:bCs/>
    </w:rPr>
  </w:style>
  <w:style w:type="table" w:customStyle="1" w:styleId="ListTable7ColorfulAccent3">
    <w:name w:val="List Table 7 Colorful Accent 3"/>
    <w:basedOn w:val="Tabellanormale"/>
    <w:uiPriority w:val="52"/>
    <w:rsid w:val="00605D85"/>
    <w:pPr>
      <w:widowControl/>
      <w:suppressAutoHyphens w:val="0"/>
      <w:autoSpaceDN/>
      <w:textAlignment w:val="auto"/>
    </w:pPr>
    <w:rPr>
      <w:rFonts w:asciiTheme="minorHAnsi" w:eastAsiaTheme="minorHAnsi" w:hAnsiTheme="minorHAnsi" w:cstheme="minorBidi"/>
      <w:color w:val="7B7B7B" w:themeColor="accent3" w:themeShade="BF"/>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semplice51">
    <w:name w:val="Tabella semplice 51"/>
    <w:basedOn w:val="Tabellanormale"/>
    <w:uiPriority w:val="45"/>
    <w:rsid w:val="00D3498F"/>
    <w:pPr>
      <w:widowControl/>
      <w:suppressAutoHyphens w:val="0"/>
      <w:autoSpaceDN/>
      <w:jc w:val="both"/>
      <w:textAlignment w:val="auto"/>
    </w:pPr>
    <w:rPr>
      <w:rFonts w:asciiTheme="minorHAnsi" w:eastAsiaTheme="minorHAnsi" w:hAnsiTheme="minorHAnsi" w:cstheme="minorBidi"/>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elenco7acolori-colore31">
    <w:name w:val="Tabella elenco 7 a colori - colore 31"/>
    <w:basedOn w:val="Tabellanormale"/>
    <w:uiPriority w:val="52"/>
    <w:rsid w:val="00D3498F"/>
    <w:pPr>
      <w:widowControl/>
      <w:suppressAutoHyphens w:val="0"/>
      <w:autoSpaceDN/>
      <w:textAlignment w:val="auto"/>
    </w:pPr>
    <w:rPr>
      <w:rFonts w:asciiTheme="minorHAnsi" w:eastAsiaTheme="minorHAnsi" w:hAnsiTheme="minorHAnsi" w:cstheme="minorBidi"/>
      <w:color w:val="7B7B7B" w:themeColor="accent3" w:themeShade="BF"/>
      <w:kern w:val="0"/>
      <w:lang w:eastAsia="en-US" w:bidi="ar-SA"/>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1">
    <w:name w:val="Plain Table 1"/>
    <w:basedOn w:val="Tabellanormale"/>
    <w:uiPriority w:val="41"/>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ellanormale"/>
    <w:uiPriority w:val="40"/>
    <w:rsid w:val="00D3498F"/>
    <w:pPr>
      <w:widowControl/>
      <w:suppressAutoHyphens w:val="0"/>
      <w:autoSpaceDN/>
      <w:textAlignment w:val="auto"/>
    </w:pPr>
    <w:rPr>
      <w:rFonts w:asciiTheme="minorHAnsi" w:eastAsiaTheme="minorHAnsi" w:hAnsiTheme="minorHAnsi" w:cstheme="minorBidi"/>
      <w:kern w:val="0"/>
      <w:lang w:eastAsia="en-US" w:bidi="ar-S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2">
    <w:name w:val="Plain Table 2"/>
    <w:basedOn w:val="Tabellanormale"/>
    <w:uiPriority w:val="42"/>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4">
    <w:name w:val="Grid Table 4"/>
    <w:basedOn w:val="Tabellanormale"/>
    <w:uiPriority w:val="49"/>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
    <w:name w:val="List Table 2"/>
    <w:basedOn w:val="Tabellanormale"/>
    <w:uiPriority w:val="47"/>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7ColorfulAccent6">
    <w:name w:val="Grid Table 7 Colorful Accent 6"/>
    <w:basedOn w:val="Tabellanormale"/>
    <w:uiPriority w:val="52"/>
    <w:rsid w:val="00D3498F"/>
    <w:pPr>
      <w:widowControl/>
      <w:suppressAutoHyphens w:val="0"/>
      <w:autoSpaceDN/>
      <w:textAlignment w:val="auto"/>
    </w:pPr>
    <w:rPr>
      <w:rFonts w:asciiTheme="minorHAnsi" w:eastAsiaTheme="minorHAnsi" w:hAnsiTheme="minorHAnsi" w:cstheme="minorBidi"/>
      <w:color w:val="538135" w:themeColor="accent6" w:themeShade="BF"/>
      <w:kern w:val="0"/>
      <w:lang w:eastAsia="en-US" w:bidi="ar-SA"/>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ridTable5Dark">
    <w:name w:val="Grid Table 5 Dark"/>
    <w:basedOn w:val="Tabellanormale"/>
    <w:uiPriority w:val="50"/>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1Light">
    <w:name w:val="Grid Table 1 Light"/>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2">
    <w:name w:val="Grid Table 2"/>
    <w:basedOn w:val="Tabellanormale"/>
    <w:uiPriority w:val="47"/>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Accent3">
    <w:name w:val="Grid Table 1 Light Accent 3"/>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5">
    <w:name w:val="Grid Table 1 Light Accent 5"/>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Accent2">
    <w:name w:val="Grid Table 1 Light Accent 2"/>
    <w:basedOn w:val="Tabellanormale"/>
    <w:uiPriority w:val="46"/>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5DarkAccent5">
    <w:name w:val="Grid Table 5 Dark Accent 5"/>
    <w:basedOn w:val="Tabellanormale"/>
    <w:uiPriority w:val="50"/>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1">
    <w:name w:val="Grid Table 5 Dark Accent 1"/>
    <w:basedOn w:val="Tabellanormale"/>
    <w:uiPriority w:val="50"/>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6ColorfulAccent5">
    <w:name w:val="Grid Table 6 Colorful Accent 5"/>
    <w:basedOn w:val="Tabellanormale"/>
    <w:uiPriority w:val="51"/>
    <w:rsid w:val="00D3498F"/>
    <w:pPr>
      <w:widowControl/>
      <w:suppressAutoHyphens w:val="0"/>
      <w:autoSpaceDN/>
      <w:textAlignment w:val="auto"/>
    </w:pPr>
    <w:rPr>
      <w:rFonts w:asciiTheme="minorHAnsi" w:eastAsiaTheme="minorHAnsi" w:hAnsiTheme="minorHAnsi" w:cstheme="minorBidi"/>
      <w:color w:val="2F5496" w:themeColor="accent5" w:themeShade="BF"/>
      <w:kern w:val="0"/>
      <w:lang w:eastAsia="en-US" w:bidi="ar-SA"/>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ListTable5DarkAccent5">
    <w:name w:val="List Table 5 Dark Accent 5"/>
    <w:basedOn w:val="Tabellanormale"/>
    <w:uiPriority w:val="50"/>
    <w:rsid w:val="00D3498F"/>
    <w:pPr>
      <w:widowControl/>
      <w:suppressAutoHyphens w:val="0"/>
      <w:autoSpaceDN/>
      <w:textAlignment w:val="auto"/>
    </w:pPr>
    <w:rPr>
      <w:rFonts w:asciiTheme="minorHAnsi" w:eastAsiaTheme="minorHAnsi" w:hAnsiTheme="minorHAnsi" w:cstheme="minorBidi"/>
      <w:color w:val="FFFFFF" w:themeColor="background1"/>
      <w:kern w:val="0"/>
      <w:lang w:eastAsia="en-US" w:bidi="ar-SA"/>
    </w:rPr>
    <w:tblPr>
      <w:tblStyleRowBandSize w:val="1"/>
      <w:tblStyleColBandSize w:val="1"/>
      <w:tblInd w:w="0" w:type="dxa"/>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CellMar>
        <w:top w:w="0" w:type="dxa"/>
        <w:left w:w="108" w:type="dxa"/>
        <w:bottom w:w="0" w:type="dxa"/>
        <w:right w:w="108" w:type="dxa"/>
      </w:tblCellMar>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GridTable4Accent5">
    <w:name w:val="Grid Table 4 Accent 5"/>
    <w:basedOn w:val="Tabellanormale"/>
    <w:uiPriority w:val="49"/>
    <w:rsid w:val="00D3498F"/>
    <w:pPr>
      <w:widowControl/>
      <w:suppressAutoHyphens w:val="0"/>
      <w:autoSpaceDN/>
      <w:textAlignment w:val="auto"/>
    </w:pPr>
    <w:rPr>
      <w:rFonts w:asciiTheme="minorHAnsi" w:eastAsiaTheme="minorHAnsi" w:hAnsiTheme="minorHAnsi" w:cstheme="minorBidi"/>
      <w:kern w:val="0"/>
      <w:lang w:eastAsia="en-US" w:bidi="ar-SA"/>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24591">
      <w:bodyDiv w:val="1"/>
      <w:marLeft w:val="0"/>
      <w:marRight w:val="0"/>
      <w:marTop w:val="0"/>
      <w:marBottom w:val="0"/>
      <w:divBdr>
        <w:top w:val="none" w:sz="0" w:space="0" w:color="auto"/>
        <w:left w:val="none" w:sz="0" w:space="0" w:color="auto"/>
        <w:bottom w:val="none" w:sz="0" w:space="0" w:color="auto"/>
        <w:right w:val="none" w:sz="0" w:space="0" w:color="auto"/>
      </w:divBdr>
    </w:div>
    <w:div w:id="31156996">
      <w:bodyDiv w:val="1"/>
      <w:marLeft w:val="0"/>
      <w:marRight w:val="0"/>
      <w:marTop w:val="0"/>
      <w:marBottom w:val="0"/>
      <w:divBdr>
        <w:top w:val="none" w:sz="0" w:space="0" w:color="auto"/>
        <w:left w:val="none" w:sz="0" w:space="0" w:color="auto"/>
        <w:bottom w:val="none" w:sz="0" w:space="0" w:color="auto"/>
        <w:right w:val="none" w:sz="0" w:space="0" w:color="auto"/>
      </w:divBdr>
      <w:divsChild>
        <w:div w:id="887447749">
          <w:marLeft w:val="0"/>
          <w:marRight w:val="0"/>
          <w:marTop w:val="0"/>
          <w:marBottom w:val="0"/>
          <w:divBdr>
            <w:top w:val="none" w:sz="0" w:space="0" w:color="auto"/>
            <w:left w:val="none" w:sz="0" w:space="0" w:color="auto"/>
            <w:bottom w:val="none" w:sz="0" w:space="0" w:color="auto"/>
            <w:right w:val="none" w:sz="0" w:space="0" w:color="auto"/>
          </w:divBdr>
          <w:divsChild>
            <w:div w:id="1007319233">
              <w:marLeft w:val="0"/>
              <w:marRight w:val="0"/>
              <w:marTop w:val="0"/>
              <w:marBottom w:val="0"/>
              <w:divBdr>
                <w:top w:val="none" w:sz="0" w:space="0" w:color="auto"/>
                <w:left w:val="none" w:sz="0" w:space="0" w:color="auto"/>
                <w:bottom w:val="none" w:sz="0" w:space="0" w:color="auto"/>
                <w:right w:val="none" w:sz="0" w:space="0" w:color="auto"/>
              </w:divBdr>
              <w:divsChild>
                <w:div w:id="441146009">
                  <w:marLeft w:val="0"/>
                  <w:marRight w:val="0"/>
                  <w:marTop w:val="0"/>
                  <w:marBottom w:val="0"/>
                  <w:divBdr>
                    <w:top w:val="none" w:sz="0" w:space="0" w:color="auto"/>
                    <w:left w:val="none" w:sz="0" w:space="0" w:color="auto"/>
                    <w:bottom w:val="none" w:sz="0" w:space="0" w:color="auto"/>
                    <w:right w:val="none" w:sz="0" w:space="0" w:color="auto"/>
                  </w:divBdr>
                  <w:divsChild>
                    <w:div w:id="137561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97743">
      <w:bodyDiv w:val="1"/>
      <w:marLeft w:val="0"/>
      <w:marRight w:val="0"/>
      <w:marTop w:val="0"/>
      <w:marBottom w:val="0"/>
      <w:divBdr>
        <w:top w:val="none" w:sz="0" w:space="0" w:color="auto"/>
        <w:left w:val="none" w:sz="0" w:space="0" w:color="auto"/>
        <w:bottom w:val="none" w:sz="0" w:space="0" w:color="auto"/>
        <w:right w:val="none" w:sz="0" w:space="0" w:color="auto"/>
      </w:divBdr>
    </w:div>
    <w:div w:id="39912398">
      <w:bodyDiv w:val="1"/>
      <w:marLeft w:val="0"/>
      <w:marRight w:val="0"/>
      <w:marTop w:val="0"/>
      <w:marBottom w:val="0"/>
      <w:divBdr>
        <w:top w:val="none" w:sz="0" w:space="0" w:color="auto"/>
        <w:left w:val="none" w:sz="0" w:space="0" w:color="auto"/>
        <w:bottom w:val="none" w:sz="0" w:space="0" w:color="auto"/>
        <w:right w:val="none" w:sz="0" w:space="0" w:color="auto"/>
      </w:divBdr>
    </w:div>
    <w:div w:id="49884551">
      <w:bodyDiv w:val="1"/>
      <w:marLeft w:val="0"/>
      <w:marRight w:val="0"/>
      <w:marTop w:val="0"/>
      <w:marBottom w:val="0"/>
      <w:divBdr>
        <w:top w:val="none" w:sz="0" w:space="0" w:color="auto"/>
        <w:left w:val="none" w:sz="0" w:space="0" w:color="auto"/>
        <w:bottom w:val="none" w:sz="0" w:space="0" w:color="auto"/>
        <w:right w:val="none" w:sz="0" w:space="0" w:color="auto"/>
      </w:divBdr>
      <w:divsChild>
        <w:div w:id="657421564">
          <w:marLeft w:val="0"/>
          <w:marRight w:val="0"/>
          <w:marTop w:val="0"/>
          <w:marBottom w:val="0"/>
          <w:divBdr>
            <w:top w:val="none" w:sz="0" w:space="0" w:color="auto"/>
            <w:left w:val="none" w:sz="0" w:space="0" w:color="auto"/>
            <w:bottom w:val="none" w:sz="0" w:space="0" w:color="auto"/>
            <w:right w:val="none" w:sz="0" w:space="0" w:color="auto"/>
          </w:divBdr>
          <w:divsChild>
            <w:div w:id="426998567">
              <w:marLeft w:val="0"/>
              <w:marRight w:val="0"/>
              <w:marTop w:val="0"/>
              <w:marBottom w:val="0"/>
              <w:divBdr>
                <w:top w:val="none" w:sz="0" w:space="0" w:color="auto"/>
                <w:left w:val="none" w:sz="0" w:space="0" w:color="auto"/>
                <w:bottom w:val="none" w:sz="0" w:space="0" w:color="auto"/>
                <w:right w:val="none" w:sz="0" w:space="0" w:color="auto"/>
              </w:divBdr>
              <w:divsChild>
                <w:div w:id="1872955103">
                  <w:marLeft w:val="0"/>
                  <w:marRight w:val="0"/>
                  <w:marTop w:val="0"/>
                  <w:marBottom w:val="0"/>
                  <w:divBdr>
                    <w:top w:val="none" w:sz="0" w:space="0" w:color="auto"/>
                    <w:left w:val="none" w:sz="0" w:space="0" w:color="auto"/>
                    <w:bottom w:val="none" w:sz="0" w:space="0" w:color="auto"/>
                    <w:right w:val="none" w:sz="0" w:space="0" w:color="auto"/>
                  </w:divBdr>
                  <w:divsChild>
                    <w:div w:id="62067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990068">
      <w:bodyDiv w:val="1"/>
      <w:marLeft w:val="0"/>
      <w:marRight w:val="0"/>
      <w:marTop w:val="0"/>
      <w:marBottom w:val="0"/>
      <w:divBdr>
        <w:top w:val="none" w:sz="0" w:space="0" w:color="auto"/>
        <w:left w:val="none" w:sz="0" w:space="0" w:color="auto"/>
        <w:bottom w:val="none" w:sz="0" w:space="0" w:color="auto"/>
        <w:right w:val="none" w:sz="0" w:space="0" w:color="auto"/>
      </w:divBdr>
    </w:div>
    <w:div w:id="69468796">
      <w:bodyDiv w:val="1"/>
      <w:marLeft w:val="0"/>
      <w:marRight w:val="0"/>
      <w:marTop w:val="0"/>
      <w:marBottom w:val="0"/>
      <w:divBdr>
        <w:top w:val="none" w:sz="0" w:space="0" w:color="auto"/>
        <w:left w:val="none" w:sz="0" w:space="0" w:color="auto"/>
        <w:bottom w:val="none" w:sz="0" w:space="0" w:color="auto"/>
        <w:right w:val="none" w:sz="0" w:space="0" w:color="auto"/>
      </w:divBdr>
      <w:divsChild>
        <w:div w:id="415857125">
          <w:marLeft w:val="0"/>
          <w:marRight w:val="0"/>
          <w:marTop w:val="0"/>
          <w:marBottom w:val="0"/>
          <w:divBdr>
            <w:top w:val="none" w:sz="0" w:space="0" w:color="auto"/>
            <w:left w:val="none" w:sz="0" w:space="0" w:color="auto"/>
            <w:bottom w:val="none" w:sz="0" w:space="0" w:color="auto"/>
            <w:right w:val="none" w:sz="0" w:space="0" w:color="auto"/>
          </w:divBdr>
          <w:divsChild>
            <w:div w:id="1778871734">
              <w:marLeft w:val="0"/>
              <w:marRight w:val="0"/>
              <w:marTop w:val="0"/>
              <w:marBottom w:val="0"/>
              <w:divBdr>
                <w:top w:val="none" w:sz="0" w:space="0" w:color="auto"/>
                <w:left w:val="none" w:sz="0" w:space="0" w:color="auto"/>
                <w:bottom w:val="none" w:sz="0" w:space="0" w:color="auto"/>
                <w:right w:val="none" w:sz="0" w:space="0" w:color="auto"/>
              </w:divBdr>
              <w:divsChild>
                <w:div w:id="107644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27059">
      <w:bodyDiv w:val="1"/>
      <w:marLeft w:val="0"/>
      <w:marRight w:val="0"/>
      <w:marTop w:val="0"/>
      <w:marBottom w:val="0"/>
      <w:divBdr>
        <w:top w:val="none" w:sz="0" w:space="0" w:color="auto"/>
        <w:left w:val="none" w:sz="0" w:space="0" w:color="auto"/>
        <w:bottom w:val="none" w:sz="0" w:space="0" w:color="auto"/>
        <w:right w:val="none" w:sz="0" w:space="0" w:color="auto"/>
      </w:divBdr>
    </w:div>
    <w:div w:id="112217328">
      <w:bodyDiv w:val="1"/>
      <w:marLeft w:val="0"/>
      <w:marRight w:val="0"/>
      <w:marTop w:val="0"/>
      <w:marBottom w:val="0"/>
      <w:divBdr>
        <w:top w:val="none" w:sz="0" w:space="0" w:color="auto"/>
        <w:left w:val="none" w:sz="0" w:space="0" w:color="auto"/>
        <w:bottom w:val="none" w:sz="0" w:space="0" w:color="auto"/>
        <w:right w:val="none" w:sz="0" w:space="0" w:color="auto"/>
      </w:divBdr>
    </w:div>
    <w:div w:id="129060765">
      <w:bodyDiv w:val="1"/>
      <w:marLeft w:val="0"/>
      <w:marRight w:val="0"/>
      <w:marTop w:val="0"/>
      <w:marBottom w:val="0"/>
      <w:divBdr>
        <w:top w:val="none" w:sz="0" w:space="0" w:color="auto"/>
        <w:left w:val="none" w:sz="0" w:space="0" w:color="auto"/>
        <w:bottom w:val="none" w:sz="0" w:space="0" w:color="auto"/>
        <w:right w:val="none" w:sz="0" w:space="0" w:color="auto"/>
      </w:divBdr>
    </w:div>
    <w:div w:id="129326379">
      <w:bodyDiv w:val="1"/>
      <w:marLeft w:val="0"/>
      <w:marRight w:val="0"/>
      <w:marTop w:val="0"/>
      <w:marBottom w:val="0"/>
      <w:divBdr>
        <w:top w:val="none" w:sz="0" w:space="0" w:color="auto"/>
        <w:left w:val="none" w:sz="0" w:space="0" w:color="auto"/>
        <w:bottom w:val="none" w:sz="0" w:space="0" w:color="auto"/>
        <w:right w:val="none" w:sz="0" w:space="0" w:color="auto"/>
      </w:divBdr>
    </w:div>
    <w:div w:id="170990973">
      <w:bodyDiv w:val="1"/>
      <w:marLeft w:val="0"/>
      <w:marRight w:val="0"/>
      <w:marTop w:val="0"/>
      <w:marBottom w:val="0"/>
      <w:divBdr>
        <w:top w:val="none" w:sz="0" w:space="0" w:color="auto"/>
        <w:left w:val="none" w:sz="0" w:space="0" w:color="auto"/>
        <w:bottom w:val="none" w:sz="0" w:space="0" w:color="auto"/>
        <w:right w:val="none" w:sz="0" w:space="0" w:color="auto"/>
      </w:divBdr>
    </w:div>
    <w:div w:id="185145427">
      <w:bodyDiv w:val="1"/>
      <w:marLeft w:val="0"/>
      <w:marRight w:val="0"/>
      <w:marTop w:val="0"/>
      <w:marBottom w:val="0"/>
      <w:divBdr>
        <w:top w:val="none" w:sz="0" w:space="0" w:color="auto"/>
        <w:left w:val="none" w:sz="0" w:space="0" w:color="auto"/>
        <w:bottom w:val="none" w:sz="0" w:space="0" w:color="auto"/>
        <w:right w:val="none" w:sz="0" w:space="0" w:color="auto"/>
      </w:divBdr>
    </w:div>
    <w:div w:id="204299127">
      <w:bodyDiv w:val="1"/>
      <w:marLeft w:val="0"/>
      <w:marRight w:val="0"/>
      <w:marTop w:val="0"/>
      <w:marBottom w:val="0"/>
      <w:divBdr>
        <w:top w:val="none" w:sz="0" w:space="0" w:color="auto"/>
        <w:left w:val="none" w:sz="0" w:space="0" w:color="auto"/>
        <w:bottom w:val="none" w:sz="0" w:space="0" w:color="auto"/>
        <w:right w:val="none" w:sz="0" w:space="0" w:color="auto"/>
      </w:divBdr>
    </w:div>
    <w:div w:id="226917971">
      <w:bodyDiv w:val="1"/>
      <w:marLeft w:val="0"/>
      <w:marRight w:val="0"/>
      <w:marTop w:val="0"/>
      <w:marBottom w:val="0"/>
      <w:divBdr>
        <w:top w:val="none" w:sz="0" w:space="0" w:color="auto"/>
        <w:left w:val="none" w:sz="0" w:space="0" w:color="auto"/>
        <w:bottom w:val="none" w:sz="0" w:space="0" w:color="auto"/>
        <w:right w:val="none" w:sz="0" w:space="0" w:color="auto"/>
      </w:divBdr>
      <w:divsChild>
        <w:div w:id="1864436141">
          <w:marLeft w:val="0"/>
          <w:marRight w:val="0"/>
          <w:marTop w:val="0"/>
          <w:marBottom w:val="0"/>
          <w:divBdr>
            <w:top w:val="single" w:sz="6" w:space="0" w:color="5B616B"/>
            <w:left w:val="single" w:sz="6" w:space="0" w:color="5B616B"/>
            <w:bottom w:val="single" w:sz="6" w:space="0" w:color="5B616B"/>
            <w:right w:val="single" w:sz="6" w:space="0" w:color="5B616B"/>
          </w:divBdr>
        </w:div>
        <w:div w:id="735785127">
          <w:marLeft w:val="0"/>
          <w:marRight w:val="0"/>
          <w:marTop w:val="0"/>
          <w:marBottom w:val="0"/>
          <w:divBdr>
            <w:top w:val="none" w:sz="0" w:space="0" w:color="auto"/>
            <w:left w:val="none" w:sz="0" w:space="0" w:color="auto"/>
            <w:bottom w:val="none" w:sz="0" w:space="0" w:color="auto"/>
            <w:right w:val="none" w:sz="0" w:space="0" w:color="auto"/>
          </w:divBdr>
        </w:div>
      </w:divsChild>
    </w:div>
    <w:div w:id="241531459">
      <w:bodyDiv w:val="1"/>
      <w:marLeft w:val="0"/>
      <w:marRight w:val="0"/>
      <w:marTop w:val="0"/>
      <w:marBottom w:val="0"/>
      <w:divBdr>
        <w:top w:val="none" w:sz="0" w:space="0" w:color="auto"/>
        <w:left w:val="none" w:sz="0" w:space="0" w:color="auto"/>
        <w:bottom w:val="none" w:sz="0" w:space="0" w:color="auto"/>
        <w:right w:val="none" w:sz="0" w:space="0" w:color="auto"/>
      </w:divBdr>
      <w:divsChild>
        <w:div w:id="902644364">
          <w:marLeft w:val="0"/>
          <w:marRight w:val="0"/>
          <w:marTop w:val="0"/>
          <w:marBottom w:val="0"/>
          <w:divBdr>
            <w:top w:val="none" w:sz="0" w:space="0" w:color="auto"/>
            <w:left w:val="none" w:sz="0" w:space="0" w:color="auto"/>
            <w:bottom w:val="none" w:sz="0" w:space="0" w:color="auto"/>
            <w:right w:val="none" w:sz="0" w:space="0" w:color="auto"/>
          </w:divBdr>
          <w:divsChild>
            <w:div w:id="1972010931">
              <w:marLeft w:val="0"/>
              <w:marRight w:val="0"/>
              <w:marTop w:val="0"/>
              <w:marBottom w:val="0"/>
              <w:divBdr>
                <w:top w:val="none" w:sz="0" w:space="0" w:color="auto"/>
                <w:left w:val="none" w:sz="0" w:space="0" w:color="auto"/>
                <w:bottom w:val="none" w:sz="0" w:space="0" w:color="auto"/>
                <w:right w:val="none" w:sz="0" w:space="0" w:color="auto"/>
              </w:divBdr>
              <w:divsChild>
                <w:div w:id="91948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2829">
      <w:bodyDiv w:val="1"/>
      <w:marLeft w:val="0"/>
      <w:marRight w:val="0"/>
      <w:marTop w:val="0"/>
      <w:marBottom w:val="0"/>
      <w:divBdr>
        <w:top w:val="none" w:sz="0" w:space="0" w:color="auto"/>
        <w:left w:val="none" w:sz="0" w:space="0" w:color="auto"/>
        <w:bottom w:val="none" w:sz="0" w:space="0" w:color="auto"/>
        <w:right w:val="none" w:sz="0" w:space="0" w:color="auto"/>
      </w:divBdr>
    </w:div>
    <w:div w:id="265233058">
      <w:bodyDiv w:val="1"/>
      <w:marLeft w:val="0"/>
      <w:marRight w:val="0"/>
      <w:marTop w:val="0"/>
      <w:marBottom w:val="0"/>
      <w:divBdr>
        <w:top w:val="none" w:sz="0" w:space="0" w:color="auto"/>
        <w:left w:val="none" w:sz="0" w:space="0" w:color="auto"/>
        <w:bottom w:val="none" w:sz="0" w:space="0" w:color="auto"/>
        <w:right w:val="none" w:sz="0" w:space="0" w:color="auto"/>
      </w:divBdr>
    </w:div>
    <w:div w:id="270823646">
      <w:bodyDiv w:val="1"/>
      <w:marLeft w:val="0"/>
      <w:marRight w:val="0"/>
      <w:marTop w:val="0"/>
      <w:marBottom w:val="0"/>
      <w:divBdr>
        <w:top w:val="none" w:sz="0" w:space="0" w:color="auto"/>
        <w:left w:val="none" w:sz="0" w:space="0" w:color="auto"/>
        <w:bottom w:val="none" w:sz="0" w:space="0" w:color="auto"/>
        <w:right w:val="none" w:sz="0" w:space="0" w:color="auto"/>
      </w:divBdr>
    </w:div>
    <w:div w:id="272591815">
      <w:bodyDiv w:val="1"/>
      <w:marLeft w:val="0"/>
      <w:marRight w:val="0"/>
      <w:marTop w:val="0"/>
      <w:marBottom w:val="0"/>
      <w:divBdr>
        <w:top w:val="none" w:sz="0" w:space="0" w:color="auto"/>
        <w:left w:val="none" w:sz="0" w:space="0" w:color="auto"/>
        <w:bottom w:val="none" w:sz="0" w:space="0" w:color="auto"/>
        <w:right w:val="none" w:sz="0" w:space="0" w:color="auto"/>
      </w:divBdr>
      <w:divsChild>
        <w:div w:id="1576015293">
          <w:marLeft w:val="0"/>
          <w:marRight w:val="0"/>
          <w:marTop w:val="0"/>
          <w:marBottom w:val="0"/>
          <w:divBdr>
            <w:top w:val="none" w:sz="0" w:space="0" w:color="auto"/>
            <w:left w:val="none" w:sz="0" w:space="0" w:color="auto"/>
            <w:bottom w:val="none" w:sz="0" w:space="0" w:color="auto"/>
            <w:right w:val="none" w:sz="0" w:space="0" w:color="auto"/>
          </w:divBdr>
          <w:divsChild>
            <w:div w:id="1118915081">
              <w:marLeft w:val="0"/>
              <w:marRight w:val="0"/>
              <w:marTop w:val="0"/>
              <w:marBottom w:val="0"/>
              <w:divBdr>
                <w:top w:val="none" w:sz="0" w:space="0" w:color="auto"/>
                <w:left w:val="none" w:sz="0" w:space="0" w:color="auto"/>
                <w:bottom w:val="none" w:sz="0" w:space="0" w:color="auto"/>
                <w:right w:val="none" w:sz="0" w:space="0" w:color="auto"/>
              </w:divBdr>
              <w:divsChild>
                <w:div w:id="1872378162">
                  <w:marLeft w:val="0"/>
                  <w:marRight w:val="0"/>
                  <w:marTop w:val="0"/>
                  <w:marBottom w:val="0"/>
                  <w:divBdr>
                    <w:top w:val="none" w:sz="0" w:space="0" w:color="auto"/>
                    <w:left w:val="none" w:sz="0" w:space="0" w:color="auto"/>
                    <w:bottom w:val="none" w:sz="0" w:space="0" w:color="auto"/>
                    <w:right w:val="none" w:sz="0" w:space="0" w:color="auto"/>
                  </w:divBdr>
                  <w:divsChild>
                    <w:div w:id="88174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0263617">
      <w:bodyDiv w:val="1"/>
      <w:marLeft w:val="0"/>
      <w:marRight w:val="0"/>
      <w:marTop w:val="0"/>
      <w:marBottom w:val="0"/>
      <w:divBdr>
        <w:top w:val="none" w:sz="0" w:space="0" w:color="auto"/>
        <w:left w:val="none" w:sz="0" w:space="0" w:color="auto"/>
        <w:bottom w:val="none" w:sz="0" w:space="0" w:color="auto"/>
        <w:right w:val="none" w:sz="0" w:space="0" w:color="auto"/>
      </w:divBdr>
      <w:divsChild>
        <w:div w:id="1045132413">
          <w:marLeft w:val="0"/>
          <w:marRight w:val="0"/>
          <w:marTop w:val="0"/>
          <w:marBottom w:val="0"/>
          <w:divBdr>
            <w:top w:val="none" w:sz="0" w:space="0" w:color="auto"/>
            <w:left w:val="none" w:sz="0" w:space="0" w:color="auto"/>
            <w:bottom w:val="none" w:sz="0" w:space="0" w:color="auto"/>
            <w:right w:val="none" w:sz="0" w:space="0" w:color="auto"/>
          </w:divBdr>
          <w:divsChild>
            <w:div w:id="1062026519">
              <w:marLeft w:val="0"/>
              <w:marRight w:val="0"/>
              <w:marTop w:val="0"/>
              <w:marBottom w:val="0"/>
              <w:divBdr>
                <w:top w:val="none" w:sz="0" w:space="0" w:color="auto"/>
                <w:left w:val="none" w:sz="0" w:space="0" w:color="auto"/>
                <w:bottom w:val="none" w:sz="0" w:space="0" w:color="auto"/>
                <w:right w:val="none" w:sz="0" w:space="0" w:color="auto"/>
              </w:divBdr>
              <w:divsChild>
                <w:div w:id="1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550502">
      <w:bodyDiv w:val="1"/>
      <w:marLeft w:val="0"/>
      <w:marRight w:val="0"/>
      <w:marTop w:val="0"/>
      <w:marBottom w:val="0"/>
      <w:divBdr>
        <w:top w:val="none" w:sz="0" w:space="0" w:color="auto"/>
        <w:left w:val="none" w:sz="0" w:space="0" w:color="auto"/>
        <w:bottom w:val="none" w:sz="0" w:space="0" w:color="auto"/>
        <w:right w:val="none" w:sz="0" w:space="0" w:color="auto"/>
      </w:divBdr>
    </w:div>
    <w:div w:id="305595124">
      <w:bodyDiv w:val="1"/>
      <w:marLeft w:val="0"/>
      <w:marRight w:val="0"/>
      <w:marTop w:val="0"/>
      <w:marBottom w:val="0"/>
      <w:divBdr>
        <w:top w:val="none" w:sz="0" w:space="0" w:color="auto"/>
        <w:left w:val="none" w:sz="0" w:space="0" w:color="auto"/>
        <w:bottom w:val="none" w:sz="0" w:space="0" w:color="auto"/>
        <w:right w:val="none" w:sz="0" w:space="0" w:color="auto"/>
      </w:divBdr>
    </w:div>
    <w:div w:id="308286481">
      <w:bodyDiv w:val="1"/>
      <w:marLeft w:val="0"/>
      <w:marRight w:val="0"/>
      <w:marTop w:val="0"/>
      <w:marBottom w:val="0"/>
      <w:divBdr>
        <w:top w:val="none" w:sz="0" w:space="0" w:color="auto"/>
        <w:left w:val="none" w:sz="0" w:space="0" w:color="auto"/>
        <w:bottom w:val="none" w:sz="0" w:space="0" w:color="auto"/>
        <w:right w:val="none" w:sz="0" w:space="0" w:color="auto"/>
      </w:divBdr>
    </w:div>
    <w:div w:id="308747774">
      <w:bodyDiv w:val="1"/>
      <w:marLeft w:val="0"/>
      <w:marRight w:val="0"/>
      <w:marTop w:val="0"/>
      <w:marBottom w:val="0"/>
      <w:divBdr>
        <w:top w:val="none" w:sz="0" w:space="0" w:color="auto"/>
        <w:left w:val="none" w:sz="0" w:space="0" w:color="auto"/>
        <w:bottom w:val="none" w:sz="0" w:space="0" w:color="auto"/>
        <w:right w:val="none" w:sz="0" w:space="0" w:color="auto"/>
      </w:divBdr>
    </w:div>
    <w:div w:id="318270163">
      <w:bodyDiv w:val="1"/>
      <w:marLeft w:val="0"/>
      <w:marRight w:val="0"/>
      <w:marTop w:val="0"/>
      <w:marBottom w:val="0"/>
      <w:divBdr>
        <w:top w:val="none" w:sz="0" w:space="0" w:color="auto"/>
        <w:left w:val="none" w:sz="0" w:space="0" w:color="auto"/>
        <w:bottom w:val="none" w:sz="0" w:space="0" w:color="auto"/>
        <w:right w:val="none" w:sz="0" w:space="0" w:color="auto"/>
      </w:divBdr>
    </w:div>
    <w:div w:id="341057575">
      <w:bodyDiv w:val="1"/>
      <w:marLeft w:val="0"/>
      <w:marRight w:val="0"/>
      <w:marTop w:val="0"/>
      <w:marBottom w:val="0"/>
      <w:divBdr>
        <w:top w:val="none" w:sz="0" w:space="0" w:color="auto"/>
        <w:left w:val="none" w:sz="0" w:space="0" w:color="auto"/>
        <w:bottom w:val="none" w:sz="0" w:space="0" w:color="auto"/>
        <w:right w:val="none" w:sz="0" w:space="0" w:color="auto"/>
      </w:divBdr>
    </w:div>
    <w:div w:id="354814632">
      <w:bodyDiv w:val="1"/>
      <w:marLeft w:val="0"/>
      <w:marRight w:val="0"/>
      <w:marTop w:val="0"/>
      <w:marBottom w:val="0"/>
      <w:divBdr>
        <w:top w:val="none" w:sz="0" w:space="0" w:color="auto"/>
        <w:left w:val="none" w:sz="0" w:space="0" w:color="auto"/>
        <w:bottom w:val="none" w:sz="0" w:space="0" w:color="auto"/>
        <w:right w:val="none" w:sz="0" w:space="0" w:color="auto"/>
      </w:divBdr>
      <w:divsChild>
        <w:div w:id="717163528">
          <w:marLeft w:val="0"/>
          <w:marRight w:val="0"/>
          <w:marTop w:val="0"/>
          <w:marBottom w:val="0"/>
          <w:divBdr>
            <w:top w:val="none" w:sz="0" w:space="0" w:color="auto"/>
            <w:left w:val="none" w:sz="0" w:space="0" w:color="auto"/>
            <w:bottom w:val="none" w:sz="0" w:space="0" w:color="auto"/>
            <w:right w:val="none" w:sz="0" w:space="0" w:color="auto"/>
          </w:divBdr>
          <w:divsChild>
            <w:div w:id="1005983059">
              <w:marLeft w:val="0"/>
              <w:marRight w:val="0"/>
              <w:marTop w:val="0"/>
              <w:marBottom w:val="0"/>
              <w:divBdr>
                <w:top w:val="none" w:sz="0" w:space="0" w:color="auto"/>
                <w:left w:val="none" w:sz="0" w:space="0" w:color="auto"/>
                <w:bottom w:val="none" w:sz="0" w:space="0" w:color="auto"/>
                <w:right w:val="none" w:sz="0" w:space="0" w:color="auto"/>
              </w:divBdr>
              <w:divsChild>
                <w:div w:id="1511792233">
                  <w:marLeft w:val="0"/>
                  <w:marRight w:val="0"/>
                  <w:marTop w:val="0"/>
                  <w:marBottom w:val="0"/>
                  <w:divBdr>
                    <w:top w:val="none" w:sz="0" w:space="0" w:color="auto"/>
                    <w:left w:val="none" w:sz="0" w:space="0" w:color="auto"/>
                    <w:bottom w:val="none" w:sz="0" w:space="0" w:color="auto"/>
                    <w:right w:val="none" w:sz="0" w:space="0" w:color="auto"/>
                  </w:divBdr>
                  <w:divsChild>
                    <w:div w:id="35030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4820446">
      <w:bodyDiv w:val="1"/>
      <w:marLeft w:val="0"/>
      <w:marRight w:val="0"/>
      <w:marTop w:val="0"/>
      <w:marBottom w:val="0"/>
      <w:divBdr>
        <w:top w:val="none" w:sz="0" w:space="0" w:color="auto"/>
        <w:left w:val="none" w:sz="0" w:space="0" w:color="auto"/>
        <w:bottom w:val="none" w:sz="0" w:space="0" w:color="auto"/>
        <w:right w:val="none" w:sz="0" w:space="0" w:color="auto"/>
      </w:divBdr>
    </w:div>
    <w:div w:id="410465222">
      <w:bodyDiv w:val="1"/>
      <w:marLeft w:val="0"/>
      <w:marRight w:val="0"/>
      <w:marTop w:val="0"/>
      <w:marBottom w:val="0"/>
      <w:divBdr>
        <w:top w:val="none" w:sz="0" w:space="0" w:color="auto"/>
        <w:left w:val="none" w:sz="0" w:space="0" w:color="auto"/>
        <w:bottom w:val="none" w:sz="0" w:space="0" w:color="auto"/>
        <w:right w:val="none" w:sz="0" w:space="0" w:color="auto"/>
      </w:divBdr>
    </w:div>
    <w:div w:id="431096640">
      <w:bodyDiv w:val="1"/>
      <w:marLeft w:val="0"/>
      <w:marRight w:val="0"/>
      <w:marTop w:val="0"/>
      <w:marBottom w:val="0"/>
      <w:divBdr>
        <w:top w:val="none" w:sz="0" w:space="0" w:color="auto"/>
        <w:left w:val="none" w:sz="0" w:space="0" w:color="auto"/>
        <w:bottom w:val="none" w:sz="0" w:space="0" w:color="auto"/>
        <w:right w:val="none" w:sz="0" w:space="0" w:color="auto"/>
      </w:divBdr>
    </w:div>
    <w:div w:id="459962250">
      <w:bodyDiv w:val="1"/>
      <w:marLeft w:val="0"/>
      <w:marRight w:val="0"/>
      <w:marTop w:val="0"/>
      <w:marBottom w:val="0"/>
      <w:divBdr>
        <w:top w:val="none" w:sz="0" w:space="0" w:color="auto"/>
        <w:left w:val="none" w:sz="0" w:space="0" w:color="auto"/>
        <w:bottom w:val="none" w:sz="0" w:space="0" w:color="auto"/>
        <w:right w:val="none" w:sz="0" w:space="0" w:color="auto"/>
      </w:divBdr>
    </w:div>
    <w:div w:id="476799591">
      <w:bodyDiv w:val="1"/>
      <w:marLeft w:val="0"/>
      <w:marRight w:val="0"/>
      <w:marTop w:val="0"/>
      <w:marBottom w:val="0"/>
      <w:divBdr>
        <w:top w:val="none" w:sz="0" w:space="0" w:color="auto"/>
        <w:left w:val="none" w:sz="0" w:space="0" w:color="auto"/>
        <w:bottom w:val="none" w:sz="0" w:space="0" w:color="auto"/>
        <w:right w:val="none" w:sz="0" w:space="0" w:color="auto"/>
      </w:divBdr>
    </w:div>
    <w:div w:id="481434338">
      <w:bodyDiv w:val="1"/>
      <w:marLeft w:val="0"/>
      <w:marRight w:val="0"/>
      <w:marTop w:val="0"/>
      <w:marBottom w:val="0"/>
      <w:divBdr>
        <w:top w:val="none" w:sz="0" w:space="0" w:color="auto"/>
        <w:left w:val="none" w:sz="0" w:space="0" w:color="auto"/>
        <w:bottom w:val="none" w:sz="0" w:space="0" w:color="auto"/>
        <w:right w:val="none" w:sz="0" w:space="0" w:color="auto"/>
      </w:divBdr>
    </w:div>
    <w:div w:id="540943086">
      <w:bodyDiv w:val="1"/>
      <w:marLeft w:val="0"/>
      <w:marRight w:val="0"/>
      <w:marTop w:val="0"/>
      <w:marBottom w:val="0"/>
      <w:divBdr>
        <w:top w:val="none" w:sz="0" w:space="0" w:color="auto"/>
        <w:left w:val="none" w:sz="0" w:space="0" w:color="auto"/>
        <w:bottom w:val="none" w:sz="0" w:space="0" w:color="auto"/>
        <w:right w:val="none" w:sz="0" w:space="0" w:color="auto"/>
      </w:divBdr>
    </w:div>
    <w:div w:id="543061790">
      <w:bodyDiv w:val="1"/>
      <w:marLeft w:val="0"/>
      <w:marRight w:val="0"/>
      <w:marTop w:val="0"/>
      <w:marBottom w:val="0"/>
      <w:divBdr>
        <w:top w:val="none" w:sz="0" w:space="0" w:color="auto"/>
        <w:left w:val="none" w:sz="0" w:space="0" w:color="auto"/>
        <w:bottom w:val="none" w:sz="0" w:space="0" w:color="auto"/>
        <w:right w:val="none" w:sz="0" w:space="0" w:color="auto"/>
      </w:divBdr>
    </w:div>
    <w:div w:id="556673508">
      <w:bodyDiv w:val="1"/>
      <w:marLeft w:val="0"/>
      <w:marRight w:val="0"/>
      <w:marTop w:val="0"/>
      <w:marBottom w:val="0"/>
      <w:divBdr>
        <w:top w:val="none" w:sz="0" w:space="0" w:color="auto"/>
        <w:left w:val="none" w:sz="0" w:space="0" w:color="auto"/>
        <w:bottom w:val="none" w:sz="0" w:space="0" w:color="auto"/>
        <w:right w:val="none" w:sz="0" w:space="0" w:color="auto"/>
      </w:divBdr>
    </w:div>
    <w:div w:id="609315391">
      <w:bodyDiv w:val="1"/>
      <w:marLeft w:val="0"/>
      <w:marRight w:val="0"/>
      <w:marTop w:val="0"/>
      <w:marBottom w:val="0"/>
      <w:divBdr>
        <w:top w:val="none" w:sz="0" w:space="0" w:color="auto"/>
        <w:left w:val="none" w:sz="0" w:space="0" w:color="auto"/>
        <w:bottom w:val="none" w:sz="0" w:space="0" w:color="auto"/>
        <w:right w:val="none" w:sz="0" w:space="0" w:color="auto"/>
      </w:divBdr>
    </w:div>
    <w:div w:id="679746282">
      <w:bodyDiv w:val="1"/>
      <w:marLeft w:val="0"/>
      <w:marRight w:val="0"/>
      <w:marTop w:val="0"/>
      <w:marBottom w:val="0"/>
      <w:divBdr>
        <w:top w:val="none" w:sz="0" w:space="0" w:color="auto"/>
        <w:left w:val="none" w:sz="0" w:space="0" w:color="auto"/>
        <w:bottom w:val="none" w:sz="0" w:space="0" w:color="auto"/>
        <w:right w:val="none" w:sz="0" w:space="0" w:color="auto"/>
      </w:divBdr>
    </w:div>
    <w:div w:id="694186264">
      <w:bodyDiv w:val="1"/>
      <w:marLeft w:val="0"/>
      <w:marRight w:val="0"/>
      <w:marTop w:val="0"/>
      <w:marBottom w:val="0"/>
      <w:divBdr>
        <w:top w:val="none" w:sz="0" w:space="0" w:color="auto"/>
        <w:left w:val="none" w:sz="0" w:space="0" w:color="auto"/>
        <w:bottom w:val="none" w:sz="0" w:space="0" w:color="auto"/>
        <w:right w:val="none" w:sz="0" w:space="0" w:color="auto"/>
      </w:divBdr>
    </w:div>
    <w:div w:id="720641574">
      <w:bodyDiv w:val="1"/>
      <w:marLeft w:val="0"/>
      <w:marRight w:val="0"/>
      <w:marTop w:val="0"/>
      <w:marBottom w:val="0"/>
      <w:divBdr>
        <w:top w:val="none" w:sz="0" w:space="0" w:color="auto"/>
        <w:left w:val="none" w:sz="0" w:space="0" w:color="auto"/>
        <w:bottom w:val="none" w:sz="0" w:space="0" w:color="auto"/>
        <w:right w:val="none" w:sz="0" w:space="0" w:color="auto"/>
      </w:divBdr>
    </w:div>
    <w:div w:id="725833124">
      <w:bodyDiv w:val="1"/>
      <w:marLeft w:val="0"/>
      <w:marRight w:val="0"/>
      <w:marTop w:val="0"/>
      <w:marBottom w:val="0"/>
      <w:divBdr>
        <w:top w:val="none" w:sz="0" w:space="0" w:color="auto"/>
        <w:left w:val="none" w:sz="0" w:space="0" w:color="auto"/>
        <w:bottom w:val="none" w:sz="0" w:space="0" w:color="auto"/>
        <w:right w:val="none" w:sz="0" w:space="0" w:color="auto"/>
      </w:divBdr>
    </w:div>
    <w:div w:id="728922942">
      <w:bodyDiv w:val="1"/>
      <w:marLeft w:val="0"/>
      <w:marRight w:val="0"/>
      <w:marTop w:val="0"/>
      <w:marBottom w:val="0"/>
      <w:divBdr>
        <w:top w:val="none" w:sz="0" w:space="0" w:color="auto"/>
        <w:left w:val="none" w:sz="0" w:space="0" w:color="auto"/>
        <w:bottom w:val="none" w:sz="0" w:space="0" w:color="auto"/>
        <w:right w:val="none" w:sz="0" w:space="0" w:color="auto"/>
      </w:divBdr>
    </w:div>
    <w:div w:id="733235389">
      <w:bodyDiv w:val="1"/>
      <w:marLeft w:val="0"/>
      <w:marRight w:val="0"/>
      <w:marTop w:val="0"/>
      <w:marBottom w:val="0"/>
      <w:divBdr>
        <w:top w:val="none" w:sz="0" w:space="0" w:color="auto"/>
        <w:left w:val="none" w:sz="0" w:space="0" w:color="auto"/>
        <w:bottom w:val="none" w:sz="0" w:space="0" w:color="auto"/>
        <w:right w:val="none" w:sz="0" w:space="0" w:color="auto"/>
      </w:divBdr>
    </w:div>
    <w:div w:id="739905991">
      <w:bodyDiv w:val="1"/>
      <w:marLeft w:val="0"/>
      <w:marRight w:val="0"/>
      <w:marTop w:val="0"/>
      <w:marBottom w:val="0"/>
      <w:divBdr>
        <w:top w:val="none" w:sz="0" w:space="0" w:color="auto"/>
        <w:left w:val="none" w:sz="0" w:space="0" w:color="auto"/>
        <w:bottom w:val="none" w:sz="0" w:space="0" w:color="auto"/>
        <w:right w:val="none" w:sz="0" w:space="0" w:color="auto"/>
      </w:divBdr>
      <w:divsChild>
        <w:div w:id="1194802648">
          <w:marLeft w:val="0"/>
          <w:marRight w:val="0"/>
          <w:marTop w:val="0"/>
          <w:marBottom w:val="0"/>
          <w:divBdr>
            <w:top w:val="none" w:sz="0" w:space="0" w:color="auto"/>
            <w:left w:val="none" w:sz="0" w:space="0" w:color="auto"/>
            <w:bottom w:val="none" w:sz="0" w:space="0" w:color="auto"/>
            <w:right w:val="none" w:sz="0" w:space="0" w:color="auto"/>
          </w:divBdr>
          <w:divsChild>
            <w:div w:id="1384216269">
              <w:marLeft w:val="0"/>
              <w:marRight w:val="0"/>
              <w:marTop w:val="0"/>
              <w:marBottom w:val="0"/>
              <w:divBdr>
                <w:top w:val="none" w:sz="0" w:space="0" w:color="auto"/>
                <w:left w:val="none" w:sz="0" w:space="0" w:color="auto"/>
                <w:bottom w:val="none" w:sz="0" w:space="0" w:color="auto"/>
                <w:right w:val="none" w:sz="0" w:space="0" w:color="auto"/>
              </w:divBdr>
              <w:divsChild>
                <w:div w:id="1196577149">
                  <w:marLeft w:val="0"/>
                  <w:marRight w:val="0"/>
                  <w:marTop w:val="0"/>
                  <w:marBottom w:val="0"/>
                  <w:divBdr>
                    <w:top w:val="none" w:sz="0" w:space="0" w:color="auto"/>
                    <w:left w:val="none" w:sz="0" w:space="0" w:color="auto"/>
                    <w:bottom w:val="none" w:sz="0" w:space="0" w:color="auto"/>
                    <w:right w:val="none" w:sz="0" w:space="0" w:color="auto"/>
                  </w:divBdr>
                  <w:divsChild>
                    <w:div w:id="3219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1877141">
      <w:bodyDiv w:val="1"/>
      <w:marLeft w:val="0"/>
      <w:marRight w:val="0"/>
      <w:marTop w:val="0"/>
      <w:marBottom w:val="0"/>
      <w:divBdr>
        <w:top w:val="none" w:sz="0" w:space="0" w:color="auto"/>
        <w:left w:val="none" w:sz="0" w:space="0" w:color="auto"/>
        <w:bottom w:val="none" w:sz="0" w:space="0" w:color="auto"/>
        <w:right w:val="none" w:sz="0" w:space="0" w:color="auto"/>
      </w:divBdr>
    </w:div>
    <w:div w:id="754932825">
      <w:bodyDiv w:val="1"/>
      <w:marLeft w:val="0"/>
      <w:marRight w:val="0"/>
      <w:marTop w:val="0"/>
      <w:marBottom w:val="0"/>
      <w:divBdr>
        <w:top w:val="none" w:sz="0" w:space="0" w:color="auto"/>
        <w:left w:val="none" w:sz="0" w:space="0" w:color="auto"/>
        <w:bottom w:val="none" w:sz="0" w:space="0" w:color="auto"/>
        <w:right w:val="none" w:sz="0" w:space="0" w:color="auto"/>
      </w:divBdr>
      <w:divsChild>
        <w:div w:id="1356613778">
          <w:marLeft w:val="0"/>
          <w:marRight w:val="0"/>
          <w:marTop w:val="0"/>
          <w:marBottom w:val="0"/>
          <w:divBdr>
            <w:top w:val="none" w:sz="0" w:space="0" w:color="auto"/>
            <w:left w:val="none" w:sz="0" w:space="0" w:color="auto"/>
            <w:bottom w:val="none" w:sz="0" w:space="0" w:color="auto"/>
            <w:right w:val="none" w:sz="0" w:space="0" w:color="auto"/>
          </w:divBdr>
          <w:divsChild>
            <w:div w:id="471869531">
              <w:marLeft w:val="0"/>
              <w:marRight w:val="0"/>
              <w:marTop w:val="0"/>
              <w:marBottom w:val="0"/>
              <w:divBdr>
                <w:top w:val="none" w:sz="0" w:space="0" w:color="auto"/>
                <w:left w:val="none" w:sz="0" w:space="0" w:color="auto"/>
                <w:bottom w:val="none" w:sz="0" w:space="0" w:color="auto"/>
                <w:right w:val="none" w:sz="0" w:space="0" w:color="auto"/>
              </w:divBdr>
              <w:divsChild>
                <w:div w:id="187754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444745">
      <w:bodyDiv w:val="1"/>
      <w:marLeft w:val="0"/>
      <w:marRight w:val="0"/>
      <w:marTop w:val="0"/>
      <w:marBottom w:val="0"/>
      <w:divBdr>
        <w:top w:val="none" w:sz="0" w:space="0" w:color="auto"/>
        <w:left w:val="none" w:sz="0" w:space="0" w:color="auto"/>
        <w:bottom w:val="none" w:sz="0" w:space="0" w:color="auto"/>
        <w:right w:val="none" w:sz="0" w:space="0" w:color="auto"/>
      </w:divBdr>
    </w:div>
    <w:div w:id="767654982">
      <w:bodyDiv w:val="1"/>
      <w:marLeft w:val="0"/>
      <w:marRight w:val="0"/>
      <w:marTop w:val="0"/>
      <w:marBottom w:val="0"/>
      <w:divBdr>
        <w:top w:val="none" w:sz="0" w:space="0" w:color="auto"/>
        <w:left w:val="none" w:sz="0" w:space="0" w:color="auto"/>
        <w:bottom w:val="none" w:sz="0" w:space="0" w:color="auto"/>
        <w:right w:val="none" w:sz="0" w:space="0" w:color="auto"/>
      </w:divBdr>
    </w:div>
    <w:div w:id="791510423">
      <w:bodyDiv w:val="1"/>
      <w:marLeft w:val="0"/>
      <w:marRight w:val="0"/>
      <w:marTop w:val="0"/>
      <w:marBottom w:val="0"/>
      <w:divBdr>
        <w:top w:val="none" w:sz="0" w:space="0" w:color="auto"/>
        <w:left w:val="none" w:sz="0" w:space="0" w:color="auto"/>
        <w:bottom w:val="none" w:sz="0" w:space="0" w:color="auto"/>
        <w:right w:val="none" w:sz="0" w:space="0" w:color="auto"/>
      </w:divBdr>
      <w:divsChild>
        <w:div w:id="1483430396">
          <w:marLeft w:val="0"/>
          <w:marRight w:val="0"/>
          <w:marTop w:val="0"/>
          <w:marBottom w:val="0"/>
          <w:divBdr>
            <w:top w:val="none" w:sz="0" w:space="0" w:color="auto"/>
            <w:left w:val="none" w:sz="0" w:space="0" w:color="auto"/>
            <w:bottom w:val="none" w:sz="0" w:space="0" w:color="auto"/>
            <w:right w:val="none" w:sz="0" w:space="0" w:color="auto"/>
          </w:divBdr>
          <w:divsChild>
            <w:div w:id="446777681">
              <w:marLeft w:val="0"/>
              <w:marRight w:val="0"/>
              <w:marTop w:val="0"/>
              <w:marBottom w:val="0"/>
              <w:divBdr>
                <w:top w:val="none" w:sz="0" w:space="0" w:color="auto"/>
                <w:left w:val="none" w:sz="0" w:space="0" w:color="auto"/>
                <w:bottom w:val="none" w:sz="0" w:space="0" w:color="auto"/>
                <w:right w:val="none" w:sz="0" w:space="0" w:color="auto"/>
              </w:divBdr>
              <w:divsChild>
                <w:div w:id="446318267">
                  <w:marLeft w:val="0"/>
                  <w:marRight w:val="0"/>
                  <w:marTop w:val="0"/>
                  <w:marBottom w:val="0"/>
                  <w:divBdr>
                    <w:top w:val="none" w:sz="0" w:space="0" w:color="auto"/>
                    <w:left w:val="none" w:sz="0" w:space="0" w:color="auto"/>
                    <w:bottom w:val="none" w:sz="0" w:space="0" w:color="auto"/>
                    <w:right w:val="none" w:sz="0" w:space="0" w:color="auto"/>
                  </w:divBdr>
                  <w:divsChild>
                    <w:div w:id="100914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086185">
      <w:bodyDiv w:val="1"/>
      <w:marLeft w:val="0"/>
      <w:marRight w:val="0"/>
      <w:marTop w:val="0"/>
      <w:marBottom w:val="0"/>
      <w:divBdr>
        <w:top w:val="none" w:sz="0" w:space="0" w:color="auto"/>
        <w:left w:val="none" w:sz="0" w:space="0" w:color="auto"/>
        <w:bottom w:val="none" w:sz="0" w:space="0" w:color="auto"/>
        <w:right w:val="none" w:sz="0" w:space="0" w:color="auto"/>
      </w:divBdr>
    </w:div>
    <w:div w:id="838160229">
      <w:bodyDiv w:val="1"/>
      <w:marLeft w:val="0"/>
      <w:marRight w:val="0"/>
      <w:marTop w:val="0"/>
      <w:marBottom w:val="0"/>
      <w:divBdr>
        <w:top w:val="none" w:sz="0" w:space="0" w:color="auto"/>
        <w:left w:val="none" w:sz="0" w:space="0" w:color="auto"/>
        <w:bottom w:val="none" w:sz="0" w:space="0" w:color="auto"/>
        <w:right w:val="none" w:sz="0" w:space="0" w:color="auto"/>
      </w:divBdr>
    </w:div>
    <w:div w:id="839585979">
      <w:bodyDiv w:val="1"/>
      <w:marLeft w:val="0"/>
      <w:marRight w:val="0"/>
      <w:marTop w:val="0"/>
      <w:marBottom w:val="0"/>
      <w:divBdr>
        <w:top w:val="none" w:sz="0" w:space="0" w:color="auto"/>
        <w:left w:val="none" w:sz="0" w:space="0" w:color="auto"/>
        <w:bottom w:val="none" w:sz="0" w:space="0" w:color="auto"/>
        <w:right w:val="none" w:sz="0" w:space="0" w:color="auto"/>
      </w:divBdr>
    </w:div>
    <w:div w:id="873813182">
      <w:bodyDiv w:val="1"/>
      <w:marLeft w:val="0"/>
      <w:marRight w:val="0"/>
      <w:marTop w:val="0"/>
      <w:marBottom w:val="0"/>
      <w:divBdr>
        <w:top w:val="none" w:sz="0" w:space="0" w:color="auto"/>
        <w:left w:val="none" w:sz="0" w:space="0" w:color="auto"/>
        <w:bottom w:val="none" w:sz="0" w:space="0" w:color="auto"/>
        <w:right w:val="none" w:sz="0" w:space="0" w:color="auto"/>
      </w:divBdr>
    </w:div>
    <w:div w:id="902252084">
      <w:bodyDiv w:val="1"/>
      <w:marLeft w:val="0"/>
      <w:marRight w:val="0"/>
      <w:marTop w:val="0"/>
      <w:marBottom w:val="0"/>
      <w:divBdr>
        <w:top w:val="none" w:sz="0" w:space="0" w:color="auto"/>
        <w:left w:val="none" w:sz="0" w:space="0" w:color="auto"/>
        <w:bottom w:val="none" w:sz="0" w:space="0" w:color="auto"/>
        <w:right w:val="none" w:sz="0" w:space="0" w:color="auto"/>
      </w:divBdr>
    </w:div>
    <w:div w:id="916982623">
      <w:bodyDiv w:val="1"/>
      <w:marLeft w:val="0"/>
      <w:marRight w:val="0"/>
      <w:marTop w:val="0"/>
      <w:marBottom w:val="0"/>
      <w:divBdr>
        <w:top w:val="none" w:sz="0" w:space="0" w:color="auto"/>
        <w:left w:val="none" w:sz="0" w:space="0" w:color="auto"/>
        <w:bottom w:val="none" w:sz="0" w:space="0" w:color="auto"/>
        <w:right w:val="none" w:sz="0" w:space="0" w:color="auto"/>
      </w:divBdr>
    </w:div>
    <w:div w:id="948588451">
      <w:bodyDiv w:val="1"/>
      <w:marLeft w:val="0"/>
      <w:marRight w:val="0"/>
      <w:marTop w:val="0"/>
      <w:marBottom w:val="0"/>
      <w:divBdr>
        <w:top w:val="none" w:sz="0" w:space="0" w:color="auto"/>
        <w:left w:val="none" w:sz="0" w:space="0" w:color="auto"/>
        <w:bottom w:val="none" w:sz="0" w:space="0" w:color="auto"/>
        <w:right w:val="none" w:sz="0" w:space="0" w:color="auto"/>
      </w:divBdr>
      <w:divsChild>
        <w:div w:id="104472496">
          <w:marLeft w:val="0"/>
          <w:marRight w:val="0"/>
          <w:marTop w:val="0"/>
          <w:marBottom w:val="0"/>
          <w:divBdr>
            <w:top w:val="none" w:sz="0" w:space="0" w:color="auto"/>
            <w:left w:val="none" w:sz="0" w:space="0" w:color="auto"/>
            <w:bottom w:val="none" w:sz="0" w:space="0" w:color="auto"/>
            <w:right w:val="none" w:sz="0" w:space="0" w:color="auto"/>
          </w:divBdr>
          <w:divsChild>
            <w:div w:id="1063479527">
              <w:marLeft w:val="0"/>
              <w:marRight w:val="0"/>
              <w:marTop w:val="0"/>
              <w:marBottom w:val="0"/>
              <w:divBdr>
                <w:top w:val="none" w:sz="0" w:space="0" w:color="auto"/>
                <w:left w:val="none" w:sz="0" w:space="0" w:color="auto"/>
                <w:bottom w:val="none" w:sz="0" w:space="0" w:color="auto"/>
                <w:right w:val="none" w:sz="0" w:space="0" w:color="auto"/>
              </w:divBdr>
              <w:divsChild>
                <w:div w:id="88483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153132">
      <w:bodyDiv w:val="1"/>
      <w:marLeft w:val="0"/>
      <w:marRight w:val="0"/>
      <w:marTop w:val="0"/>
      <w:marBottom w:val="0"/>
      <w:divBdr>
        <w:top w:val="none" w:sz="0" w:space="0" w:color="auto"/>
        <w:left w:val="none" w:sz="0" w:space="0" w:color="auto"/>
        <w:bottom w:val="none" w:sz="0" w:space="0" w:color="auto"/>
        <w:right w:val="none" w:sz="0" w:space="0" w:color="auto"/>
      </w:divBdr>
    </w:div>
    <w:div w:id="981886969">
      <w:bodyDiv w:val="1"/>
      <w:marLeft w:val="0"/>
      <w:marRight w:val="0"/>
      <w:marTop w:val="0"/>
      <w:marBottom w:val="0"/>
      <w:divBdr>
        <w:top w:val="none" w:sz="0" w:space="0" w:color="auto"/>
        <w:left w:val="none" w:sz="0" w:space="0" w:color="auto"/>
        <w:bottom w:val="none" w:sz="0" w:space="0" w:color="auto"/>
        <w:right w:val="none" w:sz="0" w:space="0" w:color="auto"/>
      </w:divBdr>
      <w:divsChild>
        <w:div w:id="445544294">
          <w:marLeft w:val="0"/>
          <w:marRight w:val="0"/>
          <w:marTop w:val="0"/>
          <w:marBottom w:val="0"/>
          <w:divBdr>
            <w:top w:val="none" w:sz="0" w:space="0" w:color="auto"/>
            <w:left w:val="none" w:sz="0" w:space="0" w:color="auto"/>
            <w:bottom w:val="none" w:sz="0" w:space="0" w:color="auto"/>
            <w:right w:val="none" w:sz="0" w:space="0" w:color="auto"/>
          </w:divBdr>
          <w:divsChild>
            <w:div w:id="1393697782">
              <w:marLeft w:val="0"/>
              <w:marRight w:val="0"/>
              <w:marTop w:val="0"/>
              <w:marBottom w:val="0"/>
              <w:divBdr>
                <w:top w:val="none" w:sz="0" w:space="0" w:color="auto"/>
                <w:left w:val="none" w:sz="0" w:space="0" w:color="auto"/>
                <w:bottom w:val="none" w:sz="0" w:space="0" w:color="auto"/>
                <w:right w:val="none" w:sz="0" w:space="0" w:color="auto"/>
              </w:divBdr>
              <w:divsChild>
                <w:div w:id="229341832">
                  <w:marLeft w:val="0"/>
                  <w:marRight w:val="0"/>
                  <w:marTop w:val="0"/>
                  <w:marBottom w:val="0"/>
                  <w:divBdr>
                    <w:top w:val="none" w:sz="0" w:space="0" w:color="auto"/>
                    <w:left w:val="none" w:sz="0" w:space="0" w:color="auto"/>
                    <w:bottom w:val="none" w:sz="0" w:space="0" w:color="auto"/>
                    <w:right w:val="none" w:sz="0" w:space="0" w:color="auto"/>
                  </w:divBdr>
                  <w:divsChild>
                    <w:div w:id="287515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4815531">
      <w:bodyDiv w:val="1"/>
      <w:marLeft w:val="0"/>
      <w:marRight w:val="0"/>
      <w:marTop w:val="0"/>
      <w:marBottom w:val="0"/>
      <w:divBdr>
        <w:top w:val="none" w:sz="0" w:space="0" w:color="auto"/>
        <w:left w:val="none" w:sz="0" w:space="0" w:color="auto"/>
        <w:bottom w:val="none" w:sz="0" w:space="0" w:color="auto"/>
        <w:right w:val="none" w:sz="0" w:space="0" w:color="auto"/>
      </w:divBdr>
    </w:div>
    <w:div w:id="1012999332">
      <w:bodyDiv w:val="1"/>
      <w:marLeft w:val="0"/>
      <w:marRight w:val="0"/>
      <w:marTop w:val="0"/>
      <w:marBottom w:val="0"/>
      <w:divBdr>
        <w:top w:val="none" w:sz="0" w:space="0" w:color="auto"/>
        <w:left w:val="none" w:sz="0" w:space="0" w:color="auto"/>
        <w:bottom w:val="none" w:sz="0" w:space="0" w:color="auto"/>
        <w:right w:val="none" w:sz="0" w:space="0" w:color="auto"/>
      </w:divBdr>
      <w:divsChild>
        <w:div w:id="1854105038">
          <w:marLeft w:val="0"/>
          <w:marRight w:val="0"/>
          <w:marTop w:val="0"/>
          <w:marBottom w:val="0"/>
          <w:divBdr>
            <w:top w:val="none" w:sz="0" w:space="0" w:color="auto"/>
            <w:left w:val="none" w:sz="0" w:space="0" w:color="auto"/>
            <w:bottom w:val="none" w:sz="0" w:space="0" w:color="auto"/>
            <w:right w:val="none" w:sz="0" w:space="0" w:color="auto"/>
          </w:divBdr>
          <w:divsChild>
            <w:div w:id="105196827">
              <w:marLeft w:val="0"/>
              <w:marRight w:val="0"/>
              <w:marTop w:val="0"/>
              <w:marBottom w:val="0"/>
              <w:divBdr>
                <w:top w:val="none" w:sz="0" w:space="0" w:color="auto"/>
                <w:left w:val="none" w:sz="0" w:space="0" w:color="auto"/>
                <w:bottom w:val="none" w:sz="0" w:space="0" w:color="auto"/>
                <w:right w:val="none" w:sz="0" w:space="0" w:color="auto"/>
              </w:divBdr>
              <w:divsChild>
                <w:div w:id="168632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589762">
      <w:bodyDiv w:val="1"/>
      <w:marLeft w:val="0"/>
      <w:marRight w:val="0"/>
      <w:marTop w:val="0"/>
      <w:marBottom w:val="0"/>
      <w:divBdr>
        <w:top w:val="none" w:sz="0" w:space="0" w:color="auto"/>
        <w:left w:val="none" w:sz="0" w:space="0" w:color="auto"/>
        <w:bottom w:val="none" w:sz="0" w:space="0" w:color="auto"/>
        <w:right w:val="none" w:sz="0" w:space="0" w:color="auto"/>
      </w:divBdr>
      <w:divsChild>
        <w:div w:id="930746831">
          <w:marLeft w:val="0"/>
          <w:marRight w:val="0"/>
          <w:marTop w:val="0"/>
          <w:marBottom w:val="0"/>
          <w:divBdr>
            <w:top w:val="none" w:sz="0" w:space="0" w:color="auto"/>
            <w:left w:val="none" w:sz="0" w:space="0" w:color="auto"/>
            <w:bottom w:val="none" w:sz="0" w:space="0" w:color="auto"/>
            <w:right w:val="none" w:sz="0" w:space="0" w:color="auto"/>
          </w:divBdr>
          <w:divsChild>
            <w:div w:id="147206632">
              <w:marLeft w:val="0"/>
              <w:marRight w:val="0"/>
              <w:marTop w:val="0"/>
              <w:marBottom w:val="0"/>
              <w:divBdr>
                <w:top w:val="none" w:sz="0" w:space="0" w:color="auto"/>
                <w:left w:val="none" w:sz="0" w:space="0" w:color="auto"/>
                <w:bottom w:val="none" w:sz="0" w:space="0" w:color="auto"/>
                <w:right w:val="none" w:sz="0" w:space="0" w:color="auto"/>
              </w:divBdr>
              <w:divsChild>
                <w:div w:id="144396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25817">
      <w:bodyDiv w:val="1"/>
      <w:marLeft w:val="0"/>
      <w:marRight w:val="0"/>
      <w:marTop w:val="0"/>
      <w:marBottom w:val="0"/>
      <w:divBdr>
        <w:top w:val="none" w:sz="0" w:space="0" w:color="auto"/>
        <w:left w:val="none" w:sz="0" w:space="0" w:color="auto"/>
        <w:bottom w:val="none" w:sz="0" w:space="0" w:color="auto"/>
        <w:right w:val="none" w:sz="0" w:space="0" w:color="auto"/>
      </w:divBdr>
    </w:div>
    <w:div w:id="1168714051">
      <w:bodyDiv w:val="1"/>
      <w:marLeft w:val="0"/>
      <w:marRight w:val="0"/>
      <w:marTop w:val="0"/>
      <w:marBottom w:val="0"/>
      <w:divBdr>
        <w:top w:val="none" w:sz="0" w:space="0" w:color="auto"/>
        <w:left w:val="none" w:sz="0" w:space="0" w:color="auto"/>
        <w:bottom w:val="none" w:sz="0" w:space="0" w:color="auto"/>
        <w:right w:val="none" w:sz="0" w:space="0" w:color="auto"/>
      </w:divBdr>
    </w:div>
    <w:div w:id="1172068272">
      <w:bodyDiv w:val="1"/>
      <w:marLeft w:val="0"/>
      <w:marRight w:val="0"/>
      <w:marTop w:val="0"/>
      <w:marBottom w:val="0"/>
      <w:divBdr>
        <w:top w:val="none" w:sz="0" w:space="0" w:color="auto"/>
        <w:left w:val="none" w:sz="0" w:space="0" w:color="auto"/>
        <w:bottom w:val="none" w:sz="0" w:space="0" w:color="auto"/>
        <w:right w:val="none" w:sz="0" w:space="0" w:color="auto"/>
      </w:divBdr>
    </w:div>
    <w:div w:id="1177694374">
      <w:bodyDiv w:val="1"/>
      <w:marLeft w:val="0"/>
      <w:marRight w:val="0"/>
      <w:marTop w:val="0"/>
      <w:marBottom w:val="0"/>
      <w:divBdr>
        <w:top w:val="none" w:sz="0" w:space="0" w:color="auto"/>
        <w:left w:val="none" w:sz="0" w:space="0" w:color="auto"/>
        <w:bottom w:val="none" w:sz="0" w:space="0" w:color="auto"/>
        <w:right w:val="none" w:sz="0" w:space="0" w:color="auto"/>
      </w:divBdr>
    </w:div>
    <w:div w:id="1220554530">
      <w:bodyDiv w:val="1"/>
      <w:marLeft w:val="0"/>
      <w:marRight w:val="0"/>
      <w:marTop w:val="0"/>
      <w:marBottom w:val="0"/>
      <w:divBdr>
        <w:top w:val="none" w:sz="0" w:space="0" w:color="auto"/>
        <w:left w:val="none" w:sz="0" w:space="0" w:color="auto"/>
        <w:bottom w:val="none" w:sz="0" w:space="0" w:color="auto"/>
        <w:right w:val="none" w:sz="0" w:space="0" w:color="auto"/>
      </w:divBdr>
    </w:div>
    <w:div w:id="1237133126">
      <w:bodyDiv w:val="1"/>
      <w:marLeft w:val="0"/>
      <w:marRight w:val="0"/>
      <w:marTop w:val="0"/>
      <w:marBottom w:val="0"/>
      <w:divBdr>
        <w:top w:val="none" w:sz="0" w:space="0" w:color="auto"/>
        <w:left w:val="none" w:sz="0" w:space="0" w:color="auto"/>
        <w:bottom w:val="none" w:sz="0" w:space="0" w:color="auto"/>
        <w:right w:val="none" w:sz="0" w:space="0" w:color="auto"/>
      </w:divBdr>
    </w:div>
    <w:div w:id="1239904341">
      <w:bodyDiv w:val="1"/>
      <w:marLeft w:val="0"/>
      <w:marRight w:val="0"/>
      <w:marTop w:val="0"/>
      <w:marBottom w:val="0"/>
      <w:divBdr>
        <w:top w:val="none" w:sz="0" w:space="0" w:color="auto"/>
        <w:left w:val="none" w:sz="0" w:space="0" w:color="auto"/>
        <w:bottom w:val="none" w:sz="0" w:space="0" w:color="auto"/>
        <w:right w:val="none" w:sz="0" w:space="0" w:color="auto"/>
      </w:divBdr>
    </w:div>
    <w:div w:id="1250237708">
      <w:bodyDiv w:val="1"/>
      <w:marLeft w:val="0"/>
      <w:marRight w:val="0"/>
      <w:marTop w:val="0"/>
      <w:marBottom w:val="0"/>
      <w:divBdr>
        <w:top w:val="none" w:sz="0" w:space="0" w:color="auto"/>
        <w:left w:val="none" w:sz="0" w:space="0" w:color="auto"/>
        <w:bottom w:val="none" w:sz="0" w:space="0" w:color="auto"/>
        <w:right w:val="none" w:sz="0" w:space="0" w:color="auto"/>
      </w:divBdr>
      <w:divsChild>
        <w:div w:id="20938055">
          <w:marLeft w:val="0"/>
          <w:marRight w:val="0"/>
          <w:marTop w:val="0"/>
          <w:marBottom w:val="0"/>
          <w:divBdr>
            <w:top w:val="none" w:sz="0" w:space="0" w:color="auto"/>
            <w:left w:val="none" w:sz="0" w:space="0" w:color="auto"/>
            <w:bottom w:val="none" w:sz="0" w:space="0" w:color="auto"/>
            <w:right w:val="none" w:sz="0" w:space="0" w:color="auto"/>
          </w:divBdr>
          <w:divsChild>
            <w:div w:id="1604416847">
              <w:marLeft w:val="0"/>
              <w:marRight w:val="0"/>
              <w:marTop w:val="0"/>
              <w:marBottom w:val="0"/>
              <w:divBdr>
                <w:top w:val="none" w:sz="0" w:space="0" w:color="auto"/>
                <w:left w:val="none" w:sz="0" w:space="0" w:color="auto"/>
                <w:bottom w:val="none" w:sz="0" w:space="0" w:color="auto"/>
                <w:right w:val="none" w:sz="0" w:space="0" w:color="auto"/>
              </w:divBdr>
              <w:divsChild>
                <w:div w:id="111898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044483">
      <w:bodyDiv w:val="1"/>
      <w:marLeft w:val="0"/>
      <w:marRight w:val="0"/>
      <w:marTop w:val="0"/>
      <w:marBottom w:val="0"/>
      <w:divBdr>
        <w:top w:val="none" w:sz="0" w:space="0" w:color="auto"/>
        <w:left w:val="none" w:sz="0" w:space="0" w:color="auto"/>
        <w:bottom w:val="none" w:sz="0" w:space="0" w:color="auto"/>
        <w:right w:val="none" w:sz="0" w:space="0" w:color="auto"/>
      </w:divBdr>
    </w:div>
    <w:div w:id="1273436677">
      <w:bodyDiv w:val="1"/>
      <w:marLeft w:val="0"/>
      <w:marRight w:val="0"/>
      <w:marTop w:val="0"/>
      <w:marBottom w:val="0"/>
      <w:divBdr>
        <w:top w:val="none" w:sz="0" w:space="0" w:color="auto"/>
        <w:left w:val="none" w:sz="0" w:space="0" w:color="auto"/>
        <w:bottom w:val="none" w:sz="0" w:space="0" w:color="auto"/>
        <w:right w:val="none" w:sz="0" w:space="0" w:color="auto"/>
      </w:divBdr>
    </w:div>
    <w:div w:id="1281186383">
      <w:bodyDiv w:val="1"/>
      <w:marLeft w:val="0"/>
      <w:marRight w:val="0"/>
      <w:marTop w:val="0"/>
      <w:marBottom w:val="0"/>
      <w:divBdr>
        <w:top w:val="none" w:sz="0" w:space="0" w:color="auto"/>
        <w:left w:val="none" w:sz="0" w:space="0" w:color="auto"/>
        <w:bottom w:val="none" w:sz="0" w:space="0" w:color="auto"/>
        <w:right w:val="none" w:sz="0" w:space="0" w:color="auto"/>
      </w:divBdr>
    </w:div>
    <w:div w:id="1287272670">
      <w:bodyDiv w:val="1"/>
      <w:marLeft w:val="0"/>
      <w:marRight w:val="0"/>
      <w:marTop w:val="0"/>
      <w:marBottom w:val="0"/>
      <w:divBdr>
        <w:top w:val="none" w:sz="0" w:space="0" w:color="auto"/>
        <w:left w:val="none" w:sz="0" w:space="0" w:color="auto"/>
        <w:bottom w:val="none" w:sz="0" w:space="0" w:color="auto"/>
        <w:right w:val="none" w:sz="0" w:space="0" w:color="auto"/>
      </w:divBdr>
      <w:divsChild>
        <w:div w:id="530191764">
          <w:marLeft w:val="0"/>
          <w:marRight w:val="0"/>
          <w:marTop w:val="0"/>
          <w:marBottom w:val="0"/>
          <w:divBdr>
            <w:top w:val="none" w:sz="0" w:space="0" w:color="auto"/>
            <w:left w:val="none" w:sz="0" w:space="0" w:color="auto"/>
            <w:bottom w:val="none" w:sz="0" w:space="0" w:color="auto"/>
            <w:right w:val="none" w:sz="0" w:space="0" w:color="auto"/>
          </w:divBdr>
          <w:divsChild>
            <w:div w:id="890505231">
              <w:marLeft w:val="0"/>
              <w:marRight w:val="0"/>
              <w:marTop w:val="0"/>
              <w:marBottom w:val="0"/>
              <w:divBdr>
                <w:top w:val="none" w:sz="0" w:space="0" w:color="auto"/>
                <w:left w:val="none" w:sz="0" w:space="0" w:color="auto"/>
                <w:bottom w:val="none" w:sz="0" w:space="0" w:color="auto"/>
                <w:right w:val="none" w:sz="0" w:space="0" w:color="auto"/>
              </w:divBdr>
              <w:divsChild>
                <w:div w:id="620233102">
                  <w:marLeft w:val="0"/>
                  <w:marRight w:val="0"/>
                  <w:marTop w:val="0"/>
                  <w:marBottom w:val="0"/>
                  <w:divBdr>
                    <w:top w:val="none" w:sz="0" w:space="0" w:color="auto"/>
                    <w:left w:val="none" w:sz="0" w:space="0" w:color="auto"/>
                    <w:bottom w:val="none" w:sz="0" w:space="0" w:color="auto"/>
                    <w:right w:val="none" w:sz="0" w:space="0" w:color="auto"/>
                  </w:divBdr>
                  <w:divsChild>
                    <w:div w:id="1592009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201283">
      <w:bodyDiv w:val="1"/>
      <w:marLeft w:val="0"/>
      <w:marRight w:val="0"/>
      <w:marTop w:val="0"/>
      <w:marBottom w:val="0"/>
      <w:divBdr>
        <w:top w:val="none" w:sz="0" w:space="0" w:color="auto"/>
        <w:left w:val="none" w:sz="0" w:space="0" w:color="auto"/>
        <w:bottom w:val="none" w:sz="0" w:space="0" w:color="auto"/>
        <w:right w:val="none" w:sz="0" w:space="0" w:color="auto"/>
      </w:divBdr>
    </w:div>
    <w:div w:id="1396658305">
      <w:bodyDiv w:val="1"/>
      <w:marLeft w:val="0"/>
      <w:marRight w:val="0"/>
      <w:marTop w:val="0"/>
      <w:marBottom w:val="0"/>
      <w:divBdr>
        <w:top w:val="none" w:sz="0" w:space="0" w:color="auto"/>
        <w:left w:val="none" w:sz="0" w:space="0" w:color="auto"/>
        <w:bottom w:val="none" w:sz="0" w:space="0" w:color="auto"/>
        <w:right w:val="none" w:sz="0" w:space="0" w:color="auto"/>
      </w:divBdr>
    </w:div>
    <w:div w:id="1425491597">
      <w:bodyDiv w:val="1"/>
      <w:marLeft w:val="0"/>
      <w:marRight w:val="0"/>
      <w:marTop w:val="0"/>
      <w:marBottom w:val="0"/>
      <w:divBdr>
        <w:top w:val="none" w:sz="0" w:space="0" w:color="auto"/>
        <w:left w:val="none" w:sz="0" w:space="0" w:color="auto"/>
        <w:bottom w:val="none" w:sz="0" w:space="0" w:color="auto"/>
        <w:right w:val="none" w:sz="0" w:space="0" w:color="auto"/>
      </w:divBdr>
    </w:div>
    <w:div w:id="1447771453">
      <w:bodyDiv w:val="1"/>
      <w:marLeft w:val="0"/>
      <w:marRight w:val="0"/>
      <w:marTop w:val="0"/>
      <w:marBottom w:val="0"/>
      <w:divBdr>
        <w:top w:val="none" w:sz="0" w:space="0" w:color="auto"/>
        <w:left w:val="none" w:sz="0" w:space="0" w:color="auto"/>
        <w:bottom w:val="none" w:sz="0" w:space="0" w:color="auto"/>
        <w:right w:val="none" w:sz="0" w:space="0" w:color="auto"/>
      </w:divBdr>
    </w:div>
    <w:div w:id="1452748593">
      <w:bodyDiv w:val="1"/>
      <w:marLeft w:val="0"/>
      <w:marRight w:val="0"/>
      <w:marTop w:val="0"/>
      <w:marBottom w:val="0"/>
      <w:divBdr>
        <w:top w:val="none" w:sz="0" w:space="0" w:color="auto"/>
        <w:left w:val="none" w:sz="0" w:space="0" w:color="auto"/>
        <w:bottom w:val="none" w:sz="0" w:space="0" w:color="auto"/>
        <w:right w:val="none" w:sz="0" w:space="0" w:color="auto"/>
      </w:divBdr>
    </w:div>
    <w:div w:id="1457480606">
      <w:bodyDiv w:val="1"/>
      <w:marLeft w:val="0"/>
      <w:marRight w:val="0"/>
      <w:marTop w:val="0"/>
      <w:marBottom w:val="0"/>
      <w:divBdr>
        <w:top w:val="none" w:sz="0" w:space="0" w:color="auto"/>
        <w:left w:val="none" w:sz="0" w:space="0" w:color="auto"/>
        <w:bottom w:val="none" w:sz="0" w:space="0" w:color="auto"/>
        <w:right w:val="none" w:sz="0" w:space="0" w:color="auto"/>
      </w:divBdr>
    </w:div>
    <w:div w:id="1461991028">
      <w:bodyDiv w:val="1"/>
      <w:marLeft w:val="0"/>
      <w:marRight w:val="0"/>
      <w:marTop w:val="0"/>
      <w:marBottom w:val="0"/>
      <w:divBdr>
        <w:top w:val="none" w:sz="0" w:space="0" w:color="auto"/>
        <w:left w:val="none" w:sz="0" w:space="0" w:color="auto"/>
        <w:bottom w:val="none" w:sz="0" w:space="0" w:color="auto"/>
        <w:right w:val="none" w:sz="0" w:space="0" w:color="auto"/>
      </w:divBdr>
    </w:div>
    <w:div w:id="1463158152">
      <w:bodyDiv w:val="1"/>
      <w:marLeft w:val="0"/>
      <w:marRight w:val="0"/>
      <w:marTop w:val="0"/>
      <w:marBottom w:val="0"/>
      <w:divBdr>
        <w:top w:val="none" w:sz="0" w:space="0" w:color="auto"/>
        <w:left w:val="none" w:sz="0" w:space="0" w:color="auto"/>
        <w:bottom w:val="none" w:sz="0" w:space="0" w:color="auto"/>
        <w:right w:val="none" w:sz="0" w:space="0" w:color="auto"/>
      </w:divBdr>
    </w:div>
    <w:div w:id="1483425161">
      <w:bodyDiv w:val="1"/>
      <w:marLeft w:val="0"/>
      <w:marRight w:val="0"/>
      <w:marTop w:val="0"/>
      <w:marBottom w:val="0"/>
      <w:divBdr>
        <w:top w:val="none" w:sz="0" w:space="0" w:color="auto"/>
        <w:left w:val="none" w:sz="0" w:space="0" w:color="auto"/>
        <w:bottom w:val="none" w:sz="0" w:space="0" w:color="auto"/>
        <w:right w:val="none" w:sz="0" w:space="0" w:color="auto"/>
      </w:divBdr>
    </w:div>
    <w:div w:id="1554853337">
      <w:bodyDiv w:val="1"/>
      <w:marLeft w:val="0"/>
      <w:marRight w:val="0"/>
      <w:marTop w:val="0"/>
      <w:marBottom w:val="0"/>
      <w:divBdr>
        <w:top w:val="none" w:sz="0" w:space="0" w:color="auto"/>
        <w:left w:val="none" w:sz="0" w:space="0" w:color="auto"/>
        <w:bottom w:val="none" w:sz="0" w:space="0" w:color="auto"/>
        <w:right w:val="none" w:sz="0" w:space="0" w:color="auto"/>
      </w:divBdr>
    </w:div>
    <w:div w:id="1589651376">
      <w:bodyDiv w:val="1"/>
      <w:marLeft w:val="0"/>
      <w:marRight w:val="0"/>
      <w:marTop w:val="0"/>
      <w:marBottom w:val="0"/>
      <w:divBdr>
        <w:top w:val="none" w:sz="0" w:space="0" w:color="auto"/>
        <w:left w:val="none" w:sz="0" w:space="0" w:color="auto"/>
        <w:bottom w:val="none" w:sz="0" w:space="0" w:color="auto"/>
        <w:right w:val="none" w:sz="0" w:space="0" w:color="auto"/>
      </w:divBdr>
      <w:divsChild>
        <w:div w:id="276449528">
          <w:marLeft w:val="0"/>
          <w:marRight w:val="0"/>
          <w:marTop w:val="0"/>
          <w:marBottom w:val="0"/>
          <w:divBdr>
            <w:top w:val="none" w:sz="0" w:space="0" w:color="auto"/>
            <w:left w:val="none" w:sz="0" w:space="0" w:color="auto"/>
            <w:bottom w:val="none" w:sz="0" w:space="0" w:color="auto"/>
            <w:right w:val="none" w:sz="0" w:space="0" w:color="auto"/>
          </w:divBdr>
          <w:divsChild>
            <w:div w:id="1753626738">
              <w:marLeft w:val="0"/>
              <w:marRight w:val="0"/>
              <w:marTop w:val="0"/>
              <w:marBottom w:val="0"/>
              <w:divBdr>
                <w:top w:val="none" w:sz="0" w:space="0" w:color="auto"/>
                <w:left w:val="none" w:sz="0" w:space="0" w:color="auto"/>
                <w:bottom w:val="none" w:sz="0" w:space="0" w:color="auto"/>
                <w:right w:val="none" w:sz="0" w:space="0" w:color="auto"/>
              </w:divBdr>
              <w:divsChild>
                <w:div w:id="1883060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307983">
      <w:bodyDiv w:val="1"/>
      <w:marLeft w:val="0"/>
      <w:marRight w:val="0"/>
      <w:marTop w:val="0"/>
      <w:marBottom w:val="0"/>
      <w:divBdr>
        <w:top w:val="none" w:sz="0" w:space="0" w:color="auto"/>
        <w:left w:val="none" w:sz="0" w:space="0" w:color="auto"/>
        <w:bottom w:val="none" w:sz="0" w:space="0" w:color="auto"/>
        <w:right w:val="none" w:sz="0" w:space="0" w:color="auto"/>
      </w:divBdr>
    </w:div>
    <w:div w:id="1601327167">
      <w:bodyDiv w:val="1"/>
      <w:marLeft w:val="0"/>
      <w:marRight w:val="0"/>
      <w:marTop w:val="0"/>
      <w:marBottom w:val="0"/>
      <w:divBdr>
        <w:top w:val="none" w:sz="0" w:space="0" w:color="auto"/>
        <w:left w:val="none" w:sz="0" w:space="0" w:color="auto"/>
        <w:bottom w:val="none" w:sz="0" w:space="0" w:color="auto"/>
        <w:right w:val="none" w:sz="0" w:space="0" w:color="auto"/>
      </w:divBdr>
    </w:div>
    <w:div w:id="1622027792">
      <w:bodyDiv w:val="1"/>
      <w:marLeft w:val="0"/>
      <w:marRight w:val="0"/>
      <w:marTop w:val="0"/>
      <w:marBottom w:val="0"/>
      <w:divBdr>
        <w:top w:val="none" w:sz="0" w:space="0" w:color="auto"/>
        <w:left w:val="none" w:sz="0" w:space="0" w:color="auto"/>
        <w:bottom w:val="none" w:sz="0" w:space="0" w:color="auto"/>
        <w:right w:val="none" w:sz="0" w:space="0" w:color="auto"/>
      </w:divBdr>
    </w:div>
    <w:div w:id="1676809603">
      <w:bodyDiv w:val="1"/>
      <w:marLeft w:val="0"/>
      <w:marRight w:val="0"/>
      <w:marTop w:val="0"/>
      <w:marBottom w:val="0"/>
      <w:divBdr>
        <w:top w:val="none" w:sz="0" w:space="0" w:color="auto"/>
        <w:left w:val="none" w:sz="0" w:space="0" w:color="auto"/>
        <w:bottom w:val="none" w:sz="0" w:space="0" w:color="auto"/>
        <w:right w:val="none" w:sz="0" w:space="0" w:color="auto"/>
      </w:divBdr>
    </w:div>
    <w:div w:id="1722972404">
      <w:bodyDiv w:val="1"/>
      <w:marLeft w:val="0"/>
      <w:marRight w:val="0"/>
      <w:marTop w:val="0"/>
      <w:marBottom w:val="0"/>
      <w:divBdr>
        <w:top w:val="none" w:sz="0" w:space="0" w:color="auto"/>
        <w:left w:val="none" w:sz="0" w:space="0" w:color="auto"/>
        <w:bottom w:val="none" w:sz="0" w:space="0" w:color="auto"/>
        <w:right w:val="none" w:sz="0" w:space="0" w:color="auto"/>
      </w:divBdr>
    </w:div>
    <w:div w:id="1734115034">
      <w:bodyDiv w:val="1"/>
      <w:marLeft w:val="0"/>
      <w:marRight w:val="0"/>
      <w:marTop w:val="0"/>
      <w:marBottom w:val="0"/>
      <w:divBdr>
        <w:top w:val="none" w:sz="0" w:space="0" w:color="auto"/>
        <w:left w:val="none" w:sz="0" w:space="0" w:color="auto"/>
        <w:bottom w:val="none" w:sz="0" w:space="0" w:color="auto"/>
        <w:right w:val="none" w:sz="0" w:space="0" w:color="auto"/>
      </w:divBdr>
    </w:div>
    <w:div w:id="1758624992">
      <w:bodyDiv w:val="1"/>
      <w:marLeft w:val="0"/>
      <w:marRight w:val="0"/>
      <w:marTop w:val="0"/>
      <w:marBottom w:val="0"/>
      <w:divBdr>
        <w:top w:val="none" w:sz="0" w:space="0" w:color="auto"/>
        <w:left w:val="none" w:sz="0" w:space="0" w:color="auto"/>
        <w:bottom w:val="none" w:sz="0" w:space="0" w:color="auto"/>
        <w:right w:val="none" w:sz="0" w:space="0" w:color="auto"/>
      </w:divBdr>
    </w:div>
    <w:div w:id="1794245777">
      <w:bodyDiv w:val="1"/>
      <w:marLeft w:val="0"/>
      <w:marRight w:val="0"/>
      <w:marTop w:val="0"/>
      <w:marBottom w:val="0"/>
      <w:divBdr>
        <w:top w:val="none" w:sz="0" w:space="0" w:color="auto"/>
        <w:left w:val="none" w:sz="0" w:space="0" w:color="auto"/>
        <w:bottom w:val="none" w:sz="0" w:space="0" w:color="auto"/>
        <w:right w:val="none" w:sz="0" w:space="0" w:color="auto"/>
      </w:divBdr>
    </w:div>
    <w:div w:id="1795833027">
      <w:bodyDiv w:val="1"/>
      <w:marLeft w:val="0"/>
      <w:marRight w:val="0"/>
      <w:marTop w:val="0"/>
      <w:marBottom w:val="0"/>
      <w:divBdr>
        <w:top w:val="none" w:sz="0" w:space="0" w:color="auto"/>
        <w:left w:val="none" w:sz="0" w:space="0" w:color="auto"/>
        <w:bottom w:val="none" w:sz="0" w:space="0" w:color="auto"/>
        <w:right w:val="none" w:sz="0" w:space="0" w:color="auto"/>
      </w:divBdr>
    </w:div>
    <w:div w:id="1825467026">
      <w:bodyDiv w:val="1"/>
      <w:marLeft w:val="0"/>
      <w:marRight w:val="0"/>
      <w:marTop w:val="0"/>
      <w:marBottom w:val="0"/>
      <w:divBdr>
        <w:top w:val="none" w:sz="0" w:space="0" w:color="auto"/>
        <w:left w:val="none" w:sz="0" w:space="0" w:color="auto"/>
        <w:bottom w:val="none" w:sz="0" w:space="0" w:color="auto"/>
        <w:right w:val="none" w:sz="0" w:space="0" w:color="auto"/>
      </w:divBdr>
    </w:div>
    <w:div w:id="1833833955">
      <w:bodyDiv w:val="1"/>
      <w:marLeft w:val="0"/>
      <w:marRight w:val="0"/>
      <w:marTop w:val="0"/>
      <w:marBottom w:val="0"/>
      <w:divBdr>
        <w:top w:val="none" w:sz="0" w:space="0" w:color="auto"/>
        <w:left w:val="none" w:sz="0" w:space="0" w:color="auto"/>
        <w:bottom w:val="none" w:sz="0" w:space="0" w:color="auto"/>
        <w:right w:val="none" w:sz="0" w:space="0" w:color="auto"/>
      </w:divBdr>
      <w:divsChild>
        <w:div w:id="1253390743">
          <w:marLeft w:val="0"/>
          <w:marRight w:val="0"/>
          <w:marTop w:val="0"/>
          <w:marBottom w:val="0"/>
          <w:divBdr>
            <w:top w:val="none" w:sz="0" w:space="0" w:color="auto"/>
            <w:left w:val="none" w:sz="0" w:space="0" w:color="auto"/>
            <w:bottom w:val="none" w:sz="0" w:space="0" w:color="auto"/>
            <w:right w:val="none" w:sz="0" w:space="0" w:color="auto"/>
          </w:divBdr>
          <w:divsChild>
            <w:div w:id="246426212">
              <w:marLeft w:val="0"/>
              <w:marRight w:val="0"/>
              <w:marTop w:val="0"/>
              <w:marBottom w:val="0"/>
              <w:divBdr>
                <w:top w:val="none" w:sz="0" w:space="0" w:color="auto"/>
                <w:left w:val="none" w:sz="0" w:space="0" w:color="auto"/>
                <w:bottom w:val="none" w:sz="0" w:space="0" w:color="auto"/>
                <w:right w:val="none" w:sz="0" w:space="0" w:color="auto"/>
              </w:divBdr>
              <w:divsChild>
                <w:div w:id="1545292055">
                  <w:marLeft w:val="0"/>
                  <w:marRight w:val="0"/>
                  <w:marTop w:val="0"/>
                  <w:marBottom w:val="0"/>
                  <w:divBdr>
                    <w:top w:val="none" w:sz="0" w:space="0" w:color="auto"/>
                    <w:left w:val="none" w:sz="0" w:space="0" w:color="auto"/>
                    <w:bottom w:val="none" w:sz="0" w:space="0" w:color="auto"/>
                    <w:right w:val="none" w:sz="0" w:space="0" w:color="auto"/>
                  </w:divBdr>
                  <w:divsChild>
                    <w:div w:id="158738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662294">
      <w:bodyDiv w:val="1"/>
      <w:marLeft w:val="0"/>
      <w:marRight w:val="0"/>
      <w:marTop w:val="0"/>
      <w:marBottom w:val="0"/>
      <w:divBdr>
        <w:top w:val="none" w:sz="0" w:space="0" w:color="auto"/>
        <w:left w:val="none" w:sz="0" w:space="0" w:color="auto"/>
        <w:bottom w:val="none" w:sz="0" w:space="0" w:color="auto"/>
        <w:right w:val="none" w:sz="0" w:space="0" w:color="auto"/>
      </w:divBdr>
    </w:div>
    <w:div w:id="1902903789">
      <w:bodyDiv w:val="1"/>
      <w:marLeft w:val="0"/>
      <w:marRight w:val="0"/>
      <w:marTop w:val="0"/>
      <w:marBottom w:val="0"/>
      <w:divBdr>
        <w:top w:val="none" w:sz="0" w:space="0" w:color="auto"/>
        <w:left w:val="none" w:sz="0" w:space="0" w:color="auto"/>
        <w:bottom w:val="none" w:sz="0" w:space="0" w:color="auto"/>
        <w:right w:val="none" w:sz="0" w:space="0" w:color="auto"/>
      </w:divBdr>
    </w:div>
    <w:div w:id="1923102658">
      <w:bodyDiv w:val="1"/>
      <w:marLeft w:val="0"/>
      <w:marRight w:val="0"/>
      <w:marTop w:val="0"/>
      <w:marBottom w:val="0"/>
      <w:divBdr>
        <w:top w:val="none" w:sz="0" w:space="0" w:color="auto"/>
        <w:left w:val="none" w:sz="0" w:space="0" w:color="auto"/>
        <w:bottom w:val="none" w:sz="0" w:space="0" w:color="auto"/>
        <w:right w:val="none" w:sz="0" w:space="0" w:color="auto"/>
      </w:divBdr>
    </w:div>
    <w:div w:id="1951013653">
      <w:bodyDiv w:val="1"/>
      <w:marLeft w:val="0"/>
      <w:marRight w:val="0"/>
      <w:marTop w:val="0"/>
      <w:marBottom w:val="0"/>
      <w:divBdr>
        <w:top w:val="none" w:sz="0" w:space="0" w:color="auto"/>
        <w:left w:val="none" w:sz="0" w:space="0" w:color="auto"/>
        <w:bottom w:val="none" w:sz="0" w:space="0" w:color="auto"/>
        <w:right w:val="none" w:sz="0" w:space="0" w:color="auto"/>
      </w:divBdr>
    </w:div>
    <w:div w:id="1974173301">
      <w:bodyDiv w:val="1"/>
      <w:marLeft w:val="0"/>
      <w:marRight w:val="0"/>
      <w:marTop w:val="0"/>
      <w:marBottom w:val="0"/>
      <w:divBdr>
        <w:top w:val="none" w:sz="0" w:space="0" w:color="auto"/>
        <w:left w:val="none" w:sz="0" w:space="0" w:color="auto"/>
        <w:bottom w:val="none" w:sz="0" w:space="0" w:color="auto"/>
        <w:right w:val="none" w:sz="0" w:space="0" w:color="auto"/>
      </w:divBdr>
    </w:div>
    <w:div w:id="1988314956">
      <w:bodyDiv w:val="1"/>
      <w:marLeft w:val="0"/>
      <w:marRight w:val="0"/>
      <w:marTop w:val="0"/>
      <w:marBottom w:val="0"/>
      <w:divBdr>
        <w:top w:val="none" w:sz="0" w:space="0" w:color="auto"/>
        <w:left w:val="none" w:sz="0" w:space="0" w:color="auto"/>
        <w:bottom w:val="none" w:sz="0" w:space="0" w:color="auto"/>
        <w:right w:val="none" w:sz="0" w:space="0" w:color="auto"/>
      </w:divBdr>
    </w:div>
    <w:div w:id="2002387736">
      <w:bodyDiv w:val="1"/>
      <w:marLeft w:val="0"/>
      <w:marRight w:val="0"/>
      <w:marTop w:val="0"/>
      <w:marBottom w:val="0"/>
      <w:divBdr>
        <w:top w:val="none" w:sz="0" w:space="0" w:color="auto"/>
        <w:left w:val="none" w:sz="0" w:space="0" w:color="auto"/>
        <w:bottom w:val="none" w:sz="0" w:space="0" w:color="auto"/>
        <w:right w:val="none" w:sz="0" w:space="0" w:color="auto"/>
      </w:divBdr>
    </w:div>
    <w:div w:id="2027243012">
      <w:bodyDiv w:val="1"/>
      <w:marLeft w:val="0"/>
      <w:marRight w:val="0"/>
      <w:marTop w:val="0"/>
      <w:marBottom w:val="0"/>
      <w:divBdr>
        <w:top w:val="none" w:sz="0" w:space="0" w:color="auto"/>
        <w:left w:val="none" w:sz="0" w:space="0" w:color="auto"/>
        <w:bottom w:val="none" w:sz="0" w:space="0" w:color="auto"/>
        <w:right w:val="none" w:sz="0" w:space="0" w:color="auto"/>
      </w:divBdr>
    </w:div>
    <w:div w:id="2036222908">
      <w:bodyDiv w:val="1"/>
      <w:marLeft w:val="0"/>
      <w:marRight w:val="0"/>
      <w:marTop w:val="0"/>
      <w:marBottom w:val="0"/>
      <w:divBdr>
        <w:top w:val="none" w:sz="0" w:space="0" w:color="auto"/>
        <w:left w:val="none" w:sz="0" w:space="0" w:color="auto"/>
        <w:bottom w:val="none" w:sz="0" w:space="0" w:color="auto"/>
        <w:right w:val="none" w:sz="0" w:space="0" w:color="auto"/>
      </w:divBdr>
    </w:div>
    <w:div w:id="2057582522">
      <w:bodyDiv w:val="1"/>
      <w:marLeft w:val="0"/>
      <w:marRight w:val="0"/>
      <w:marTop w:val="0"/>
      <w:marBottom w:val="0"/>
      <w:divBdr>
        <w:top w:val="none" w:sz="0" w:space="0" w:color="auto"/>
        <w:left w:val="none" w:sz="0" w:space="0" w:color="auto"/>
        <w:bottom w:val="none" w:sz="0" w:space="0" w:color="auto"/>
        <w:right w:val="none" w:sz="0" w:space="0" w:color="auto"/>
      </w:divBdr>
      <w:divsChild>
        <w:div w:id="370610774">
          <w:marLeft w:val="0"/>
          <w:marRight w:val="0"/>
          <w:marTop w:val="0"/>
          <w:marBottom w:val="0"/>
          <w:divBdr>
            <w:top w:val="none" w:sz="0" w:space="0" w:color="auto"/>
            <w:left w:val="none" w:sz="0" w:space="0" w:color="auto"/>
            <w:bottom w:val="none" w:sz="0" w:space="0" w:color="auto"/>
            <w:right w:val="none" w:sz="0" w:space="0" w:color="auto"/>
          </w:divBdr>
          <w:divsChild>
            <w:div w:id="416172114">
              <w:marLeft w:val="0"/>
              <w:marRight w:val="0"/>
              <w:marTop w:val="0"/>
              <w:marBottom w:val="0"/>
              <w:divBdr>
                <w:top w:val="none" w:sz="0" w:space="0" w:color="auto"/>
                <w:left w:val="none" w:sz="0" w:space="0" w:color="auto"/>
                <w:bottom w:val="none" w:sz="0" w:space="0" w:color="auto"/>
                <w:right w:val="none" w:sz="0" w:space="0" w:color="auto"/>
              </w:divBdr>
              <w:divsChild>
                <w:div w:id="188652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392144">
      <w:bodyDiv w:val="1"/>
      <w:marLeft w:val="0"/>
      <w:marRight w:val="0"/>
      <w:marTop w:val="0"/>
      <w:marBottom w:val="0"/>
      <w:divBdr>
        <w:top w:val="none" w:sz="0" w:space="0" w:color="auto"/>
        <w:left w:val="none" w:sz="0" w:space="0" w:color="auto"/>
        <w:bottom w:val="none" w:sz="0" w:space="0" w:color="auto"/>
        <w:right w:val="none" w:sz="0" w:space="0" w:color="auto"/>
      </w:divBdr>
    </w:div>
    <w:div w:id="2091075990">
      <w:bodyDiv w:val="1"/>
      <w:marLeft w:val="0"/>
      <w:marRight w:val="0"/>
      <w:marTop w:val="0"/>
      <w:marBottom w:val="0"/>
      <w:divBdr>
        <w:top w:val="none" w:sz="0" w:space="0" w:color="auto"/>
        <w:left w:val="none" w:sz="0" w:space="0" w:color="auto"/>
        <w:bottom w:val="none" w:sz="0" w:space="0" w:color="auto"/>
        <w:right w:val="none" w:sz="0" w:space="0" w:color="auto"/>
      </w:divBdr>
      <w:divsChild>
        <w:div w:id="301231412">
          <w:marLeft w:val="0"/>
          <w:marRight w:val="0"/>
          <w:marTop w:val="0"/>
          <w:marBottom w:val="0"/>
          <w:divBdr>
            <w:top w:val="none" w:sz="0" w:space="0" w:color="auto"/>
            <w:left w:val="none" w:sz="0" w:space="0" w:color="auto"/>
            <w:bottom w:val="none" w:sz="0" w:space="0" w:color="auto"/>
            <w:right w:val="none" w:sz="0" w:space="0" w:color="auto"/>
          </w:divBdr>
          <w:divsChild>
            <w:div w:id="881329149">
              <w:marLeft w:val="0"/>
              <w:marRight w:val="0"/>
              <w:marTop w:val="0"/>
              <w:marBottom w:val="0"/>
              <w:divBdr>
                <w:top w:val="none" w:sz="0" w:space="0" w:color="auto"/>
                <w:left w:val="none" w:sz="0" w:space="0" w:color="auto"/>
                <w:bottom w:val="none" w:sz="0" w:space="0" w:color="auto"/>
                <w:right w:val="none" w:sz="0" w:space="0" w:color="auto"/>
              </w:divBdr>
              <w:divsChild>
                <w:div w:id="1203636730">
                  <w:marLeft w:val="0"/>
                  <w:marRight w:val="0"/>
                  <w:marTop w:val="0"/>
                  <w:marBottom w:val="0"/>
                  <w:divBdr>
                    <w:top w:val="none" w:sz="0" w:space="0" w:color="auto"/>
                    <w:left w:val="none" w:sz="0" w:space="0" w:color="auto"/>
                    <w:bottom w:val="none" w:sz="0" w:space="0" w:color="auto"/>
                    <w:right w:val="none" w:sz="0" w:space="0" w:color="auto"/>
                  </w:divBdr>
                  <w:divsChild>
                    <w:div w:id="77255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128326">
      <w:bodyDiv w:val="1"/>
      <w:marLeft w:val="0"/>
      <w:marRight w:val="0"/>
      <w:marTop w:val="0"/>
      <w:marBottom w:val="0"/>
      <w:divBdr>
        <w:top w:val="none" w:sz="0" w:space="0" w:color="auto"/>
        <w:left w:val="none" w:sz="0" w:space="0" w:color="auto"/>
        <w:bottom w:val="none" w:sz="0" w:space="0" w:color="auto"/>
        <w:right w:val="none" w:sz="0" w:space="0" w:color="auto"/>
      </w:divBdr>
    </w:div>
    <w:div w:id="2134714081">
      <w:bodyDiv w:val="1"/>
      <w:marLeft w:val="0"/>
      <w:marRight w:val="0"/>
      <w:marTop w:val="0"/>
      <w:marBottom w:val="0"/>
      <w:divBdr>
        <w:top w:val="none" w:sz="0" w:space="0" w:color="auto"/>
        <w:left w:val="none" w:sz="0" w:space="0" w:color="auto"/>
        <w:bottom w:val="none" w:sz="0" w:space="0" w:color="auto"/>
        <w:right w:val="none" w:sz="0" w:space="0" w:color="auto"/>
      </w:divBdr>
    </w:div>
    <w:div w:id="2139449756">
      <w:bodyDiv w:val="1"/>
      <w:marLeft w:val="0"/>
      <w:marRight w:val="0"/>
      <w:marTop w:val="0"/>
      <w:marBottom w:val="0"/>
      <w:divBdr>
        <w:top w:val="none" w:sz="0" w:space="0" w:color="auto"/>
        <w:left w:val="none" w:sz="0" w:space="0" w:color="auto"/>
        <w:bottom w:val="none" w:sz="0" w:space="0" w:color="auto"/>
        <w:right w:val="none" w:sz="0" w:space="0" w:color="auto"/>
      </w:divBdr>
    </w:div>
    <w:div w:id="21429216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9.jpeg"/><Relationship Id="rId21" Type="http://schemas.openxmlformats.org/officeDocument/2006/relationships/image" Target="media/image10.png"/><Relationship Id="rId22" Type="http://schemas.openxmlformats.org/officeDocument/2006/relationships/image" Target="media/image11.jpe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jpe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19.jpeg"/><Relationship Id="rId31" Type="http://schemas.microsoft.com/office/2007/relationships/hdphoto" Target="media/hdphoto4.wdp"/><Relationship Id="rId32" Type="http://schemas.openxmlformats.org/officeDocument/2006/relationships/image" Target="media/image20.png"/><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1.png"/><Relationship Id="rId34" Type="http://schemas.openxmlformats.org/officeDocument/2006/relationships/image" Target="media/image22.png"/><Relationship Id="rId35" Type="http://schemas.openxmlformats.org/officeDocument/2006/relationships/fontTable" Target="fontTable.xml"/><Relationship Id="rId36" Type="http://schemas.openxmlformats.org/officeDocument/2006/relationships/theme" Target="theme/theme1.xml"/><Relationship Id="rId10" Type="http://schemas.openxmlformats.org/officeDocument/2006/relationships/image" Target="media/image2.jpeg"/><Relationship Id="rId11" Type="http://schemas.openxmlformats.org/officeDocument/2006/relationships/image" Target="media/image3.png"/><Relationship Id="rId12" Type="http://schemas.openxmlformats.org/officeDocument/2006/relationships/image" Target="media/image4.jpeg"/><Relationship Id="rId13" Type="http://schemas.openxmlformats.org/officeDocument/2006/relationships/image" Target="media/image5.png"/><Relationship Id="rId14" Type="http://schemas.microsoft.com/office/2007/relationships/hdphoto" Target="media/hdphoto1.wdp"/><Relationship Id="rId15" Type="http://schemas.openxmlformats.org/officeDocument/2006/relationships/image" Target="media/image6.png"/><Relationship Id="rId16" Type="http://schemas.microsoft.com/office/2007/relationships/hdphoto" Target="media/hdphoto2.wdp"/><Relationship Id="rId17" Type="http://schemas.openxmlformats.org/officeDocument/2006/relationships/image" Target="media/image7.png"/><Relationship Id="rId18" Type="http://schemas.openxmlformats.org/officeDocument/2006/relationships/image" Target="media/image8.png"/><Relationship Id="rId19" Type="http://schemas.microsoft.com/office/2007/relationships/hdphoto" Target="media/hdphoto3.wdp"/></Relationships>
</file>

<file path=word/_rels/endnotes.xml.rels><?xml version="1.0" encoding="UTF-8" standalone="yes"?>
<Relationships xmlns="http://schemas.openxmlformats.org/package/2006/relationships"><Relationship Id="rId3" Type="http://schemas.openxmlformats.org/officeDocument/2006/relationships/hyperlink" Target="http://www.uptodate.com/contents/evaluation-of-the-diabetic-foot/abstract/20" TargetMode="External"/><Relationship Id="rId4" Type="http://schemas.openxmlformats.org/officeDocument/2006/relationships/hyperlink" Target="http://www.uptodate.com/contents/evaluation-of-the-diabetic-foot/abstract/9" TargetMode="External"/><Relationship Id="rId5" Type="http://schemas.openxmlformats.org/officeDocument/2006/relationships/hyperlink" Target="http://www.uptodate.com/contents/evaluation-of-the-diabetic-foot/abstract/9" TargetMode="External"/><Relationship Id="rId6" Type="http://schemas.openxmlformats.org/officeDocument/2006/relationships/hyperlink" Target="http://www.uptodate.com/contents/evaluation-of-the-diabetic-foot/abstract/21" TargetMode="External"/><Relationship Id="rId1" Type="http://schemas.openxmlformats.org/officeDocument/2006/relationships/hyperlink" Target="http://www.uptodate.com/contents/evaluation-of-the-diabetic-foot/abstract/20" TargetMode="External"/><Relationship Id="rId2" Type="http://schemas.openxmlformats.org/officeDocument/2006/relationships/hyperlink" Target="http://www.uptodate.com/contents/evaluation-of-the-diabetic-foot/abstract/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748880-F5C6-6D4F-A80B-81CF51CB8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132</Pages>
  <Words>36604</Words>
  <Characters>208647</Characters>
  <Application>Microsoft Macintosh Word</Application>
  <DocSecurity>0</DocSecurity>
  <Lines>1738</Lines>
  <Paragraphs>489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244762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Alessandro Del Cuore</dc:creator>
  <cp:lastModifiedBy>Marika Vassallo</cp:lastModifiedBy>
  <cp:revision>3</cp:revision>
  <cp:lastPrinted>2016-05-14T12:43:00Z</cp:lastPrinted>
  <dcterms:created xsi:type="dcterms:W3CDTF">2025-10-01T10:03:00Z</dcterms:created>
  <dcterms:modified xsi:type="dcterms:W3CDTF">2025-10-01T10:42:00Z</dcterms:modified>
</cp:coreProperties>
</file>