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582870" w14:textId="7EA7AAF1" w:rsidR="002D0042" w:rsidRDefault="00934D70" w:rsidP="00A73253">
      <w:pPr>
        <w:spacing w:beforeLines="120" w:before="288" w:afterLines="120" w:after="288" w:line="240" w:lineRule="auto"/>
        <w:ind w:firstLine="0"/>
        <w:rPr>
          <w:b/>
          <w:szCs w:val="20"/>
          <w:lang w:val="en-US" w:eastAsia="en-US"/>
        </w:rPr>
      </w:pPr>
      <w:r w:rsidRPr="00934D70">
        <w:rPr>
          <w:b/>
          <w:szCs w:val="20"/>
          <w:lang w:val="en-US" w:eastAsia="en-US"/>
        </w:rPr>
        <w:t>Improving Efficiency and Discharge Power of Acid</w:t>
      </w:r>
      <w:r w:rsidR="002D0042">
        <w:rPr>
          <w:b/>
          <w:szCs w:val="20"/>
          <w:lang w:val="en-US" w:eastAsia="en-US"/>
        </w:rPr>
        <w:t>-</w:t>
      </w:r>
      <w:r w:rsidRPr="00934D70">
        <w:rPr>
          <w:b/>
          <w:szCs w:val="20"/>
          <w:lang w:val="en-US" w:eastAsia="en-US"/>
        </w:rPr>
        <w:t xml:space="preserve">Base Flow battery via a bi-objective </w:t>
      </w:r>
      <w:proofErr w:type="spellStart"/>
      <w:r w:rsidRPr="00934D70">
        <w:rPr>
          <w:b/>
          <w:szCs w:val="20"/>
          <w:lang w:val="en-US" w:eastAsia="en-US"/>
        </w:rPr>
        <w:t>optimi</w:t>
      </w:r>
      <w:r w:rsidR="008A0EAC">
        <w:rPr>
          <w:b/>
          <w:szCs w:val="20"/>
          <w:lang w:val="en-US" w:eastAsia="en-US"/>
        </w:rPr>
        <w:t>s</w:t>
      </w:r>
      <w:r w:rsidRPr="00934D70">
        <w:rPr>
          <w:b/>
          <w:szCs w:val="20"/>
          <w:lang w:val="en-US" w:eastAsia="en-US"/>
        </w:rPr>
        <w:t>ation</w:t>
      </w:r>
      <w:proofErr w:type="spellEnd"/>
    </w:p>
    <w:p w14:paraId="791501F1" w14:textId="4A1AF1ED" w:rsidR="00A73253" w:rsidRPr="002D0042" w:rsidRDefault="00A73253" w:rsidP="00A73253">
      <w:pPr>
        <w:spacing w:beforeLines="120" w:before="288" w:afterLines="120" w:after="288" w:line="240" w:lineRule="auto"/>
        <w:ind w:firstLine="0"/>
        <w:rPr>
          <w:vertAlign w:val="superscript"/>
        </w:rPr>
      </w:pPr>
      <w:r w:rsidRPr="002D0042">
        <w:t xml:space="preserve">Andrea </w:t>
      </w:r>
      <w:proofErr w:type="spellStart"/>
      <w:r w:rsidRPr="002D0042">
        <w:t>Culcasi</w:t>
      </w:r>
      <w:r w:rsidR="00BF5ED8" w:rsidRPr="002D0042">
        <w:rPr>
          <w:vertAlign w:val="superscript"/>
        </w:rPr>
        <w:t>a</w:t>
      </w:r>
      <w:proofErr w:type="spellEnd"/>
      <w:r w:rsidRPr="002D0042">
        <w:t>, Luigi Gurreri</w:t>
      </w:r>
      <w:r w:rsidR="00235BF6" w:rsidRPr="00235BF6">
        <w:rPr>
          <w:vertAlign w:val="superscript"/>
        </w:rPr>
        <w:t>*</w:t>
      </w:r>
      <w:r w:rsidR="00263967" w:rsidRPr="002D0042">
        <w:rPr>
          <w:vertAlign w:val="superscript"/>
        </w:rPr>
        <w:t>b</w:t>
      </w:r>
      <w:r w:rsidR="00580405" w:rsidRPr="002D0042">
        <w:t xml:space="preserve">, </w:t>
      </w:r>
      <w:r w:rsidRPr="002D0042">
        <w:t>Alessandro Tamburini</w:t>
      </w:r>
      <w:r w:rsidR="006F66AB" w:rsidRPr="002D0042">
        <w:rPr>
          <w:vertAlign w:val="superscript"/>
        </w:rPr>
        <w:t>*</w:t>
      </w:r>
      <w:r w:rsidR="00BF5ED8" w:rsidRPr="002D0042">
        <w:rPr>
          <w:vertAlign w:val="superscript"/>
        </w:rPr>
        <w:t>a</w:t>
      </w:r>
      <w:r w:rsidR="003F44F4" w:rsidRPr="002D0042">
        <w:t xml:space="preserve">, </w:t>
      </w:r>
      <w:r w:rsidR="00F63D77" w:rsidRPr="002D0042">
        <w:t xml:space="preserve">Andrea </w:t>
      </w:r>
      <w:proofErr w:type="spellStart"/>
      <w:r w:rsidR="00F63D77" w:rsidRPr="002D0042">
        <w:t>Cipollina</w:t>
      </w:r>
      <w:r w:rsidR="00BF5ED8" w:rsidRPr="002D0042">
        <w:rPr>
          <w:vertAlign w:val="superscript"/>
        </w:rPr>
        <w:t>a</w:t>
      </w:r>
      <w:proofErr w:type="spellEnd"/>
      <w:r w:rsidR="00F63D77" w:rsidRPr="002D0042">
        <w:t xml:space="preserve">, </w:t>
      </w:r>
      <w:r w:rsidR="00BF5ED8" w:rsidRPr="002D0042">
        <w:t xml:space="preserve">I. David L. </w:t>
      </w:r>
      <w:proofErr w:type="spellStart"/>
      <w:r w:rsidR="00BF5ED8" w:rsidRPr="002D0042">
        <w:t>Bogle</w:t>
      </w:r>
      <w:r w:rsidR="00263967" w:rsidRPr="002D0042">
        <w:rPr>
          <w:vertAlign w:val="superscript"/>
        </w:rPr>
        <w:t>c</w:t>
      </w:r>
      <w:proofErr w:type="spellEnd"/>
      <w:r w:rsidR="00BF5ED8" w:rsidRPr="002D0042">
        <w:t xml:space="preserve">, </w:t>
      </w:r>
      <w:r w:rsidR="003F44F4" w:rsidRPr="002D0042">
        <w:t xml:space="preserve">Giorgio </w:t>
      </w:r>
      <w:proofErr w:type="spellStart"/>
      <w:r w:rsidR="003F44F4" w:rsidRPr="002D0042">
        <w:t>Micale</w:t>
      </w:r>
      <w:r w:rsidR="00BF5ED8" w:rsidRPr="002D0042">
        <w:rPr>
          <w:vertAlign w:val="superscript"/>
        </w:rPr>
        <w:t>a</w:t>
      </w:r>
      <w:proofErr w:type="spellEnd"/>
    </w:p>
    <w:p w14:paraId="78B7AA9C" w14:textId="5119C0AD" w:rsidR="000F3993" w:rsidRPr="005C3FE9" w:rsidRDefault="00BF5ED8" w:rsidP="00E3213E">
      <w:pPr>
        <w:spacing w:beforeLines="120" w:before="288" w:afterLines="120" w:after="288" w:line="240" w:lineRule="auto"/>
        <w:ind w:firstLine="0"/>
      </w:pPr>
      <w:proofErr w:type="spellStart"/>
      <w:r w:rsidRPr="005C3FE9">
        <w:rPr>
          <w:vertAlign w:val="superscript"/>
        </w:rPr>
        <w:t>a</w:t>
      </w:r>
      <w:r w:rsidR="00AB5FA5" w:rsidRPr="005C3FE9">
        <w:t>Dipartimento</w:t>
      </w:r>
      <w:proofErr w:type="spellEnd"/>
      <w:r w:rsidR="00AB5FA5" w:rsidRPr="005C3FE9">
        <w:t xml:space="preserve"> </w:t>
      </w:r>
      <w:r w:rsidR="00EA651B" w:rsidRPr="005C3FE9">
        <w:t>di Ingegneria</w:t>
      </w:r>
      <w:r w:rsidR="00AB5FA5" w:rsidRPr="005C3FE9">
        <w:t xml:space="preserve">, Università </w:t>
      </w:r>
      <w:r w:rsidR="00414934" w:rsidRPr="005C3FE9">
        <w:t xml:space="preserve">degli Studi </w:t>
      </w:r>
      <w:r w:rsidR="00AB5FA5" w:rsidRPr="005C3FE9">
        <w:t>di Palermo – Viale delle Scienze ed.</w:t>
      </w:r>
      <w:r w:rsidR="00AF5454" w:rsidRPr="005C3FE9">
        <w:t xml:space="preserve"> </w:t>
      </w:r>
      <w:r w:rsidR="00AB5FA5" w:rsidRPr="005C3FE9">
        <w:t xml:space="preserve">6, 90128 Palermo, </w:t>
      </w:r>
      <w:proofErr w:type="spellStart"/>
      <w:r w:rsidR="00AB5FA5" w:rsidRPr="005C3FE9">
        <w:t>Italy</w:t>
      </w:r>
      <w:proofErr w:type="spellEnd"/>
    </w:p>
    <w:p w14:paraId="2610E542" w14:textId="5BCF0F75" w:rsidR="00263967" w:rsidRPr="005C3FE9" w:rsidRDefault="00263967" w:rsidP="00E3213E">
      <w:pPr>
        <w:spacing w:beforeLines="120" w:before="288" w:afterLines="120" w:after="288" w:line="240" w:lineRule="auto"/>
        <w:ind w:firstLine="0"/>
      </w:pPr>
      <w:proofErr w:type="spellStart"/>
      <w:r w:rsidRPr="005C3FE9">
        <w:rPr>
          <w:vertAlign w:val="superscript"/>
        </w:rPr>
        <w:t>b</w:t>
      </w:r>
      <w:r w:rsidRPr="005C3FE9">
        <w:t>Dipartimento</w:t>
      </w:r>
      <w:proofErr w:type="spellEnd"/>
      <w:r w:rsidRPr="005C3FE9">
        <w:t xml:space="preserve"> di Ingegneria Elettrica, Elettronica e Informatica, </w:t>
      </w:r>
      <w:r w:rsidR="00C86948" w:rsidRPr="005C3FE9">
        <w:t xml:space="preserve">Università di Catania, Viale Andrea Doria 6, </w:t>
      </w:r>
      <w:r w:rsidR="00F3609B" w:rsidRPr="005C3FE9">
        <w:t xml:space="preserve">95125 </w:t>
      </w:r>
      <w:r w:rsidR="00C86948" w:rsidRPr="005C3FE9">
        <w:t>Catania</w:t>
      </w:r>
      <w:r w:rsidR="00F3609B" w:rsidRPr="005C3FE9">
        <w:t xml:space="preserve">, </w:t>
      </w:r>
      <w:proofErr w:type="spellStart"/>
      <w:r w:rsidR="00F3609B" w:rsidRPr="005C3FE9">
        <w:t>Italy</w:t>
      </w:r>
      <w:proofErr w:type="spellEnd"/>
    </w:p>
    <w:p w14:paraId="6994202A" w14:textId="390E30DE" w:rsidR="00BF5ED8" w:rsidRPr="005C3FE9" w:rsidRDefault="00263967" w:rsidP="00E3213E">
      <w:pPr>
        <w:spacing w:beforeLines="120" w:before="288" w:afterLines="120" w:after="288" w:line="240" w:lineRule="auto"/>
        <w:ind w:firstLine="0"/>
        <w:rPr>
          <w:lang w:val="en-US"/>
        </w:rPr>
      </w:pPr>
      <w:proofErr w:type="spellStart"/>
      <w:r w:rsidRPr="005C3FE9">
        <w:rPr>
          <w:vertAlign w:val="superscript"/>
          <w:lang w:val="en-US"/>
        </w:rPr>
        <w:t>c</w:t>
      </w:r>
      <w:r w:rsidR="00BF5ED8" w:rsidRPr="005C3FE9">
        <w:rPr>
          <w:lang w:val="en-US"/>
        </w:rPr>
        <w:t>Centre</w:t>
      </w:r>
      <w:proofErr w:type="spellEnd"/>
      <w:r w:rsidR="00BF5ED8" w:rsidRPr="005C3FE9">
        <w:rPr>
          <w:lang w:val="en-US"/>
        </w:rPr>
        <w:t xml:space="preserve"> for Process Systems Engineering, Department of Chemical Engineering, University College London, Torrington Place, London, WC1E 7JE, United Kingdom</w:t>
      </w:r>
    </w:p>
    <w:p w14:paraId="618EEE6B" w14:textId="12C92847" w:rsidR="006F66AB" w:rsidRPr="005C3FE9" w:rsidRDefault="006F66AB" w:rsidP="006F66AB">
      <w:pPr>
        <w:spacing w:beforeLines="120" w:before="288" w:afterLines="120" w:after="288" w:line="240" w:lineRule="auto"/>
        <w:ind w:firstLine="0"/>
        <w:rPr>
          <w:lang w:val="en-GB"/>
        </w:rPr>
      </w:pPr>
      <w:bookmarkStart w:id="0" w:name="_Toc58063775"/>
      <w:r w:rsidRPr="005C3FE9">
        <w:rPr>
          <w:lang w:val="en-GB"/>
        </w:rPr>
        <w:t>*corresponding author</w:t>
      </w:r>
      <w:r w:rsidR="000472E9">
        <w:rPr>
          <w:lang w:val="en-GB"/>
        </w:rPr>
        <w:t>s</w:t>
      </w:r>
      <w:r w:rsidRPr="005C3FE9">
        <w:rPr>
          <w:lang w:val="en-GB"/>
        </w:rPr>
        <w:t>, email addres</w:t>
      </w:r>
      <w:r w:rsidR="004F7165">
        <w:rPr>
          <w:lang w:val="en-GB"/>
        </w:rPr>
        <w:t>s</w:t>
      </w:r>
      <w:r w:rsidR="000472E9">
        <w:rPr>
          <w:lang w:val="en-GB"/>
        </w:rPr>
        <w:t>es</w:t>
      </w:r>
      <w:r w:rsidRPr="005C3FE9">
        <w:rPr>
          <w:lang w:val="en-GB"/>
        </w:rPr>
        <w:t xml:space="preserve">: </w:t>
      </w:r>
      <w:r w:rsidR="00235BF6" w:rsidRPr="00235BF6">
        <w:rPr>
          <w:lang w:val="en-GB"/>
        </w:rPr>
        <w:t>alessandro.tamburini@unipa.it</w:t>
      </w:r>
      <w:r w:rsidR="00235BF6">
        <w:rPr>
          <w:lang w:val="en-GB"/>
        </w:rPr>
        <w:t>, luigi.gurreri@unict.it</w:t>
      </w:r>
      <w:r w:rsidR="00690276" w:rsidRPr="005C3FE9">
        <w:rPr>
          <w:lang w:val="en-GB"/>
        </w:rPr>
        <w:t xml:space="preserve"> </w:t>
      </w:r>
    </w:p>
    <w:p w14:paraId="37192D82" w14:textId="30C43AC4" w:rsidR="005F3F76" w:rsidRPr="005C3FE9" w:rsidRDefault="00687FBB" w:rsidP="000A1071">
      <w:pPr>
        <w:pStyle w:val="Titolo1"/>
        <w:numPr>
          <w:ilvl w:val="0"/>
          <w:numId w:val="0"/>
        </w:numPr>
        <w:spacing w:beforeLines="120" w:before="288" w:afterLines="120" w:after="288" w:line="240" w:lineRule="auto"/>
        <w:jc w:val="center"/>
      </w:pPr>
      <w:r w:rsidRPr="005C3FE9">
        <w:t>Abstract</w:t>
      </w:r>
      <w:bookmarkEnd w:id="0"/>
    </w:p>
    <w:p w14:paraId="4D0D46F4" w14:textId="28A85561" w:rsidR="00CE630F" w:rsidRPr="005C3FE9" w:rsidRDefault="004F555D" w:rsidP="00DF2E4F">
      <w:pPr>
        <w:rPr>
          <w:lang w:val="en-GB" w:eastAsia="en-US"/>
        </w:rPr>
      </w:pPr>
      <w:r w:rsidRPr="005C3FE9">
        <w:rPr>
          <w:lang w:val="en-GB" w:eastAsia="en-US"/>
        </w:rPr>
        <w:t>The implementation of effective storage systems</w:t>
      </w:r>
      <w:r w:rsidR="00CE630F" w:rsidRPr="005C3FE9">
        <w:rPr>
          <w:lang w:val="en-GB" w:eastAsia="en-US"/>
        </w:rPr>
        <w:t xml:space="preserve"> is essential for </w:t>
      </w:r>
      <w:r w:rsidR="005C5E36" w:rsidRPr="005C3FE9">
        <w:rPr>
          <w:lang w:val="en-GB" w:eastAsia="en-US"/>
        </w:rPr>
        <w:t>a deeper market penetration</w:t>
      </w:r>
      <w:r w:rsidR="00CE630F" w:rsidRPr="005C3FE9">
        <w:rPr>
          <w:lang w:val="en-GB" w:eastAsia="en-US"/>
        </w:rPr>
        <w:t xml:space="preserve"> of intermittent renewable sources.</w:t>
      </w:r>
      <w:r w:rsidR="00E730ED" w:rsidRPr="005C3FE9">
        <w:rPr>
          <w:lang w:val="en-GB" w:eastAsia="en-US"/>
        </w:rPr>
        <w:t xml:space="preserve"> </w:t>
      </w:r>
      <w:r w:rsidR="00CE630F" w:rsidRPr="005C3FE9">
        <w:rPr>
          <w:lang w:val="en-GB" w:eastAsia="en-US"/>
        </w:rPr>
        <w:t xml:space="preserve">One promising, environmentally friendly energy storage </w:t>
      </w:r>
      <w:r w:rsidR="007106A3" w:rsidRPr="005C3FE9">
        <w:rPr>
          <w:lang w:val="en-GB" w:eastAsia="en-US"/>
        </w:rPr>
        <w:t xml:space="preserve">technology </w:t>
      </w:r>
      <w:r w:rsidR="00CE630F" w:rsidRPr="005C3FE9">
        <w:rPr>
          <w:lang w:val="en-GB" w:eastAsia="en-US"/>
        </w:rPr>
        <w:t>is the</w:t>
      </w:r>
      <w:r w:rsidR="00E730ED" w:rsidRPr="005C3FE9">
        <w:rPr>
          <w:lang w:val="en-GB" w:eastAsia="en-US"/>
        </w:rPr>
        <w:t xml:space="preserve"> Acid</w:t>
      </w:r>
      <w:r w:rsidR="00831C17" w:rsidRPr="005C3FE9">
        <w:rPr>
          <w:lang w:val="en-GB" w:eastAsia="en-US"/>
        </w:rPr>
        <w:t>-</w:t>
      </w:r>
      <w:r w:rsidR="00E730ED" w:rsidRPr="005C3FE9">
        <w:rPr>
          <w:lang w:val="en-GB" w:eastAsia="en-US"/>
        </w:rPr>
        <w:t>Base Flow Battery (AB-FB)</w:t>
      </w:r>
      <w:r w:rsidR="00CE630F" w:rsidRPr="005C3FE9">
        <w:rPr>
          <w:lang w:val="en-GB" w:eastAsia="en-US"/>
        </w:rPr>
        <w:t xml:space="preserve">. </w:t>
      </w:r>
      <w:r w:rsidR="00326587" w:rsidRPr="005C3FE9">
        <w:rPr>
          <w:lang w:val="en-GB" w:eastAsia="en-US"/>
        </w:rPr>
        <w:t>In the charge phase i</w:t>
      </w:r>
      <w:r w:rsidR="007106A3" w:rsidRPr="005C3FE9">
        <w:rPr>
          <w:lang w:val="en-GB" w:eastAsia="en-US"/>
        </w:rPr>
        <w:t>t</w:t>
      </w:r>
      <w:r w:rsidR="00CE630F" w:rsidRPr="005C3FE9">
        <w:rPr>
          <w:lang w:val="en-GB" w:eastAsia="en-US"/>
        </w:rPr>
        <w:t xml:space="preserve"> store</w:t>
      </w:r>
      <w:r w:rsidR="007106A3" w:rsidRPr="005C3FE9">
        <w:rPr>
          <w:lang w:val="en-GB" w:eastAsia="en-US"/>
        </w:rPr>
        <w:t>s</w:t>
      </w:r>
      <w:r w:rsidR="00CE630F" w:rsidRPr="005C3FE9">
        <w:rPr>
          <w:lang w:val="en-GB" w:eastAsia="en-US"/>
        </w:rPr>
        <w:t xml:space="preserve"> electricity in the form of pH and salinity gradients </w:t>
      </w:r>
      <w:r w:rsidRPr="005C3FE9">
        <w:rPr>
          <w:lang w:val="en-GB" w:eastAsia="en-US"/>
        </w:rPr>
        <w:t xml:space="preserve">via </w:t>
      </w:r>
      <w:r w:rsidR="00CE630F" w:rsidRPr="005C3FE9">
        <w:rPr>
          <w:lang w:val="en-GB" w:eastAsia="en-US"/>
        </w:rPr>
        <w:t>Bipolar Membrane Electrodialysis</w:t>
      </w:r>
      <w:r w:rsidR="00D772A8" w:rsidRPr="005C3FE9">
        <w:rPr>
          <w:lang w:val="en-GB" w:eastAsia="en-US"/>
        </w:rPr>
        <w:t xml:space="preserve">, while </w:t>
      </w:r>
      <w:r w:rsidR="00326587" w:rsidRPr="005C3FE9">
        <w:rPr>
          <w:lang w:val="en-GB" w:eastAsia="en-US"/>
        </w:rPr>
        <w:t xml:space="preserve">in the discharge phase </w:t>
      </w:r>
      <w:r w:rsidR="00063A65" w:rsidRPr="005C3FE9">
        <w:rPr>
          <w:lang w:val="en-GB" w:eastAsia="en-US"/>
        </w:rPr>
        <w:t xml:space="preserve">it applies </w:t>
      </w:r>
      <w:r w:rsidR="00D772A8" w:rsidRPr="005C3FE9">
        <w:rPr>
          <w:lang w:val="en-GB" w:eastAsia="en-US"/>
        </w:rPr>
        <w:t>the reverse process</w:t>
      </w:r>
      <w:r w:rsidR="00CE630F" w:rsidRPr="005C3FE9">
        <w:rPr>
          <w:lang w:val="en-GB" w:eastAsia="en-US"/>
        </w:rPr>
        <w:t xml:space="preserve"> </w:t>
      </w:r>
      <w:r w:rsidR="00063A65" w:rsidRPr="005C3FE9">
        <w:rPr>
          <w:lang w:val="en-GB" w:eastAsia="en-US"/>
        </w:rPr>
        <w:t xml:space="preserve">for </w:t>
      </w:r>
      <w:r w:rsidR="00D772A8" w:rsidRPr="005C3FE9">
        <w:rPr>
          <w:lang w:val="en-GB" w:eastAsia="en-US"/>
        </w:rPr>
        <w:t>the opposite conversion</w:t>
      </w:r>
      <w:r w:rsidR="00CE630F" w:rsidRPr="005C3FE9">
        <w:rPr>
          <w:lang w:val="en-GB" w:eastAsia="en-US"/>
        </w:rPr>
        <w:t xml:space="preserve">. </w:t>
      </w:r>
      <w:r w:rsidR="00E862D0" w:rsidRPr="005C3FE9">
        <w:rPr>
          <w:lang w:val="en-GB" w:eastAsia="en-US"/>
        </w:rPr>
        <w:t>Despite the clear benefits over other osmotic batteries, the potential of the AB-FB has been poorly explored.</w:t>
      </w:r>
    </w:p>
    <w:p w14:paraId="7002D654" w14:textId="294D8D04" w:rsidR="00E730ED" w:rsidRPr="005C3FE9" w:rsidRDefault="00E730ED" w:rsidP="00DF2E4F">
      <w:pPr>
        <w:rPr>
          <w:lang w:val="en-GB" w:eastAsia="en-US"/>
        </w:rPr>
      </w:pPr>
      <w:r w:rsidRPr="005C3FE9">
        <w:rPr>
          <w:lang w:val="en-GB" w:eastAsia="en-US"/>
        </w:rPr>
        <w:t>Th</w:t>
      </w:r>
      <w:r w:rsidR="0031389C" w:rsidRPr="005C3FE9">
        <w:rPr>
          <w:lang w:val="en-GB" w:eastAsia="en-US"/>
        </w:rPr>
        <w:t>is</w:t>
      </w:r>
      <w:r w:rsidR="00BD0CEA" w:rsidRPr="005C3FE9">
        <w:rPr>
          <w:lang w:val="en-GB" w:eastAsia="en-US"/>
        </w:rPr>
        <w:t xml:space="preserve"> study </w:t>
      </w:r>
      <w:r w:rsidR="0031389C" w:rsidRPr="005C3FE9">
        <w:rPr>
          <w:lang w:val="en-GB" w:eastAsia="en-US"/>
        </w:rPr>
        <w:t>presents</w:t>
      </w:r>
      <w:r w:rsidR="00BD0CEA" w:rsidRPr="005C3FE9">
        <w:rPr>
          <w:lang w:val="en-GB" w:eastAsia="en-US"/>
        </w:rPr>
        <w:t xml:space="preserve"> the first</w:t>
      </w:r>
      <w:r w:rsidR="00917211" w:rsidRPr="005C3FE9">
        <w:rPr>
          <w:lang w:val="en-GB" w:eastAsia="en-US"/>
        </w:rPr>
        <w:t xml:space="preserve"> bi-objective</w:t>
      </w:r>
      <w:r w:rsidRPr="005C3FE9">
        <w:rPr>
          <w:lang w:val="en-GB" w:eastAsia="en-US"/>
        </w:rPr>
        <w:t xml:space="preserve"> optimis</w:t>
      </w:r>
      <w:r w:rsidR="00BD0CEA" w:rsidRPr="005C3FE9">
        <w:rPr>
          <w:lang w:val="en-GB" w:eastAsia="en-US"/>
        </w:rPr>
        <w:t>ation of</w:t>
      </w:r>
      <w:r w:rsidRPr="005C3FE9">
        <w:rPr>
          <w:lang w:val="en-GB" w:eastAsia="en-US"/>
        </w:rPr>
        <w:t xml:space="preserve"> the AB-FB</w:t>
      </w:r>
      <w:r w:rsidR="00917211" w:rsidRPr="005C3FE9">
        <w:rPr>
          <w:lang w:val="en-GB" w:eastAsia="en-US"/>
        </w:rPr>
        <w:t xml:space="preserve"> in terms of</w:t>
      </w:r>
      <w:r w:rsidRPr="005C3FE9">
        <w:rPr>
          <w:lang w:val="en-GB" w:eastAsia="en-US"/>
        </w:rPr>
        <w:t xml:space="preserve"> net round trip efficiency </w:t>
      </w:r>
      <w:r w:rsidR="001A7131" w:rsidRPr="005C3FE9">
        <w:rPr>
          <w:lang w:val="en-GB" w:eastAsia="en-US"/>
        </w:rPr>
        <w:t>(</w:t>
      </w:r>
      <w:proofErr w:type="spellStart"/>
      <w:r w:rsidR="001A7131" w:rsidRPr="005C3FE9">
        <w:rPr>
          <w:lang w:val="en-GB" w:eastAsia="en-US"/>
        </w:rPr>
        <w:t>RTE</w:t>
      </w:r>
      <w:r w:rsidR="001A7131" w:rsidRPr="005C3FE9">
        <w:rPr>
          <w:vertAlign w:val="subscript"/>
          <w:lang w:val="en-GB" w:eastAsia="en-US"/>
        </w:rPr>
        <w:t>net</w:t>
      </w:r>
      <w:proofErr w:type="spellEnd"/>
      <w:r w:rsidR="001A7131" w:rsidRPr="005C3FE9">
        <w:rPr>
          <w:lang w:val="en-GB" w:eastAsia="en-US"/>
        </w:rPr>
        <w:t xml:space="preserve">) </w:t>
      </w:r>
      <w:r w:rsidRPr="005C3FE9">
        <w:rPr>
          <w:lang w:val="en-GB" w:eastAsia="en-US"/>
        </w:rPr>
        <w:t>and</w:t>
      </w:r>
      <w:r w:rsidR="00917211" w:rsidRPr="005C3FE9">
        <w:rPr>
          <w:lang w:val="en-GB" w:eastAsia="en-US"/>
        </w:rPr>
        <w:t xml:space="preserve"> average</w:t>
      </w:r>
      <w:r w:rsidRPr="005C3FE9">
        <w:rPr>
          <w:lang w:val="en-GB" w:eastAsia="en-US"/>
        </w:rPr>
        <w:t xml:space="preserve"> net discharge power density</w:t>
      </w:r>
      <w:r w:rsidR="001A7131" w:rsidRPr="005C3FE9">
        <w:rPr>
          <w:lang w:val="en-GB" w:eastAsia="en-US"/>
        </w:rPr>
        <w:t xml:space="preserve"> </w:t>
      </w:r>
      <w:r w:rsidR="00F23F87">
        <w:rPr>
          <w:lang w:val="en-GB" w:eastAsia="en-US"/>
        </w:rPr>
        <w:t xml:space="preserve">per membrane area </w:t>
      </w:r>
      <w:r w:rsidR="001A7131" w:rsidRPr="005C3FE9">
        <w:rPr>
          <w:lang w:val="en-GB" w:eastAsia="en-US"/>
        </w:rPr>
        <w:t>(</w:t>
      </w:r>
      <m:oMath>
        <m:acc>
          <m:accPr>
            <m:chr m:val="̅"/>
            <m:ctrlPr>
              <w:rPr>
                <w:rFonts w:ascii="Cambria Math" w:eastAsia="Calibri" w:hAnsi="Cambria Math"/>
                <w:i/>
                <w:lang w:eastAsia="en-US"/>
              </w:rPr>
            </m:ctrlPr>
          </m:accPr>
          <m:e>
            <m:sSub>
              <m:sSubPr>
                <m:ctrlPr>
                  <w:rPr>
                    <w:rFonts w:ascii="Cambria Math" w:eastAsia="Calibri" w:hAnsi="Cambria Math"/>
                    <w:i/>
                    <w:lang w:eastAsia="en-US"/>
                  </w:rPr>
                </m:ctrlPr>
              </m:sSubPr>
              <m:e>
                <m:r>
                  <w:rPr>
                    <w:rFonts w:ascii="Cambria Math" w:hAnsi="Cambria Math"/>
                  </w:rPr>
                  <m:t>NPD</m:t>
                </m:r>
              </m:e>
              <m:sub>
                <m:r>
                  <w:rPr>
                    <w:rFonts w:ascii="Cambria Math" w:hAnsi="Cambria Math"/>
                  </w:rPr>
                  <m:t>d</m:t>
                </m:r>
              </m:sub>
            </m:sSub>
          </m:e>
        </m:acc>
      </m:oMath>
      <w:r w:rsidR="001A7131" w:rsidRPr="005C3FE9">
        <w:rPr>
          <w:lang w:val="en-GB" w:eastAsia="en-US"/>
        </w:rPr>
        <w:t>)</w:t>
      </w:r>
      <w:r w:rsidRPr="005C3FE9">
        <w:rPr>
          <w:lang w:val="en-GB" w:eastAsia="en-US"/>
        </w:rPr>
        <w:t xml:space="preserve">. </w:t>
      </w:r>
      <w:r w:rsidR="0031389C" w:rsidRPr="005C3FE9">
        <w:rPr>
          <w:lang w:val="en-GB" w:eastAsia="en-US"/>
        </w:rPr>
        <w:t>A comprehensive mat</w:t>
      </w:r>
      <w:r w:rsidR="00063A65" w:rsidRPr="005C3FE9">
        <w:rPr>
          <w:lang w:val="en-GB" w:eastAsia="en-US"/>
        </w:rPr>
        <w:t>h</w:t>
      </w:r>
      <w:r w:rsidR="0031389C" w:rsidRPr="005C3FE9">
        <w:rPr>
          <w:lang w:val="en-GB" w:eastAsia="en-US"/>
        </w:rPr>
        <w:t>e</w:t>
      </w:r>
      <w:r w:rsidR="00063A65" w:rsidRPr="005C3FE9">
        <w:rPr>
          <w:lang w:val="en-GB" w:eastAsia="en-US"/>
        </w:rPr>
        <w:t>m</w:t>
      </w:r>
      <w:r w:rsidR="0031389C" w:rsidRPr="005C3FE9">
        <w:rPr>
          <w:lang w:val="en-GB" w:eastAsia="en-US"/>
        </w:rPr>
        <w:t>atical model previously developed by our research team was used</w:t>
      </w:r>
      <w:r w:rsidR="00063A65" w:rsidRPr="005C3FE9">
        <w:rPr>
          <w:lang w:val="en-GB" w:eastAsia="en-US"/>
        </w:rPr>
        <w:t xml:space="preserve"> to predict the battery performance.</w:t>
      </w:r>
      <w:r w:rsidR="0031389C" w:rsidRPr="005C3FE9">
        <w:rPr>
          <w:lang w:val="en-GB" w:eastAsia="en-US"/>
        </w:rPr>
        <w:t xml:space="preserve"> </w:t>
      </w:r>
      <w:r w:rsidRPr="005C3FE9">
        <w:rPr>
          <w:lang w:val="en-GB" w:eastAsia="en-US"/>
        </w:rPr>
        <w:t xml:space="preserve">The </w:t>
      </w:r>
      <w:r w:rsidR="00797495">
        <w:rPr>
          <w:lang w:val="en-GB" w:eastAsia="en-US"/>
        </w:rPr>
        <w:t>ε</w:t>
      </w:r>
      <w:r w:rsidRPr="005C3FE9">
        <w:rPr>
          <w:lang w:val="en-GB" w:eastAsia="en-US"/>
        </w:rPr>
        <w:t xml:space="preserve">-constraint approach was used to </w:t>
      </w:r>
      <w:r w:rsidR="00917211" w:rsidRPr="005C3FE9">
        <w:rPr>
          <w:lang w:val="en-GB" w:eastAsia="en-US"/>
        </w:rPr>
        <w:t>build</w:t>
      </w:r>
      <w:r w:rsidRPr="005C3FE9">
        <w:rPr>
          <w:lang w:val="en-GB" w:eastAsia="en-US"/>
        </w:rPr>
        <w:t xml:space="preserve"> curves of Pareto optimal solutions under various </w:t>
      </w:r>
      <w:r w:rsidR="00917211" w:rsidRPr="005C3FE9">
        <w:rPr>
          <w:lang w:val="en-GB" w:eastAsia="en-US"/>
        </w:rPr>
        <w:t>scenarios</w:t>
      </w:r>
      <w:r w:rsidR="00063A65" w:rsidRPr="005C3FE9">
        <w:rPr>
          <w:lang w:val="en-GB" w:eastAsia="en-US"/>
        </w:rPr>
        <w:t xml:space="preserve"> by letting several </w:t>
      </w:r>
      <w:r w:rsidRPr="005C3FE9">
        <w:rPr>
          <w:lang w:val="en-GB" w:eastAsia="en-US"/>
        </w:rPr>
        <w:t>operati</w:t>
      </w:r>
      <w:r w:rsidR="00917211" w:rsidRPr="005C3FE9">
        <w:rPr>
          <w:lang w:val="en-GB" w:eastAsia="en-US"/>
        </w:rPr>
        <w:t>ng</w:t>
      </w:r>
      <w:r w:rsidRPr="005C3FE9">
        <w:rPr>
          <w:lang w:val="en-GB" w:eastAsia="en-US"/>
        </w:rPr>
        <w:t xml:space="preserve"> and design parameters</w:t>
      </w:r>
      <w:r w:rsidR="00063A65" w:rsidRPr="005C3FE9">
        <w:rPr>
          <w:lang w:val="en-GB" w:eastAsia="en-US"/>
        </w:rPr>
        <w:t xml:space="preserve"> to vary</w:t>
      </w:r>
      <w:r w:rsidRPr="005C3FE9">
        <w:rPr>
          <w:lang w:val="en-GB" w:eastAsia="en-US"/>
        </w:rPr>
        <w:t xml:space="preserve">. Using current commercial membranes, </w:t>
      </w:r>
      <w:r w:rsidR="005D0DC7" w:rsidRPr="005C3FE9">
        <w:rPr>
          <w:lang w:val="en-GB" w:eastAsia="en-US"/>
        </w:rPr>
        <w:t>optimal solutions</w:t>
      </w:r>
      <w:r w:rsidRPr="005C3FE9">
        <w:rPr>
          <w:lang w:val="en-GB" w:eastAsia="en-US"/>
        </w:rPr>
        <w:t xml:space="preserve"> </w:t>
      </w:r>
      <w:r w:rsidR="001A7131" w:rsidRPr="005C3FE9">
        <w:rPr>
          <w:lang w:val="en-GB" w:eastAsia="en-US"/>
        </w:rPr>
        <w:t>yielded an</w:t>
      </w:r>
      <w:r w:rsidRPr="005C3FE9">
        <w:rPr>
          <w:lang w:val="en-GB" w:eastAsia="en-US"/>
        </w:rPr>
        <w:t xml:space="preserve"> </w:t>
      </w:r>
      <w:proofErr w:type="spellStart"/>
      <w:r w:rsidR="001A7131" w:rsidRPr="005C3FE9">
        <w:rPr>
          <w:lang w:val="en-GB" w:eastAsia="en-US"/>
        </w:rPr>
        <w:t>RTE</w:t>
      </w:r>
      <w:r w:rsidRPr="005C3FE9">
        <w:rPr>
          <w:vertAlign w:val="subscript"/>
          <w:lang w:val="en-GB" w:eastAsia="en-US"/>
        </w:rPr>
        <w:t>net</w:t>
      </w:r>
      <w:proofErr w:type="spellEnd"/>
      <w:r w:rsidRPr="005C3FE9">
        <w:rPr>
          <w:lang w:val="en-GB" w:eastAsia="en-US"/>
        </w:rPr>
        <w:t xml:space="preserve"> </w:t>
      </w:r>
      <w:r w:rsidR="005D0DC7" w:rsidRPr="005C3FE9">
        <w:rPr>
          <w:lang w:val="en-GB" w:eastAsia="en-US"/>
        </w:rPr>
        <w:t>ranging from 32% to</w:t>
      </w:r>
      <w:r w:rsidRPr="005C3FE9">
        <w:rPr>
          <w:lang w:val="en-GB" w:eastAsia="en-US"/>
        </w:rPr>
        <w:t xml:space="preserve"> 64%</w:t>
      </w:r>
      <w:r w:rsidR="005D0DC7" w:rsidRPr="005C3FE9">
        <w:rPr>
          <w:lang w:val="en-GB" w:eastAsia="en-US"/>
        </w:rPr>
        <w:t>, while the corresponding</w:t>
      </w:r>
      <w:r w:rsidR="001A7131" w:rsidRPr="005C3FE9">
        <w:rPr>
          <w:lang w:val="en-GB" w:eastAsia="en-US"/>
        </w:rPr>
        <w:t xml:space="preserve"> </w:t>
      </w:r>
      <m:oMath>
        <m:acc>
          <m:accPr>
            <m:chr m:val="̅"/>
            <m:ctrlPr>
              <w:rPr>
                <w:rFonts w:ascii="Cambria Math" w:eastAsia="Calibri" w:hAnsi="Cambria Math"/>
                <w:i/>
                <w:lang w:eastAsia="en-US"/>
              </w:rPr>
            </m:ctrlPr>
          </m:accPr>
          <m:e>
            <m:sSub>
              <m:sSubPr>
                <m:ctrlPr>
                  <w:rPr>
                    <w:rFonts w:ascii="Cambria Math" w:eastAsia="Calibri" w:hAnsi="Cambria Math"/>
                    <w:i/>
                    <w:lang w:eastAsia="en-US"/>
                  </w:rPr>
                </m:ctrlPr>
              </m:sSubPr>
              <m:e>
                <m:r>
                  <w:rPr>
                    <w:rFonts w:ascii="Cambria Math" w:hAnsi="Cambria Math"/>
                  </w:rPr>
                  <m:t>NPD</m:t>
                </m:r>
              </m:e>
              <m:sub>
                <m:r>
                  <w:rPr>
                    <w:rFonts w:ascii="Cambria Math" w:hAnsi="Cambria Math"/>
                  </w:rPr>
                  <m:t>d</m:t>
                </m:r>
              </m:sub>
            </m:sSub>
          </m:e>
        </m:acc>
      </m:oMath>
      <w:r w:rsidR="00F84554" w:rsidRPr="005C3FE9">
        <w:rPr>
          <w:lang w:val="en-GB" w:eastAsia="en-US"/>
        </w:rPr>
        <w:t xml:space="preserve"> </w:t>
      </w:r>
      <w:r w:rsidR="005D0DC7" w:rsidRPr="005C3FE9">
        <w:rPr>
          <w:lang w:val="en-GB" w:eastAsia="en-US"/>
        </w:rPr>
        <w:t xml:space="preserve">ranged from </w:t>
      </w:r>
      <w:r w:rsidRPr="005C3FE9">
        <w:rPr>
          <w:lang w:val="en-GB" w:eastAsia="en-US"/>
        </w:rPr>
        <w:t>19.5 W m</w:t>
      </w:r>
      <w:r w:rsidRPr="005C3FE9">
        <w:rPr>
          <w:vertAlign w:val="superscript"/>
          <w:lang w:val="en-GB" w:eastAsia="en-US"/>
        </w:rPr>
        <w:t>-2</w:t>
      </w:r>
      <w:r w:rsidR="005D0DC7" w:rsidRPr="005C3FE9">
        <w:rPr>
          <w:lang w:val="en-GB" w:eastAsia="en-US"/>
        </w:rPr>
        <w:t xml:space="preserve"> to 4 W m</w:t>
      </w:r>
      <w:r w:rsidR="005D0DC7" w:rsidRPr="005C3FE9">
        <w:rPr>
          <w:vertAlign w:val="superscript"/>
          <w:lang w:val="en-GB" w:eastAsia="en-US"/>
        </w:rPr>
        <w:t>-2</w:t>
      </w:r>
      <w:r w:rsidRPr="005C3FE9">
        <w:rPr>
          <w:lang w:val="en-GB" w:eastAsia="en-US"/>
        </w:rPr>
        <w:t xml:space="preserve">. </w:t>
      </w:r>
      <w:r w:rsidR="00456B4A" w:rsidRPr="005C3FE9">
        <w:rPr>
          <w:lang w:val="en-GB" w:eastAsia="en-US"/>
        </w:rPr>
        <w:t xml:space="preserve">These results highlight the great potential of the AB-FB, as well as the need of a </w:t>
      </w:r>
      <w:r w:rsidR="00353BA8" w:rsidRPr="005C3FE9">
        <w:rPr>
          <w:lang w:val="en-GB" w:eastAsia="en-US"/>
        </w:rPr>
        <w:t>proper</w:t>
      </w:r>
      <w:r w:rsidR="00456B4A" w:rsidRPr="005C3FE9">
        <w:rPr>
          <w:lang w:val="en-GB" w:eastAsia="en-US"/>
        </w:rPr>
        <w:t xml:space="preserve"> design of experimental stacks. </w:t>
      </w:r>
      <w:r w:rsidR="0014586B" w:rsidRPr="005C3FE9">
        <w:rPr>
          <w:lang w:val="en-GB" w:eastAsia="en-US"/>
        </w:rPr>
        <w:t xml:space="preserve">Simulating </w:t>
      </w:r>
      <w:r w:rsidR="00326587" w:rsidRPr="005C3FE9">
        <w:rPr>
          <w:lang w:val="en-GB" w:eastAsia="en-US"/>
        </w:rPr>
        <w:lastRenderedPageBreak/>
        <w:t xml:space="preserve">hypothetical membranes with </w:t>
      </w:r>
      <w:r w:rsidR="0014586B" w:rsidRPr="005C3FE9">
        <w:rPr>
          <w:lang w:val="en-GB" w:eastAsia="en-US"/>
        </w:rPr>
        <w:t>i</w:t>
      </w:r>
      <w:r w:rsidRPr="005C3FE9">
        <w:rPr>
          <w:lang w:val="en-GB" w:eastAsia="en-US"/>
        </w:rPr>
        <w:t>mproved</w:t>
      </w:r>
      <w:r w:rsidR="00326587" w:rsidRPr="005C3FE9">
        <w:rPr>
          <w:lang w:val="en-GB" w:eastAsia="en-US"/>
        </w:rPr>
        <w:t>, yet realistic</w:t>
      </w:r>
      <w:r w:rsidRPr="005C3FE9">
        <w:rPr>
          <w:lang w:val="en-GB" w:eastAsia="en-US"/>
        </w:rPr>
        <w:t xml:space="preserve"> characteristics </w:t>
      </w:r>
      <w:r w:rsidR="005D0DC7" w:rsidRPr="005C3FE9">
        <w:rPr>
          <w:lang w:val="en-GB" w:eastAsia="en-US"/>
        </w:rPr>
        <w:t>shifted the range of</w:t>
      </w:r>
      <w:r w:rsidRPr="005C3FE9">
        <w:rPr>
          <w:lang w:val="en-GB" w:eastAsia="en-US"/>
        </w:rPr>
        <w:t xml:space="preserve"> </w:t>
      </w:r>
      <w:proofErr w:type="spellStart"/>
      <w:r w:rsidR="0014586B" w:rsidRPr="005C3FE9">
        <w:rPr>
          <w:lang w:val="en-GB" w:eastAsia="en-US"/>
        </w:rPr>
        <w:t>RTE</w:t>
      </w:r>
      <w:r w:rsidR="0014586B" w:rsidRPr="005C3FE9">
        <w:rPr>
          <w:vertAlign w:val="subscript"/>
          <w:lang w:val="en-GB" w:eastAsia="en-US"/>
        </w:rPr>
        <w:t>net</w:t>
      </w:r>
      <w:proofErr w:type="spellEnd"/>
      <w:r w:rsidRPr="005C3FE9">
        <w:rPr>
          <w:lang w:val="en-GB" w:eastAsia="en-US"/>
        </w:rPr>
        <w:t xml:space="preserve"> and </w:t>
      </w:r>
      <m:oMath>
        <m:acc>
          <m:accPr>
            <m:chr m:val="̅"/>
            <m:ctrlPr>
              <w:rPr>
                <w:rFonts w:ascii="Cambria Math" w:eastAsia="Calibri" w:hAnsi="Cambria Math"/>
                <w:i/>
                <w:lang w:eastAsia="en-US"/>
              </w:rPr>
            </m:ctrlPr>
          </m:accPr>
          <m:e>
            <m:sSub>
              <m:sSubPr>
                <m:ctrlPr>
                  <w:rPr>
                    <w:rFonts w:ascii="Cambria Math" w:eastAsia="Calibri" w:hAnsi="Cambria Math"/>
                    <w:i/>
                    <w:lang w:eastAsia="en-US"/>
                  </w:rPr>
                </m:ctrlPr>
              </m:sSubPr>
              <m:e>
                <m:r>
                  <w:rPr>
                    <w:rFonts w:ascii="Cambria Math" w:hAnsi="Cambria Math"/>
                  </w:rPr>
                  <m:t>NPD</m:t>
                </m:r>
              </m:e>
              <m:sub>
                <m:r>
                  <w:rPr>
                    <w:rFonts w:ascii="Cambria Math" w:hAnsi="Cambria Math"/>
                  </w:rPr>
                  <m:t>d</m:t>
                </m:r>
              </m:sub>
            </m:sSub>
          </m:e>
        </m:acc>
      </m:oMath>
      <w:r w:rsidR="0014586B" w:rsidRPr="005C3FE9">
        <w:rPr>
          <w:lang w:val="en-GB" w:eastAsia="en-US"/>
        </w:rPr>
        <w:t xml:space="preserve"> </w:t>
      </w:r>
      <w:r w:rsidR="005D0DC7" w:rsidRPr="005C3FE9">
        <w:rPr>
          <w:lang w:val="en-GB" w:eastAsia="en-US"/>
        </w:rPr>
        <w:t>to</w:t>
      </w:r>
      <w:r w:rsidRPr="005C3FE9">
        <w:rPr>
          <w:lang w:val="en-GB" w:eastAsia="en-US"/>
        </w:rPr>
        <w:t xml:space="preserve"> </w:t>
      </w:r>
      <w:r w:rsidR="005D0DC7" w:rsidRPr="005C3FE9">
        <w:rPr>
          <w:lang w:val="en-GB" w:eastAsia="en-US"/>
        </w:rPr>
        <w:t>5</w:t>
      </w:r>
      <w:r w:rsidR="00353BA8" w:rsidRPr="005C3FE9">
        <w:rPr>
          <w:lang w:val="en-GB" w:eastAsia="en-US"/>
        </w:rPr>
        <w:t>9.1</w:t>
      </w:r>
      <w:r w:rsidR="001811AE">
        <w:rPr>
          <w:lang w:val="en-GB" w:eastAsia="en-US"/>
        </w:rPr>
        <w:t>–</w:t>
      </w:r>
      <w:r w:rsidRPr="005C3FE9">
        <w:rPr>
          <w:lang w:val="en-GB" w:eastAsia="en-US"/>
        </w:rPr>
        <w:t>76.</w:t>
      </w:r>
      <w:r w:rsidR="00353BA8" w:rsidRPr="005C3FE9">
        <w:rPr>
          <w:lang w:val="en-GB" w:eastAsia="en-US"/>
        </w:rPr>
        <w:t>3</w:t>
      </w:r>
      <w:r w:rsidR="00F84554" w:rsidRPr="005C3FE9">
        <w:rPr>
          <w:lang w:val="en-GB" w:eastAsia="en-US"/>
        </w:rPr>
        <w:t>%</w:t>
      </w:r>
      <w:r w:rsidRPr="005C3FE9">
        <w:rPr>
          <w:lang w:val="en-GB" w:eastAsia="en-US"/>
        </w:rPr>
        <w:t xml:space="preserve"> and 23.2</w:t>
      </w:r>
      <w:r w:rsidR="001811AE">
        <w:rPr>
          <w:lang w:val="en-GB" w:eastAsia="en-US"/>
        </w:rPr>
        <w:t>–</w:t>
      </w:r>
      <w:r w:rsidR="005D0DC7" w:rsidRPr="005C3FE9">
        <w:rPr>
          <w:lang w:val="en-GB" w:eastAsia="en-US"/>
        </w:rPr>
        <w:t>4.</w:t>
      </w:r>
      <w:r w:rsidR="00353BA8" w:rsidRPr="005C3FE9">
        <w:rPr>
          <w:lang w:val="en-GB" w:eastAsia="en-US"/>
        </w:rPr>
        <w:t>4</w:t>
      </w:r>
      <w:r w:rsidRPr="005C3FE9">
        <w:rPr>
          <w:lang w:val="en-GB" w:eastAsia="en-US"/>
        </w:rPr>
        <w:t xml:space="preserve"> W m</w:t>
      </w:r>
      <w:r w:rsidRPr="005C3FE9">
        <w:rPr>
          <w:vertAlign w:val="superscript"/>
          <w:lang w:val="en-GB" w:eastAsia="en-US"/>
        </w:rPr>
        <w:t>-2</w:t>
      </w:r>
      <w:r w:rsidRPr="005C3FE9">
        <w:rPr>
          <w:lang w:val="en-GB" w:eastAsia="en-US"/>
        </w:rPr>
        <w:t xml:space="preserve">, respectively, showing </w:t>
      </w:r>
      <w:r w:rsidR="00456B4A" w:rsidRPr="005C3FE9">
        <w:rPr>
          <w:lang w:val="en-GB" w:eastAsia="en-US"/>
        </w:rPr>
        <w:t>that the technological advancement in membrane manufacturing is essential for the development of high-performance</w:t>
      </w:r>
      <w:r w:rsidRPr="005C3FE9">
        <w:rPr>
          <w:lang w:val="en-GB" w:eastAsia="en-US"/>
        </w:rPr>
        <w:t xml:space="preserve"> AB-FB</w:t>
      </w:r>
      <w:r w:rsidR="003D2B89" w:rsidRPr="005C3FE9">
        <w:rPr>
          <w:lang w:val="en-GB" w:eastAsia="en-US"/>
        </w:rPr>
        <w:t xml:space="preserve"> </w:t>
      </w:r>
      <w:r w:rsidR="00456B4A" w:rsidRPr="005C3FE9">
        <w:rPr>
          <w:lang w:val="en-GB" w:eastAsia="en-US"/>
        </w:rPr>
        <w:t>systems</w:t>
      </w:r>
      <w:r w:rsidRPr="005C3FE9">
        <w:rPr>
          <w:lang w:val="en-GB" w:eastAsia="en-US"/>
        </w:rPr>
        <w:t>.</w:t>
      </w:r>
      <w:r w:rsidR="001E4B76">
        <w:rPr>
          <w:lang w:val="en-GB" w:eastAsia="en-US"/>
        </w:rPr>
        <w:t xml:space="preserve"> A</w:t>
      </w:r>
      <w:r w:rsidR="001E4B76" w:rsidRPr="001E4B76">
        <w:rPr>
          <w:lang w:val="en-GB" w:eastAsia="en-US"/>
        </w:rPr>
        <w:t>lthough the AB-FB performs similarly to other batteries, it can be made of non-critical materials that are not subject to supply disruptions or economic dependency</w:t>
      </w:r>
      <w:r w:rsidR="001E4B76">
        <w:rPr>
          <w:lang w:val="en-GB" w:eastAsia="en-US"/>
        </w:rPr>
        <w:t xml:space="preserve">, </w:t>
      </w:r>
      <w:r w:rsidR="001E4B76" w:rsidRPr="001E4B76">
        <w:rPr>
          <w:lang w:val="en-GB" w:eastAsia="en-US"/>
        </w:rPr>
        <w:t xml:space="preserve">making </w:t>
      </w:r>
      <w:r w:rsidR="001E4B76">
        <w:rPr>
          <w:lang w:val="en-GB" w:eastAsia="en-US"/>
        </w:rPr>
        <w:t>the AB-FB</w:t>
      </w:r>
      <w:r w:rsidR="001E4B76" w:rsidRPr="001E4B76">
        <w:rPr>
          <w:lang w:val="en-GB" w:eastAsia="en-US"/>
        </w:rPr>
        <w:t xml:space="preserve"> a</w:t>
      </w:r>
      <w:r w:rsidR="00F637A3">
        <w:rPr>
          <w:lang w:val="en-GB" w:eastAsia="en-US"/>
        </w:rPr>
        <w:t xml:space="preserve"> sustainability-friendly option and a</w:t>
      </w:r>
      <w:r w:rsidR="001E4B76" w:rsidRPr="001E4B76">
        <w:rPr>
          <w:lang w:val="en-GB" w:eastAsia="en-US"/>
        </w:rPr>
        <w:t xml:space="preserve"> good candidate for </w:t>
      </w:r>
      <w:r w:rsidR="00F637A3">
        <w:rPr>
          <w:lang w:val="en-GB" w:eastAsia="en-US"/>
        </w:rPr>
        <w:t xml:space="preserve">the </w:t>
      </w:r>
      <w:r w:rsidR="001E4B76" w:rsidRPr="001E4B76">
        <w:rPr>
          <w:lang w:val="en-GB" w:eastAsia="en-US"/>
        </w:rPr>
        <w:t xml:space="preserve">future </w:t>
      </w:r>
      <w:r w:rsidR="00F637A3">
        <w:rPr>
          <w:lang w:val="en-GB" w:eastAsia="en-US"/>
        </w:rPr>
        <w:t>energy storage systems scenario</w:t>
      </w:r>
      <w:r w:rsidR="001E4B76" w:rsidRPr="001E4B76">
        <w:rPr>
          <w:lang w:val="en-GB" w:eastAsia="en-US"/>
        </w:rPr>
        <w:t>.</w:t>
      </w:r>
    </w:p>
    <w:p w14:paraId="40CE119C" w14:textId="10ABF083" w:rsidR="00886E3E" w:rsidRPr="005C3FE9" w:rsidRDefault="00D535F9" w:rsidP="00DF2E4F">
      <w:pPr>
        <w:rPr>
          <w:lang w:val="en-GB"/>
        </w:rPr>
      </w:pPr>
      <w:r w:rsidRPr="005C3FE9">
        <w:rPr>
          <w:b/>
          <w:lang w:val="en-GB"/>
        </w:rPr>
        <w:t>Keywords</w:t>
      </w:r>
      <w:r w:rsidRPr="005C3FE9">
        <w:rPr>
          <w:lang w:val="en-GB"/>
        </w:rPr>
        <w:t>:</w:t>
      </w:r>
      <w:r w:rsidR="008E22E9" w:rsidRPr="005C3FE9">
        <w:rPr>
          <w:lang w:val="en-GB"/>
        </w:rPr>
        <w:t xml:space="preserve"> electro</w:t>
      </w:r>
      <w:r w:rsidR="006621B1" w:rsidRPr="005C3FE9">
        <w:rPr>
          <w:lang w:val="en-GB"/>
        </w:rPr>
        <w:t>-</w:t>
      </w:r>
      <w:r w:rsidR="00C92F8B" w:rsidRPr="005C3FE9">
        <w:rPr>
          <w:lang w:val="en-GB"/>
        </w:rPr>
        <w:t>chemical energy storage</w:t>
      </w:r>
      <w:r w:rsidR="008E22E9" w:rsidRPr="005C3FE9">
        <w:rPr>
          <w:lang w:val="en-GB"/>
        </w:rPr>
        <w:t xml:space="preserve">; </w:t>
      </w:r>
      <w:r w:rsidR="00137E09" w:rsidRPr="005C3FE9">
        <w:rPr>
          <w:lang w:val="en-GB"/>
        </w:rPr>
        <w:t>ion</w:t>
      </w:r>
      <w:r w:rsidR="006F4AEE" w:rsidRPr="005C3FE9">
        <w:rPr>
          <w:lang w:val="en-GB"/>
        </w:rPr>
        <w:t>-</w:t>
      </w:r>
      <w:r w:rsidR="00137E09" w:rsidRPr="005C3FE9">
        <w:rPr>
          <w:lang w:val="en-GB"/>
        </w:rPr>
        <w:t>exchange membrane;</w:t>
      </w:r>
      <w:r w:rsidR="00B7711B" w:rsidRPr="005C3FE9">
        <w:rPr>
          <w:lang w:val="en-GB"/>
        </w:rPr>
        <w:t xml:space="preserve"> </w:t>
      </w:r>
      <w:r w:rsidR="000642C6">
        <w:rPr>
          <w:lang w:val="en-GB"/>
        </w:rPr>
        <w:t>flow</w:t>
      </w:r>
      <w:r w:rsidR="00C92F8B" w:rsidRPr="005C3FE9">
        <w:rPr>
          <w:lang w:val="en-GB"/>
        </w:rPr>
        <w:t xml:space="preserve"> battery</w:t>
      </w:r>
      <w:r w:rsidR="000D34B0" w:rsidRPr="005C3FE9">
        <w:rPr>
          <w:lang w:val="en-GB"/>
        </w:rPr>
        <w:t xml:space="preserve">; </w:t>
      </w:r>
      <w:r w:rsidR="00C92F8B" w:rsidRPr="005C3FE9">
        <w:rPr>
          <w:lang w:val="en-GB"/>
        </w:rPr>
        <w:t>optimization</w:t>
      </w:r>
      <w:r w:rsidR="000D34B0" w:rsidRPr="005C3FE9">
        <w:rPr>
          <w:lang w:val="en-GB"/>
        </w:rPr>
        <w:t>;</w:t>
      </w:r>
      <w:r w:rsidR="003F4022" w:rsidRPr="005C3FE9">
        <w:rPr>
          <w:lang w:val="en-GB"/>
        </w:rPr>
        <w:t xml:space="preserve"> </w:t>
      </w:r>
      <w:r w:rsidR="00C92F8B" w:rsidRPr="005C3FE9">
        <w:rPr>
          <w:lang w:val="en-GB"/>
        </w:rPr>
        <w:t xml:space="preserve">bipolar membrane </w:t>
      </w:r>
      <w:r w:rsidR="00831C17" w:rsidRPr="005C3FE9">
        <w:rPr>
          <w:lang w:val="en-GB"/>
        </w:rPr>
        <w:t xml:space="preserve">(reverse) </w:t>
      </w:r>
      <w:r w:rsidR="003F4022" w:rsidRPr="005C3FE9">
        <w:rPr>
          <w:lang w:val="en-GB"/>
        </w:rPr>
        <w:t>electrodialysis</w:t>
      </w:r>
      <w:r w:rsidR="00886E3E" w:rsidRPr="005C3FE9">
        <w:rPr>
          <w:lang w:val="en-GB"/>
        </w:rPr>
        <w:br w:type="page"/>
      </w:r>
    </w:p>
    <w:p w14:paraId="4FFEBC2F" w14:textId="77777777" w:rsidR="00CC6400" w:rsidRPr="005C3FE9" w:rsidRDefault="00CC6400" w:rsidP="00CE4FDA">
      <w:pPr>
        <w:pStyle w:val="Titolo1"/>
        <w:spacing w:beforeLines="120" w:before="288" w:afterLines="120" w:after="288"/>
      </w:pPr>
      <w:bookmarkStart w:id="1" w:name="_Toc58063776"/>
      <w:r w:rsidRPr="005C3FE9">
        <w:lastRenderedPageBreak/>
        <w:t>Introduction</w:t>
      </w:r>
      <w:bookmarkEnd w:id="1"/>
    </w:p>
    <w:p w14:paraId="196749A6" w14:textId="7C399081" w:rsidR="00786897" w:rsidRPr="005C3FE9" w:rsidRDefault="009253C8" w:rsidP="000D5249">
      <w:pPr>
        <w:rPr>
          <w:lang w:val="en-US" w:eastAsia="en-US"/>
        </w:rPr>
      </w:pPr>
      <w:r w:rsidRPr="005C3FE9">
        <w:rPr>
          <w:lang w:val="en-US" w:eastAsia="en-US"/>
        </w:rPr>
        <w:t>The energy sector is one of the key players t</w:t>
      </w:r>
      <w:r w:rsidR="007D6105" w:rsidRPr="005C3FE9">
        <w:rPr>
          <w:lang w:val="en-US" w:eastAsia="en-US"/>
        </w:rPr>
        <w:t xml:space="preserve">o address climate change by </w:t>
      </w:r>
      <w:proofErr w:type="spellStart"/>
      <w:r w:rsidR="007D6105" w:rsidRPr="005C3FE9">
        <w:rPr>
          <w:lang w:val="en-US" w:eastAsia="en-US"/>
        </w:rPr>
        <w:t>decarboni</w:t>
      </w:r>
      <w:r w:rsidR="008A0EAC">
        <w:rPr>
          <w:lang w:val="en-US" w:eastAsia="en-US"/>
        </w:rPr>
        <w:t>s</w:t>
      </w:r>
      <w:r w:rsidR="007D6105" w:rsidRPr="005C3FE9">
        <w:rPr>
          <w:lang w:val="en-US" w:eastAsia="en-US"/>
        </w:rPr>
        <w:t>ation</w:t>
      </w:r>
      <w:proofErr w:type="spellEnd"/>
      <w:r w:rsidR="007D6105" w:rsidRPr="005C3FE9">
        <w:rPr>
          <w:lang w:val="en-US" w:eastAsia="en-US"/>
        </w:rPr>
        <w:t xml:space="preserve"> strategies </w:t>
      </w:r>
      <w:r w:rsidR="007701AE" w:rsidRPr="005C3FE9">
        <w:rPr>
          <w:lang w:val="en-US" w:eastAsia="en-US"/>
        </w:rPr>
        <w:fldChar w:fldCharType="begin" w:fldLock="1"/>
      </w:r>
      <w:r w:rsidR="004B216F">
        <w:rPr>
          <w:lang w:val="en-US" w:eastAsia="en-US"/>
        </w:rPr>
        <w:instrText>ADDIN CSL_CITATION {"citationItems":[{"id":"ITEM-1","itemData":{"author":[{"dropping-particle":"","family":"IEA","given":"","non-dropping-particle":"","parse-names":false,"suffix":""}],"container-title":"2021","id":"ITEM-1","issued":{"date-parts":[["0"]]},"title":"Global Energy Review 2021","type":"webpage"},"uris":["http://www.mendeley.com/documents/?uuid=ef744733-4569-4d23-b96f-0f1bbdd6820f","http://www.mendeley.com/documents/?uuid=07a2a9ad-8932-4854-a667-9f50b3bc5fc8","http://www.mendeley.com/documents/?uuid=bb9c1bf2-8a6e-45c1-9997-fb3f6ca624f4"]}],"mendeley":{"formattedCitation":"[1]","plainTextFormattedCitation":"[1]","previouslyFormattedCitation":"[1]"},"properties":{"noteIndex":0},"schema":"https://github.com/citation-style-language/schema/raw/master/csl-citation.json"}</w:instrText>
      </w:r>
      <w:r w:rsidR="007701AE" w:rsidRPr="005C3FE9">
        <w:rPr>
          <w:lang w:val="en-US" w:eastAsia="en-US"/>
        </w:rPr>
        <w:fldChar w:fldCharType="separate"/>
      </w:r>
      <w:r w:rsidR="007701AE" w:rsidRPr="005C3FE9">
        <w:rPr>
          <w:noProof/>
          <w:lang w:val="en-US" w:eastAsia="en-US"/>
        </w:rPr>
        <w:t>[1]</w:t>
      </w:r>
      <w:r w:rsidR="007701AE" w:rsidRPr="005C3FE9">
        <w:rPr>
          <w:lang w:val="en-US" w:eastAsia="en-US"/>
        </w:rPr>
        <w:fldChar w:fldCharType="end"/>
      </w:r>
      <w:r w:rsidR="007D6105" w:rsidRPr="005C3FE9">
        <w:rPr>
          <w:lang w:val="en-US" w:eastAsia="en-US"/>
        </w:rPr>
        <w:t xml:space="preserve">. </w:t>
      </w:r>
      <w:r w:rsidRPr="005C3FE9">
        <w:rPr>
          <w:lang w:val="en-US" w:eastAsia="en-US"/>
        </w:rPr>
        <w:t>The development and spread of technologies based on r</w:t>
      </w:r>
      <w:r w:rsidR="007D6105" w:rsidRPr="005C3FE9">
        <w:rPr>
          <w:lang w:val="en-US" w:eastAsia="en-US"/>
        </w:rPr>
        <w:t xml:space="preserve">enewable energy sources are important </w:t>
      </w:r>
      <w:r w:rsidR="00CE65C4" w:rsidRPr="005C3FE9">
        <w:rPr>
          <w:lang w:val="en-US" w:eastAsia="en-US"/>
        </w:rPr>
        <w:t>in this sense</w:t>
      </w:r>
      <w:r w:rsidR="007D6105" w:rsidRPr="005C3FE9">
        <w:rPr>
          <w:lang w:val="en-US" w:eastAsia="en-US"/>
        </w:rPr>
        <w:t xml:space="preserve">. However, </w:t>
      </w:r>
      <w:r w:rsidR="007E682C" w:rsidRPr="005C3FE9">
        <w:rPr>
          <w:lang w:val="en-US" w:eastAsia="en-US"/>
        </w:rPr>
        <w:t xml:space="preserve">the mismatch between </w:t>
      </w:r>
      <w:r w:rsidR="007D6105" w:rsidRPr="005C3FE9">
        <w:rPr>
          <w:lang w:val="en-US" w:eastAsia="en-US"/>
        </w:rPr>
        <w:t xml:space="preserve">power generation and consumption is a </w:t>
      </w:r>
      <w:r w:rsidR="007E682C" w:rsidRPr="005C3FE9">
        <w:rPr>
          <w:lang w:val="en-US" w:eastAsia="en-US"/>
        </w:rPr>
        <w:t>major issue</w:t>
      </w:r>
      <w:r w:rsidR="007D6105" w:rsidRPr="005C3FE9">
        <w:rPr>
          <w:lang w:val="en-US" w:eastAsia="en-US"/>
        </w:rPr>
        <w:t xml:space="preserve"> for </w:t>
      </w:r>
      <w:r w:rsidR="00C0364B" w:rsidRPr="005C3FE9">
        <w:rPr>
          <w:lang w:val="en-US" w:eastAsia="en-US"/>
        </w:rPr>
        <w:t>renewable</w:t>
      </w:r>
      <w:r w:rsidR="00C0364B">
        <w:rPr>
          <w:lang w:val="en-US" w:eastAsia="en-US"/>
        </w:rPr>
        <w:t xml:space="preserve"> sources</w:t>
      </w:r>
      <w:r w:rsidR="00C0364B" w:rsidRPr="005C3FE9">
        <w:rPr>
          <w:lang w:val="en-US" w:eastAsia="en-US"/>
        </w:rPr>
        <w:t xml:space="preserve"> </w:t>
      </w:r>
      <w:r w:rsidR="007D6105" w:rsidRPr="005C3FE9">
        <w:rPr>
          <w:lang w:val="en-US" w:eastAsia="en-US"/>
        </w:rPr>
        <w:t>such as solar and wind</w:t>
      </w:r>
      <w:r w:rsidR="00DE6FFE" w:rsidRPr="005C3FE9">
        <w:rPr>
          <w:lang w:val="en-US" w:eastAsia="en-US"/>
        </w:rPr>
        <w:t xml:space="preserve"> </w:t>
      </w:r>
      <w:r w:rsidR="00DE6FFE" w:rsidRPr="005C3FE9">
        <w:rPr>
          <w:lang w:val="en-US" w:eastAsia="en-US"/>
        </w:rPr>
        <w:fldChar w:fldCharType="begin" w:fldLock="1"/>
      </w:r>
      <w:r w:rsidR="00227EFE">
        <w:rPr>
          <w:lang w:val="en-US" w:eastAsia="en-US"/>
        </w:rPr>
        <w:instrText>ADDIN CSL_CITATION {"citationItems":[{"id":"ITEM-1","itemData":{"DOI":"10.1016/j.est.2020.101198","ISSN":"2352152X","abstract":"Intermittency and unpredictability of variable renewable energy sources, as well as the mismatch between generation and users’ demand, are the major hurdles to overcome looking at 100% renewable grids. Energy storage (ES) technologies are the answer to this question, yet high market costs are still compared to market parity. For the possibility to decouple capacity and power, hence tailoring the energy storage features according to the main functions required, the solutions investigated are based on Vanadium Redox Flow Batteries (VRFBs) and Reversible Solid Oxide Cells (rSOC). In low interconnected micro-grids, the decoupled sizing of capacity and power is an essential feature to attain higher cost-effectiveness. Current metrics for the economics of renewable energy storage fail to a large extent in assessing the value of stored energy, especially when the power source is scarcely predictable. This paper presents improved techno-economic metrics to compare high capacity-to-power ES technologies for renewable-based micro-grids. The new metrics synthetically translates energy efficiency and quality of system integration into monetary terms, going beyond the classic definition of Levelized Cost of Electricity (LCOE). Then, they provide a tool to understand where the main causes of payback deferral stand. For the case-study analysed, different storage assets (VRFB, rSOC and hybrid rSOC) for installations in households featuring 25 kWh bulk capacity and 1.5 kW discharging power are evaluated. The LCOE is equal to 0.438€‧kWh−1, 0.739€‧kWh−1 and 0.769€‧kWh−1 for VRFB, rSOC and hybrid rSOC respectively. Yet, considering the unit of stored energy, the hybrid rSOC storage system is more convenient than the basic rSOC (2.05€‧kWh−1 versus 2.61€‧kWh−1), but far less cheap than VRFBs (0.560€‧kWh−1).","author":[{"dropping-particle":"","family":"Baldinelli","given":"Arianna","non-dropping-particle":"","parse-names":false,"suffix":""},{"dropping-particle":"","family":"Barelli","given":"Linda","non-dropping-particle":"","parse-names":false,"suffix":""},{"dropping-particle":"","family":"Bidini","given":"Gianni","non-dropping-particle":"","parse-names":false,"suffix":""},{"dropping-particle":"","family":"Discepoli","given":"Gabriele","non-dropping-particle":"","parse-names":false,"suffix":""}],"container-title":"Journal of Energy Storage","id":"ITEM-1","issued":{"date-parts":[["2020","4"]]},"page":"101198","title":"Economics of innovative high capacity-to-power energy storage technologies pointing at 100% renewable micro-grids","type":"article-journal","volume":"28"},"uris":["http://www.mendeley.com/documents/?uuid=790de326-e243-44b1-ad23-212de26d1b1f","http://www.mendeley.com/documents/?uuid=dad307c3-c0ef-4dbe-b706-762f1e87fee9"]}],"mendeley":{"formattedCitation":"[2]","plainTextFormattedCitation":"[2]","previouslyFormattedCitation":"[2]"},"properties":{"noteIndex":0},"schema":"https://github.com/citation-style-language/schema/raw/master/csl-citation.json"}</w:instrText>
      </w:r>
      <w:r w:rsidR="00DE6FFE" w:rsidRPr="005C3FE9">
        <w:rPr>
          <w:lang w:val="en-US" w:eastAsia="en-US"/>
        </w:rPr>
        <w:fldChar w:fldCharType="separate"/>
      </w:r>
      <w:r w:rsidR="00DE6FFE" w:rsidRPr="005C3FE9">
        <w:rPr>
          <w:noProof/>
          <w:lang w:val="en-US" w:eastAsia="en-US"/>
        </w:rPr>
        <w:t>[2]</w:t>
      </w:r>
      <w:r w:rsidR="00DE6FFE" w:rsidRPr="005C3FE9">
        <w:rPr>
          <w:lang w:val="en-US" w:eastAsia="en-US"/>
        </w:rPr>
        <w:fldChar w:fldCharType="end"/>
      </w:r>
      <w:r w:rsidR="007D6105" w:rsidRPr="005C3FE9">
        <w:rPr>
          <w:lang w:val="en-US" w:eastAsia="en-US"/>
        </w:rPr>
        <w:t xml:space="preserve">. </w:t>
      </w:r>
      <w:r w:rsidR="00C0364B">
        <w:rPr>
          <w:lang w:val="en-US" w:eastAsia="en-US"/>
        </w:rPr>
        <w:t>E</w:t>
      </w:r>
      <w:r w:rsidR="007D6105" w:rsidRPr="005C3FE9">
        <w:rPr>
          <w:lang w:val="en-US" w:eastAsia="en-US"/>
        </w:rPr>
        <w:t xml:space="preserve">nergy storage systems are </w:t>
      </w:r>
      <w:r w:rsidR="00C0364B">
        <w:rPr>
          <w:lang w:val="en-US" w:eastAsia="en-US"/>
        </w:rPr>
        <w:t>essential to tackle this issue</w:t>
      </w:r>
      <w:r w:rsidR="007E682C" w:rsidRPr="005C3FE9">
        <w:rPr>
          <w:lang w:val="en-US" w:eastAsia="en-US"/>
        </w:rPr>
        <w:t>. Moreover,</w:t>
      </w:r>
      <w:r w:rsidR="007D6105" w:rsidRPr="005C3FE9">
        <w:rPr>
          <w:lang w:val="en-US" w:eastAsia="en-US"/>
        </w:rPr>
        <w:t xml:space="preserve"> </w:t>
      </w:r>
      <w:r w:rsidR="007E682C" w:rsidRPr="005C3FE9">
        <w:rPr>
          <w:lang w:val="en-US" w:eastAsia="en-US"/>
        </w:rPr>
        <w:t xml:space="preserve">they act </w:t>
      </w:r>
      <w:r w:rsidR="007D6105" w:rsidRPr="005C3FE9">
        <w:rPr>
          <w:lang w:val="en-US" w:eastAsia="en-US"/>
        </w:rPr>
        <w:t xml:space="preserve">for grid </w:t>
      </w:r>
      <w:proofErr w:type="spellStart"/>
      <w:r w:rsidR="007D6105" w:rsidRPr="005C3FE9">
        <w:rPr>
          <w:lang w:val="en-US" w:eastAsia="en-US"/>
        </w:rPr>
        <w:t>stabili</w:t>
      </w:r>
      <w:r w:rsidR="008A0EAC">
        <w:rPr>
          <w:lang w:val="en-US" w:eastAsia="en-US"/>
        </w:rPr>
        <w:t>s</w:t>
      </w:r>
      <w:r w:rsidR="007D6105" w:rsidRPr="005C3FE9">
        <w:rPr>
          <w:lang w:val="en-US" w:eastAsia="en-US"/>
        </w:rPr>
        <w:t>ation</w:t>
      </w:r>
      <w:proofErr w:type="spellEnd"/>
      <w:r w:rsidR="007D6105" w:rsidRPr="005C3FE9">
        <w:rPr>
          <w:lang w:val="en-US" w:eastAsia="en-US"/>
        </w:rPr>
        <w:t xml:space="preserve"> and rapid response to demand. Effective systems should be MWh scalable, safe, environmentally friendly, robust, cost-effective, and independent of location. </w:t>
      </w:r>
      <w:r w:rsidR="005D0147" w:rsidRPr="005C3FE9">
        <w:rPr>
          <w:lang w:val="en-US" w:eastAsia="en-US"/>
        </w:rPr>
        <w:t>Different</w:t>
      </w:r>
      <w:r w:rsidR="007D6105" w:rsidRPr="005C3FE9">
        <w:rPr>
          <w:lang w:val="en-US" w:eastAsia="en-US"/>
        </w:rPr>
        <w:t xml:space="preserve"> technologies </w:t>
      </w:r>
      <w:r w:rsidR="005D0147" w:rsidRPr="005C3FE9">
        <w:rPr>
          <w:lang w:val="en-US" w:eastAsia="en-US"/>
        </w:rPr>
        <w:t>have been proposed, and</w:t>
      </w:r>
      <w:r w:rsidR="007D6105" w:rsidRPr="005C3FE9">
        <w:rPr>
          <w:lang w:val="en-US" w:eastAsia="en-US"/>
        </w:rPr>
        <w:t xml:space="preserve"> </w:t>
      </w:r>
      <w:r w:rsidR="005D0147" w:rsidRPr="005C3FE9">
        <w:rPr>
          <w:lang w:val="en-US" w:eastAsia="en-US"/>
        </w:rPr>
        <w:t>among them</w:t>
      </w:r>
      <w:r w:rsidR="007D6105" w:rsidRPr="005C3FE9">
        <w:rPr>
          <w:lang w:val="en-US" w:eastAsia="en-US"/>
        </w:rPr>
        <w:t xml:space="preserve">, flow batteries store energy in </w:t>
      </w:r>
      <w:r w:rsidR="005D0147" w:rsidRPr="005C3FE9">
        <w:rPr>
          <w:lang w:val="en-US" w:eastAsia="en-US"/>
        </w:rPr>
        <w:t>the form of</w:t>
      </w:r>
      <w:r w:rsidR="007D6105" w:rsidRPr="005C3FE9">
        <w:rPr>
          <w:lang w:val="en-US" w:eastAsia="en-US"/>
        </w:rPr>
        <w:t xml:space="preserve"> electrolyte solution</w:t>
      </w:r>
      <w:r w:rsidR="005D0147" w:rsidRPr="005C3FE9">
        <w:rPr>
          <w:lang w:val="en-US" w:eastAsia="en-US"/>
        </w:rPr>
        <w:t>s</w:t>
      </w:r>
      <w:r w:rsidR="004319C3">
        <w:rPr>
          <w:lang w:val="en-US" w:eastAsia="en-US"/>
        </w:rPr>
        <w:t xml:space="preserve"> </w:t>
      </w:r>
      <w:r w:rsidR="004B216F">
        <w:rPr>
          <w:lang w:val="en-US" w:eastAsia="en-US"/>
        </w:rPr>
        <w:fldChar w:fldCharType="begin" w:fldLock="1"/>
      </w:r>
      <w:r w:rsidR="00E77EC7">
        <w:rPr>
          <w:lang w:val="en-US" w:eastAsia="en-US"/>
        </w:rPr>
        <w:instrText xml:space="preserve">ADDIN CSL_CITATION {"citationItems":[{"id":"ITEM-1","itemData":{"DOI":"10.1016/j.jechem.2020.05.056","ISSN":"20954956","abstract":"Aqueous Zn-ion battery (AZIB) has become an attractive technology because of its unique features of low cost, high safety and the eco-friendliness. MnO2 is the model cathode material for AZIB since the first report on reversible Zn-MnO2 battery, but recent studies have unveiled different charge storage mechanisms. Due to revamping of the electrochemistry and redesigning of the electrolyte and interface, there is tremendous performance enhancement in AZIB. This mini Review will first give a brief introduction of ZIB, including fundamentals of materials and components, and the progress in recent years. Then, a general classification of working mechanisms related to MnO2 in neutral and mildly acidic electrolyte is elaborated. Our focus is put on the recent blossoming Zn-MnO2 electrolytic mechanism, which has given birth to the Zn-MnO2 redox flow batteries that are highly promising for large-scale static energy storage.","author":[{"dropping-particle":"","family":"Xue","given":"Tong","non-dropping-particle":"","parse-names":false,"suffix":""},{"dropping-particle":"","family":"Fan","given":"Hong Jin","non-dropping-particle":"","parse-names":false,"suffix":""}],"container-title":"Journal of Energy Chemistry","id":"ITEM-1","issued":{"date-parts":[["2021","3","1"]]},"page":"194-201","publisher":"Elsevier","title":"From aqueous Zn-ion battery to Zn-MnO2 flow battery: A brief story","type":"article-journal","volume":"54"},"uris":["http://www.mendeley.com/documents/?uuid=32dcd740-4e79-3bd0-a77d-f4ceb0f9ed10"]},{"id":"ITEM-2","itemData":{"DOI":"10.1016/j.jechem.2020.09.001","ISSN":"20954956","abstract":"A protic ionic liquid is designed and implemented for the first time as a solvent for a high energy density vanadium redox flow battery. Despite being less conductive than standard aqueous electrolytes, it is thermally stable on a 100 °C temperature window, chemically stable for at least 60 days, equally viscous and dense with typical aqueous solvents and most importantly able to solubilize to 6 mol L-1 vanadium sulfate, thus increasing the VRFB energy density by a factor of 2.5. Electrochemical measurements revealed quasi-reversible redox transitions for both catholyte and anolyte at 25 °C while a proof-of-concept redox flow cell with the proposed electrolyte was tested for a total of 150 cycles at 25 °C, showing an open circuit potential of 1.39 V and energy and coulombic efficiencies of 65% and 93%, respectively. What's more, the battery can be equally cycled at 45 °C showing good thermal stability. This study underlines a new route to improve the energy-to-volume ratio of promising energy storage system.","author":[{"dropping-particle":"","family":"Nikiforidis","given":"Georgios","non-dropping-particle":"","parse-names":false,"suffix":""},{"dropping-particle":"","family":"Belhcen","given":"Amal","non-dropping-particle":"","parse-names":false,"suffix":""},{"dropping-particle":"","family":"Anouti","given":"Mérièm","non-dropping-particle":"","parse-names":false,"suffix":""}],"container-title":"Journal of Energy Chemistry","id":"ITEM-2","issued":{"date-parts":[["2021","6","1"]]},"page":"238-246","publisher":"Elsevier","title":"A highly concentrated vanadium protic ionic liquid electrolyte for the vanadium redox flow battery","type":"article-journal","volume":"57"},"uris":["http://www.mendeley.com/documents/?uuid=e5560a4c-940f-3cf9-af22-60d2477c0fad"]},{"id":"ITEM-3","itemData":{"DOI":"10.1016/j.jechem.2022.06.041","ISSN":"20954956","abstract":"Long duration energy storage (LDES) technologies are vital for wide utilization of renewable energy sources and increasing the penetration of these technologies within energy infrastructures. Herein, we propose a low-cost alkaline all-iron flow battery by coupling ferri/ferro-cyanide redox couple with ferric/ferrous-gluconate complexes redox couple. The designed all-iron flow battery demonstrates a coulombic efficiency of above 99% and an energy efficiency of </w:instrText>
      </w:r>
      <w:r w:rsidR="00E77EC7">
        <w:rPr>
          <w:rFonts w:ascii="Cambria Math" w:hAnsi="Cambria Math" w:cs="Cambria Math"/>
          <w:lang w:val="en-US" w:eastAsia="en-US"/>
        </w:rPr>
        <w:instrText>∼</w:instrText>
      </w:r>
      <w:r w:rsidR="00E77EC7">
        <w:rPr>
          <w:lang w:val="en-US" w:eastAsia="en-US"/>
        </w:rPr>
        <w:instrText xml:space="preserve">83% at a current density of 80 mA cm−2, which can continuously run for more than 950 cycles. Most importantly, the battery demonstrates a coulombic efficiency of more than 99.0% and an energy efficiency of </w:instrText>
      </w:r>
      <w:r w:rsidR="00E77EC7">
        <w:rPr>
          <w:rFonts w:ascii="Cambria Math" w:hAnsi="Cambria Math" w:cs="Cambria Math"/>
          <w:lang w:val="en-US" w:eastAsia="en-US"/>
        </w:rPr>
        <w:instrText>∼</w:instrText>
      </w:r>
      <w:r w:rsidR="00E77EC7">
        <w:rPr>
          <w:lang w:val="en-US" w:eastAsia="en-US"/>
        </w:rPr>
        <w:instrText>83% for a long duration (</w:instrText>
      </w:r>
      <w:r w:rsidR="00E77EC7">
        <w:rPr>
          <w:rFonts w:ascii="Cambria Math" w:hAnsi="Cambria Math" w:cs="Cambria Math"/>
          <w:lang w:val="en-US" w:eastAsia="en-US"/>
        </w:rPr>
        <w:instrText>∼</w:instrText>
      </w:r>
      <w:r w:rsidR="00E77EC7">
        <w:rPr>
          <w:lang w:val="en-US" w:eastAsia="en-US"/>
        </w:rPr>
        <w:instrText>12, 16 and 20 h per cycle) charge/discharge process. Benefiting from the low cost of iron electrolytes, the overall cost of the all-iron flow battery system can be reached as low as $76.11 per kWh based on a 10 h system with a power of 9.9 kW. This work provides a new option for next-generation cost-effective flow batteries for long duration large scale energy storage.","author":[{"dropping-particle":"","family":"Liu","given":"Xiaoqi","non-dropping-particle":"","parse-names":false,"suffix":""},{"dropping-particle":"","family":"Li","given":"Tianyu","non-dropping-particle":"","parse-names":false,"suffix":""},{"dropping-particle":"","family":"Yuan","given":"Zhizhang","non-dropping-particle":"","parse-names":false,"suffix":""},{"dropping-particle":"","family":"Li","given":"Xianfeng","non-dropping-particle":"","parse-names":false,"suffix":""}],"container-title":"Journal of Energy Chemistry","id":"ITEM-3","issued":{"date-parts":[["2022","10","1"]]},"page":"445-451","publisher":"Elsevier","title":"Low-cost all-iron flow battery with high performance towards long-duration energy storage","type":"article-journal","volume":"73"},"uris":["http://www.mendeley.com/documents/?uuid=8bca2703-9eb7-3a0f-8eb0-4ca5ffbb17d4"]},{"id":"ITEM-4","itemData":{"DOI":"10.1016/j.jechem.2021.10.037","ISSN":"20954956","abstract":"For flow batteries (FBs), the current technologies are still expensive and have relatively low energy density, which limits their large-scale applications. Organic FBs (OFBs) which employ organic molecules as redox-active materials have been considered as one of the promising technologies for achieving low-cost and high-performance. Herein, we present a critical overview of the progress on the OFBs, including the design principles of key components (redox-active molecules, membranes, and electrodes) and the latest achievement in both aqueous and nonaqueous systems. Finally, future directions in explorations of the high-performance OFB for electrochemical energy storage are also highlighted.","author":[{"dropping-particle":"","family":"Zhao","given":"Ziming","non-dropping-particle":"","parse-names":false,"suffix":""},{"dropping-particle":"","family":"Zhang","given":"Changkun","non-dropping-particle":"","parse-names":false,"suffix":""},{"dropping-particle":"","family":"Li","given":"Xianfeng","non-dropping-particle":"","parse-names":false,"suffix":""}],"container-title":"Journal of Energy Chemistry","id":"ITEM-4","issued":{"date-parts":[["2022","4","1"]]},"page":"621-639","publisher":"Elsevier","title":"Opportunities and challenges of organic flow battery for electrochemical energy storage technology","type":"article-journal","volume":"67"},"uris":["http://www.mendeley.com/documents/?uuid=f7e2816c-46e1-3948-b78a-24ea9396a2be"]}],"mendeley":{"formattedCitation":"[3–6]","plainTextFormattedCitation":"[3–6]","previouslyFormattedCitation":"[3–6]"},"properties":{"noteIndex":0},"schema":"https://github.com/citation-style-language/schema/raw/master/csl-citation.json"}</w:instrText>
      </w:r>
      <w:r w:rsidR="004B216F">
        <w:rPr>
          <w:lang w:val="en-US" w:eastAsia="en-US"/>
        </w:rPr>
        <w:fldChar w:fldCharType="separate"/>
      </w:r>
      <w:r w:rsidR="004319C3" w:rsidRPr="004319C3">
        <w:rPr>
          <w:noProof/>
          <w:lang w:val="en-US" w:eastAsia="en-US"/>
        </w:rPr>
        <w:t>[3–6]</w:t>
      </w:r>
      <w:r w:rsidR="004B216F">
        <w:rPr>
          <w:lang w:val="en-US" w:eastAsia="en-US"/>
        </w:rPr>
        <w:fldChar w:fldCharType="end"/>
      </w:r>
      <w:r w:rsidR="004319C3">
        <w:rPr>
          <w:lang w:val="en-US" w:eastAsia="en-US"/>
        </w:rPr>
        <w:t>.</w:t>
      </w:r>
      <w:r w:rsidR="007D6105" w:rsidRPr="005C3FE9">
        <w:rPr>
          <w:lang w:val="en-US" w:eastAsia="en-US"/>
        </w:rPr>
        <w:t xml:space="preserve"> </w:t>
      </w:r>
      <w:r w:rsidR="00DC0209" w:rsidRPr="005C3FE9">
        <w:rPr>
          <w:lang w:val="en-US" w:eastAsia="en-US"/>
        </w:rPr>
        <w:t>Within this innovative group, Acid-Base flow batteries meet all the above</w:t>
      </w:r>
      <w:r w:rsidR="00051381" w:rsidRPr="005C3FE9">
        <w:rPr>
          <w:lang w:val="en-US" w:eastAsia="en-US"/>
        </w:rPr>
        <w:t>-</w:t>
      </w:r>
      <w:r w:rsidR="00DC0209" w:rsidRPr="005C3FE9">
        <w:rPr>
          <w:lang w:val="en-US" w:eastAsia="en-US"/>
        </w:rPr>
        <w:t>mentioned requirements, fit well with modern smart grids, and have high performance. The working principle of AB-FB</w:t>
      </w:r>
      <w:r w:rsidR="006E7A60" w:rsidRPr="005C3FE9">
        <w:rPr>
          <w:lang w:val="en-US" w:eastAsia="en-US"/>
        </w:rPr>
        <w:t>s</w:t>
      </w:r>
      <w:r w:rsidR="00DC0209" w:rsidRPr="005C3FE9">
        <w:rPr>
          <w:lang w:val="en-US" w:eastAsia="en-US"/>
        </w:rPr>
        <w:t xml:space="preserve"> is related to the water dissociation reaction that occurs in the interlayer of the battery's bipolar membranes</w:t>
      </w:r>
      <w:r w:rsidR="00DE6FFE" w:rsidRPr="005C3FE9">
        <w:rPr>
          <w:lang w:val="en-US" w:eastAsia="en-US"/>
        </w:rPr>
        <w:t xml:space="preserve"> </w:t>
      </w:r>
      <w:r w:rsidR="00DE6FFE" w:rsidRPr="005C3FE9">
        <w:rPr>
          <w:lang w:val="en-US" w:eastAsia="en-US"/>
        </w:rPr>
        <w:fldChar w:fldCharType="begin" w:fldLock="1"/>
      </w:r>
      <w:r w:rsidR="00E77EC7">
        <w:rPr>
          <w:lang w:val="en-US" w:eastAsia="en-US"/>
        </w:rPr>
        <w:instrText>ADDIN CSL_CITATION {"citationItems":[{"id":"ITEM-1","itemData":{"DOI":"10.1002/er.3941","ISSN":"0363907X","abstract":"An increasing fraction of energy is generated by intermittent sources such as wind and sun. A straightforward solution to keep the electricity grid reliable is the connection of large‐scale electricity storage to this grid. Current battery storage technologies, while providing promising energy and power densities, suffer from a large environmental footprint, safety issues, and technological challenges. In this paper, the acid base flow battery is re‐established as an envi- ronmental friendly means of storing electricity using electrolyte consisting of NaCl salt. To achieve a high specific energy, we have performed charge and dis- charge cycles over the entire pH range (0–14) at several current densities. We demonstrate stable performance at high energy density (2.9 Wh L−1). Main energy dissipation occurs by unwanted proton and hydroxyl ion transport and leads to low coulombic efficiencies (13%–27%).","author":[{"dropping-particle":"","family":"Egmond","given":"W. J.","non-dropping-particle":"van","parse-names":false,"suffix":""},{"dropping-particle":"","family":"Saakes","given":"M.","non-dropping-particle":"","parse-names":false,"suffix":""},{"dropping-particle":"","family":"Noor","given":"I.","non-dropping-particle":"","parse-names":false,"suffix":""},{"dropping-particle":"","family":"Porada","given":"S.","non-dropping-particle":"","parse-names":false,"suffix":""},{"dropping-particle":"","family":"Buisman","given":"C. J. N.","non-dropping-particle":"","parse-names":false,"suffix":""},{"dropping-particle":"","family":"Hamelers","given":"H.V.M.","non-dropping-particle":"","parse-names":false,"suffix":""}],"container-title":"International Journal of Energy Research","id":"ITEM-1","issue":"4","issued":{"date-parts":[["2018","3","25"]]},"page":"1524-1535","title":"Performance of an environmentally benign acid base flow battery at high energy density","type":"article-journal","volume":"42"},"uris":["http://www.mendeley.com/documents/?uuid=65c69b58-b182-3c03-b037-15c91d33a8c8"]}],"mendeley":{"formattedCitation":"[7]","plainTextFormattedCitation":"[7]","previouslyFormattedCitation":"[7]"},"properties":{"noteIndex":0},"schema":"https://github.com/citation-style-language/schema/raw/master/csl-citation.json"}</w:instrText>
      </w:r>
      <w:r w:rsidR="00DE6FFE" w:rsidRPr="005C3FE9">
        <w:rPr>
          <w:lang w:val="en-US" w:eastAsia="en-US"/>
        </w:rPr>
        <w:fldChar w:fldCharType="separate"/>
      </w:r>
      <w:r w:rsidR="004319C3" w:rsidRPr="004319C3">
        <w:rPr>
          <w:noProof/>
          <w:lang w:val="en-US" w:eastAsia="en-US"/>
        </w:rPr>
        <w:t>[7]</w:t>
      </w:r>
      <w:r w:rsidR="00DE6FFE" w:rsidRPr="005C3FE9">
        <w:rPr>
          <w:lang w:val="en-US" w:eastAsia="en-US"/>
        </w:rPr>
        <w:fldChar w:fldCharType="end"/>
      </w:r>
      <w:r w:rsidR="00DC0209" w:rsidRPr="005C3FE9">
        <w:rPr>
          <w:lang w:val="en-US" w:eastAsia="en-US"/>
        </w:rPr>
        <w:t>. The AB-FB combines two membrane processes</w:t>
      </w:r>
      <w:r w:rsidR="006E7A60" w:rsidRPr="005C3FE9">
        <w:rPr>
          <w:lang w:val="en-US" w:eastAsia="en-US"/>
        </w:rPr>
        <w:t>,</w:t>
      </w:r>
      <w:r w:rsidR="00DC0209" w:rsidRPr="005C3FE9">
        <w:rPr>
          <w:lang w:val="en-US" w:eastAsia="en-US"/>
        </w:rPr>
        <w:t xml:space="preserve"> </w:t>
      </w:r>
      <w:r w:rsidR="006E7A60" w:rsidRPr="005C3FE9">
        <w:rPr>
          <w:lang w:val="en-US" w:eastAsia="en-US"/>
        </w:rPr>
        <w:t>namely</w:t>
      </w:r>
      <w:r w:rsidR="00DC0209" w:rsidRPr="005C3FE9">
        <w:rPr>
          <w:lang w:val="en-US" w:eastAsia="en-US"/>
        </w:rPr>
        <w:t xml:space="preserve"> Bipolar Membrane Electrodialysis</w:t>
      </w:r>
      <w:r w:rsidR="00557FFC" w:rsidRPr="005C3FE9">
        <w:rPr>
          <w:lang w:val="en-US" w:eastAsia="en-US"/>
        </w:rPr>
        <w:t xml:space="preserve"> (BMED)</w:t>
      </w:r>
      <w:r w:rsidR="00DC0209" w:rsidRPr="005C3FE9">
        <w:rPr>
          <w:lang w:val="en-US" w:eastAsia="en-US"/>
        </w:rPr>
        <w:t xml:space="preserve"> during the charge phase</w:t>
      </w:r>
      <w:r w:rsidR="006E7A60" w:rsidRPr="005C3FE9">
        <w:rPr>
          <w:lang w:val="en-US" w:eastAsia="en-US"/>
        </w:rPr>
        <w:t>,</w:t>
      </w:r>
      <w:r w:rsidR="00DC0209" w:rsidRPr="005C3FE9">
        <w:rPr>
          <w:lang w:val="en-US" w:eastAsia="en-US"/>
        </w:rPr>
        <w:t xml:space="preserve"> and Bipolar Membrane Reverse Electrodialysis</w:t>
      </w:r>
      <w:r w:rsidR="00557FFC" w:rsidRPr="005C3FE9">
        <w:rPr>
          <w:lang w:val="en-US" w:eastAsia="en-US"/>
        </w:rPr>
        <w:t xml:space="preserve"> (BMRED)</w:t>
      </w:r>
      <w:r w:rsidR="00DC0209" w:rsidRPr="005C3FE9">
        <w:rPr>
          <w:lang w:val="en-US" w:eastAsia="en-US"/>
        </w:rPr>
        <w:t xml:space="preserve"> during the discharge phase</w:t>
      </w:r>
      <w:r w:rsidR="00DE6FFE" w:rsidRPr="005C3FE9">
        <w:rPr>
          <w:lang w:val="en-US" w:eastAsia="en-US"/>
        </w:rPr>
        <w:t xml:space="preserve"> </w:t>
      </w:r>
      <w:r w:rsidR="00DE6FFE" w:rsidRPr="005C3FE9">
        <w:rPr>
          <w:lang w:val="en-US" w:eastAsia="en-US"/>
        </w:rPr>
        <w:fldChar w:fldCharType="begin" w:fldLock="1"/>
      </w:r>
      <w:r w:rsidR="00E77EC7">
        <w:rPr>
          <w:lang w:val="en-US" w:eastAsia="en-US"/>
        </w:rPr>
        <w:instrText>ADDIN CSL_CITATION {"citationItems":[{"id":"ITEM-1","itemData":{"DOI":"10.1016/j.apenergy.2020.115576","ISSN":"03062619","abstract":"Electrical energy storage can enhance the efficiency in the use of fluctuating renewable sources, e.g. solar and wind energy. The Acid/Base Flow Battery is an innovative and sustainable process to store electrical energy in the form of pH and salinity gradients via electrodialytic reversible techniques. Two electromembrane processes are involved: Bipolar Membrane Electrodialysis during the charge phase and its opposite, Bipolar Membrane Reverse Electrodialysis, during the discharge phase. For the first time, the present work aims at predicting the performance of this energy storage device via the development of a dynamic mathematical model based on a multi-scale approach with distributed parameters. Four models, each one at a different scale, are fully integrated in a comprehensive process simulator. The model was preliminary validated by a comparison with experimental data and a good agreement was found. A sensitivity analysis was performed to identify the most detrimental phenomena. Results indicate a loss of 25–35% of Round Trip Efficiency caused by parasitic currents in the manifolds. Therefore, they may represent the main limit to the present technology performance in scaled-up stacks converting more power. Suitable geometries and operating conditions should be adopted to tackle this issue (e.g. isolated blocks), thus enhancing the battery Round Trip Efficiency.","author":[{"dropping-particle":"","family":"Culcasi","given":"Andrea","non-dropping-particle":"","parse-names":false,"suffix":""},{"dropping-particle":"","family":"Gurreri","given":"Luigi","non-dropping-particle":"","parse-names":false,"suffix":""},{"dropping-particle":"","family":"Zaffora","given":"Andrea","non-dropping-particle":"","parse-names":false,"suffix":""},{"dropping-particle":"","family":"Cosenza","given":"Alessandro","non-dropping-particle":"","parse-names":false,"suffix":""},{"dropping-particle":"","family":"Tamburini","given":"Alessandro","non-dropping-particle":"","parse-names":false,"suffix":""},{"dropping-particle":"","family":"Micale","given":"Giorgio","non-dropping-particle":"","parse-names":false,"suffix":""}],"container-title":"Applied Energy","id":"ITEM-1","issued":{"date-parts":[["2020","11","1"]]},"page":"115576","publisher":"Elsevier Ltd","title":"On the modelling of an Acid/Base Flow Battery: An innovative electrical energy storage device based on pH and salinity gradients","type":"article-journal","volume":"277"},"uris":["http://www.mendeley.com/documents/?uuid=d34f0740-e538-347e-bfb7-0024b366e26a"]}],"mendeley":{"formattedCitation":"[8]","plainTextFormattedCitation":"[8]","previouslyFormattedCitation":"[8]"},"properties":{"noteIndex":0},"schema":"https://github.com/citation-style-language/schema/raw/master/csl-citation.json"}</w:instrText>
      </w:r>
      <w:r w:rsidR="00DE6FFE" w:rsidRPr="005C3FE9">
        <w:rPr>
          <w:lang w:val="en-US" w:eastAsia="en-US"/>
        </w:rPr>
        <w:fldChar w:fldCharType="separate"/>
      </w:r>
      <w:r w:rsidR="004319C3" w:rsidRPr="004319C3">
        <w:rPr>
          <w:noProof/>
          <w:lang w:val="en-US" w:eastAsia="en-US"/>
        </w:rPr>
        <w:t>[8]</w:t>
      </w:r>
      <w:r w:rsidR="00DE6FFE" w:rsidRPr="005C3FE9">
        <w:rPr>
          <w:lang w:val="en-US" w:eastAsia="en-US"/>
        </w:rPr>
        <w:fldChar w:fldCharType="end"/>
      </w:r>
      <w:r w:rsidR="00491ACD" w:rsidRPr="005C3FE9">
        <w:rPr>
          <w:lang w:val="en-US" w:eastAsia="en-US"/>
        </w:rPr>
        <w:t xml:space="preserve"> (</w:t>
      </w:r>
      <w:r w:rsidR="004F1CE4" w:rsidRPr="005C3FE9">
        <w:rPr>
          <w:lang w:val="en-US" w:eastAsia="en-US"/>
        </w:rPr>
        <w:fldChar w:fldCharType="begin"/>
      </w:r>
      <w:r w:rsidR="004F1CE4" w:rsidRPr="005C3FE9">
        <w:rPr>
          <w:lang w:val="en-US" w:eastAsia="en-US"/>
        </w:rPr>
        <w:instrText xml:space="preserve"> REF _Ref107572299 \h </w:instrText>
      </w:r>
      <w:r w:rsidR="007E0D97" w:rsidRPr="005C3FE9">
        <w:rPr>
          <w:lang w:val="en-US" w:eastAsia="en-US"/>
        </w:rPr>
        <w:instrText xml:space="preserve"> \* MERGEFORMAT </w:instrText>
      </w:r>
      <w:r w:rsidR="004F1CE4" w:rsidRPr="005C3FE9">
        <w:rPr>
          <w:lang w:val="en-US" w:eastAsia="en-US"/>
        </w:rPr>
      </w:r>
      <w:r w:rsidR="004F1CE4" w:rsidRPr="005C3FE9">
        <w:rPr>
          <w:lang w:val="en-US" w:eastAsia="en-US"/>
        </w:rPr>
        <w:fldChar w:fldCharType="separate"/>
      </w:r>
      <w:r w:rsidR="004F1CE4" w:rsidRPr="005C3FE9">
        <w:t xml:space="preserve">Figure </w:t>
      </w:r>
      <w:r w:rsidR="004F1CE4" w:rsidRPr="005C3FE9">
        <w:rPr>
          <w:noProof/>
        </w:rPr>
        <w:t>1</w:t>
      </w:r>
      <w:r w:rsidR="004F1CE4" w:rsidRPr="005C3FE9">
        <w:rPr>
          <w:lang w:val="en-US" w:eastAsia="en-US"/>
        </w:rPr>
        <w:fldChar w:fldCharType="end"/>
      </w:r>
      <w:r w:rsidR="00491ACD" w:rsidRPr="005C3FE9">
        <w:rPr>
          <w:lang w:val="en-US" w:eastAsia="en-US"/>
        </w:rPr>
        <w:t>)</w:t>
      </w:r>
      <w:r w:rsidR="00DC0209" w:rsidRPr="005C3FE9">
        <w:rPr>
          <w:lang w:val="en-US" w:eastAsia="en-US"/>
        </w:rPr>
        <w:t xml:space="preserve">. </w:t>
      </w:r>
    </w:p>
    <w:p w14:paraId="6FFD44FF" w14:textId="0A68439F" w:rsidR="001145A1" w:rsidRPr="005C3FE9" w:rsidRDefault="00271EBD" w:rsidP="00271EBD">
      <w:pPr>
        <w:keepNext/>
        <w:jc w:val="center"/>
      </w:pPr>
      <w:r w:rsidRPr="00271EBD">
        <w:rPr>
          <w:noProof/>
        </w:rPr>
        <w:drawing>
          <wp:inline distT="0" distB="0" distL="0" distR="0" wp14:anchorId="764E1B43" wp14:editId="4725B033">
            <wp:extent cx="5303520" cy="3065562"/>
            <wp:effectExtent l="0" t="0" r="0" b="190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03520" cy="3065562"/>
                    </a:xfrm>
                    <a:prstGeom prst="rect">
                      <a:avLst/>
                    </a:prstGeom>
                    <a:noFill/>
                    <a:ln>
                      <a:noFill/>
                    </a:ln>
                  </pic:spPr>
                </pic:pic>
              </a:graphicData>
            </a:graphic>
          </wp:inline>
        </w:drawing>
      </w:r>
    </w:p>
    <w:p w14:paraId="3971D65C" w14:textId="6AE9DE96" w:rsidR="00786897" w:rsidRPr="005C3FE9" w:rsidRDefault="001145A1" w:rsidP="001145A1">
      <w:pPr>
        <w:pStyle w:val="Didascalia"/>
        <w:jc w:val="both"/>
      </w:pPr>
      <w:bookmarkStart w:id="2" w:name="_Ref107572299"/>
      <w:r w:rsidRPr="005C3FE9">
        <w:t xml:space="preserve">Figure </w:t>
      </w:r>
      <w:r w:rsidRPr="005C3FE9">
        <w:fldChar w:fldCharType="begin"/>
      </w:r>
      <w:r w:rsidRPr="005C3FE9">
        <w:instrText xml:space="preserve"> SEQ Figure \* ARABIC </w:instrText>
      </w:r>
      <w:r w:rsidRPr="005C3FE9">
        <w:fldChar w:fldCharType="separate"/>
      </w:r>
      <w:r w:rsidR="00810CF6">
        <w:rPr>
          <w:noProof/>
        </w:rPr>
        <w:t>1</w:t>
      </w:r>
      <w:r w:rsidRPr="005C3FE9">
        <w:fldChar w:fldCharType="end"/>
      </w:r>
      <w:bookmarkEnd w:id="2"/>
      <w:r w:rsidRPr="005C3FE9">
        <w:t xml:space="preserve">. Scheme of the Acid/Base Flow Battery (from </w:t>
      </w:r>
      <w:r w:rsidRPr="005C3FE9">
        <w:fldChar w:fldCharType="begin" w:fldLock="1"/>
      </w:r>
      <w:r w:rsidR="00E77EC7">
        <w:instrText>ADDIN CSL_CITATION {"citationItems":[{"id":"ITEM-1","itemData":{"DOI":"10.1016/j.apenergy.2020.115576","ISSN":"03062619","abstract":"Electrical energy storage can enhance the efficiency in the use of fluctuating renewable sources, e.g. solar and wind energy. The Acid/Base Flow Battery is an innovative and sustainable process to store electrical energy in the form of pH and salinity gradients via electrodialytic reversible techniques. Two electromembrane processes are involved: Bipolar Membrane Electrodialysis during the charge phase and its opposite, Bipolar Membrane Reverse Electrodialysis, during the discharge phase. For the first time, the present work aims at predicting the performance of this energy storage device via the development of a dynamic mathematical model based on a multi-scale approach with distributed parameters. Four models, each one at a different scale, are fully integrated in a comprehensive process simulator. The model was preliminary validated by a comparison with experimental data and a good agreement was found. A sensitivity analysis was performed to identify the most detrimental phenomena. Results indicate a loss of 25–35% of Round Trip Efficiency caused by parasitic currents in the manifolds. Therefore, they may represent the main limit to the present technology performance in scaled-up stacks converting more power. Suitable geometries and operating conditions should be adopted to tackle this issue (e.g. isolated blocks), thus enhancing the battery Round Trip Efficiency.","author":[{"dropping-particle":"","family":"Culcasi","given":"Andrea","non-dropping-particle":"","parse-names":false,"suffix":""},{"dropping-particle":"","family":"Gurreri","given":"Luigi","non-dropping-particle":"","parse-names":false,"suffix":""},{"dropping-particle":"","family":"Zaffora","given":"Andrea","non-dropping-particle":"","parse-names":false,"suffix":""},{"dropping-particle":"","family":"Cosenza","given":"Alessandro","non-dropping-particle":"","parse-names":false,"suffix":""},{"dropping-particle":"","family":"Tamburini","given":"Alessandro","non-dropping-particle":"","parse-names":false,"suffix":""},{"dropping-particle":"","family":"Micale","given":"Giorgio","non-dropping-particle":"","parse-names":false,"suffix":""}],"container-title":"Applied Energy","id":"ITEM-1","issued":{"date-parts":[["2020","11","1"]]},"page":"115576","publisher":"Elsevier Ltd","title":"On the modelling of an Acid/Base Flow Battery: An innovative electrical energy storage device based on pH and salinity gradients","type":"article-journal","volume":"277"},"uris":["http://www.mendeley.com/documents/?uuid=d34f0740-e538-347e-bfb7-0024b366e26a"]}],"mendeley":{"formattedCitation":"[8]","plainTextFormattedCitation":"[8]","previouslyFormattedCitation":"[8]"},"properties":{"noteIndex":0},"schema":"https://github.com/citation-style-language/schema/raw/master/csl-citation.json"}</w:instrText>
      </w:r>
      <w:r w:rsidRPr="005C3FE9">
        <w:fldChar w:fldCharType="separate"/>
      </w:r>
      <w:r w:rsidR="004319C3" w:rsidRPr="004319C3">
        <w:rPr>
          <w:noProof/>
        </w:rPr>
        <w:t>[8]</w:t>
      </w:r>
      <w:r w:rsidRPr="005C3FE9">
        <w:fldChar w:fldCharType="end"/>
      </w:r>
      <w:r w:rsidRPr="005C3FE9">
        <w:t xml:space="preserve">). </w:t>
      </w:r>
    </w:p>
    <w:p w14:paraId="2AE3E6E3" w14:textId="3D47000B" w:rsidR="00BD0BDE" w:rsidRPr="005C3FE9" w:rsidRDefault="00DC0209" w:rsidP="000D5249">
      <w:pPr>
        <w:rPr>
          <w:lang w:val="en-US" w:eastAsia="en-US"/>
        </w:rPr>
      </w:pPr>
      <w:r w:rsidRPr="005C3FE9">
        <w:rPr>
          <w:lang w:val="en-US" w:eastAsia="en-US"/>
        </w:rPr>
        <w:lastRenderedPageBreak/>
        <w:t>Specifically, during the charge phase</w:t>
      </w:r>
      <w:r w:rsidR="009B29FC">
        <w:rPr>
          <w:lang w:val="en-US" w:eastAsia="en-US"/>
        </w:rPr>
        <w:t xml:space="preserve"> (i.e.</w:t>
      </w:r>
      <w:r w:rsidR="00797495">
        <w:rPr>
          <w:lang w:val="en-US" w:eastAsia="en-US"/>
        </w:rPr>
        <w:t>,</w:t>
      </w:r>
      <w:r w:rsidR="009B29FC">
        <w:rPr>
          <w:lang w:val="en-US" w:eastAsia="en-US"/>
        </w:rPr>
        <w:t xml:space="preserve"> BMED)</w:t>
      </w:r>
      <w:r w:rsidRPr="005C3FE9">
        <w:rPr>
          <w:lang w:val="en-US" w:eastAsia="en-US"/>
        </w:rPr>
        <w:t>, the electricity input into the battery from an external source is converted into acidic and alkaline solutions, thus storing energy in the form of a pH gradient</w:t>
      </w:r>
      <w:r w:rsidR="00544817">
        <w:rPr>
          <w:lang w:val="en-US" w:eastAsia="en-US"/>
        </w:rPr>
        <w:t xml:space="preserve"> </w:t>
      </w:r>
      <w:r w:rsidR="00544817" w:rsidRPr="005C3FE9">
        <w:rPr>
          <w:lang w:val="en-US" w:eastAsia="en-US"/>
        </w:rPr>
        <w:t>(</w:t>
      </w:r>
      <w:r w:rsidR="00544817" w:rsidRPr="005C3FE9">
        <w:rPr>
          <w:lang w:val="en-US" w:eastAsia="en-US"/>
        </w:rPr>
        <w:fldChar w:fldCharType="begin"/>
      </w:r>
      <w:r w:rsidR="00544817" w:rsidRPr="005C3FE9">
        <w:rPr>
          <w:lang w:val="en-US" w:eastAsia="en-US"/>
        </w:rPr>
        <w:instrText xml:space="preserve"> REF _Ref105693150 \h  \* MERGEFORMAT </w:instrText>
      </w:r>
      <w:r w:rsidR="00544817" w:rsidRPr="005C3FE9">
        <w:rPr>
          <w:lang w:val="en-US" w:eastAsia="en-US"/>
        </w:rPr>
      </w:r>
      <w:r w:rsidR="00544817" w:rsidRPr="005C3FE9">
        <w:rPr>
          <w:lang w:val="en-US" w:eastAsia="en-US"/>
        </w:rPr>
        <w:fldChar w:fldCharType="separate"/>
      </w:r>
      <w:r w:rsidR="00544817" w:rsidRPr="005C3FE9">
        <w:rPr>
          <w:lang w:val="en-US"/>
        </w:rPr>
        <w:t xml:space="preserve">Figure </w:t>
      </w:r>
      <w:r w:rsidR="00544817" w:rsidRPr="005C3FE9">
        <w:rPr>
          <w:noProof/>
          <w:lang w:val="en-US"/>
        </w:rPr>
        <w:t>2</w:t>
      </w:r>
      <w:r w:rsidR="00544817" w:rsidRPr="005C3FE9">
        <w:rPr>
          <w:lang w:val="en-US" w:eastAsia="en-US"/>
        </w:rPr>
        <w:fldChar w:fldCharType="end"/>
      </w:r>
      <w:r w:rsidR="00544817">
        <w:rPr>
          <w:lang w:val="en-US" w:eastAsia="en-US"/>
        </w:rPr>
        <w:t>a</w:t>
      </w:r>
      <w:r w:rsidR="00544817" w:rsidRPr="005C3FE9">
        <w:rPr>
          <w:lang w:val="en-US" w:eastAsia="en-US"/>
        </w:rPr>
        <w:t>)</w:t>
      </w:r>
      <w:r w:rsidRPr="005C3FE9">
        <w:rPr>
          <w:lang w:val="en-US" w:eastAsia="en-US"/>
        </w:rPr>
        <w:t>. Conversely, during the discharge phase</w:t>
      </w:r>
      <w:r w:rsidR="00A96A97">
        <w:rPr>
          <w:lang w:val="en-US" w:eastAsia="en-US"/>
        </w:rPr>
        <w:t xml:space="preserve"> (i.e.</w:t>
      </w:r>
      <w:r w:rsidR="00797495">
        <w:rPr>
          <w:lang w:val="en-US" w:eastAsia="en-US"/>
        </w:rPr>
        <w:t>,</w:t>
      </w:r>
      <w:r w:rsidR="00A96A97">
        <w:rPr>
          <w:lang w:val="en-US" w:eastAsia="en-US"/>
        </w:rPr>
        <w:t xml:space="preserve"> BMRED)</w:t>
      </w:r>
      <w:r w:rsidRPr="005C3FE9">
        <w:rPr>
          <w:lang w:val="en-US" w:eastAsia="en-US"/>
        </w:rPr>
        <w:t xml:space="preserve">, the resulting acid and base solutions </w:t>
      </w:r>
      <w:r w:rsidR="0046073F" w:rsidRPr="005C3FE9">
        <w:rPr>
          <w:lang w:val="en-US" w:eastAsia="en-US"/>
        </w:rPr>
        <w:t>are</w:t>
      </w:r>
      <w:r w:rsidRPr="005C3FE9">
        <w:rPr>
          <w:lang w:val="en-US" w:eastAsia="en-US"/>
        </w:rPr>
        <w:t xml:space="preserve"> </w:t>
      </w:r>
      <w:proofErr w:type="spellStart"/>
      <w:r w:rsidRPr="005C3FE9">
        <w:rPr>
          <w:lang w:val="en-US" w:eastAsia="en-US"/>
        </w:rPr>
        <w:t>neutrali</w:t>
      </w:r>
      <w:r w:rsidR="008A0EAC">
        <w:rPr>
          <w:lang w:val="en-US" w:eastAsia="en-US"/>
        </w:rPr>
        <w:t>s</w:t>
      </w:r>
      <w:r w:rsidRPr="005C3FE9">
        <w:rPr>
          <w:lang w:val="en-US" w:eastAsia="en-US"/>
        </w:rPr>
        <w:t>ed</w:t>
      </w:r>
      <w:proofErr w:type="spellEnd"/>
      <w:r w:rsidRPr="005C3FE9">
        <w:rPr>
          <w:lang w:val="en-US" w:eastAsia="en-US"/>
        </w:rPr>
        <w:t xml:space="preserve"> in a controlled manner to produce electricity again</w:t>
      </w:r>
      <w:r w:rsidR="00BD0BDE" w:rsidRPr="005C3FE9">
        <w:rPr>
          <w:lang w:val="en-US" w:eastAsia="en-US"/>
        </w:rPr>
        <w:t xml:space="preserve"> (</w:t>
      </w:r>
      <w:r w:rsidR="00BD0BDE" w:rsidRPr="005C3FE9">
        <w:rPr>
          <w:lang w:val="en-US" w:eastAsia="en-US"/>
        </w:rPr>
        <w:fldChar w:fldCharType="begin"/>
      </w:r>
      <w:r w:rsidR="00BD0BDE" w:rsidRPr="005C3FE9">
        <w:rPr>
          <w:lang w:val="en-US" w:eastAsia="en-US"/>
        </w:rPr>
        <w:instrText xml:space="preserve"> REF _Ref105693150 \h </w:instrText>
      </w:r>
      <w:r w:rsidR="00D56E1C" w:rsidRPr="005C3FE9">
        <w:rPr>
          <w:lang w:val="en-US" w:eastAsia="en-US"/>
        </w:rPr>
        <w:instrText xml:space="preserve"> \* MERGEFORMAT </w:instrText>
      </w:r>
      <w:r w:rsidR="00BD0BDE" w:rsidRPr="005C3FE9">
        <w:rPr>
          <w:lang w:val="en-US" w:eastAsia="en-US"/>
        </w:rPr>
      </w:r>
      <w:r w:rsidR="00BD0BDE" w:rsidRPr="005C3FE9">
        <w:rPr>
          <w:lang w:val="en-US" w:eastAsia="en-US"/>
        </w:rPr>
        <w:fldChar w:fldCharType="separate"/>
      </w:r>
      <w:r w:rsidR="00561965" w:rsidRPr="005C3FE9">
        <w:rPr>
          <w:lang w:val="en-US"/>
        </w:rPr>
        <w:t xml:space="preserve">Figure </w:t>
      </w:r>
      <w:r w:rsidR="00561965" w:rsidRPr="005C3FE9">
        <w:rPr>
          <w:noProof/>
          <w:lang w:val="en-US"/>
        </w:rPr>
        <w:t>2</w:t>
      </w:r>
      <w:r w:rsidR="00BD0BDE" w:rsidRPr="005C3FE9">
        <w:rPr>
          <w:lang w:val="en-US" w:eastAsia="en-US"/>
        </w:rPr>
        <w:fldChar w:fldCharType="end"/>
      </w:r>
      <w:r w:rsidR="00544817">
        <w:rPr>
          <w:lang w:val="en-US" w:eastAsia="en-US"/>
        </w:rPr>
        <w:t>b</w:t>
      </w:r>
      <w:r w:rsidR="00BD0BDE" w:rsidRPr="005C3FE9">
        <w:rPr>
          <w:lang w:val="en-US" w:eastAsia="en-US"/>
        </w:rPr>
        <w:t>)</w:t>
      </w:r>
      <w:r w:rsidRPr="005C3FE9">
        <w:rPr>
          <w:lang w:val="en-US" w:eastAsia="en-US"/>
        </w:rPr>
        <w:t xml:space="preserve">. </w:t>
      </w:r>
    </w:p>
    <w:p w14:paraId="299793CF" w14:textId="77777777" w:rsidR="00BD0BDE" w:rsidRPr="005C3FE9" w:rsidRDefault="00BD0BDE" w:rsidP="00BD0BDE">
      <w:pPr>
        <w:keepNext/>
      </w:pPr>
      <w:r w:rsidRPr="005C3FE9">
        <w:rPr>
          <w:noProof/>
        </w:rPr>
        <w:drawing>
          <wp:inline distT="0" distB="0" distL="0" distR="0" wp14:anchorId="2DA291B6" wp14:editId="736836C5">
            <wp:extent cx="6120130" cy="2397760"/>
            <wp:effectExtent l="0" t="0" r="0" b="254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20130" cy="2397760"/>
                    </a:xfrm>
                    <a:prstGeom prst="rect">
                      <a:avLst/>
                    </a:prstGeom>
                    <a:noFill/>
                    <a:ln>
                      <a:noFill/>
                    </a:ln>
                  </pic:spPr>
                </pic:pic>
              </a:graphicData>
            </a:graphic>
          </wp:inline>
        </w:drawing>
      </w:r>
    </w:p>
    <w:p w14:paraId="72953A45" w14:textId="567986B5" w:rsidR="00BD0BDE" w:rsidRPr="005C3FE9" w:rsidRDefault="00BD0BDE" w:rsidP="00BD0BDE">
      <w:pPr>
        <w:pStyle w:val="Didascalia"/>
        <w:jc w:val="both"/>
      </w:pPr>
      <w:bookmarkStart w:id="3" w:name="_Ref105693150"/>
      <w:r w:rsidRPr="005C3FE9">
        <w:t xml:space="preserve">Figure </w:t>
      </w:r>
      <w:r w:rsidRPr="005C3FE9">
        <w:fldChar w:fldCharType="begin"/>
      </w:r>
      <w:r w:rsidRPr="005C3FE9">
        <w:instrText xml:space="preserve"> SEQ Figure \* ARABIC </w:instrText>
      </w:r>
      <w:r w:rsidRPr="005C3FE9">
        <w:fldChar w:fldCharType="separate"/>
      </w:r>
      <w:r w:rsidR="00810CF6">
        <w:rPr>
          <w:noProof/>
        </w:rPr>
        <w:t>2</w:t>
      </w:r>
      <w:r w:rsidRPr="005C3FE9">
        <w:fldChar w:fldCharType="end"/>
      </w:r>
      <w:bookmarkEnd w:id="3"/>
      <w:r w:rsidRPr="005C3FE9">
        <w:t xml:space="preserve">. Illustration of the Acid/Base Flow Battery phases: a) charge and b) discharge. </w:t>
      </w:r>
    </w:p>
    <w:p w14:paraId="12C40329" w14:textId="65FA9AB4" w:rsidR="000D5249" w:rsidRPr="005C3FE9" w:rsidRDefault="00771924" w:rsidP="000D5249">
      <w:pPr>
        <w:rPr>
          <w:lang w:val="en-US" w:eastAsia="en-US"/>
        </w:rPr>
      </w:pPr>
      <w:r w:rsidRPr="005C3FE9">
        <w:rPr>
          <w:lang w:val="en-US" w:eastAsia="en-US"/>
        </w:rPr>
        <w:t>In the AB-FB</w:t>
      </w:r>
      <w:r w:rsidR="00C359F5" w:rsidRPr="005C3FE9">
        <w:rPr>
          <w:lang w:val="en-US" w:eastAsia="en-US"/>
        </w:rPr>
        <w:t>, there are repeating</w:t>
      </w:r>
      <w:r w:rsidRPr="005C3FE9">
        <w:rPr>
          <w:lang w:val="en-US" w:eastAsia="en-US"/>
        </w:rPr>
        <w:t xml:space="preserve"> units </w:t>
      </w:r>
      <w:r w:rsidR="00C359F5" w:rsidRPr="005C3FE9">
        <w:rPr>
          <w:lang w:val="en-US" w:eastAsia="en-US"/>
        </w:rPr>
        <w:t xml:space="preserve">referred to as </w:t>
      </w:r>
      <w:r w:rsidRPr="005C3FE9">
        <w:rPr>
          <w:lang w:val="en-US" w:eastAsia="en-US"/>
        </w:rPr>
        <w:t>triplets</w:t>
      </w:r>
      <w:r w:rsidR="0046073F" w:rsidRPr="005C3FE9">
        <w:rPr>
          <w:lang w:val="en-US" w:eastAsia="en-US"/>
        </w:rPr>
        <w:t>, each</w:t>
      </w:r>
      <w:r w:rsidR="00C359F5" w:rsidRPr="005C3FE9">
        <w:rPr>
          <w:lang w:val="en-US" w:eastAsia="en-US"/>
        </w:rPr>
        <w:t xml:space="preserve"> compris</w:t>
      </w:r>
      <w:r w:rsidR="0046073F" w:rsidRPr="005C3FE9">
        <w:rPr>
          <w:lang w:val="en-US" w:eastAsia="en-US"/>
        </w:rPr>
        <w:t>ing</w:t>
      </w:r>
      <w:r w:rsidR="00C359F5" w:rsidRPr="005C3FE9">
        <w:rPr>
          <w:lang w:val="en-US" w:eastAsia="en-US"/>
        </w:rPr>
        <w:t xml:space="preserve"> one</w:t>
      </w:r>
      <w:r w:rsidRPr="005C3FE9">
        <w:rPr>
          <w:lang w:val="en-US" w:eastAsia="en-US"/>
        </w:rPr>
        <w:t xml:space="preserve"> </w:t>
      </w:r>
      <w:r w:rsidR="00C359F5" w:rsidRPr="005C3FE9">
        <w:rPr>
          <w:lang w:val="en-US" w:eastAsia="en-US"/>
        </w:rPr>
        <w:t>A</w:t>
      </w:r>
      <w:r w:rsidRPr="005C3FE9">
        <w:rPr>
          <w:lang w:val="en-US" w:eastAsia="en-US"/>
        </w:rPr>
        <w:t>nion</w:t>
      </w:r>
      <w:r w:rsidR="00C359F5" w:rsidRPr="005C3FE9">
        <w:rPr>
          <w:lang w:val="en-US" w:eastAsia="en-US"/>
        </w:rPr>
        <w:t>-</w:t>
      </w:r>
      <w:r w:rsidRPr="005C3FE9">
        <w:rPr>
          <w:lang w:val="en-US" w:eastAsia="en-US"/>
        </w:rPr>
        <w:t xml:space="preserve"> </w:t>
      </w:r>
      <w:r w:rsidR="00C359F5" w:rsidRPr="005C3FE9">
        <w:rPr>
          <w:lang w:val="en-US" w:eastAsia="en-US"/>
        </w:rPr>
        <w:t>and one</w:t>
      </w:r>
      <w:r w:rsidRPr="005C3FE9">
        <w:rPr>
          <w:lang w:val="en-US" w:eastAsia="en-US"/>
        </w:rPr>
        <w:t xml:space="preserve"> </w:t>
      </w:r>
      <w:r w:rsidR="00C359F5" w:rsidRPr="005C3FE9">
        <w:rPr>
          <w:lang w:val="en-US" w:eastAsia="en-US"/>
        </w:rPr>
        <w:t>C</w:t>
      </w:r>
      <w:r w:rsidRPr="005C3FE9">
        <w:rPr>
          <w:lang w:val="en-US" w:eastAsia="en-US"/>
        </w:rPr>
        <w:t>ation</w:t>
      </w:r>
      <w:r w:rsidR="00C359F5" w:rsidRPr="005C3FE9">
        <w:rPr>
          <w:lang w:val="en-US" w:eastAsia="en-US"/>
        </w:rPr>
        <w:t>-E</w:t>
      </w:r>
      <w:r w:rsidRPr="005C3FE9">
        <w:rPr>
          <w:lang w:val="en-US" w:eastAsia="en-US"/>
        </w:rPr>
        <w:t xml:space="preserve">xchange </w:t>
      </w:r>
      <w:r w:rsidR="00C359F5" w:rsidRPr="005C3FE9">
        <w:rPr>
          <w:lang w:val="en-US" w:eastAsia="en-US"/>
        </w:rPr>
        <w:t>M</w:t>
      </w:r>
      <w:r w:rsidRPr="005C3FE9">
        <w:rPr>
          <w:lang w:val="en-US" w:eastAsia="en-US"/>
        </w:rPr>
        <w:t>embrane (AEM and CEM)</w:t>
      </w:r>
      <w:r w:rsidR="00C359F5" w:rsidRPr="005C3FE9">
        <w:rPr>
          <w:lang w:val="en-US" w:eastAsia="en-US"/>
        </w:rPr>
        <w:t>, as well as</w:t>
      </w:r>
      <w:r w:rsidRPr="005C3FE9">
        <w:rPr>
          <w:lang w:val="en-US" w:eastAsia="en-US"/>
        </w:rPr>
        <w:t xml:space="preserve"> </w:t>
      </w:r>
      <w:r w:rsidR="00C359F5" w:rsidRPr="005C3FE9">
        <w:rPr>
          <w:lang w:val="en-US" w:eastAsia="en-US"/>
        </w:rPr>
        <w:t xml:space="preserve">one </w:t>
      </w:r>
      <w:proofErr w:type="spellStart"/>
      <w:r w:rsidRPr="005C3FE9">
        <w:rPr>
          <w:lang w:val="en-US" w:eastAsia="en-US"/>
        </w:rPr>
        <w:t>B</w:t>
      </w:r>
      <w:r w:rsidR="00C359F5" w:rsidRPr="005C3FE9">
        <w:rPr>
          <w:lang w:val="en-US" w:eastAsia="en-US"/>
        </w:rPr>
        <w:t>iPolar</w:t>
      </w:r>
      <w:proofErr w:type="spellEnd"/>
      <w:r w:rsidR="00C359F5" w:rsidRPr="005C3FE9">
        <w:rPr>
          <w:lang w:val="en-US" w:eastAsia="en-US"/>
        </w:rPr>
        <w:t xml:space="preserve"> Membrane (BPM), with all the membranes </w:t>
      </w:r>
      <w:r w:rsidR="0046073F" w:rsidRPr="005C3FE9">
        <w:rPr>
          <w:lang w:val="en-US" w:eastAsia="en-US"/>
        </w:rPr>
        <w:t xml:space="preserve">separated </w:t>
      </w:r>
      <w:r w:rsidR="00C359F5" w:rsidRPr="005C3FE9">
        <w:rPr>
          <w:lang w:val="en-US" w:eastAsia="en-US"/>
        </w:rPr>
        <w:t xml:space="preserve">by </w:t>
      </w:r>
      <w:r w:rsidR="0046073F" w:rsidRPr="005C3FE9">
        <w:rPr>
          <w:lang w:val="en-US" w:eastAsia="en-US"/>
        </w:rPr>
        <w:t xml:space="preserve">interposed </w:t>
      </w:r>
      <w:r w:rsidR="00C359F5" w:rsidRPr="005C3FE9">
        <w:rPr>
          <w:lang w:val="en-US" w:eastAsia="en-US"/>
        </w:rPr>
        <w:t xml:space="preserve">net spacers. </w:t>
      </w:r>
      <w:r w:rsidR="0003004F" w:rsidRPr="005C3FE9">
        <w:rPr>
          <w:lang w:val="en-US" w:eastAsia="en-US"/>
        </w:rPr>
        <w:t xml:space="preserve">The BPM comprises </w:t>
      </w:r>
      <w:r w:rsidR="0046073F" w:rsidRPr="005C3FE9">
        <w:rPr>
          <w:lang w:val="en-US" w:eastAsia="en-US"/>
        </w:rPr>
        <w:t xml:space="preserve">a </w:t>
      </w:r>
      <w:r w:rsidR="0003004F" w:rsidRPr="005C3FE9">
        <w:rPr>
          <w:lang w:val="en-US" w:eastAsia="en-US"/>
        </w:rPr>
        <w:t>cation</w:t>
      </w:r>
      <w:r w:rsidR="0046073F" w:rsidRPr="005C3FE9">
        <w:rPr>
          <w:lang w:val="en-US" w:eastAsia="en-US"/>
        </w:rPr>
        <w:t>-</w:t>
      </w:r>
      <w:r w:rsidR="0003004F" w:rsidRPr="005C3FE9">
        <w:rPr>
          <w:lang w:val="en-US" w:eastAsia="en-US"/>
        </w:rPr>
        <w:t xml:space="preserve"> and </w:t>
      </w:r>
      <w:r w:rsidR="0046073F" w:rsidRPr="005C3FE9">
        <w:rPr>
          <w:lang w:val="en-US" w:eastAsia="en-US"/>
        </w:rPr>
        <w:t xml:space="preserve">an </w:t>
      </w:r>
      <w:r w:rsidR="0003004F" w:rsidRPr="005C3FE9">
        <w:rPr>
          <w:lang w:val="en-US" w:eastAsia="en-US"/>
        </w:rPr>
        <w:t>anion</w:t>
      </w:r>
      <w:r w:rsidR="0046073F" w:rsidRPr="005C3FE9">
        <w:rPr>
          <w:lang w:val="en-US" w:eastAsia="en-US"/>
        </w:rPr>
        <w:t>-</w:t>
      </w:r>
      <w:r w:rsidR="0003004F" w:rsidRPr="005C3FE9">
        <w:rPr>
          <w:lang w:val="en-US" w:eastAsia="en-US"/>
        </w:rPr>
        <w:t>exchange layer stacked on top of each other</w:t>
      </w:r>
      <w:r w:rsidR="00292D6C">
        <w:rPr>
          <w:lang w:val="en-US" w:eastAsia="en-US"/>
        </w:rPr>
        <w:t>. W</w:t>
      </w:r>
      <w:r w:rsidR="0003004F" w:rsidRPr="005C3FE9">
        <w:rPr>
          <w:lang w:val="en-US" w:eastAsia="en-US"/>
        </w:rPr>
        <w:t xml:space="preserve">hen an electrical potential is applied across the </w:t>
      </w:r>
      <w:r w:rsidR="00714C2A" w:rsidRPr="005C3FE9">
        <w:rPr>
          <w:lang w:val="en-US" w:eastAsia="en-US"/>
        </w:rPr>
        <w:t>AB-FB stack</w:t>
      </w:r>
      <w:r w:rsidR="0003004F" w:rsidRPr="005C3FE9">
        <w:rPr>
          <w:lang w:val="en-US" w:eastAsia="en-US"/>
        </w:rPr>
        <w:t xml:space="preserve">, water dissociation </w:t>
      </w:r>
      <w:r w:rsidR="00D63B0F" w:rsidRPr="005C3FE9">
        <w:rPr>
          <w:lang w:val="en-US" w:eastAsia="en-US"/>
        </w:rPr>
        <w:t xml:space="preserve">is triggered within the interlayer (which </w:t>
      </w:r>
      <w:r w:rsidR="00292D6C">
        <w:rPr>
          <w:lang w:val="en-US" w:eastAsia="en-US"/>
        </w:rPr>
        <w:t>is typically</w:t>
      </w:r>
      <w:r w:rsidR="00D63B0F" w:rsidRPr="005C3FE9">
        <w:rPr>
          <w:lang w:val="en-US" w:eastAsia="en-US"/>
        </w:rPr>
        <w:t xml:space="preserve"> provided with a catalyst)</w:t>
      </w:r>
      <w:r w:rsidR="0003004F" w:rsidRPr="005C3FE9">
        <w:rPr>
          <w:lang w:val="en-US" w:eastAsia="en-US"/>
        </w:rPr>
        <w:t>, giv</w:t>
      </w:r>
      <w:r w:rsidR="00D63B0F" w:rsidRPr="005C3FE9">
        <w:rPr>
          <w:lang w:val="en-US" w:eastAsia="en-US"/>
        </w:rPr>
        <w:t>ing</w:t>
      </w:r>
      <w:r w:rsidR="0003004F" w:rsidRPr="005C3FE9">
        <w:rPr>
          <w:lang w:val="en-US" w:eastAsia="en-US"/>
        </w:rPr>
        <w:t xml:space="preserve"> rise to both protons and hydroxide ions </w:t>
      </w:r>
      <w:r w:rsidR="00997EF5" w:rsidRPr="005C3FE9">
        <w:rPr>
          <w:lang w:val="en-US" w:eastAsia="en-US"/>
        </w:rPr>
        <w:fldChar w:fldCharType="begin" w:fldLock="1"/>
      </w:r>
      <w:r w:rsidR="00E77EC7">
        <w:rPr>
          <w:lang w:val="en-US" w:eastAsia="en-US"/>
        </w:rPr>
        <w:instrText>ADDIN CSL_CITATION {"citationItems":[{"id":"ITEM-1","itemData":{"DOI":"10.1016/j.memsci.2020.118538","ISSN":"03767388","abstract":"In a world that canopies numerous opportunities to advance towards a green sustainable life, biopolymer development offers a platform that fits into the paradigm of achieving an ecofriendly environment whilst reducing reliance on the scarce fossil fuel elements for the fabrication of day-to-day products. Today’s technological improvements has aided biopolymer end-products to escalate to higher purposes and soon may have their performance level in par with the petroleum-based synthetic polymers. The motive of this paper is to shimmer light on some aspects of biopolymers that include its classes, properties, composites and applications. Depending on the type of class on the basis of various categories, many enthralling chemistries of polymer composition can be substantiated. Essential properties can imparted to the ensuing biopolymer by altering its chemical configuration and method of synthesis while also focusing on its functional purpose. Nowadays, biopolymer composites blend qualities of one biopolymer with another to acquire an enhanced component that showcases unique explicit attributes. There are several techniques to process biopolymer composites, of which in-situ, infiltration and electrospinning methods have captured considerable limelight. Biopolymers and its composites have embarked captivating impressions in regions of biomedical, packaging, agricultural and automotive applications. Although their efficacy is yet to reach their fossil fuel counterparts, biopolymers have laid a distinguishing mark that will continue to inspire creation of novel substances for many years to come.","author":[{"dropping-particle":"","family":"Pärnamäe","given":"R.","non-dropping-particle":"","parse-names":false,"suffix":""},{"dropping-particle":"","family":"Mareev","given":"S.","non-dropping-particle":"","parse-names":false,"suffix":""},{"dropping-particle":"","family":"Nikonenko","given":"V.","non-dropping-particle":"","parse-names":false,"suffix":""},{"dropping-particle":"","family":"Melnikov","given":"S.","non-dropping-particle":"","parse-names":false,"suffix":""},{"dropping-particle":"","family":"Sheldeshov","given":"N.","non-dropping-particle":"","parse-names":false,"suffix":""},{"dropping-particle":"","family":"Zabolotskii","given":"V.","non-dropping-particle":"","parse-names":false,"suffix":""},{"dropping-particle":"","family":"Hamelers","given":"H.V.M.","non-dropping-particle":"","parse-names":false,"suffix":""},{"dropping-particle":"","family":"Tedesco","given":"M.","non-dropping-particle":"","parse-names":false,"suffix":""}],"container-title":"Journal of Membrane Science","id":"ITEM-1","issued":{"date-parts":[["2020","8","12"]]},"page":"118538","publisher":"Elsevier","title":"Bipolar membranes: A review on principles, latest developments, and applications","type":"article-journal"},"uris":["http://www.mendeley.com/documents/?uuid=8d16125e-7e53-3208-9ffb-93d21fcdc5ec"]}],"mendeley":{"formattedCitation":"[9]","plainTextFormattedCitation":"[9]","previouslyFormattedCitation":"[9]"},"properties":{"noteIndex":0},"schema":"https://github.com/citation-style-language/schema/raw/master/csl-citation.json"}</w:instrText>
      </w:r>
      <w:r w:rsidR="00997EF5" w:rsidRPr="005C3FE9">
        <w:rPr>
          <w:lang w:val="en-US" w:eastAsia="en-US"/>
        </w:rPr>
        <w:fldChar w:fldCharType="separate"/>
      </w:r>
      <w:r w:rsidR="004319C3" w:rsidRPr="004319C3">
        <w:rPr>
          <w:noProof/>
          <w:lang w:val="en-US" w:eastAsia="en-US"/>
        </w:rPr>
        <w:t>[9]</w:t>
      </w:r>
      <w:r w:rsidR="00997EF5" w:rsidRPr="005C3FE9">
        <w:rPr>
          <w:lang w:val="en-US" w:eastAsia="en-US"/>
        </w:rPr>
        <w:fldChar w:fldCharType="end"/>
      </w:r>
      <w:r w:rsidR="000D5249" w:rsidRPr="005C3FE9">
        <w:rPr>
          <w:lang w:val="en-US" w:eastAsia="en-US"/>
        </w:rPr>
        <w:t xml:space="preserve">. </w:t>
      </w:r>
    </w:p>
    <w:p w14:paraId="4F6483EB" w14:textId="1301AA61" w:rsidR="00A57532" w:rsidRPr="005C3FE9" w:rsidRDefault="00DF7D5C" w:rsidP="00C579BA">
      <w:pPr>
        <w:rPr>
          <w:lang w:val="en-US"/>
        </w:rPr>
      </w:pPr>
      <w:r w:rsidRPr="005C3FE9">
        <w:rPr>
          <w:lang w:val="en-GB" w:eastAsia="en-US"/>
        </w:rPr>
        <w:t>In recent years, there have been many studies focusing on BMED</w:t>
      </w:r>
      <w:r w:rsidR="004868FA" w:rsidRPr="005C3FE9">
        <w:rPr>
          <w:lang w:val="en-GB" w:eastAsia="en-US"/>
        </w:rPr>
        <w:t xml:space="preserve"> </w:t>
      </w:r>
      <w:r w:rsidR="00FE2D45" w:rsidRPr="005C3FE9">
        <w:rPr>
          <w:lang w:val="en-GB" w:eastAsia="en-US"/>
        </w:rPr>
        <w:t xml:space="preserve">(i.e., AB-FB charge phase) </w:t>
      </w:r>
      <w:r w:rsidR="00FE2D45">
        <w:rPr>
          <w:lang w:val="en-GB" w:eastAsia="en-US"/>
        </w:rPr>
        <w:t xml:space="preserve">as a standalone process </w:t>
      </w:r>
      <w:r w:rsidR="004B2543" w:rsidRPr="005C3FE9">
        <w:rPr>
          <w:lang w:val="en-GB" w:eastAsia="en-US"/>
        </w:rPr>
        <w:fldChar w:fldCharType="begin" w:fldLock="1"/>
      </w:r>
      <w:r w:rsidR="00E77EC7">
        <w:rPr>
          <w:lang w:val="en-GB" w:eastAsia="en-US"/>
        </w:rPr>
        <w:instrText>ADDIN CSL_CITATION {"citationItems":[{"id":"ITEM-1","itemData":{"DOI":"10.1016/j.seppur.2020.116785","ISSN":"18733794","abstract":"Electromembrane technologies, such as electrodialysis with bipolar membranes (EDBM) have been widely proposed for the treatment and valorization of seawater reverse osmosis (SWRO) concentrated streams. The EDBM technology applied to brines produces acids (HCl) and bases (NaOH) with just two inputs: electric energy and brine. Thus, the reagents self-supply to the SWRO plant could be achieved, which definitively fits the principles of the Circular Economy. However, previous works have shown low concentration values of the produced acids and bases by EDBM, which undoubtedly hampers the possibility of its use in the SWRO plant. Therefore, the aim of the present work is to demonstrate the viability of a new strategy to valorise SWRO brine producing commercial HCl at 35 wt.% by means of the integration of EDBM technology under constant (galvanostatic, equivalent to the use of electrical energy from the grid mix) and variable current intensity (equivalent to the use of PV solar energy) and azeotropic distillation. Concentrations of HCl and NaOH up to ~3.3 mol·L−1 and ~3.6 mol·L−1 are obtained respectively, which are almost 50% higher than any other reported in the literature so far using this technology. The specific energy consumption of the EDBM unit was in the range of 21.8 kWh·kg−1 of HCl and 43.5 kWh·kg−1 of HCl, being dependant on the average applied current density. These HCl concentrations, although being acceptable for internal use in the SWRO plant, did not reach commercial levels (35 wt.% of HCl), so a further concentration stage using distillation has been evaluated through simulation. Minimum values of the overall EDBM plus distillation process specific energy consumption (SECOV) was between ~40 kWh·kg−1 and ~60 kWh·kg−1 of HCl. Moreover, the environmental burdens associated with the energy consumption are quantified in terms of the carbon footprint (CF). Although the SECOV is slightly higher, the use of PV solar energy instead of the grid mix let the process to provide a better environmental performance. The renewable alternative provides values between 1.61 kg CO2-eq.·kg−1 of HCl (full PV solar energy) and 6.97 kg CO2-eq.·kg−1 of HCl (PV solar energy and steam).","author":[{"dropping-particle":"","family":"Herrero-Gonzalez","given":"Marta","non-dropping-particle":"","parse-names":false,"suffix":""},{"dropping-particle":"","family":"Diaz-Guridi","given":"Pedro","non-dropping-particle":"","parse-names":false,"suffix":""},{"dropping-particle":"","family":"Dominguez-Ramos","given":"Antonio","non-dropping-particle":"","parse-names":false,"suffix":""},{"dropping-particle":"","family":"Irabien","given":"Angel","non-dropping-particle":"","parse-names":false,"suffix":""},{"dropping-particle":"","family":"Ibañez","given":"Raquel","non-dropping-particle":"","parse-names":false,"suffix":""}],"container-title":"Separation and Purification Technology","id":"ITEM-1","issued":{"date-parts":[["2020","7","1"]]},"page":"116785","publisher":"Elsevier","title":"Highly concentrated HCl and NaOH from brines using electrodialysis with bipolar membranes","type":"article-journal","volume":"242"},"uris":["http://www.mendeley.com/documents/?uuid=e681f0fa-a832-39a8-8a8e-90c79d287025"]}],"mendeley":{"formattedCitation":"[10]","plainTextFormattedCitation":"[10]","previouslyFormattedCitation":"[10]"},"properties":{"noteIndex":0},"schema":"https://github.com/citation-style-language/schema/raw/master/csl-citation.json"}</w:instrText>
      </w:r>
      <w:r w:rsidR="004B2543" w:rsidRPr="005C3FE9">
        <w:rPr>
          <w:lang w:val="en-GB" w:eastAsia="en-US"/>
        </w:rPr>
        <w:fldChar w:fldCharType="separate"/>
      </w:r>
      <w:r w:rsidR="004319C3" w:rsidRPr="004319C3">
        <w:rPr>
          <w:noProof/>
          <w:lang w:val="en-GB" w:eastAsia="en-US"/>
        </w:rPr>
        <w:t>[10]</w:t>
      </w:r>
      <w:r w:rsidR="004B2543" w:rsidRPr="005C3FE9">
        <w:rPr>
          <w:lang w:val="en-GB" w:eastAsia="en-US"/>
        </w:rPr>
        <w:fldChar w:fldCharType="end"/>
      </w:r>
      <w:r w:rsidRPr="005C3FE9">
        <w:rPr>
          <w:lang w:val="en-GB" w:eastAsia="en-US"/>
        </w:rPr>
        <w:t xml:space="preserve"> but relatively few focusing on BMRED</w:t>
      </w:r>
      <w:r w:rsidR="004868FA" w:rsidRPr="005C3FE9">
        <w:rPr>
          <w:lang w:val="en-GB" w:eastAsia="en-US"/>
        </w:rPr>
        <w:t xml:space="preserve"> </w:t>
      </w:r>
      <w:r w:rsidR="004B2543" w:rsidRPr="005C3FE9">
        <w:rPr>
          <w:lang w:val="en-GB" w:eastAsia="en-US"/>
        </w:rPr>
        <w:fldChar w:fldCharType="begin" w:fldLock="1"/>
      </w:r>
      <w:r w:rsidR="00E77EC7">
        <w:rPr>
          <w:lang w:val="en-GB" w:eastAsia="en-US"/>
        </w:rPr>
        <w:instrText>ADDIN CSL_CITATION {"citationItems":[{"id":"ITEM-1","itemData":{"DOI":"10.3390/en13205510","ISSN":"1996-1073","abstract":"Bipolar Membrane Reverse Electrodialysis (BMRED) can be used to produce electricity exploiting acid-base neutralization, thus representing a valuable route in reusing waste streams. The present work investigates the performance of a lab-scale BMRED module under several operating conditions. By feeding the stack with 1 M HCl and NaOH streams, a maximum power density of ~17 W m−2 was obtained at 100 A m−2 with a 10-triplet stack with a flow velocity of 1 cm s−1, while an energy density of ~10 kWh m−3 acid could be extracted by a complete neutralization. Parasitic currents along feed and drain manifolds significantly affected the performance of the stack when equipped with a higher number of triplets. The apparent permselectivity at 1 M acid and base decreased from 93% with the five-triplet stack to 54% with the 38-triplet stack, which exhibited lower values (~35% less) of power density. An important role may be played also by the presence of NaCl in the acidic and alkaline solutions. With a low number of triplets, the added salt had almost negligible effects. However, with a higher number of triplets it led to a reduction of 23.4–45.7% in power density. The risk of membrane delamination is another aspect that can limit the process performance. However, overall, the present results highlight the high potential of BMRED systems as a productive way of neutralizing waste solutions for energy harvesting.","author":[{"dropping-particle":"","family":"Zaffora","given":"Andrea","non-dropping-particle":"","parse-names":false,"suffix":""},{"dropping-particle":"","family":"Culcasi","given":"Andrea","non-dropping-particle":"","parse-names":false,"suffix":""},{"dropping-particle":"","family":"Gurreri","given":"Luigi","non-dropping-particle":"","parse-names":false,"suffix":""},{"dropping-particle":"","family":"Cosenza","given":"Alessandro","non-dropping-particle":"","parse-names":false,"suffix":""},{"dropping-particle":"","family":"Tamburini","given":"Alessandro","non-dropping-particle":"","parse-names":false,"suffix":""},{"dropping-particle":"","family":"Santamaria","given":"Monica","non-dropping-particle":"","parse-names":false,"suffix":""},{"dropping-particle":"","family":"Micale","given":"Giorgio","non-dropping-particle":"","parse-names":false,"suffix":""}],"container-title":"Energies","id":"ITEM-1","issue":"20","issued":{"date-parts":[["2020","10","21"]]},"page":"5510","publisher":"Multidisciplinary Digital Publishing Institute","title":"Energy Harvesting by Waste Acid/Base Neutralization via Bipolar Membrane Reverse Electrodialysis","type":"article-journal","volume":"13"},"uris":["http://www.mendeley.com/documents/?uuid=10702d0b-5c2e-3516-b155-280c7a4812c4"]}],"mendeley":{"formattedCitation":"[11]","plainTextFormattedCitation":"[11]","previouslyFormattedCitation":"[11]"},"properties":{"noteIndex":0},"schema":"https://github.com/citation-style-language/schema/raw/master/csl-citation.json"}</w:instrText>
      </w:r>
      <w:r w:rsidR="004B2543" w:rsidRPr="005C3FE9">
        <w:rPr>
          <w:lang w:val="en-GB" w:eastAsia="en-US"/>
        </w:rPr>
        <w:fldChar w:fldCharType="separate"/>
      </w:r>
      <w:r w:rsidR="004319C3" w:rsidRPr="004319C3">
        <w:rPr>
          <w:noProof/>
          <w:lang w:val="en-GB" w:eastAsia="en-US"/>
        </w:rPr>
        <w:t>[11]</w:t>
      </w:r>
      <w:r w:rsidR="004B2543" w:rsidRPr="005C3FE9">
        <w:rPr>
          <w:lang w:val="en-GB" w:eastAsia="en-US"/>
        </w:rPr>
        <w:fldChar w:fldCharType="end"/>
      </w:r>
      <w:r w:rsidRPr="005C3FE9">
        <w:rPr>
          <w:lang w:val="en-GB" w:eastAsia="en-US"/>
        </w:rPr>
        <w:t xml:space="preserve"> (i.e., AB-FB discharge phase). These studies</w:t>
      </w:r>
      <w:r w:rsidR="003362FF" w:rsidRPr="005C3FE9">
        <w:rPr>
          <w:lang w:val="en-GB" w:eastAsia="en-US"/>
        </w:rPr>
        <w:t xml:space="preserve"> have </w:t>
      </w:r>
      <w:r w:rsidR="00680446" w:rsidRPr="005C3FE9">
        <w:rPr>
          <w:lang w:val="en-GB" w:eastAsia="en-US"/>
        </w:rPr>
        <w:t xml:space="preserve">mainly </w:t>
      </w:r>
      <w:r w:rsidRPr="005C3FE9">
        <w:rPr>
          <w:lang w:val="en-GB" w:eastAsia="en-US"/>
        </w:rPr>
        <w:t xml:space="preserve">conducted </w:t>
      </w:r>
      <w:r w:rsidR="003362FF" w:rsidRPr="005C3FE9">
        <w:rPr>
          <w:lang w:val="en-GB" w:eastAsia="en-US"/>
        </w:rPr>
        <w:t xml:space="preserve">experimental analyses under several operating conditions (e.g., current and voltage, mean flow velocities, temperature, etc.) and stack </w:t>
      </w:r>
      <w:r w:rsidR="00FE2D45">
        <w:rPr>
          <w:lang w:val="en-GB" w:eastAsia="en-US"/>
        </w:rPr>
        <w:t>sizes</w:t>
      </w:r>
      <w:r w:rsidR="00FE2D45" w:rsidRPr="005C3FE9">
        <w:rPr>
          <w:lang w:val="en-GB" w:eastAsia="en-US"/>
        </w:rPr>
        <w:t xml:space="preserve"> </w:t>
      </w:r>
      <w:r w:rsidR="003362FF" w:rsidRPr="005C3FE9">
        <w:rPr>
          <w:lang w:val="en-GB" w:eastAsia="en-US"/>
        </w:rPr>
        <w:t>(e.g., length, width, number of repeating units, etc.)</w:t>
      </w:r>
      <w:r w:rsidR="00680446" w:rsidRPr="005C3FE9">
        <w:rPr>
          <w:lang w:val="en-GB" w:eastAsia="en-US"/>
        </w:rPr>
        <w:t>,</w:t>
      </w:r>
      <w:r w:rsidR="003362FF" w:rsidRPr="005C3FE9">
        <w:rPr>
          <w:lang w:val="en-GB" w:eastAsia="en-US"/>
        </w:rPr>
        <w:t xml:space="preserve"> </w:t>
      </w:r>
      <w:r w:rsidR="003362FF" w:rsidRPr="005C3FE9">
        <w:rPr>
          <w:lang w:val="en-US" w:eastAsia="en-US"/>
        </w:rPr>
        <w:t>reveal</w:t>
      </w:r>
      <w:r w:rsidR="00680446" w:rsidRPr="005C3FE9">
        <w:rPr>
          <w:lang w:val="en-US" w:eastAsia="en-US"/>
        </w:rPr>
        <w:t>ing</w:t>
      </w:r>
      <w:r w:rsidR="003362FF" w:rsidRPr="005C3FE9">
        <w:rPr>
          <w:lang w:val="en-US" w:eastAsia="en-US"/>
        </w:rPr>
        <w:t xml:space="preserve"> </w:t>
      </w:r>
      <w:r w:rsidR="00680446" w:rsidRPr="005C3FE9">
        <w:rPr>
          <w:lang w:val="en-US" w:eastAsia="en-US"/>
        </w:rPr>
        <w:t>some</w:t>
      </w:r>
      <w:r w:rsidR="003362FF" w:rsidRPr="005C3FE9">
        <w:rPr>
          <w:lang w:val="en-US" w:eastAsia="en-US"/>
        </w:rPr>
        <w:t xml:space="preserve"> relation </w:t>
      </w:r>
      <w:r w:rsidR="00680446" w:rsidRPr="005C3FE9">
        <w:rPr>
          <w:lang w:val="en-US" w:eastAsia="en-US"/>
        </w:rPr>
        <w:t>with the</w:t>
      </w:r>
      <w:r w:rsidR="003362FF" w:rsidRPr="005C3FE9">
        <w:rPr>
          <w:lang w:val="en-US" w:eastAsia="en-US"/>
        </w:rPr>
        <w:t xml:space="preserve"> system performance. </w:t>
      </w:r>
      <w:r w:rsidR="004B14D4" w:rsidRPr="004B14D4">
        <w:rPr>
          <w:lang w:val="en-US" w:eastAsia="en-US"/>
        </w:rPr>
        <w:t xml:space="preserve">Only a bi-objective </w:t>
      </w:r>
      <w:proofErr w:type="spellStart"/>
      <w:r w:rsidR="004B14D4" w:rsidRPr="004B14D4">
        <w:rPr>
          <w:lang w:val="en-US" w:eastAsia="en-US"/>
        </w:rPr>
        <w:t>optimi</w:t>
      </w:r>
      <w:r w:rsidR="008A0EAC">
        <w:rPr>
          <w:lang w:val="en-US" w:eastAsia="en-US"/>
        </w:rPr>
        <w:t>s</w:t>
      </w:r>
      <w:r w:rsidR="004B14D4" w:rsidRPr="004B14D4">
        <w:rPr>
          <w:lang w:val="en-US" w:eastAsia="en-US"/>
        </w:rPr>
        <w:t>ation</w:t>
      </w:r>
      <w:proofErr w:type="spellEnd"/>
      <w:r w:rsidR="004B14D4" w:rsidRPr="004B14D4">
        <w:rPr>
          <w:lang w:val="en-US" w:eastAsia="en-US"/>
        </w:rPr>
        <w:t xml:space="preserve"> analysis, with CO</w:t>
      </w:r>
      <w:r w:rsidR="004B14D4" w:rsidRPr="004B14D4">
        <w:rPr>
          <w:vertAlign w:val="subscript"/>
          <w:lang w:val="en-US" w:eastAsia="en-US"/>
        </w:rPr>
        <w:t>2</w:t>
      </w:r>
      <w:r w:rsidR="004B14D4" w:rsidRPr="004B14D4">
        <w:rPr>
          <w:lang w:val="en-US" w:eastAsia="en-US"/>
        </w:rPr>
        <w:t xml:space="preserve"> productivity and energy demand as objective </w:t>
      </w:r>
      <w:r w:rsidR="004B14D4" w:rsidRPr="004B14D4">
        <w:rPr>
          <w:lang w:val="en-US" w:eastAsia="en-US"/>
        </w:rPr>
        <w:lastRenderedPageBreak/>
        <w:t xml:space="preserve">functions, was performed for the BMED process, specifically for carbon capture applications </w:t>
      </w:r>
      <w:r w:rsidR="004B14D4" w:rsidRPr="004B14D4">
        <w:rPr>
          <w:lang w:val="en-US" w:eastAsia="en-US"/>
        </w:rPr>
        <w:fldChar w:fldCharType="begin" w:fldLock="1"/>
      </w:r>
      <w:r w:rsidR="00E77EC7">
        <w:rPr>
          <w:lang w:val="en-US" w:eastAsia="en-US"/>
        </w:rPr>
        <w:instrText>ADDIN CSL_CITATION {"citationItems":[{"id":"ITEM-1","itemData":{"DOI":"10.1021/acs.iecr.2c00889","ISBN":"12668−12679","ISSN":"0888-5885","abstract":"Bipolar membrane electrodialysis (BPMED) could allow for the complete electrification of direct air capture (DAC) technologies. In this work, we have modeled and optimized two DAC processes based on different electrodialysis cell designs. The technical assessment has been complemented by a detailed economic analysis, showing the advantages but also the current shortcomings of this technology and pathways for advancement. A minimum energy demand of 24 MJ kgCO2-1has been estimated for the base-case scenario, a result comparable to what has been reported for other liquid-scrubbing DAC technologies. Several solutions to further abate power consumption have been reviewed, with the most promising case providing a 29% reduction. Membrane cost and performance are currently the main limiting factors. In a scenario where cheaper membranes with better performance are assumed to be available, total costs below $250 tonCO2-1may be feasible, making BPMED a viable fully electrified alternative to other technologies requiring natural gas.","author":[{"dropping-particle":"","family":"Sabatino","given":"Francesco","non-dropping-particle":"","parse-names":false,"suffix":""},{"dropping-particle":"","family":"Gazzani","given":"Matteo","non-dropping-particle":"","parse-names":false,"suffix":""},{"dropping-particle":"","family":"Gallucci","given":"Fausto","non-dropping-particle":"","parse-names":false,"suffix":""},{"dropping-particle":"","family":"Sint Annaland","given":"Martin","non-dropping-particle":"van","parse-names":false,"suffix":""}],"container-title":"Industrial &amp; Engineering Chemistry Research","id":"ITEM-1","issue":"34","issued":{"date-parts":[["2022","8","31"]]},"page":"12668-12679","title":"Modeling, Optimization, and Techno-Economic Analysis of Bipolar Membrane Electrodialysis for Direct Air Capture Processes","type":"article-journal","volume":"61"},"uris":["http://www.mendeley.com/documents/?uuid=3643a215-2395-3c0a-ae01-f274d97612bc"]}],"mendeley":{"formattedCitation":"[12]","plainTextFormattedCitation":"[12]","previouslyFormattedCitation":"[12]"},"properties":{"noteIndex":0},"schema":"https://github.com/citation-style-language/schema/raw/master/csl-citation.json"}</w:instrText>
      </w:r>
      <w:r w:rsidR="004B14D4" w:rsidRPr="004B14D4">
        <w:rPr>
          <w:lang w:val="en-US" w:eastAsia="en-US"/>
        </w:rPr>
        <w:fldChar w:fldCharType="separate"/>
      </w:r>
      <w:r w:rsidR="004319C3" w:rsidRPr="004319C3">
        <w:rPr>
          <w:noProof/>
          <w:lang w:val="en-US" w:eastAsia="en-US"/>
        </w:rPr>
        <w:t>[12]</w:t>
      </w:r>
      <w:r w:rsidR="004B14D4" w:rsidRPr="004B14D4">
        <w:rPr>
          <w:lang w:val="en-US" w:eastAsia="en-US"/>
        </w:rPr>
        <w:fldChar w:fldCharType="end"/>
      </w:r>
      <w:r w:rsidR="004B14D4" w:rsidRPr="004B14D4">
        <w:rPr>
          <w:lang w:val="en-US" w:eastAsia="en-US"/>
        </w:rPr>
        <w:t xml:space="preserve">. </w:t>
      </w:r>
      <w:r w:rsidR="00C579BA" w:rsidRPr="004B14D4">
        <w:rPr>
          <w:lang w:val="en-US"/>
        </w:rPr>
        <w:t>However, none of the</w:t>
      </w:r>
      <w:r w:rsidR="0097030B" w:rsidRPr="004B14D4">
        <w:rPr>
          <w:lang w:val="en-US"/>
        </w:rPr>
        <w:t>se</w:t>
      </w:r>
      <w:r w:rsidR="00C579BA" w:rsidRPr="004B14D4">
        <w:rPr>
          <w:lang w:val="en-US"/>
        </w:rPr>
        <w:t xml:space="preserve"> studies </w:t>
      </w:r>
      <w:r w:rsidR="0097030B" w:rsidRPr="004B14D4">
        <w:rPr>
          <w:lang w:val="en-US"/>
        </w:rPr>
        <w:t>identif</w:t>
      </w:r>
      <w:r w:rsidR="00615829" w:rsidRPr="004B14D4">
        <w:rPr>
          <w:lang w:val="en-US"/>
        </w:rPr>
        <w:t>ied</w:t>
      </w:r>
      <w:r w:rsidR="00C579BA" w:rsidRPr="004B14D4">
        <w:rPr>
          <w:lang w:val="en-US"/>
        </w:rPr>
        <w:t xml:space="preserve"> a set of conditions that </w:t>
      </w:r>
      <w:proofErr w:type="spellStart"/>
      <w:r w:rsidR="00C579BA" w:rsidRPr="004B14D4">
        <w:rPr>
          <w:lang w:val="en-US"/>
        </w:rPr>
        <w:t>maximi</w:t>
      </w:r>
      <w:r w:rsidR="008A0EAC">
        <w:rPr>
          <w:lang w:val="en-US"/>
        </w:rPr>
        <w:t>s</w:t>
      </w:r>
      <w:r w:rsidR="00C579BA" w:rsidRPr="004B14D4">
        <w:rPr>
          <w:lang w:val="en-US"/>
        </w:rPr>
        <w:t>e</w:t>
      </w:r>
      <w:proofErr w:type="spellEnd"/>
      <w:r w:rsidR="00C579BA" w:rsidRPr="004B14D4">
        <w:rPr>
          <w:lang w:val="en-US"/>
        </w:rPr>
        <w:t xml:space="preserve"> the performance of </w:t>
      </w:r>
      <w:r w:rsidR="00A85870" w:rsidRPr="004B14D4">
        <w:rPr>
          <w:lang w:val="en-US"/>
        </w:rPr>
        <w:t xml:space="preserve">the </w:t>
      </w:r>
      <w:r w:rsidR="00C579BA" w:rsidRPr="004B14D4">
        <w:rPr>
          <w:lang w:val="en-US"/>
        </w:rPr>
        <w:t>BMRED process.</w:t>
      </w:r>
      <w:r w:rsidR="00C579BA" w:rsidRPr="005C3FE9">
        <w:rPr>
          <w:lang w:val="en-US"/>
        </w:rPr>
        <w:t xml:space="preserve"> </w:t>
      </w:r>
    </w:p>
    <w:p w14:paraId="4C7B6D65" w14:textId="0C984A8E" w:rsidR="00FF4655" w:rsidRPr="0064076D" w:rsidRDefault="00615829" w:rsidP="00FF4655">
      <w:pPr>
        <w:rPr>
          <w:color w:val="000000" w:themeColor="text1"/>
          <w:lang w:val="en-US"/>
        </w:rPr>
      </w:pPr>
      <w:r w:rsidRPr="005C3FE9">
        <w:rPr>
          <w:color w:val="000000" w:themeColor="text1"/>
          <w:lang w:val="en-US"/>
        </w:rPr>
        <w:t xml:space="preserve">In contrast, several </w:t>
      </w:r>
      <w:proofErr w:type="spellStart"/>
      <w:r w:rsidRPr="005C3FE9">
        <w:rPr>
          <w:color w:val="000000" w:themeColor="text1"/>
          <w:lang w:val="en-US"/>
        </w:rPr>
        <w:t>optimi</w:t>
      </w:r>
      <w:r w:rsidR="008A0EAC">
        <w:rPr>
          <w:color w:val="000000" w:themeColor="text1"/>
          <w:lang w:val="en-US"/>
        </w:rPr>
        <w:t>s</w:t>
      </w:r>
      <w:r w:rsidRPr="005C3FE9">
        <w:rPr>
          <w:color w:val="000000" w:themeColor="text1"/>
          <w:lang w:val="en-US"/>
        </w:rPr>
        <w:t>ation</w:t>
      </w:r>
      <w:proofErr w:type="spellEnd"/>
      <w:r w:rsidRPr="005C3FE9">
        <w:rPr>
          <w:color w:val="000000" w:themeColor="text1"/>
          <w:lang w:val="en-US"/>
        </w:rPr>
        <w:t xml:space="preserve"> studies </w:t>
      </w:r>
      <w:r w:rsidR="00463E52" w:rsidRPr="005C3FE9">
        <w:rPr>
          <w:color w:val="000000" w:themeColor="text1"/>
          <w:lang w:val="en-US"/>
        </w:rPr>
        <w:t xml:space="preserve">of </w:t>
      </w:r>
      <w:proofErr w:type="spellStart"/>
      <w:r w:rsidR="00F71708">
        <w:rPr>
          <w:color w:val="000000" w:themeColor="text1"/>
          <w:lang w:val="en-US"/>
        </w:rPr>
        <w:t>ElectroDialysis</w:t>
      </w:r>
      <w:proofErr w:type="spellEnd"/>
      <w:r w:rsidR="00F71708">
        <w:rPr>
          <w:color w:val="000000" w:themeColor="text1"/>
          <w:lang w:val="en-US"/>
        </w:rPr>
        <w:t xml:space="preserve"> (</w:t>
      </w:r>
      <w:r w:rsidR="00463E52" w:rsidRPr="005C3FE9">
        <w:rPr>
          <w:color w:val="000000" w:themeColor="text1"/>
          <w:lang w:val="en-US"/>
        </w:rPr>
        <w:t>ED</w:t>
      </w:r>
      <w:r w:rsidR="00F71708">
        <w:rPr>
          <w:color w:val="000000" w:themeColor="text1"/>
          <w:lang w:val="en-US"/>
        </w:rPr>
        <w:t>)</w:t>
      </w:r>
      <w:r w:rsidR="00463E52" w:rsidRPr="005C3FE9">
        <w:rPr>
          <w:color w:val="000000" w:themeColor="text1"/>
          <w:lang w:val="en-US"/>
        </w:rPr>
        <w:t xml:space="preserve"> systems </w:t>
      </w:r>
      <w:r w:rsidRPr="005C3FE9">
        <w:rPr>
          <w:color w:val="000000" w:themeColor="text1"/>
          <w:lang w:val="en-US"/>
        </w:rPr>
        <w:t xml:space="preserve">have been performed so far. </w:t>
      </w:r>
      <w:proofErr w:type="spellStart"/>
      <w:r w:rsidR="00FF4655" w:rsidRPr="005C3FE9">
        <w:rPr>
          <w:color w:val="000000" w:themeColor="text1"/>
          <w:lang w:val="en-US"/>
        </w:rPr>
        <w:t>Chindapan</w:t>
      </w:r>
      <w:proofErr w:type="spellEnd"/>
      <w:r w:rsidR="00FF4655" w:rsidRPr="005C3FE9">
        <w:rPr>
          <w:color w:val="000000" w:themeColor="text1"/>
          <w:lang w:val="en-US"/>
        </w:rPr>
        <w:t xml:space="preserve"> et al. </w:t>
      </w:r>
      <w:r w:rsidR="00FF4655" w:rsidRPr="005C3FE9">
        <w:rPr>
          <w:color w:val="000000" w:themeColor="text1"/>
          <w:lang w:val="en-GB"/>
        </w:rPr>
        <w:fldChar w:fldCharType="begin" w:fldLock="1"/>
      </w:r>
      <w:r w:rsidR="00E77EC7">
        <w:rPr>
          <w:color w:val="000000" w:themeColor="text1"/>
          <w:lang w:val="en-GB"/>
        </w:rPr>
        <w:instrText>ADDIN CSL_CITATION {"citationItems":[{"id":"ITEM-1","itemData":{"DOI":"10.1007/s11947-012-0914-6","ISSN":"19355130","abstract":"Electrodialysis (ED) has been proposed as a means to reduce sodium ion concentration in fish sauce. However, no information is so far available on the optimum condition to operate the ED process. Artificial neural network (ANN)-based models were therefore developed to predict the ED performance and changes in selected quality attributes of ED-treated fish sauce; optimum operating condition of the process was then determined via multi-objective optimization using genetic algorithm (MOGA). The optimal ANN models were able to predict the ED performance with R 2 = 0.995, fish sauce basic characteristics with R 2 = 0.992, and the concentrations of total aroma compounds and total amino acids, flavor difference, and saltiness of the treated fish sauce with R 2 = 0.999. Through the use of MOGA, the optimum condition of the ED process was the use of an applied voltage of 6.3 V and the maintenance of the residual salt concentration of the treated fish sauce of 14.3 % (w/w). © 2012 Springer Science+Business Media, LLC.","author":[{"dropping-particle":"","family":"Chindapan","given":"Nathamol","non-dropping-particle":"","parse-names":false,"suffix":""},{"dropping-particle":"","family":"Sablani","given":"Shyam S.","non-dropping-particle":"","parse-names":false,"suffix":""},{"dropping-particle":"","family":"Chiewchan","given":"Naphaporn","non-dropping-particle":"","parse-names":false,"suffix":""},{"dropping-particle":"","family":"Devahastin","given":"Sakamon","non-dropping-particle":"","parse-names":false,"suffix":""}],"container-title":"Food and Bioprocess Technology","id":"ITEM-1","issue":"10","issued":{"date-parts":[["2013"]]},"page":"2695-2707","title":"Modeling and Optimization of Electrodialytic Desalination of Fish Sauce Using Artificial Neural Networks and Genetic Algorithm","type":"article-journal","volume":"6"},"uris":["http://www.mendeley.com/documents/?uuid=714ac771-dc82-45f9-8e82-e39a883bfd9d","http://www.mendeley.com/documents/?uuid=38660e62-a919-478e-8fdc-7669ee790e26"]}],"mendeley":{"formattedCitation":"[13]","plainTextFormattedCitation":"[13]","previouslyFormattedCitation":"[13]"},"properties":{"noteIndex":0},"schema":"https://github.com/citation-style-language/schema/raw/master/csl-citation.json"}</w:instrText>
      </w:r>
      <w:r w:rsidR="00FF4655" w:rsidRPr="005C3FE9">
        <w:rPr>
          <w:color w:val="000000" w:themeColor="text1"/>
          <w:lang w:val="en-GB"/>
        </w:rPr>
        <w:fldChar w:fldCharType="separate"/>
      </w:r>
      <w:r w:rsidR="004319C3" w:rsidRPr="004319C3">
        <w:rPr>
          <w:noProof/>
          <w:color w:val="000000" w:themeColor="text1"/>
          <w:lang w:val="en-GB"/>
        </w:rPr>
        <w:t>[13]</w:t>
      </w:r>
      <w:r w:rsidR="00FF4655" w:rsidRPr="005C3FE9">
        <w:rPr>
          <w:color w:val="000000" w:themeColor="text1"/>
        </w:rPr>
        <w:fldChar w:fldCharType="end"/>
      </w:r>
      <w:r w:rsidR="00FF4655" w:rsidRPr="005C3FE9">
        <w:rPr>
          <w:color w:val="000000" w:themeColor="text1"/>
          <w:lang w:val="en-GB"/>
        </w:rPr>
        <w:t xml:space="preserve"> conducted a multi-objective optimi</w:t>
      </w:r>
      <w:r w:rsidR="008A0EAC">
        <w:rPr>
          <w:color w:val="000000" w:themeColor="text1"/>
          <w:lang w:val="en-GB"/>
        </w:rPr>
        <w:t>s</w:t>
      </w:r>
      <w:r w:rsidR="00FF4655" w:rsidRPr="005C3FE9">
        <w:rPr>
          <w:color w:val="000000" w:themeColor="text1"/>
          <w:lang w:val="en-GB"/>
        </w:rPr>
        <w:t>ation using the Multi-Objective Genetic Algorithm method (MOGA) with final product concentrations and energy consumption as objective functions.</w:t>
      </w:r>
      <w:r w:rsidR="00FF4655" w:rsidRPr="005C3FE9">
        <w:rPr>
          <w:color w:val="000000" w:themeColor="text1"/>
          <w:lang w:val="en-US"/>
        </w:rPr>
        <w:t xml:space="preserve"> </w:t>
      </w:r>
      <w:proofErr w:type="spellStart"/>
      <w:r w:rsidR="00FF4655" w:rsidRPr="00797495">
        <w:rPr>
          <w:color w:val="000000" w:themeColor="text1"/>
          <w:lang w:val="fr-FR"/>
        </w:rPr>
        <w:t>Bian</w:t>
      </w:r>
      <w:proofErr w:type="spellEnd"/>
      <w:r w:rsidR="00FF4655" w:rsidRPr="00797495">
        <w:rPr>
          <w:color w:val="000000" w:themeColor="text1"/>
          <w:lang w:val="fr-FR"/>
        </w:rPr>
        <w:t xml:space="preserve"> et al. </w:t>
      </w:r>
      <w:r w:rsidR="00FF4655" w:rsidRPr="005C3FE9">
        <w:rPr>
          <w:color w:val="000000" w:themeColor="text1"/>
          <w:lang w:val="en-GB"/>
        </w:rPr>
        <w:fldChar w:fldCharType="begin" w:fldLock="1"/>
      </w:r>
      <w:r w:rsidR="00E77EC7">
        <w:rPr>
          <w:color w:val="000000" w:themeColor="text1"/>
          <w:lang w:val="fr-FR"/>
        </w:rPr>
        <w:instrText>ADDIN CSL_CITATION {"citationItems":[{"id":"ITEM-1","itemData":{"DOI":"10.1016/j.desal.2018.09.004","ISSN":"00119164","abstract":"This paper presents the cost optimization of a photovoltaic-powered electrodialysis reversal (PV-EDR) system for village-scale applications in rural India based on current component costs and performance. A PV-EDR alternative was explored because it requires half the specific energy (and thus half the power system cost), and reduces water wastage from 60% to less than 10%, compared to small-scale reverse osmosis (RO) systems for groundwater salinity levels commonly found in India. Through co-optimization of the PV and EDR subsystems, the optimal system was predicted to cost $23,420 (42% less than a system designed using conventional engineering practice). A key to the cost reduction was flexible water production that accommodates daily changes in solar irradiance with overproduction on sunny days and water buffer storage tanks. A sensitivity analysis revealed that the capital cost of the total system is most sensitive to membrane area; reducing membrane cost by 87% would half the system capital cost. The optimization method presented here, as well as the cost saving strategies of time-variant operation and load matching with solar irradiance availability, provide design strategies that are relevant to other PV-EDR architectures and general off-grid desalination applications.","author":[{"dropping-particle":"","family":"Bian","given":"David W.","non-dropping-particle":"","parse-names":false,"suffix":""},{"dropping-particle":"","family":"Watson","given":"Sterling M.","non-dropping-particle":"","parse-names":false,"suffix":""},{"dropping-particle":"","family":"Wright","given":"Natasha C.","non-dropping-particle":"","parse-names":false,"suffix":""},{"dropping-particle":"","family":"Shah","given":"Sahil R.","non-dropping-particle":"","parse-names":false,"suffix":""},{"dropping-particle":"","family":"Buonassisi","given":"Tonio","non-dropping-particle":"","parse-names":false,"suffix":""},{"dropping-particle":"","family":"Ramanujan","given":"Devarajan","non-dropping-particle":"","parse-names":false,"suffix":""},{"dropping-particle":"","family":"Peters","given":"Ian M.","non-dropping-particle":"","parse-names":false,"suffix":""},{"dropping-particle":"","family":"Winter","given":"Amos G.","non-dropping-particle":"","parse-names":false,"suffix":""}],"container-title":"Desalination","id":"ITEM-1","issued":{"date-parts":[["2019","2","15"]]},"page":"265-278","publisher":"Elsevier","title":"Optimization and design of a low-cost, village-scale, photovoltaic-powered, electrodialysis reversal desalination system for rural India","type":"article-journal","volume":"452"},"uris":["http://www.mendeley.com/documents/?uuid=1503536f-decf-3011-b8ff-4b216743c234"]}],"mendeley":{"formattedCitation":"[14]","plainTextFormattedCitation":"[14]","previouslyFormattedCitation":"[14]"},"properties":{"noteIndex":0},"schema":"https://github.com/citation-style-language/schema/raw/master/csl-citation.json"}</w:instrText>
      </w:r>
      <w:r w:rsidR="00FF4655" w:rsidRPr="005C3FE9">
        <w:rPr>
          <w:color w:val="000000" w:themeColor="text1"/>
          <w:lang w:val="en-GB"/>
        </w:rPr>
        <w:fldChar w:fldCharType="separate"/>
      </w:r>
      <w:r w:rsidR="004319C3" w:rsidRPr="004319C3">
        <w:rPr>
          <w:noProof/>
          <w:color w:val="000000" w:themeColor="text1"/>
          <w:lang w:val="en-US"/>
        </w:rPr>
        <w:t>[14]</w:t>
      </w:r>
      <w:r w:rsidR="00FF4655" w:rsidRPr="005C3FE9">
        <w:rPr>
          <w:color w:val="000000" w:themeColor="text1"/>
        </w:rPr>
        <w:fldChar w:fldCharType="end"/>
      </w:r>
      <w:r w:rsidR="00FF4655" w:rsidRPr="00DE3837">
        <w:rPr>
          <w:color w:val="000000" w:themeColor="text1"/>
          <w:lang w:val="en-US"/>
        </w:rPr>
        <w:t xml:space="preserve"> attempted to </w:t>
      </w:r>
      <w:proofErr w:type="spellStart"/>
      <w:r w:rsidR="00FF4655" w:rsidRPr="00DE3837">
        <w:rPr>
          <w:color w:val="000000" w:themeColor="text1"/>
          <w:lang w:val="en-US"/>
        </w:rPr>
        <w:t>minimi</w:t>
      </w:r>
      <w:r w:rsidR="008A0EAC" w:rsidRPr="00DE3837">
        <w:rPr>
          <w:color w:val="000000" w:themeColor="text1"/>
          <w:lang w:val="en-US"/>
        </w:rPr>
        <w:t>s</w:t>
      </w:r>
      <w:r w:rsidR="00FF4655" w:rsidRPr="00DE3837">
        <w:rPr>
          <w:color w:val="000000" w:themeColor="text1"/>
          <w:lang w:val="en-US"/>
        </w:rPr>
        <w:t>e</w:t>
      </w:r>
      <w:proofErr w:type="spellEnd"/>
      <w:r w:rsidR="00FF4655" w:rsidRPr="00DE3837">
        <w:rPr>
          <w:color w:val="000000" w:themeColor="text1"/>
          <w:lang w:val="en-US"/>
        </w:rPr>
        <w:t xml:space="preserve"> the overall costs through Particle Swarm Optimization (PSO) </w:t>
      </w:r>
      <w:r w:rsidR="00FF4655" w:rsidRPr="005C3FE9">
        <w:rPr>
          <w:color w:val="000000" w:themeColor="text1"/>
          <w:lang w:val="en-GB"/>
        </w:rPr>
        <w:fldChar w:fldCharType="begin" w:fldLock="1"/>
      </w:r>
      <w:r w:rsidR="00E77EC7">
        <w:rPr>
          <w:color w:val="000000" w:themeColor="text1"/>
          <w:lang w:val="en-US"/>
        </w:rPr>
        <w:instrText>ADDIN CSL_CITATION {"citationItems":[{"id":"ITEM-1","itemData":{"DOI":"10.4018/ijmfmp.2015010104","ISSN":"2334-4563","abstract":"A concept for the optimization of nonlinear functions using particle swarm methodology is introduced. The evolution of several paradigms is outlined, and an implementation of one of the paradigms is discussed. Benchmark testing of the paradigm is described, and applications, including nonlinear function optimization and neural network training, are proposed. The relationships between particle swarm optimization and both artificial life and genetic algorithms are described.","author":[{"dropping-particle":"","family":"Kennedy","given":"James","non-dropping-particle":"","parse-names":false,"suffix":""},{"dropping-particle":"","family":"Eberhart","given":"Russell","non-dropping-particle":"","parse-names":false,"suffix":""}],"container-title":"IEEE International Conference on Neural Networks - Conference Proceedings","id":"ITEM-1","issued":{"date-parts":[["1995"]]},"title":"Particle swarm optimization","type":"paper-conference"},"uris":["http://www.mendeley.com/documents/?uuid=584d7dfb-70ef-47b0-945b-c171094af819","http://www.mendeley.com/documents/?uuid=f5bef710-de9c-4b0a-994e-fc93468fb3ef"]}],"mendeley":{"formattedCitation":"[15]","plainTextFormattedCitation":"[15]","previouslyFormattedCitation":"[15]"},"properties":{"noteIndex":0},"schema":"https://github.com/citation-style-language/schema/raw/master/csl-citation.json"}</w:instrText>
      </w:r>
      <w:r w:rsidR="00FF4655" w:rsidRPr="005C3FE9">
        <w:rPr>
          <w:color w:val="000000" w:themeColor="text1"/>
          <w:lang w:val="en-GB"/>
        </w:rPr>
        <w:fldChar w:fldCharType="separate"/>
      </w:r>
      <w:r w:rsidR="004319C3" w:rsidRPr="004319C3">
        <w:rPr>
          <w:noProof/>
          <w:color w:val="000000" w:themeColor="text1"/>
          <w:lang w:val="en-US"/>
        </w:rPr>
        <w:t>[15]</w:t>
      </w:r>
      <w:r w:rsidR="00FF4655" w:rsidRPr="005C3FE9">
        <w:rPr>
          <w:color w:val="000000" w:themeColor="text1"/>
        </w:rPr>
        <w:fldChar w:fldCharType="end"/>
      </w:r>
      <w:r w:rsidR="00FF4655" w:rsidRPr="00DE3837">
        <w:rPr>
          <w:color w:val="000000" w:themeColor="text1"/>
          <w:lang w:val="en-US"/>
        </w:rPr>
        <w:t xml:space="preserve"> from a previou</w:t>
      </w:r>
      <w:r w:rsidR="00FF4655" w:rsidRPr="0064076D">
        <w:rPr>
          <w:color w:val="000000" w:themeColor="text1"/>
          <w:lang w:val="en-US"/>
        </w:rPr>
        <w:t xml:space="preserve">s </w:t>
      </w:r>
      <w:r w:rsidR="00FF4655" w:rsidRPr="005C3FE9">
        <w:rPr>
          <w:color w:val="000000" w:themeColor="text1"/>
          <w:lang w:val="en-GB"/>
        </w:rPr>
        <w:t xml:space="preserve">ED model </w:t>
      </w:r>
      <w:r w:rsidR="00FF4655" w:rsidRPr="005C3FE9">
        <w:rPr>
          <w:color w:val="000000" w:themeColor="text1"/>
          <w:lang w:val="en-GB"/>
        </w:rPr>
        <w:fldChar w:fldCharType="begin" w:fldLock="1"/>
      </w:r>
      <w:r w:rsidR="00E77EC7">
        <w:rPr>
          <w:color w:val="000000" w:themeColor="text1"/>
          <w:lang w:val="en-GB"/>
        </w:rPr>
        <w:instrText>ADDIN CSL_CITATION {"citationItems":[{"id":"ITEM-1","itemData":{"DOI":"10.1016/j.desal.2018.04.018","ISSN":"00119164","abstract":"This paper presents a robust analytical model for brackish water desalination using electrodialysis (ED), with prediction of the desalination rate, limiting current density, and total energy use including pumping energy. Several assumptions reduce computation time and accurately model ED system behavior. The predicted desalination rate, limiting current density, and total energy usage agree with measurements across two diverse ED stack designs, differing in total membrane area (0.18 m2, 37.1 m2), membrane manufacturers (GE Water, PCA GmbH), and flow channel spacers. The commercial-scale stack was additionally tested with real groundwater, demonstrating that brackish groundwater may be modeled as an equivalent concentration NaCl solution. Sensitivity to the membrane diffusion coefficient, area available for ion transport, level of discretization along the flow channel length, boundary layer and membrane resistances, and water transport are analyzed to guide empirical characterization when higher accuracy is required. No single existing model for pressure drop in the membrane spacers could accurately predict pumping power in both stacks. One model for each stack was found to reasonably approximate pressure drop, however experimental validation of specific spacer designs is recommended. The fully quantitative, parametric description of electrodialysis behavior presented forms a useful tool to design, evaluate, and optimize ED systems.","author":[{"dropping-particle":"","family":"Wright","given":"Natasha C.","non-dropping-particle":"","parse-names":false,"suffix":""},{"dropping-particle":"","family":"Shah","given":"Sahil R.","non-dropping-particle":"","parse-names":false,"suffix":""},{"dropping-particle":"","family":"Amrose","given":"Susan E.","non-dropping-particle":"","parse-names":false,"suffix":""},{"dropping-particle":"","family":"Winter","given":"Amos G.","non-dropping-particle":"","parse-names":false,"suffix":""}],"container-title":"Desalination","id":"ITEM-1","issued":{"date-parts":[["2018","10"]]},"page":"27-43","title":"A robust model of brackish water electrodialysis desalination with experimental comparison at different size scales","type":"article-journal","volume":"443"},"uris":["http://www.mendeley.com/documents/?uuid=59abdee6-99ce-465b-ba44-0d3737e0f928"]}],"mendeley":{"formattedCitation":"[16]","plainTextFormattedCitation":"[16]","previouslyFormattedCitation":"[16]"},"properties":{"noteIndex":0},"schema":"https://github.com/citation-style-language/schema/raw/master/csl-citation.json"}</w:instrText>
      </w:r>
      <w:r w:rsidR="00FF4655" w:rsidRPr="005C3FE9">
        <w:rPr>
          <w:color w:val="000000" w:themeColor="text1"/>
          <w:lang w:val="en-GB"/>
        </w:rPr>
        <w:fldChar w:fldCharType="separate"/>
      </w:r>
      <w:r w:rsidR="004319C3" w:rsidRPr="004319C3">
        <w:rPr>
          <w:noProof/>
          <w:color w:val="000000" w:themeColor="text1"/>
        </w:rPr>
        <w:t>[16]</w:t>
      </w:r>
      <w:r w:rsidR="00FF4655" w:rsidRPr="005C3FE9">
        <w:rPr>
          <w:color w:val="000000" w:themeColor="text1"/>
        </w:rPr>
        <w:fldChar w:fldCharType="end"/>
      </w:r>
      <w:r w:rsidR="00FF4655" w:rsidRPr="00EB783A">
        <w:rPr>
          <w:color w:val="000000" w:themeColor="text1"/>
        </w:rPr>
        <w:t xml:space="preserve">. </w:t>
      </w:r>
      <w:proofErr w:type="spellStart"/>
      <w:r w:rsidR="00FF4655" w:rsidRPr="00EB783A">
        <w:rPr>
          <w:color w:val="000000" w:themeColor="text1"/>
        </w:rPr>
        <w:t>Guesmi</w:t>
      </w:r>
      <w:proofErr w:type="spellEnd"/>
      <w:r w:rsidR="00FF4655" w:rsidRPr="00EB783A">
        <w:rPr>
          <w:color w:val="000000" w:themeColor="text1"/>
        </w:rPr>
        <w:t xml:space="preserve"> et al. </w:t>
      </w:r>
      <w:r w:rsidR="00FF4655" w:rsidRPr="005C3FE9">
        <w:rPr>
          <w:color w:val="000000" w:themeColor="text1"/>
          <w:lang w:val="en-GB"/>
        </w:rPr>
        <w:fldChar w:fldCharType="begin" w:fldLock="1"/>
      </w:r>
      <w:r w:rsidR="00E77EC7">
        <w:rPr>
          <w:color w:val="000000" w:themeColor="text1"/>
        </w:rPr>
        <w:instrText>ADDIN CSL_CITATION {"citationItems":[{"id":"ITEM-1","itemData":{"DOI":"10.2166/wst.2020.105","ISSN":"19969732","PMID":"32333662","abstract":"Boron removal from water containing 5 mg L-1 of boron using electrodialysis (ED) was studied as a function of several parameters such as flow rates, initial pH, coexisting anions and ED time. An ED cell, equipped with three cation exchange membranes (fumasep FKB) and two anion exchange membranes (fumasep FAB), was applied. The central composite design, which is the standard design of response surface methodology, was used to evaluate the effects and interactions of studied factors on boron removal efficiency. The effectiveness of the considered design parameters was well examined to find the optimum condition. The experimental data obtained were analyzed by analysis of variance for the polynomial model with 95% confidence level. Boron removal by ED showed to be independent of the electrodialysis time, whereas flow rate as well as the pH of the feed solution and also the coexisting anions on the feed solution play a significant role on the deboronation efficiency. According to the desirability function, the maximum response of 43.5% was predicted for boron removal at a pH equal to 10, a flow rate of 10 L h-1, a ratio between sulfates and that of boron equal to 2 and a reaction time of 25 minutes.","author":[{"dropping-particle":"","family":"Guesmi","given":"Fatma","non-dropping-particle":"","parse-names":false,"suffix":""},{"dropping-particle":"","family":"Louati","given":"Islem","non-dropping-particle":"","parse-names":false,"suffix":""},{"dropping-particle":"","family":"Hannachi","given":"Chiraz","non-dropping-particle":"","parse-names":false,"suffix":""},{"dropping-particle":"","family":"Hamrouni","given":"Béchir","non-dropping-particle":"","parse-names":false,"suffix":""}],"container-title":"Water Science and Technology","id":"ITEM-1","issue":"2","issued":{"date-parts":[["2020","1","15"]]},"page":"293-300","publisher":"IWA Publishing","title":"Optimization of boron removal from water by electrodialysis using response surface methodology","type":"article-journal","volume":"81"},"uris":["http://www.mendeley.com/documents/?uuid=2bcd4024-9664-3f3b-820e-47a900760d38"]}],"mendeley":{"formattedCitation":"[17]","plainTextFormattedCitation":"[17]","previouslyFormattedCitation":"[17]"},"properties":{"noteIndex":0},"schema":"https://github.com/citation-style-language/schema/raw/master/csl-citation.json"}</w:instrText>
      </w:r>
      <w:r w:rsidR="00FF4655" w:rsidRPr="005C3FE9">
        <w:rPr>
          <w:color w:val="000000" w:themeColor="text1"/>
          <w:lang w:val="en-GB"/>
        </w:rPr>
        <w:fldChar w:fldCharType="separate"/>
      </w:r>
      <w:r w:rsidR="004319C3" w:rsidRPr="004319C3">
        <w:rPr>
          <w:noProof/>
          <w:color w:val="000000" w:themeColor="text1"/>
        </w:rPr>
        <w:t>[17]</w:t>
      </w:r>
      <w:r w:rsidR="00FF4655" w:rsidRPr="005C3FE9">
        <w:rPr>
          <w:color w:val="000000" w:themeColor="text1"/>
        </w:rPr>
        <w:fldChar w:fldCharType="end"/>
      </w:r>
      <w:r w:rsidR="00FF4655" w:rsidRPr="00F923B4">
        <w:rPr>
          <w:color w:val="000000" w:themeColor="text1"/>
        </w:rPr>
        <w:t xml:space="preserve"> </w:t>
      </w:r>
      <w:proofErr w:type="spellStart"/>
      <w:r w:rsidR="00FF4655" w:rsidRPr="00F923B4">
        <w:rPr>
          <w:color w:val="000000" w:themeColor="text1"/>
        </w:rPr>
        <w:t>aimed</w:t>
      </w:r>
      <w:proofErr w:type="spellEnd"/>
      <w:r w:rsidR="00FF4655" w:rsidRPr="00F923B4">
        <w:rPr>
          <w:color w:val="000000" w:themeColor="text1"/>
        </w:rPr>
        <w:t xml:space="preserve"> </w:t>
      </w:r>
      <w:proofErr w:type="spellStart"/>
      <w:r w:rsidR="0055028F" w:rsidRPr="00F923B4">
        <w:rPr>
          <w:color w:val="000000" w:themeColor="text1"/>
        </w:rPr>
        <w:t>at</w:t>
      </w:r>
      <w:proofErr w:type="spellEnd"/>
      <w:r w:rsidR="0055028F" w:rsidRPr="00F923B4">
        <w:rPr>
          <w:color w:val="000000" w:themeColor="text1"/>
        </w:rPr>
        <w:t xml:space="preserve"> </w:t>
      </w:r>
      <w:proofErr w:type="spellStart"/>
      <w:r w:rsidR="0055028F" w:rsidRPr="00F923B4">
        <w:rPr>
          <w:color w:val="000000" w:themeColor="text1"/>
        </w:rPr>
        <w:t>maximi</w:t>
      </w:r>
      <w:r w:rsidR="008A0EAC" w:rsidRPr="00F923B4">
        <w:rPr>
          <w:color w:val="000000" w:themeColor="text1"/>
        </w:rPr>
        <w:t>s</w:t>
      </w:r>
      <w:r w:rsidR="0055028F" w:rsidRPr="00F923B4">
        <w:rPr>
          <w:color w:val="000000" w:themeColor="text1"/>
        </w:rPr>
        <w:t>ing</w:t>
      </w:r>
      <w:proofErr w:type="spellEnd"/>
      <w:r w:rsidR="0055028F" w:rsidRPr="00F923B4">
        <w:rPr>
          <w:color w:val="000000" w:themeColor="text1"/>
        </w:rPr>
        <w:t xml:space="preserve"> </w:t>
      </w:r>
      <w:r w:rsidR="00FF4655" w:rsidRPr="00F923B4">
        <w:rPr>
          <w:color w:val="000000" w:themeColor="text1"/>
        </w:rPr>
        <w:t xml:space="preserve">the </w:t>
      </w:r>
      <w:proofErr w:type="spellStart"/>
      <w:r w:rsidR="00FF4655" w:rsidRPr="00F923B4">
        <w:rPr>
          <w:color w:val="000000" w:themeColor="text1"/>
        </w:rPr>
        <w:t>boron</w:t>
      </w:r>
      <w:proofErr w:type="spellEnd"/>
      <w:r w:rsidR="00FF4655" w:rsidRPr="00F923B4">
        <w:rPr>
          <w:color w:val="000000" w:themeColor="text1"/>
        </w:rPr>
        <w:t xml:space="preserve"> </w:t>
      </w:r>
      <w:proofErr w:type="spellStart"/>
      <w:r w:rsidR="00FF4655" w:rsidRPr="00F923B4">
        <w:rPr>
          <w:color w:val="000000" w:themeColor="text1"/>
        </w:rPr>
        <w:t>removal</w:t>
      </w:r>
      <w:proofErr w:type="spellEnd"/>
      <w:r w:rsidR="00FF4655" w:rsidRPr="00F923B4">
        <w:rPr>
          <w:color w:val="000000" w:themeColor="text1"/>
        </w:rPr>
        <w:t xml:space="preserve"> </w:t>
      </w:r>
      <w:proofErr w:type="spellStart"/>
      <w:r w:rsidR="00FF4655" w:rsidRPr="00F923B4">
        <w:rPr>
          <w:color w:val="000000" w:themeColor="text1"/>
        </w:rPr>
        <w:t>using</w:t>
      </w:r>
      <w:proofErr w:type="spellEnd"/>
      <w:r w:rsidR="00FF4655" w:rsidRPr="00F923B4">
        <w:rPr>
          <w:color w:val="000000" w:themeColor="text1"/>
        </w:rPr>
        <w:t xml:space="preserve"> </w:t>
      </w:r>
      <w:proofErr w:type="spellStart"/>
      <w:r w:rsidR="00FF4655" w:rsidRPr="00F923B4">
        <w:rPr>
          <w:color w:val="000000" w:themeColor="text1"/>
        </w:rPr>
        <w:t>Response</w:t>
      </w:r>
      <w:proofErr w:type="spellEnd"/>
      <w:r w:rsidR="00FF4655" w:rsidRPr="00F923B4">
        <w:rPr>
          <w:color w:val="000000" w:themeColor="text1"/>
        </w:rPr>
        <w:t xml:space="preserve"> Surface </w:t>
      </w:r>
      <w:proofErr w:type="spellStart"/>
      <w:r w:rsidR="00FF4655" w:rsidRPr="00F923B4">
        <w:rPr>
          <w:color w:val="000000" w:themeColor="text1"/>
        </w:rPr>
        <w:t>Methodology</w:t>
      </w:r>
      <w:proofErr w:type="spellEnd"/>
      <w:r w:rsidR="00FF4655" w:rsidRPr="00F923B4">
        <w:rPr>
          <w:color w:val="000000" w:themeColor="text1"/>
        </w:rPr>
        <w:t xml:space="preserve"> (RSM). </w:t>
      </w:r>
      <w:proofErr w:type="spellStart"/>
      <w:r w:rsidR="00FF4655" w:rsidRPr="00797495">
        <w:rPr>
          <w:color w:val="000000" w:themeColor="text1"/>
          <w:lang w:val="en-US"/>
        </w:rPr>
        <w:t>Rohman</w:t>
      </w:r>
      <w:proofErr w:type="spellEnd"/>
      <w:r w:rsidR="00FF4655" w:rsidRPr="00797495">
        <w:rPr>
          <w:color w:val="000000" w:themeColor="text1"/>
          <w:lang w:val="en-US"/>
        </w:rPr>
        <w:t xml:space="preserve"> and Aziz </w:t>
      </w:r>
      <w:r w:rsidR="00FF4655" w:rsidRPr="005C3FE9">
        <w:rPr>
          <w:color w:val="000000" w:themeColor="text1"/>
          <w:lang w:val="en-GB"/>
        </w:rPr>
        <w:fldChar w:fldCharType="begin" w:fldLock="1"/>
      </w:r>
      <w:r w:rsidR="00E77EC7">
        <w:rPr>
          <w:color w:val="000000" w:themeColor="text1"/>
          <w:lang w:val="en-US"/>
        </w:rPr>
        <w:instrText>ADDIN CSL_CITATION {"citationItems":[{"id":"ITEM-1","itemData":{"DOI":"10.1016/j.desal.2011.02.025","ISSN":"00119164","abstract":"Electrodialysis (ED) is a feasible method for acid recovery where it can separate and also concentrate the separated acid involved from the feed stream. To ensure maximum ED performances, the optimum operating conditions must be obtained. In this work, a dynamic optimization i.e. the orthogonal collocation method was applied to obtain those optimum operating conditions. The mathematical model of the ED for this case study has been taken from Rohman et al. [1] and the dynamic optimization problems were solved using the dynopt code package [2]. Five objective functions were considered in this study: minimize process time (P1), minimize the dilute concentration (P2), minimize energy consumption (P3), maximize degree separation (P4) and maximize operation profit (P5). From the simulation results, the control trajectories of P5 was chosen to be the most effective control operation in order to achieve the minimum process time for 99% degree of separation. The control trajectory achieved was reliable and practical. Moreover, the process time achieved for P5 was 51.6% faster than the P2, 60.7% faster than P3 and 7.9% faster than P4. The effect of different aspects of optimization towards ED performances was also studied. © 2011 Elsevier B.V.","author":[{"dropping-particle":"","family":"Rohman","given":"F. S.","non-dropping-particle":"","parse-names":false,"suffix":""},{"dropping-particle":"","family":"Aziz","given":"N.","non-dropping-particle":"","parse-names":false,"suffix":""}],"container-title":"Desalination","id":"ITEM-1","issued":{"date-parts":[["2011"]]},"title":"Optimization of batch electrodialysis for hydrochloric acid recovery using orthogonal collocation method","type":"article-journal"},"uris":["http://www.mendeley.com/documents/?uuid=604269a6-6097-478c-9b0f-3867c320528c","http://www.mendeley.com/documents/?uuid=84a7ac9f-1959-4ffa-932b-3ec02ef9d03a"]}],"mendeley":{"formattedCitation":"[18]","plainTextFormattedCitation":"[18]","previouslyFormattedCitation":"[18]"},"properties":{"noteIndex":0},"schema":"https://github.com/citation-style-language/schema/raw/master/csl-citation.json"}</w:instrText>
      </w:r>
      <w:r w:rsidR="00FF4655" w:rsidRPr="005C3FE9">
        <w:rPr>
          <w:color w:val="000000" w:themeColor="text1"/>
          <w:lang w:val="en-GB"/>
        </w:rPr>
        <w:fldChar w:fldCharType="separate"/>
      </w:r>
      <w:r w:rsidR="004319C3" w:rsidRPr="004319C3">
        <w:rPr>
          <w:noProof/>
          <w:color w:val="000000" w:themeColor="text1"/>
          <w:lang w:val="en-GB"/>
        </w:rPr>
        <w:t>[18]</w:t>
      </w:r>
      <w:r w:rsidR="00FF4655" w:rsidRPr="005C3FE9">
        <w:rPr>
          <w:color w:val="000000" w:themeColor="text1"/>
        </w:rPr>
        <w:fldChar w:fldCharType="end"/>
      </w:r>
      <w:r w:rsidR="00FF4655" w:rsidRPr="005C3FE9">
        <w:rPr>
          <w:color w:val="000000" w:themeColor="text1"/>
          <w:lang w:val="en-GB"/>
        </w:rPr>
        <w:t xml:space="preserve"> endeavoured to dynamically optimise process time, energy consumption, degree of separation, dilute concentration, and process profit with the orthogonal collocation method, identifying contrasting optimisation requirements. </w:t>
      </w:r>
      <w:r w:rsidR="00D4760A" w:rsidRPr="005C3FE9">
        <w:rPr>
          <w:color w:val="000000" w:themeColor="text1"/>
          <w:lang w:val="en-GB"/>
        </w:rPr>
        <w:t>Then</w:t>
      </w:r>
      <w:r w:rsidR="00FF4655" w:rsidRPr="005C3FE9">
        <w:rPr>
          <w:color w:val="000000" w:themeColor="text1"/>
          <w:lang w:val="en-GB"/>
        </w:rPr>
        <w:t>, they developed a multi-objective optimi</w:t>
      </w:r>
      <w:r w:rsidR="008A0EAC">
        <w:rPr>
          <w:color w:val="000000" w:themeColor="text1"/>
          <w:lang w:val="en-GB"/>
        </w:rPr>
        <w:t>s</w:t>
      </w:r>
      <w:r w:rsidR="00FF4655" w:rsidRPr="005C3FE9">
        <w:rPr>
          <w:color w:val="000000" w:themeColor="text1"/>
          <w:lang w:val="en-GB"/>
        </w:rPr>
        <w:t xml:space="preserve">ation </w:t>
      </w:r>
      <w:r w:rsidR="00FF4655" w:rsidRPr="005C3FE9">
        <w:rPr>
          <w:color w:val="000000" w:themeColor="text1"/>
          <w:lang w:val="en-GB"/>
        </w:rPr>
        <w:fldChar w:fldCharType="begin" w:fldLock="1"/>
      </w:r>
      <w:r w:rsidR="00E77EC7">
        <w:rPr>
          <w:color w:val="000000" w:themeColor="text1"/>
          <w:lang w:val="en-GB"/>
        </w:rPr>
        <w:instrText>ADDIN CSL_CITATION {"citationItems":[{"id":"ITEM-1","itemData":{"DOI":"10.1080/00986445.2019.1674817","ISSN":"0098-6445","abstract":"Empty fruit bunch (EFB) can be utilized to produce sugar via hydrochloric acid (HCl) hydrolysis where the HCl must be concentrated to retain the pure sugar. Electrodialysis (ED) is an effective method for acid-sugar separation and has to be optimized to ensure that the most economical operation can be achieved. However, ED batch optimization consists of conflicting multiple objectives that are required to be solved as a dynamic multi-objective optimization (MOO) problem. In the past, the dynamic optimization of acid-sugar ED separation was carried out by solving a single objective optimization problem in sequence but this approach could not be accomplished with different objective functions simultaneously. In this work, the results of the MOO which consist of a number of optimal solutions are configured as a Pareto Front (PF). The weighted sum, the ε-constraint, and the elitist non-dominated sorting genetic algorithm or NSGA-II approaches are applied to solve the conflicting objectives functions i.e. minimization of energy consumption and maximization of acid concentration These result in a set of several Pareto optimal solutions with two objectives: maximizing concentrated acid ranging from 1.89 M to 2.1 M is accompanied by minimizing energy consumption ranging from 630 Wh to 848 Wh. Each point of the Pareto solutions contains a different combination of optimal current density and flowrate trajectories which promotes a different amount of energy consumption and acid concentration. This set of solutions provides choices in assessing the tradeoffs and determining the most appropriate operating policy.","author":[{"dropping-particle":"","family":"Rohman","given":"Fakhrony Sholahudin","non-dropping-particle":"","parse-names":false,"suffix":""},{"dropping-particle":"","family":"Aziz","given":"Norashid","non-dropping-particle":"","parse-names":false,"suffix":""}],"container-title":"Chemical Engineering Communications","id":"ITEM-1","issue":"4","issued":{"date-parts":[["2021","4"]]},"page":"517-529","publisher":"Taylor &amp; Francis","title":"Performance metrics analysis of dynamic multi-objective optimization for energy consumption and productivity improvement in batch electrodialysis","type":"article-journal","volume":"208"},"uris":["http://www.mendeley.com/documents/?uuid=46d8bfe1-6a88-40b4-ba42-f516e329c7cd","http://www.mendeley.com/documents/?uuid=66ef7ad4-bee0-424b-9542-39229b6ee8de"]}],"mendeley":{"formattedCitation":"[19]","plainTextFormattedCitation":"[19]","previouslyFormattedCitation":"[19]"},"properties":{"noteIndex":0},"schema":"https://github.com/citation-style-language/schema/raw/master/csl-citation.json"}</w:instrText>
      </w:r>
      <w:r w:rsidR="00FF4655" w:rsidRPr="005C3FE9">
        <w:rPr>
          <w:color w:val="000000" w:themeColor="text1"/>
          <w:lang w:val="en-GB"/>
        </w:rPr>
        <w:fldChar w:fldCharType="separate"/>
      </w:r>
      <w:r w:rsidR="004319C3" w:rsidRPr="004319C3">
        <w:rPr>
          <w:noProof/>
          <w:color w:val="000000" w:themeColor="text1"/>
          <w:lang w:val="en-GB"/>
        </w:rPr>
        <w:t>[19]</w:t>
      </w:r>
      <w:r w:rsidR="00FF4655" w:rsidRPr="005C3FE9">
        <w:rPr>
          <w:color w:val="000000" w:themeColor="text1"/>
        </w:rPr>
        <w:fldChar w:fldCharType="end"/>
      </w:r>
      <w:r w:rsidR="00FF4655" w:rsidRPr="005C3FE9">
        <w:rPr>
          <w:color w:val="000000" w:themeColor="text1"/>
          <w:lang w:val="en-GB"/>
        </w:rPr>
        <w:t xml:space="preserve"> using a Non-dominated Sorting Genetic Algorithm II (NSGA-II), minimising the energy consumption and maximi</w:t>
      </w:r>
      <w:r w:rsidR="008A0EAC">
        <w:rPr>
          <w:color w:val="000000" w:themeColor="text1"/>
          <w:lang w:val="en-GB"/>
        </w:rPr>
        <w:t>s</w:t>
      </w:r>
      <w:r w:rsidR="00FF4655" w:rsidRPr="005C3FE9">
        <w:rPr>
          <w:color w:val="000000" w:themeColor="text1"/>
          <w:lang w:val="en-GB"/>
        </w:rPr>
        <w:t xml:space="preserve">ing the acid concentration. In conventional </w:t>
      </w:r>
      <w:r w:rsidR="0055028F">
        <w:rPr>
          <w:color w:val="000000" w:themeColor="text1"/>
          <w:lang w:val="en-GB"/>
        </w:rPr>
        <w:t>R</w:t>
      </w:r>
      <w:r w:rsidR="0055028F" w:rsidRPr="005C3FE9">
        <w:rPr>
          <w:color w:val="000000" w:themeColor="text1"/>
          <w:lang w:val="en-GB"/>
        </w:rPr>
        <w:t xml:space="preserve">everse </w:t>
      </w:r>
      <w:proofErr w:type="spellStart"/>
      <w:r w:rsidR="0055028F">
        <w:rPr>
          <w:color w:val="000000" w:themeColor="text1"/>
          <w:lang w:val="en-GB"/>
        </w:rPr>
        <w:t>E</w:t>
      </w:r>
      <w:r w:rsidR="0055028F" w:rsidRPr="005C3FE9">
        <w:rPr>
          <w:color w:val="000000" w:themeColor="text1"/>
          <w:lang w:val="en-GB"/>
        </w:rPr>
        <w:t>lectro</w:t>
      </w:r>
      <w:r w:rsidR="0055028F">
        <w:rPr>
          <w:color w:val="000000" w:themeColor="text1"/>
          <w:lang w:val="en-GB"/>
        </w:rPr>
        <w:t>D</w:t>
      </w:r>
      <w:r w:rsidR="0055028F" w:rsidRPr="005C3FE9">
        <w:rPr>
          <w:color w:val="000000" w:themeColor="text1"/>
          <w:lang w:val="en-GB"/>
        </w:rPr>
        <w:t>ialysis</w:t>
      </w:r>
      <w:proofErr w:type="spellEnd"/>
      <w:r w:rsidR="0055028F" w:rsidRPr="005C3FE9">
        <w:rPr>
          <w:color w:val="000000" w:themeColor="text1"/>
          <w:lang w:val="en-GB"/>
        </w:rPr>
        <w:t xml:space="preserve"> </w:t>
      </w:r>
      <w:r w:rsidR="00FF4655" w:rsidRPr="005C3FE9">
        <w:rPr>
          <w:color w:val="000000" w:themeColor="text1"/>
          <w:lang w:val="en-GB"/>
        </w:rPr>
        <w:t xml:space="preserve">(RED), </w:t>
      </w:r>
      <w:proofErr w:type="spellStart"/>
      <w:r w:rsidR="00FF4655" w:rsidRPr="005C3FE9">
        <w:rPr>
          <w:color w:val="000000" w:themeColor="text1"/>
          <w:lang w:val="en-GB"/>
        </w:rPr>
        <w:t>Veerman</w:t>
      </w:r>
      <w:proofErr w:type="spellEnd"/>
      <w:r w:rsidR="00FF4655" w:rsidRPr="005C3FE9">
        <w:rPr>
          <w:color w:val="000000" w:themeColor="text1"/>
          <w:lang w:val="en-GB"/>
        </w:rPr>
        <w:t xml:space="preserve"> et al. </w:t>
      </w:r>
      <w:r w:rsidR="00FF4655" w:rsidRPr="005C3FE9">
        <w:rPr>
          <w:color w:val="000000" w:themeColor="text1"/>
          <w:lang w:val="en-GB"/>
        </w:rPr>
        <w:fldChar w:fldCharType="begin" w:fldLock="1"/>
      </w:r>
      <w:r w:rsidR="00E77EC7">
        <w:rPr>
          <w:color w:val="000000" w:themeColor="text1"/>
          <w:lang w:val="en-GB"/>
        </w:rPr>
        <w:instrText>ADDIN CSL_CITATION {"citationItems":[{"id":"ITEM-1","itemData":{"DOI":"10.1016/j.cej.2010.10.071","ISBN":"1385-8947","ISSN":"13858947","abstract":"Reverse electrodialysis (RED) is a technology to generate electricity using the entropy of the mixing of sea and river water. A model is made of the RED process and validated experimentally. The model is used to design and optimize the RED process. It predicts very small differences between counter- and co-current operation. It was decided to focus on co-current design because co-current operation causes smaller local pressure differences between the river and seawater compartments-hence smaller risk of leakages and the possibility to use very thin membranes with high fluxes and very open spacer structures with low hydrodynamic resistance. Segmentation of the electrodes proved to increase the power density by about 15% under realistic operational conditions. The model shows that with smaller systems - in terms of length of the flow path - higher power densities are possible. This effect is rather dramatical and poses a challenge for designing improved RED stacks on large commercial scale. It is suggested to reduce the flow path length by applying a fractal structure design of the spacers. Such structures can be made by profiling the membrane. © 2010 Elsevier B.V.","author":[{"dropping-particle":"","family":"Veerman","given":"J.","non-dropping-particle":"","parse-names":false,"suffix":""},{"dropping-particle":"","family":"Saakes","given":"M.","non-dropping-particle":"","parse-names":false,"suffix":""},{"dropping-particle":"","family":"Metz","given":"S. J.","non-dropping-particle":"","parse-names":false,"suffix":""},{"dropping-particle":"","family":"Harmsen","given":"G. J.","non-dropping-particle":"","parse-names":false,"suffix":""}],"container-title":"Chemical Engineering Journal","id":"ITEM-1","issue":"1","issued":{"date-parts":[["2011"]]},"page":"256-268","title":"Reverse electrodialysis: A validated process model for design and optimization","type":"article-journal","volume":"166"},"uris":["http://www.mendeley.com/documents/?uuid=54321a4f-33f0-4610-b517-819f9351ba7c"]}],"mendeley":{"formattedCitation":"[20]","plainTextFormattedCitation":"[20]","previouslyFormattedCitation":"[20]"},"properties":{"noteIndex":0},"schema":"https://github.com/citation-style-language/schema/raw/master/csl-citation.json"}</w:instrText>
      </w:r>
      <w:r w:rsidR="00FF4655" w:rsidRPr="005C3FE9">
        <w:rPr>
          <w:color w:val="000000" w:themeColor="text1"/>
          <w:lang w:val="en-GB"/>
        </w:rPr>
        <w:fldChar w:fldCharType="separate"/>
      </w:r>
      <w:r w:rsidR="004319C3" w:rsidRPr="004319C3">
        <w:rPr>
          <w:noProof/>
          <w:color w:val="000000" w:themeColor="text1"/>
          <w:lang w:val="en-GB"/>
        </w:rPr>
        <w:t>[20]</w:t>
      </w:r>
      <w:r w:rsidR="00FF4655" w:rsidRPr="005C3FE9">
        <w:rPr>
          <w:color w:val="000000" w:themeColor="text1"/>
        </w:rPr>
        <w:fldChar w:fldCharType="end"/>
      </w:r>
      <w:r w:rsidR="00FF4655" w:rsidRPr="005C3FE9">
        <w:rPr>
          <w:color w:val="000000" w:themeColor="text1"/>
          <w:lang w:val="en-GB"/>
        </w:rPr>
        <w:t xml:space="preserve"> optimised the Net Power Density, the net Energy Density, or their product. Similarly, Long et al. </w:t>
      </w:r>
      <w:r w:rsidR="00FF4655" w:rsidRPr="005C3FE9">
        <w:rPr>
          <w:color w:val="000000" w:themeColor="text1"/>
          <w:lang w:val="en-GB"/>
        </w:rPr>
        <w:fldChar w:fldCharType="begin" w:fldLock="1"/>
      </w:r>
      <w:r w:rsidR="00E77EC7">
        <w:rPr>
          <w:color w:val="000000" w:themeColor="text1"/>
          <w:lang w:val="en-GB"/>
        </w:rPr>
        <w:instrText>ADDIN CSL_CITATION {"citationItems":[{"id":"ITEM-1","itemData":{"DOI":"10.1016/j.energy.2018.06.067","ISSN":"03605442","abstract":"In this paper, the optimal channel geometry and flow rate of the concentrated and diluted solutions under the maximum net power output for the reverse electrodialysis (RED) stacks at a confined size are systematically investigated. A model considering the change in volume flow rate along the flow direction is employed to illustrate the process of the RED stack. For systematisms, under the maximum net power output, we first consider the optimal channel thicknesses at a given identical inlet flow rate and then the optimal channel thicknesses and flow rates. The profiles of flow rate, concentration, power density, and hydrodynamic loss along the flow direction are discussed. The net power output and energy efficiency for different membranes under the above two optimization situations are analyzed and compared. The results reveal that the optimal channel thickness of the high-concentration (HC) compartment is slightly larger than that of the low-concentration (LC) compartment for a given identical inlet flow rate. When both channel thickness and flow rate are optimized, the optimal channel thicknesses and volume flow rates of the HC compartment are, respectively, less than those of the LC compartment and the net power output and energy efficiency are significantly improved.","author":[{"dropping-particle":"","family":"Long","given":"Rui","non-dropping-particle":"","parse-names":false,"suffix":""},{"dropping-particle":"","family":"Li","given":"Baode","non-dropping-particle":"","parse-names":false,"suffix":""},{"dropping-particle":"","family":"Liu","given":"Zhichun","non-dropping-particle":"","parse-names":false,"suffix":""},{"dropping-particle":"","family":"Liu","given":"Wei","non-dropping-particle":"","parse-names":false,"suffix":""}],"container-title":"Energy","id":"ITEM-1","issued":{"date-parts":[["2018","9","1"]]},"page":"427-436","publisher":"Pergamon","title":"Performance analysis of reverse electrodialysis stacks: Channel geometry and flow rate optimization","type":"article-journal","volume":"158"},"uris":["http://www.mendeley.com/documents/?uuid=cfb1301a-c627-3a18-847b-6e8af40dbf30"]}],"mendeley":{"formattedCitation":"[21]","plainTextFormattedCitation":"[21]","previouslyFormattedCitation":"[21]"},"properties":{"noteIndex":0},"schema":"https://github.com/citation-style-language/schema/raw/master/csl-citation.json"}</w:instrText>
      </w:r>
      <w:r w:rsidR="00FF4655" w:rsidRPr="005C3FE9">
        <w:rPr>
          <w:color w:val="000000" w:themeColor="text1"/>
          <w:lang w:val="en-GB"/>
        </w:rPr>
        <w:fldChar w:fldCharType="separate"/>
      </w:r>
      <w:r w:rsidR="004319C3" w:rsidRPr="004319C3">
        <w:rPr>
          <w:noProof/>
          <w:color w:val="000000" w:themeColor="text1"/>
          <w:lang w:val="en-GB"/>
        </w:rPr>
        <w:t>[21]</w:t>
      </w:r>
      <w:r w:rsidR="00FF4655" w:rsidRPr="005C3FE9">
        <w:rPr>
          <w:color w:val="000000" w:themeColor="text1"/>
        </w:rPr>
        <w:fldChar w:fldCharType="end"/>
      </w:r>
      <w:r w:rsidR="00FF4655" w:rsidRPr="005C3FE9">
        <w:rPr>
          <w:color w:val="000000" w:themeColor="text1"/>
          <w:lang w:val="en-GB"/>
        </w:rPr>
        <w:t xml:space="preserve"> maximised the Net Power Density with the Genetic Algorithm (GA). In another work, </w:t>
      </w:r>
      <w:r w:rsidR="00D4760A" w:rsidRPr="005C3FE9">
        <w:rPr>
          <w:color w:val="000000" w:themeColor="text1"/>
          <w:lang w:val="en-GB"/>
        </w:rPr>
        <w:t>the same authors</w:t>
      </w:r>
      <w:r w:rsidR="00FF4655" w:rsidRPr="005C3FE9">
        <w:rPr>
          <w:color w:val="000000" w:themeColor="text1"/>
          <w:lang w:val="en-GB"/>
        </w:rPr>
        <w:t xml:space="preserve"> </w:t>
      </w:r>
      <w:r w:rsidR="00FF4655" w:rsidRPr="005C3FE9">
        <w:rPr>
          <w:color w:val="000000" w:themeColor="text1"/>
          <w:lang w:val="en-GB"/>
        </w:rPr>
        <w:fldChar w:fldCharType="begin" w:fldLock="1"/>
      </w:r>
      <w:r w:rsidR="00E77EC7">
        <w:rPr>
          <w:color w:val="000000" w:themeColor="text1"/>
          <w:lang w:val="en-GB"/>
        </w:rPr>
        <w:instrText>ADDIN CSL_CITATION {"citationItems":[{"id":"ITEM-1","itemData":{"DOI":"10.1016/j.energy.2018.03.003","ISSN":"03605442","abstract":"In this paper, we proposed a refined model to describe the RED process by considering the variation of flow rates along the flow direction, and the concentration depended density and viscosity. The model was verified by good accordance between the calculated and experimental measured data. For evaluating the performance of a RED stack for some special applications, the net power density and the energy efficiency are two main criteria. However, they could not achieve their maximum values simultaneously. To achieve such a compromise, an optimization based on Non-dominated Sorting Genetic Algorithm II (NSGA-II) was conducted. Besides, the net power output and energy efficiency under single-objective optimization methods were calculated and compared. Results revealed that compared to the results under the maximum net power density, the net power density under the multi-objective optimization is slightly less than the maximum one, meanwhile the energy efficiency was much greater. The performance under the multi-objective optimization exhibited no obvious disadvantage against that under the maximum energy efficiency, considering the significant increase of the net power density.","author":[{"dropping-particle":"","family":"Long","given":"Rui","non-dropping-particle":"","parse-names":false,"suffix":""},{"dropping-particle":"","family":"Li","given":"Baode","non-dropping-particle":"","parse-names":false,"suffix":""},{"dropping-particle":"","family":"Liu","given":"Zhichun","non-dropping-particle":"","parse-names":false,"suffix":""},{"dropping-particle":"","family":"Liu","given":"Wei","non-dropping-particle":"","parse-names":false,"suffix":""}],"container-title":"Energy","id":"ITEM-1","issued":{"date-parts":[["2018","5","15"]]},"page":"1-10","publisher":"Pergamon","title":"Reverse electrodialysis: Modelling and performance analysis based on multi-objective optimization","type":"article-journal","volume":"151"},"uris":["http://www.mendeley.com/documents/?uuid=a39b1ebe-4f1a-3cd5-ba3f-234e7c9fba09"]}],"mendeley":{"formattedCitation":"[22]","plainTextFormattedCitation":"[22]","previouslyFormattedCitation":"[22]"},"properties":{"noteIndex":0},"schema":"https://github.com/citation-style-language/schema/raw/master/csl-citation.json"}</w:instrText>
      </w:r>
      <w:r w:rsidR="00FF4655" w:rsidRPr="005C3FE9">
        <w:rPr>
          <w:color w:val="000000" w:themeColor="text1"/>
          <w:lang w:val="en-GB"/>
        </w:rPr>
        <w:fldChar w:fldCharType="separate"/>
      </w:r>
      <w:r w:rsidR="004319C3" w:rsidRPr="004319C3">
        <w:rPr>
          <w:noProof/>
          <w:color w:val="000000" w:themeColor="text1"/>
          <w:lang w:val="en-GB"/>
        </w:rPr>
        <w:t>[22]</w:t>
      </w:r>
      <w:r w:rsidR="00FF4655" w:rsidRPr="005C3FE9">
        <w:rPr>
          <w:color w:val="000000" w:themeColor="text1"/>
        </w:rPr>
        <w:fldChar w:fldCharType="end"/>
      </w:r>
      <w:r w:rsidR="00FF4655" w:rsidRPr="005C3FE9">
        <w:rPr>
          <w:color w:val="000000" w:themeColor="text1"/>
          <w:lang w:val="en-GB"/>
        </w:rPr>
        <w:t xml:space="preserve"> performed a multi-objective optimi</w:t>
      </w:r>
      <w:r w:rsidR="008A0EAC">
        <w:rPr>
          <w:color w:val="000000" w:themeColor="text1"/>
          <w:lang w:val="en-GB"/>
        </w:rPr>
        <w:t>s</w:t>
      </w:r>
      <w:r w:rsidR="00FF4655" w:rsidRPr="005C3FE9">
        <w:rPr>
          <w:color w:val="000000" w:themeColor="text1"/>
          <w:lang w:val="en-GB"/>
        </w:rPr>
        <w:t xml:space="preserve">ation with the NSGA-II </w:t>
      </w:r>
      <w:r w:rsidR="0055028F">
        <w:rPr>
          <w:color w:val="000000" w:themeColor="text1"/>
          <w:lang w:val="en-GB"/>
        </w:rPr>
        <w:t xml:space="preserve">algorithm </w:t>
      </w:r>
      <w:r w:rsidR="00FF4655" w:rsidRPr="005C3FE9">
        <w:rPr>
          <w:color w:val="000000" w:themeColor="text1"/>
          <w:lang w:val="en-GB"/>
        </w:rPr>
        <w:t xml:space="preserve">to maximise Net Power Density and Energy </w:t>
      </w:r>
      <w:r w:rsidR="00677E70" w:rsidRPr="005C3FE9">
        <w:rPr>
          <w:color w:val="000000" w:themeColor="text1"/>
          <w:lang w:val="en-GB"/>
        </w:rPr>
        <w:t>E</w:t>
      </w:r>
      <w:r w:rsidR="00FF4655" w:rsidRPr="005C3FE9">
        <w:rPr>
          <w:color w:val="000000" w:themeColor="text1"/>
          <w:lang w:val="en-GB"/>
        </w:rPr>
        <w:t xml:space="preserve">fficiency. </w:t>
      </w:r>
      <w:proofErr w:type="spellStart"/>
      <w:r w:rsidR="00FF4655" w:rsidRPr="005C3FE9">
        <w:rPr>
          <w:color w:val="000000" w:themeColor="text1"/>
          <w:lang w:val="en-GB"/>
        </w:rPr>
        <w:t>Ciofalo</w:t>
      </w:r>
      <w:proofErr w:type="spellEnd"/>
      <w:r w:rsidR="00FF4655" w:rsidRPr="005C3FE9">
        <w:rPr>
          <w:color w:val="000000" w:themeColor="text1"/>
          <w:lang w:val="en-GB"/>
        </w:rPr>
        <w:t xml:space="preserve"> et al. </w:t>
      </w:r>
      <w:r w:rsidR="00FF4655" w:rsidRPr="005C3FE9">
        <w:rPr>
          <w:color w:val="000000" w:themeColor="text1"/>
          <w:lang w:val="en-GB"/>
        </w:rPr>
        <w:fldChar w:fldCharType="begin" w:fldLock="1"/>
      </w:r>
      <w:r w:rsidR="00E77EC7">
        <w:rPr>
          <w:color w:val="000000" w:themeColor="text1"/>
          <w:lang w:val="en-GB"/>
        </w:rPr>
        <w:instrText>ADDIN CSL_CITATION {"citationItems":[{"id":"ITEM-1","itemData":{"DOI":"10.1016/j.energy.2019.05.183","abstract":"Reverse Electrodialysis (RED) extracts electrical energy from the salinity difference between two solu- tions using selective ion exchange membranes. In RED, conditions yielding a large net power density (NPD) are generally desired, due to the still large cost of the membranes. NPD depends on a large number ofphysical and geometric parameters. Some of these, for example the inlet concentrations of concentrate and diluate, can be regarded as “scenario” variables, imposed by external constraints (e.g., availability) or chosen by different criteria than NPD maximization. Others, namely the thicknesses HCONC, HDIL and the velocities UCONC, UDIL in the concentrate and diluate channels, can be regarded as free design parameters and can be chosen so as to maximize NPD. In the present study, a simplified model of a RED stack was coupled with an optimization algorithm in order to determine the conditions of maximum NPD in the space of the variables HCONC, HDIL,UCONC, UDIL for different sets of “scenario” variables. The study shows that an optimal choice of the free design parameters for any given scenario, as opposed to the adoption of standard fixed values for the same parameters, may provide significant improvements in NPD.","author":[{"dropping-particle":"","family":"Ciofalo","given":"Michele","non-dropping-particle":"","parse-names":false,"suffix":""},{"dropping-particle":"","family":"Cerva","given":"Mariagiorgia","non-dropping-particle":"La","parse-names":false,"suffix":""},{"dropping-particle":"","family":"Liberto","given":"Massimiliano","non-dropping-particle":"Di","parse-names":false,"suffix":""},{"dropping-particle":"","family":"Gurreri","given":"Luigi","non-dropping-particle":"","parse-names":false,"suffix":""},{"dropping-particle":"","family":"Cipollina","given":"Andrea","non-dropping-particle":"","parse-names":false,"suffix":""},{"dropping-particle":"","family":"Micale","given":"Giorgio","non-dropping-particle":"","parse-names":false,"suffix":""}],"container-title":"Energy","id":"ITEM-1","issued":{"date-parts":[["2019"]]},"page":"576-588","title":"Optimization of net power density in Reverse Electrodialysis","type":"article-journal","volume":"181"},"uris":["http://www.mendeley.com/documents/?uuid=3f3edd7e-a02b-461d-9967-58d8befa48b0"]}],"mendeley":{"formattedCitation":"[23]","plainTextFormattedCitation":"[23]","previouslyFormattedCitation":"[23]"},"properties":{"noteIndex":0},"schema":"https://github.com/citation-style-language/schema/raw/master/csl-citation.json"}</w:instrText>
      </w:r>
      <w:r w:rsidR="00FF4655" w:rsidRPr="005C3FE9">
        <w:rPr>
          <w:color w:val="000000" w:themeColor="text1"/>
          <w:lang w:val="en-GB"/>
        </w:rPr>
        <w:fldChar w:fldCharType="separate"/>
      </w:r>
      <w:r w:rsidR="004319C3" w:rsidRPr="004319C3">
        <w:rPr>
          <w:noProof/>
          <w:color w:val="000000" w:themeColor="text1"/>
          <w:lang w:val="en-GB"/>
        </w:rPr>
        <w:t>[23]</w:t>
      </w:r>
      <w:r w:rsidR="00FF4655" w:rsidRPr="005C3FE9">
        <w:rPr>
          <w:color w:val="000000" w:themeColor="text1"/>
        </w:rPr>
        <w:fldChar w:fldCharType="end"/>
      </w:r>
      <w:r w:rsidR="00FF4655" w:rsidRPr="005C3FE9">
        <w:rPr>
          <w:color w:val="000000" w:themeColor="text1"/>
          <w:lang w:val="en-GB"/>
        </w:rPr>
        <w:t xml:space="preserve"> also optimised the Net Power Density but using the gradient-ascent algorithm </w:t>
      </w:r>
      <w:r w:rsidR="00FF4655" w:rsidRPr="005C3FE9">
        <w:rPr>
          <w:color w:val="000000" w:themeColor="text1"/>
          <w:lang w:val="en-GB"/>
        </w:rPr>
        <w:fldChar w:fldCharType="begin" w:fldLock="1"/>
      </w:r>
      <w:r w:rsidR="00E77EC7">
        <w:rPr>
          <w:color w:val="000000" w:themeColor="text1"/>
          <w:lang w:val="en-GB"/>
        </w:rPr>
        <w:instrText>ADDIN CSL_CITATION {"citationItems":[{"id":"ITEM-1","itemData":{"DOI":"10.1016/j.memsci.2017.07.030","abstract":"Different computer-based simulation models, able to predict the performance of Reverse ElectroDialysis (RED) systems, are currently used to investigate the potentials of alternative designs, to orient experimental activities and to design/optimize prototypes. The simulation approach described here combines a one-dimensional modelling of a RED stack with a fully three-dimensional finite volume modelling of the electrolyte channels, either planar or equipped with different spacers or profiled membranes. An advanced three-dimensional code was used to provide correlations for the friction coefficient (based on 3-D solutions of the continuity and Navier-Stokes equations) and the Sherwood numbers (based on 3-D solutions of a scalar transport equation), as well as to test simple models for the Ohmic resistances (based on 3-D solutions of a Laplace equation for the electrical potential). These results were integrated with empirical correlations for the transport properties of electrolytes and membranes, and were used as the input for the higher scale model. The overall model was validated by comparison with experimental data obtained in laboratory-scale RED stacks under controlled conditions. This combined approach constitutes a fully predictive, potentially very accurate, and still extremely fast-running, tool for the approximate simulation of all the main variables, suitable for performance prediction and optimization studies.","author":[{"dropping-particle":"","family":"Cerva","given":"M.","non-dropping-particle":"La","parse-names":false,"suffix":""},{"dropping-particle":"","family":"Liberto","given":"M.","non-dropping-particle":"Di","parse-names":false,"suffix":""},{"dropping-particle":"","family":"Gurreri","given":"L.","non-dropping-particle":"","parse-names":false,"suffix":""},{"dropping-particle":"","family":"Tamburini","given":"A.","non-dropping-particle":"","parse-names":false,"suffix":""},{"dropping-particle":"","family":"Cipollina","given":"A.","non-dropping-particle":"","parse-names":false,"suffix":""},{"dropping-particle":"","family":"Micale","given":"G.","non-dropping-particle":"","parse-names":false,"suffix":""},{"dropping-particle":"","family":"Ciofalo","given":"M.","non-dropping-particle":"","parse-names":false,"suffix":""}],"container-title":"Journal of Membrane Science","id":"ITEM-1","issued":{"date-parts":[["2017"]]},"page":"595-610","title":"Coupling CFD with a one-dimensional model to predict the performance of reverse electrodialysis stacks","type":"article-journal","volume":"541"},"uris":["http://www.mendeley.com/documents/?uuid=c3feccb8-5d0f-3f33-91fe-0696c4b1333c"]}],"mendeley":{"formattedCitation":"[24]","plainTextFormattedCitation":"[24]","previouslyFormattedCitation":"[24]"},"properties":{"noteIndex":0},"schema":"https://github.com/citation-style-language/schema/raw/master/csl-citation.json"}</w:instrText>
      </w:r>
      <w:r w:rsidR="00FF4655" w:rsidRPr="005C3FE9">
        <w:rPr>
          <w:color w:val="000000" w:themeColor="text1"/>
          <w:lang w:val="en-GB"/>
        </w:rPr>
        <w:fldChar w:fldCharType="separate"/>
      </w:r>
      <w:r w:rsidR="004319C3" w:rsidRPr="004319C3">
        <w:rPr>
          <w:noProof/>
          <w:color w:val="000000" w:themeColor="text1"/>
          <w:lang w:val="en-GB"/>
        </w:rPr>
        <w:t>[24]</w:t>
      </w:r>
      <w:r w:rsidR="00FF4655" w:rsidRPr="005C3FE9">
        <w:rPr>
          <w:color w:val="000000" w:themeColor="text1"/>
        </w:rPr>
        <w:fldChar w:fldCharType="end"/>
      </w:r>
      <w:r w:rsidR="00FF4655" w:rsidRPr="005C3FE9">
        <w:rPr>
          <w:color w:val="000000" w:themeColor="text1"/>
          <w:lang w:val="en-GB"/>
        </w:rPr>
        <w:t xml:space="preserve">. </w:t>
      </w:r>
      <w:proofErr w:type="spellStart"/>
      <w:r w:rsidR="0064076D" w:rsidRPr="0064076D">
        <w:rPr>
          <w:lang w:val="en-US"/>
        </w:rPr>
        <w:t>Faghihi</w:t>
      </w:r>
      <w:proofErr w:type="spellEnd"/>
      <w:r w:rsidR="0064076D" w:rsidRPr="0064076D">
        <w:rPr>
          <w:lang w:val="en-US"/>
        </w:rPr>
        <w:t xml:space="preserve"> and </w:t>
      </w:r>
      <w:proofErr w:type="spellStart"/>
      <w:r w:rsidR="0064076D" w:rsidRPr="0064076D">
        <w:rPr>
          <w:lang w:val="en-US"/>
        </w:rPr>
        <w:t>Jalali</w:t>
      </w:r>
      <w:proofErr w:type="spellEnd"/>
      <w:r w:rsidR="0064076D" w:rsidRPr="0064076D">
        <w:rPr>
          <w:lang w:val="en-US"/>
        </w:rPr>
        <w:t xml:space="preserve"> </w:t>
      </w:r>
      <w:r w:rsidR="0064076D">
        <w:rPr>
          <w:lang w:val="en-US"/>
        </w:rPr>
        <w:fldChar w:fldCharType="begin" w:fldLock="1"/>
      </w:r>
      <w:r w:rsidR="00E77EC7">
        <w:rPr>
          <w:lang w:val="en-US"/>
        </w:rPr>
        <w:instrText>ADDIN CSL_CITATION {"citationItems":[{"id":"ITEM-1","itemData":{"DOI":"10.1002/er.8379","ISSN":"0363-907X","abstract":"Reverse electrodialysis (RED) is a renewable energy production method that employs salinity gradient to produce electricity. The salinity gradient between the rejected brine of desalination process and river water/seawater is a reliable source of energy, particularly for desalination plants located in susceptible areas. In this study, the performance of RED is predicted using computational fluid dynamics and an artificial neural network. This approach reduces the computational costs of optimization, and more importantly, networks can be updated by more data in the future. Since geometric, hydrodynamic, and electrochemical variables affect the performance of these cells, ignoring any of them will influence the final design. We can consider all of these factors through deep learning. Performance parameters such as Sherwood number, Power number, and concentration polarization coefficient are evaluated in this study. Mass transport and pressure drop are optimized using genetic algorithm, and accessible electrical power is obtained for the optimized cases that help designers make final decisions. Using predictors and a set of optimized cases provide an efficient tool for the design. Based on our results, RED cells can produce net power density of 2.4 W m−2 by using rejected brine of desalination and river water as the two solutions. In addition, Sherwood number of 80 and Power number of 5248 show a good balance between the amount of mass transfer and pressure drop in RED cells.","author":[{"dropping-particle":"","family":"Faghihi","given":"Parsa","non-dropping-particle":"","parse-names":false,"suffix":""},{"dropping-particle":"","family":"Jalali","given":"Alireza","non-dropping-particle":"","parse-names":false,"suffix":""}],"container-title":"International Journal of Energy Research","id":"ITEM-1","issued":{"date-parts":[["2022","7","18"]]},"title":"An artificial neural network‐based optimization of reverse electrodialysis power generating cells using CFD and genetic algorithm","type":"article-journal"},"uris":["http://www.mendeley.com/documents/?uuid=081ba3bf-efb5-3a89-93e3-35c6b75f3e75"]}],"mendeley":{"formattedCitation":"[25]","plainTextFormattedCitation":"[25]","previouslyFormattedCitation":"[25]"},"properties":{"noteIndex":0},"schema":"https://github.com/citation-style-language/schema/raw/master/csl-citation.json"}</w:instrText>
      </w:r>
      <w:r w:rsidR="0064076D">
        <w:rPr>
          <w:lang w:val="en-US"/>
        </w:rPr>
        <w:fldChar w:fldCharType="separate"/>
      </w:r>
      <w:r w:rsidR="004319C3" w:rsidRPr="004319C3">
        <w:rPr>
          <w:noProof/>
          <w:lang w:val="en-US"/>
        </w:rPr>
        <w:t>[25]</w:t>
      </w:r>
      <w:r w:rsidR="0064076D">
        <w:rPr>
          <w:lang w:val="en-US"/>
        </w:rPr>
        <w:fldChar w:fldCharType="end"/>
      </w:r>
      <w:r w:rsidR="0064076D" w:rsidRPr="0064076D">
        <w:rPr>
          <w:lang w:val="en-US"/>
        </w:rPr>
        <w:t xml:space="preserve"> used CFD and an artificial neural network for a bi-objective </w:t>
      </w:r>
      <w:proofErr w:type="spellStart"/>
      <w:r w:rsidR="0064076D" w:rsidRPr="0064076D">
        <w:rPr>
          <w:lang w:val="en-US"/>
        </w:rPr>
        <w:t>optimi</w:t>
      </w:r>
      <w:r w:rsidR="008A0EAC">
        <w:rPr>
          <w:lang w:val="en-US"/>
        </w:rPr>
        <w:t>s</w:t>
      </w:r>
      <w:r w:rsidR="0064076D" w:rsidRPr="0064076D">
        <w:rPr>
          <w:lang w:val="en-US"/>
        </w:rPr>
        <w:t>ation</w:t>
      </w:r>
      <w:proofErr w:type="spellEnd"/>
      <w:r w:rsidR="0064076D" w:rsidRPr="0064076D">
        <w:rPr>
          <w:lang w:val="en-US"/>
        </w:rPr>
        <w:t xml:space="preserve"> (Sherwood number ad power number) of RED units</w:t>
      </w:r>
      <w:r w:rsidR="0064076D">
        <w:rPr>
          <w:lang w:val="en-US"/>
        </w:rPr>
        <w:t xml:space="preserve">. </w:t>
      </w:r>
    </w:p>
    <w:p w14:paraId="5E1070E2" w14:textId="75B0647F" w:rsidR="00FF4655" w:rsidRPr="005C3FE9" w:rsidRDefault="00463E52" w:rsidP="00FF4655">
      <w:pPr>
        <w:rPr>
          <w:lang w:val="en-US" w:eastAsia="en-US"/>
        </w:rPr>
      </w:pPr>
      <w:r w:rsidRPr="005C3FE9">
        <w:rPr>
          <w:lang w:val="en-US" w:eastAsia="en-US"/>
        </w:rPr>
        <w:t>The story of the AB-FB was started i</w:t>
      </w:r>
      <w:r w:rsidR="00FF4655" w:rsidRPr="005C3FE9">
        <w:rPr>
          <w:lang w:val="en-US" w:eastAsia="en-US"/>
        </w:rPr>
        <w:t xml:space="preserve">n 1983 </w:t>
      </w:r>
      <w:r w:rsidRPr="005C3FE9">
        <w:rPr>
          <w:lang w:val="en-US" w:eastAsia="en-US"/>
        </w:rPr>
        <w:t xml:space="preserve">by </w:t>
      </w:r>
      <w:proofErr w:type="spellStart"/>
      <w:r w:rsidR="00FF4655" w:rsidRPr="005C3FE9">
        <w:rPr>
          <w:lang w:val="en-US" w:eastAsia="en-US"/>
        </w:rPr>
        <w:t>Emrén</w:t>
      </w:r>
      <w:proofErr w:type="spellEnd"/>
      <w:r w:rsidR="00FF4655" w:rsidRPr="005C3FE9">
        <w:rPr>
          <w:lang w:val="en-US" w:eastAsia="en-US"/>
        </w:rPr>
        <w:t xml:space="preserve"> and Holmstrom </w:t>
      </w:r>
      <w:r w:rsidR="00FF4655" w:rsidRPr="005C3FE9">
        <w:rPr>
          <w:lang w:val="en-US" w:eastAsia="en-US"/>
        </w:rPr>
        <w:fldChar w:fldCharType="begin" w:fldLock="1"/>
      </w:r>
      <w:r w:rsidR="00E77EC7">
        <w:rPr>
          <w:lang w:val="en-US" w:eastAsia="en-US"/>
        </w:rPr>
        <w:instrText>ADDIN CSL_CITATION {"citationItems":[{"id":"ITEM-1","itemData":{"DOI":"10.1016/0360-5442(83)90103-2","ISSN":"03605442","abstract":"A battery is described, in which bipolar membranes are used to split water into acid and hydroxide. The liquids may be stored for an indefinite time, and energy may be recovered at room temperature. It is shown that the liquids are able to store about 400 kJ/litre, which roughly corresponds to pumping water up to an altitude of 40 km. Bipolar membranes of low area resistance have been made and tested. The area resistance appears to have been 2-3 Ω cm2. A battery containing 7 unit cells has been constructed and tested. The maximum output voltage has been 1.8 V. The cost for energy storage is estimated to range from $0.1 to 2.5 per kWh depending on the mode of operation. © 1983.","author":[{"dropping-particle":"","family":"Emrén","given":"Allan T.","non-dropping-particle":"","parse-names":false,"suffix":""},{"dropping-particle":"","family":"Holmström","given":"Vivi J.M.","non-dropping-particle":"","parse-names":false,"suffix":""}],"container-title":"Energy","id":"ITEM-1","issue":"4","issued":{"date-parts":[["1983","4"]]},"page":"277-282","title":"Energy storage in a fuel cell with bipolar membranes burning acid and hydroxide","type":"article-journal","volume":"8"},"uris":["http://www.mendeley.com/documents/?uuid=737d0b9d-4429-4b14-8d92-0c739d2f6a52","http://www.mendeley.com/documents/?uuid=bcd2a81d-1a04-493a-b9b7-12abf7d670e6"]}],"mendeley":{"formattedCitation":"[26]","plainTextFormattedCitation":"[26]","previouslyFormattedCitation":"[26]"},"properties":{"noteIndex":0},"schema":"https://github.com/citation-style-language/schema/raw/master/csl-citation.json"}</w:instrText>
      </w:r>
      <w:r w:rsidR="00FF4655" w:rsidRPr="005C3FE9">
        <w:rPr>
          <w:lang w:val="en-US" w:eastAsia="en-US"/>
        </w:rPr>
        <w:fldChar w:fldCharType="separate"/>
      </w:r>
      <w:r w:rsidR="004319C3" w:rsidRPr="004319C3">
        <w:rPr>
          <w:noProof/>
          <w:lang w:val="en-US" w:eastAsia="en-US"/>
        </w:rPr>
        <w:t>[26]</w:t>
      </w:r>
      <w:r w:rsidR="00FF4655" w:rsidRPr="005C3FE9">
        <w:rPr>
          <w:lang w:val="en-US" w:eastAsia="en-US"/>
        </w:rPr>
        <w:fldChar w:fldCharType="end"/>
      </w:r>
      <w:r w:rsidRPr="005C3FE9">
        <w:rPr>
          <w:lang w:val="en-US" w:eastAsia="en-US"/>
        </w:rPr>
        <w:t>, who</w:t>
      </w:r>
      <w:r w:rsidR="00FF4655" w:rsidRPr="005C3FE9">
        <w:rPr>
          <w:lang w:val="en-US" w:eastAsia="en-US"/>
        </w:rPr>
        <w:t xml:space="preserve"> first discussed the possibility of storing energy in the form of acidic and alkaline solutions in fuel cells with </w:t>
      </w:r>
      <w:r w:rsidR="00C231C6" w:rsidRPr="005C3FE9">
        <w:rPr>
          <w:lang w:val="en-US" w:eastAsia="en-US"/>
        </w:rPr>
        <w:t>BPMs (seven-triplet stack)</w:t>
      </w:r>
      <w:r w:rsidR="00FF4655" w:rsidRPr="005C3FE9">
        <w:rPr>
          <w:lang w:val="en-US" w:eastAsia="en-US"/>
        </w:rPr>
        <w:t xml:space="preserve">. They proposed the existence of a linear relationship between the electromotive force, the difference in pH across the bipolar membrane layers, and the operating temperature. </w:t>
      </w:r>
      <w:r w:rsidR="00C231C6" w:rsidRPr="005C3FE9">
        <w:rPr>
          <w:lang w:val="en-US" w:eastAsia="en-US"/>
        </w:rPr>
        <w:t>Several years later</w:t>
      </w:r>
      <w:r w:rsidR="00FF4655" w:rsidRPr="005C3FE9">
        <w:rPr>
          <w:lang w:val="en-US" w:eastAsia="en-US"/>
        </w:rPr>
        <w:t xml:space="preserve">, </w:t>
      </w:r>
      <w:proofErr w:type="spellStart"/>
      <w:r w:rsidR="00FF4655" w:rsidRPr="005C3FE9">
        <w:rPr>
          <w:lang w:val="en-US" w:eastAsia="en-US"/>
        </w:rPr>
        <w:t>Pretz</w:t>
      </w:r>
      <w:proofErr w:type="spellEnd"/>
      <w:r w:rsidR="00FF4655" w:rsidRPr="005C3FE9">
        <w:rPr>
          <w:lang w:val="en-US" w:eastAsia="en-US"/>
        </w:rPr>
        <w:t xml:space="preserve"> and </w:t>
      </w:r>
      <w:proofErr w:type="spellStart"/>
      <w:r w:rsidR="00FF4655" w:rsidRPr="005C3FE9">
        <w:rPr>
          <w:lang w:val="en-US" w:eastAsia="en-US"/>
        </w:rPr>
        <w:t>Staude</w:t>
      </w:r>
      <w:proofErr w:type="spellEnd"/>
      <w:r w:rsidR="00FF4655" w:rsidRPr="005C3FE9">
        <w:rPr>
          <w:lang w:val="en-US" w:eastAsia="en-US"/>
        </w:rPr>
        <w:t xml:space="preserve"> </w:t>
      </w:r>
      <w:r w:rsidR="00FF4655" w:rsidRPr="005C3FE9">
        <w:rPr>
          <w:lang w:val="en-US" w:eastAsia="en-US"/>
        </w:rPr>
        <w:fldChar w:fldCharType="begin" w:fldLock="1"/>
      </w:r>
      <w:r w:rsidR="00E77EC7">
        <w:rPr>
          <w:lang w:val="en-US" w:eastAsia="en-US"/>
        </w:rPr>
        <w:instrText>ADDIN CSL_CITATION {"citationItems":[{"id":"ITEM-1","itemData":{"DOI":"10.1002/bbpc.19981020412","ISSN":"00059021","abstract":"An experimental study is presented of reverse electrodialysis (RED) as a completely different kind of electri- cal energy storage. The use of RED fuel cells has the potential to overcome common self-discharging prob- lems of the RED accumulator. The membranes used in RED are designed to meet requirements different from those for conventional electrodialysis (ED). This applies particularly to bipolar membranes. An essential crite- rion for the use of membranes in RED is permselectivity. An improvement in the permselectivity of the mem- branes was obtained by coating them with an appropriate polymer or cross-linking the membrane polymer. The results were compared with a mathematical model and some former works in this field.","author":[{"dropping-particle":"","family":"Pretz","given":"J.","non-dropping-particle":"","parse-names":false,"suffix":""},{"dropping-particle":"","family":"Staude","given":"E.","non-dropping-particle":"","parse-names":false,"suffix":""}],"container-title":"Berichte der Bunsengesellschaft für physikalische Chemie","id":"ITEM-1","issue":"4","issued":{"date-parts":[["1998","6"]]},"page":"676-685","title":"Reverse electrodialysis (RED) with bipolar membranes, an energy storage system","type":"article-journal","volume":"102"},"uris":["http://www.mendeley.com/documents/?uuid=4a5f0da3-b4b1-46f2-a8c4-72eefa5792b5","http://www.mendeley.com/documents/?uuid=41db8e3b-3b3a-4af9-b6da-b512cec8ce78"]}],"mendeley":{"formattedCitation":"[27]","plainTextFormattedCitation":"[27]","previouslyFormattedCitation":"[27]"},"properties":{"noteIndex":0},"schema":"https://github.com/citation-style-language/schema/raw/master/csl-citation.json"}</w:instrText>
      </w:r>
      <w:r w:rsidR="00FF4655" w:rsidRPr="005C3FE9">
        <w:rPr>
          <w:lang w:val="en-US" w:eastAsia="en-US"/>
        </w:rPr>
        <w:fldChar w:fldCharType="separate"/>
      </w:r>
      <w:r w:rsidR="004319C3" w:rsidRPr="004319C3">
        <w:rPr>
          <w:noProof/>
          <w:lang w:val="en-US" w:eastAsia="en-US"/>
        </w:rPr>
        <w:t>[27]</w:t>
      </w:r>
      <w:r w:rsidR="00FF4655" w:rsidRPr="005C3FE9">
        <w:rPr>
          <w:lang w:val="en-US" w:eastAsia="en-US"/>
        </w:rPr>
        <w:fldChar w:fldCharType="end"/>
      </w:r>
      <w:r w:rsidR="00FF4655" w:rsidRPr="005C3FE9">
        <w:rPr>
          <w:lang w:val="en-US" w:eastAsia="en-US"/>
        </w:rPr>
        <w:t xml:space="preserve"> assessed the performance of an AB-FB provided with </w:t>
      </w:r>
      <w:r w:rsidR="00B26EC5" w:rsidRPr="005C3FE9">
        <w:rPr>
          <w:lang w:val="en-US" w:eastAsia="en-US"/>
        </w:rPr>
        <w:t xml:space="preserve">a </w:t>
      </w:r>
      <w:r w:rsidR="00FF4655" w:rsidRPr="005C3FE9">
        <w:rPr>
          <w:lang w:val="en-US" w:eastAsia="en-US"/>
        </w:rPr>
        <w:t xml:space="preserve">number of </w:t>
      </w:r>
      <w:r w:rsidR="00FF4655" w:rsidRPr="005C3FE9">
        <w:rPr>
          <w:lang w:val="en-US" w:eastAsia="en-US"/>
        </w:rPr>
        <w:lastRenderedPageBreak/>
        <w:t xml:space="preserve">triplets ranging from 2 to 20. Additionally, the concentration range of HCl and NaOH was </w:t>
      </w:r>
      <w:r w:rsidR="00ED1C47">
        <w:rPr>
          <w:lang w:val="en-US" w:eastAsia="en-US"/>
        </w:rPr>
        <w:t xml:space="preserve">varied </w:t>
      </w:r>
      <w:r w:rsidR="00FF4655" w:rsidRPr="005C3FE9">
        <w:rPr>
          <w:lang w:val="en-US" w:eastAsia="en-US"/>
        </w:rPr>
        <w:t xml:space="preserve">from 0.1 to 1 M; this gave a process efficiency </w:t>
      </w:r>
      <w:r w:rsidR="00B26EC5" w:rsidRPr="005C3FE9">
        <w:rPr>
          <w:lang w:val="en-US" w:eastAsia="en-US"/>
        </w:rPr>
        <w:t xml:space="preserve">up to </w:t>
      </w:r>
      <w:r w:rsidR="00FF4655" w:rsidRPr="005C3FE9">
        <w:rPr>
          <w:lang w:val="en-US" w:eastAsia="en-US"/>
        </w:rPr>
        <w:t>22%, which is not particularly high due to the water accumulation phenomenon in the BPM junction, especially when operating at high electric currents. In the same year</w:t>
      </w:r>
      <w:r w:rsidR="00B26EC5" w:rsidRPr="005C3FE9">
        <w:rPr>
          <w:lang w:val="en-US" w:eastAsia="en-US"/>
        </w:rPr>
        <w:t xml:space="preserve"> (1998)</w:t>
      </w:r>
      <w:r w:rsidR="00FF4655" w:rsidRPr="005C3FE9">
        <w:rPr>
          <w:lang w:val="en-US" w:eastAsia="en-US"/>
        </w:rPr>
        <w:t xml:space="preserve">, </w:t>
      </w:r>
      <w:proofErr w:type="spellStart"/>
      <w:r w:rsidR="00FF4655" w:rsidRPr="005C3FE9">
        <w:rPr>
          <w:lang w:val="en-US" w:eastAsia="en-US"/>
        </w:rPr>
        <w:t>Zholkovskij</w:t>
      </w:r>
      <w:proofErr w:type="spellEnd"/>
      <w:r w:rsidR="00FF4655" w:rsidRPr="005C3FE9">
        <w:rPr>
          <w:lang w:val="en-US" w:eastAsia="en-US"/>
        </w:rPr>
        <w:t xml:space="preserve"> et al. </w:t>
      </w:r>
      <w:r w:rsidR="00FF4655" w:rsidRPr="005C3FE9">
        <w:rPr>
          <w:lang w:val="en-US" w:eastAsia="en-US"/>
        </w:rPr>
        <w:fldChar w:fldCharType="begin" w:fldLock="1"/>
      </w:r>
      <w:r w:rsidR="00E77EC7">
        <w:rPr>
          <w:lang w:val="en-US" w:eastAsia="en-US"/>
        </w:rPr>
        <w:instrText>ADDIN CSL_CITATION {"citationItems":[{"id":"ITEM-1","itemData":{"DOI":"10.1016/S0376-7388(97)00306-2","ISSN":"03767388","abstract":"The storage battery consists of a three-compartment electrodialysis cell with a bipolar membrane. The main characteristics of the electric energy source are evaluated when applied to the regimes of charge, discharge and self-discharge. These regimes are subjected to the experimental study to verify the theoretical predictions. The experimentally obtained values of the performance of the battery are compared with that of the known battery types. The comparison of the yield density of 0.5 and 80 W/kg (lead battery) makes it obvious that an industrial application is scarcely conceivable. Membranes with better permselectivity are needed.","author":[{"dropping-particle":"","family":"Zholkovskij","given":"Emil K.","non-dropping-particle":"","parse-names":false,"suffix":""},{"dropping-particle":"","family":"Müller","given":"Michael C.","non-dropping-particle":"","parse-names":false,"suffix":""},{"dropping-particle":"","family":"Staude","given":"Eberhard","non-dropping-particle":"","parse-names":false,"suffix":""}],"container-title":"Journal of Membrane Science","id":"ITEM-1","issue":"2","issued":{"date-parts":[["1998","4","15"]]},"page":"231-243","publisher":"Elsevier Science B.V.","title":"The storage battery with bipolar membranes","type":"article-journal","volume":"141"},"uris":["http://www.mendeley.com/documents/?uuid=1b39ecdd-e8ec-3fd2-9668-0de42595fea1"]}],"mendeley":{"formattedCitation":"[28]","plainTextFormattedCitation":"[28]","previouslyFormattedCitation":"[28]"},"properties":{"noteIndex":0},"schema":"https://github.com/citation-style-language/schema/raw/master/csl-citation.json"}</w:instrText>
      </w:r>
      <w:r w:rsidR="00FF4655" w:rsidRPr="005C3FE9">
        <w:rPr>
          <w:lang w:val="en-US" w:eastAsia="en-US"/>
        </w:rPr>
        <w:fldChar w:fldCharType="separate"/>
      </w:r>
      <w:r w:rsidR="004319C3" w:rsidRPr="004319C3">
        <w:rPr>
          <w:noProof/>
          <w:lang w:val="en-US" w:eastAsia="en-US"/>
        </w:rPr>
        <w:t>[28]</w:t>
      </w:r>
      <w:r w:rsidR="00FF4655" w:rsidRPr="005C3FE9">
        <w:rPr>
          <w:lang w:val="en-US" w:eastAsia="en-US"/>
        </w:rPr>
        <w:fldChar w:fldCharType="end"/>
      </w:r>
      <w:r w:rsidR="00FF4655" w:rsidRPr="005C3FE9">
        <w:rPr>
          <w:lang w:val="en-US" w:eastAsia="en-US"/>
        </w:rPr>
        <w:t xml:space="preserve"> conducted experiments with a</w:t>
      </w:r>
      <w:r w:rsidR="00B26EC5" w:rsidRPr="005C3FE9">
        <w:rPr>
          <w:lang w:val="en-US" w:eastAsia="en-US"/>
        </w:rPr>
        <w:t xml:space="preserve"> single-triplet</w:t>
      </w:r>
      <w:r w:rsidR="00FF4655" w:rsidRPr="005C3FE9">
        <w:rPr>
          <w:lang w:val="en-US" w:eastAsia="en-US"/>
        </w:rPr>
        <w:t xml:space="preserve"> AB-FB</w:t>
      </w:r>
      <w:r w:rsidR="00B26EC5" w:rsidRPr="005C3FE9">
        <w:rPr>
          <w:lang w:val="en-US" w:eastAsia="en-US"/>
        </w:rPr>
        <w:t xml:space="preserve"> tested at</w:t>
      </w:r>
      <w:r w:rsidR="00FF4655" w:rsidRPr="005C3FE9">
        <w:rPr>
          <w:lang w:val="en-US" w:eastAsia="en-US"/>
        </w:rPr>
        <w:t xml:space="preserve"> very low concentrations of acid and base of 0.03 M</w:t>
      </w:r>
      <w:r w:rsidR="00A66FAC" w:rsidRPr="005C3FE9">
        <w:rPr>
          <w:lang w:val="en-US" w:eastAsia="en-US"/>
        </w:rPr>
        <w:t xml:space="preserve"> </w:t>
      </w:r>
      <w:r w:rsidR="00FF4655" w:rsidRPr="005C3FE9">
        <w:rPr>
          <w:lang w:val="en-US" w:eastAsia="en-US"/>
        </w:rPr>
        <w:t>obtain</w:t>
      </w:r>
      <w:r w:rsidR="00A66FAC" w:rsidRPr="005C3FE9">
        <w:rPr>
          <w:lang w:val="en-US" w:eastAsia="en-US"/>
        </w:rPr>
        <w:t>ing</w:t>
      </w:r>
      <w:r w:rsidR="00FF4655" w:rsidRPr="005C3FE9">
        <w:rPr>
          <w:lang w:val="en-US" w:eastAsia="en-US"/>
        </w:rPr>
        <w:t xml:space="preserve"> </w:t>
      </w:r>
      <w:r w:rsidR="00A66FAC" w:rsidRPr="005C3FE9">
        <w:rPr>
          <w:lang w:val="en-US" w:eastAsia="en-US"/>
        </w:rPr>
        <w:t>low values</w:t>
      </w:r>
      <w:r w:rsidR="001256D2" w:rsidRPr="005C3FE9">
        <w:rPr>
          <w:lang w:val="en-US" w:eastAsia="en-US"/>
        </w:rPr>
        <w:t xml:space="preserve"> </w:t>
      </w:r>
      <w:r w:rsidR="00A66FAC" w:rsidRPr="005C3FE9">
        <w:rPr>
          <w:lang w:val="en-US" w:eastAsia="en-US"/>
        </w:rPr>
        <w:t xml:space="preserve">of </w:t>
      </w:r>
      <w:r w:rsidR="00FF4655" w:rsidRPr="005C3FE9">
        <w:rPr>
          <w:lang w:val="en-US" w:eastAsia="en-US"/>
        </w:rPr>
        <w:t xml:space="preserve">power density and specific energy. More recently, Kim et al. </w:t>
      </w:r>
      <w:r w:rsidR="00FF4655" w:rsidRPr="005C3FE9">
        <w:rPr>
          <w:lang w:val="en-US" w:eastAsia="en-US"/>
        </w:rPr>
        <w:fldChar w:fldCharType="begin" w:fldLock="1"/>
      </w:r>
      <w:r w:rsidR="00E77EC7">
        <w:rPr>
          <w:lang w:val="en-US" w:eastAsia="en-US"/>
        </w:rPr>
        <w:instrText>ADDIN CSL_CITATION {"citationItems":[{"id":"ITEM-1","itemData":{"DOI":"10.1016/j.elecom.2016.09.025","ISBN":"1388-2481","ISSN":"13882481","abstract":"The acid-base junction potential can be used to generate electricity instead of the reduction-oxidation potential, which is often used for energy conversion between chemical energy and electricity. In this study, reverse bipolar electrodialysis was designed for energy conversion between acid-base solutions and electricity. Operating a flow battery with various HCl/NaOH concentrations, or an ABJFB, the current-voltage relationships showed typical polarization curves that were similar to those obtained in power generation from a fuel cell. We further demonstrated that the cell can be operated in a charge/discharge cyclic mode in a single cell. To the best of our knowledge, this study is the first report on a proof-of-concept experiment demonstrating the cyclic operation of an ABJFB.","author":[{"dropping-particle":"","family":"Kim","given":"Jae Hun","non-dropping-particle":"","parse-names":false,"suffix":""},{"dropping-particle":"","family":"Lee","given":"Jin Hyun","non-dropping-particle":"","parse-names":false,"suffix":""},{"dropping-particle":"","family":"Maurya","given":"Sandip","non-dropping-particle":"","parse-names":false,"suffix":""},{"dropping-particle":"","family":"Shin","given":"Sung Hee","non-dropping-particle":"","parse-names":false,"suffix":""},{"dropping-particle":"","family":"Lee","given":"Jae Young","non-dropping-particle":"","parse-names":false,"suffix":""},{"dropping-particle":"","family":"Chang","given":"In Seop","non-dropping-particle":"","parse-names":false,"suffix":""},{"dropping-particle":"","family":"Moon","given":"Seung Hyeon","non-dropping-particle":"","parse-names":false,"suffix":""}],"container-title":"Electrochemistry Communications","id":"ITEM-1","issued":{"date-parts":[["2016","11","1"]]},"page":"157-161","publisher":"Elsevier","title":"Proof-of-concept experiments of an acid-base junction flow battery by reverse bipolar electrodialysis for an energy conversion system","type":"article-journal","volume":"72"},"uris":["http://www.mendeley.com/documents/?uuid=8c813eeb-a168-350b-a210-0c51c1b7de09"]}],"mendeley":{"formattedCitation":"[29]","plainTextFormattedCitation":"[29]","previouslyFormattedCitation":"[29]"},"properties":{"noteIndex":0},"schema":"https://github.com/citation-style-language/schema/raw/master/csl-citation.json"}</w:instrText>
      </w:r>
      <w:r w:rsidR="00FF4655" w:rsidRPr="005C3FE9">
        <w:rPr>
          <w:lang w:val="en-US" w:eastAsia="en-US"/>
        </w:rPr>
        <w:fldChar w:fldCharType="separate"/>
      </w:r>
      <w:r w:rsidR="004319C3" w:rsidRPr="004319C3">
        <w:rPr>
          <w:noProof/>
          <w:lang w:val="en-US" w:eastAsia="en-US"/>
        </w:rPr>
        <w:t>[29]</w:t>
      </w:r>
      <w:r w:rsidR="00FF4655" w:rsidRPr="005C3FE9">
        <w:rPr>
          <w:lang w:val="en-US" w:eastAsia="en-US"/>
        </w:rPr>
        <w:fldChar w:fldCharType="end"/>
      </w:r>
      <w:r w:rsidR="00FF4655" w:rsidRPr="005C3FE9">
        <w:rPr>
          <w:lang w:val="en-US" w:eastAsia="en-US"/>
        </w:rPr>
        <w:t xml:space="preserve"> studied a wider range of acid/base concentrations of 0.1 to 0.7 M using a stack with 1 triplet. In this case, the maximum power density achieved was 2.9 W m</w:t>
      </w:r>
      <w:r w:rsidR="00FF4655" w:rsidRPr="005C3FE9">
        <w:rPr>
          <w:vertAlign w:val="superscript"/>
          <w:lang w:val="en-US" w:eastAsia="en-US"/>
        </w:rPr>
        <w:t>-2</w:t>
      </w:r>
      <w:r w:rsidR="00FF4655" w:rsidRPr="005C3FE9">
        <w:rPr>
          <w:lang w:val="en-US" w:eastAsia="en-US"/>
        </w:rPr>
        <w:t xml:space="preserve"> of total membrane area. Moreover, they related the deviation between the obtained Open Circuit Voltage and the theoretical values (derived from the Nernst equation) to the existence of </w:t>
      </w:r>
      <w:r w:rsidR="00ED1C47">
        <w:rPr>
          <w:lang w:val="en-US" w:eastAsia="en-US"/>
        </w:rPr>
        <w:t>some</w:t>
      </w:r>
      <w:r w:rsidR="00ED1C47" w:rsidRPr="005C3FE9">
        <w:rPr>
          <w:lang w:val="en-US" w:eastAsia="en-US"/>
        </w:rPr>
        <w:t xml:space="preserve"> </w:t>
      </w:r>
      <w:r w:rsidR="00FF4655" w:rsidRPr="005C3FE9">
        <w:rPr>
          <w:lang w:val="en-US" w:eastAsia="en-US"/>
        </w:rPr>
        <w:t xml:space="preserve">detrimental phenomena. These include </w:t>
      </w:r>
      <w:r w:rsidR="00802A32" w:rsidRPr="005C3FE9">
        <w:rPr>
          <w:lang w:val="en-US" w:eastAsia="en-US"/>
        </w:rPr>
        <w:t xml:space="preserve">a low </w:t>
      </w:r>
      <w:r w:rsidR="00FF4655" w:rsidRPr="005C3FE9">
        <w:rPr>
          <w:lang w:val="en-US" w:eastAsia="en-US"/>
        </w:rPr>
        <w:t>water</w:t>
      </w:r>
      <w:r w:rsidR="00802A32" w:rsidRPr="005C3FE9">
        <w:rPr>
          <w:lang w:val="en-US" w:eastAsia="en-US"/>
        </w:rPr>
        <w:t xml:space="preserve"> back-diffusion through the</w:t>
      </w:r>
      <w:r w:rsidR="00FF4655" w:rsidRPr="005C3FE9">
        <w:rPr>
          <w:lang w:val="en-US" w:eastAsia="en-US"/>
        </w:rPr>
        <w:t xml:space="preserve"> BPM layer</w:t>
      </w:r>
      <w:r w:rsidR="00802A32" w:rsidRPr="005C3FE9">
        <w:rPr>
          <w:lang w:val="en-US" w:eastAsia="en-US"/>
        </w:rPr>
        <w:t>s</w:t>
      </w:r>
      <w:r w:rsidR="00FF4655" w:rsidRPr="005C3FE9">
        <w:rPr>
          <w:lang w:val="en-US" w:eastAsia="en-US"/>
        </w:rPr>
        <w:t xml:space="preserve">, as well as high </w:t>
      </w:r>
      <w:r w:rsidR="00BD3E77" w:rsidRPr="005C3FE9">
        <w:rPr>
          <w:lang w:val="en-US" w:eastAsia="en-US"/>
        </w:rPr>
        <w:t>electrode</w:t>
      </w:r>
      <w:r w:rsidR="00FF4655" w:rsidRPr="005C3FE9">
        <w:rPr>
          <w:lang w:val="en-US" w:eastAsia="en-US"/>
        </w:rPr>
        <w:t xml:space="preserve"> </w:t>
      </w:r>
      <w:proofErr w:type="spellStart"/>
      <w:r w:rsidR="00FF4655" w:rsidRPr="005C3FE9">
        <w:rPr>
          <w:lang w:val="en-US" w:eastAsia="en-US"/>
        </w:rPr>
        <w:t>overvoltages</w:t>
      </w:r>
      <w:proofErr w:type="spellEnd"/>
      <w:r w:rsidR="00FF4655" w:rsidRPr="005C3FE9">
        <w:rPr>
          <w:lang w:val="en-US" w:eastAsia="en-US"/>
        </w:rPr>
        <w:t xml:space="preserve">. Van </w:t>
      </w:r>
      <w:proofErr w:type="spellStart"/>
      <w:r w:rsidR="00FF4655" w:rsidRPr="005C3FE9">
        <w:rPr>
          <w:lang w:val="en-US" w:eastAsia="en-US"/>
        </w:rPr>
        <w:t>Egmond</w:t>
      </w:r>
      <w:proofErr w:type="spellEnd"/>
      <w:r w:rsidR="00FF4655" w:rsidRPr="005C3FE9">
        <w:rPr>
          <w:lang w:val="en-US" w:eastAsia="en-US"/>
        </w:rPr>
        <w:t xml:space="preserve"> et al. </w:t>
      </w:r>
      <w:r w:rsidR="00FF4655" w:rsidRPr="005C3FE9">
        <w:rPr>
          <w:lang w:val="en-US" w:eastAsia="en-US"/>
        </w:rPr>
        <w:fldChar w:fldCharType="begin" w:fldLock="1"/>
      </w:r>
      <w:r w:rsidR="00E77EC7">
        <w:rPr>
          <w:lang w:val="en-US" w:eastAsia="en-US"/>
        </w:rPr>
        <w:instrText>ADDIN CSL_CITATION {"citationItems":[{"id":"ITEM-1","itemData":{"DOI":"10.1002/er.3941","ISSN":"0363907X","abstract":"An increasing fraction of energy is generated by intermittent sources such as wind and sun. A straightforward solution to keep the electricity grid reliable is the connection of large‐scale electricity storage to this grid. Current battery storage technologies, while providing promising energy and power densities, suffer from a large environmental footprint, safety issues, and technological challenges. In this paper, the acid base flow battery is re‐established as an envi- ronmental friendly means of storing electricity using electrolyte consisting of NaCl salt. To achieve a high specific energy, we have performed charge and dis- charge cycles over the entire pH range (0–14) at several current densities. We demonstrate stable performance at high energy density (2.9 Wh L−1). Main energy dissipation occurs by unwanted proton and hydroxyl ion transport and leads to low coulombic efficiencies (13%–27%).","author":[{"dropping-particle":"","family":"Egmond","given":"W. J.","non-dropping-particle":"van","parse-names":false,"suffix":""},{"dropping-particle":"","family":"Saakes","given":"M.","non-dropping-particle":"","parse-names":false,"suffix":""},{"dropping-particle":"","family":"Noor","given":"I.","non-dropping-particle":"","parse-names":false,"suffix":""},{"dropping-particle":"","family":"Porada","given":"S.","non-dropping-particle":"","parse-names":false,"suffix":""},{"dropping-particle":"","family":"Buisman","given":"C. J. N.","non-dropping-particle":"","parse-names":false,"suffix":""},{"dropping-particle":"","family":"Hamelers","given":"H.V.M.","non-dropping-particle":"","parse-names":false,"suffix":""}],"container-title":"International Journal of Energy Research","id":"ITEM-1","issue":"4","issued":{"date-parts":[["2018","3","25"]]},"page":"1524-1535","title":"Performance of an environmentally benign acid base flow battery at high energy density","type":"article-journal","volume":"42"},"uris":["http://www.mendeley.com/documents/?uuid=65c69b58-b182-3c03-b037-15c91d33a8c8"]}],"mendeley":{"formattedCitation":"[7]","plainTextFormattedCitation":"[7]","previouslyFormattedCitation":"[7]"},"properties":{"noteIndex":0},"schema":"https://github.com/citation-style-language/schema/raw/master/csl-citation.json"}</w:instrText>
      </w:r>
      <w:r w:rsidR="00FF4655" w:rsidRPr="005C3FE9">
        <w:rPr>
          <w:lang w:val="en-US" w:eastAsia="en-US"/>
        </w:rPr>
        <w:fldChar w:fldCharType="separate"/>
      </w:r>
      <w:r w:rsidR="004319C3" w:rsidRPr="004319C3">
        <w:rPr>
          <w:noProof/>
          <w:lang w:val="en-US" w:eastAsia="en-US"/>
        </w:rPr>
        <w:t>[7]</w:t>
      </w:r>
      <w:r w:rsidR="00FF4655" w:rsidRPr="005C3FE9">
        <w:rPr>
          <w:lang w:val="en-US" w:eastAsia="en-US"/>
        </w:rPr>
        <w:fldChar w:fldCharType="end"/>
      </w:r>
      <w:r w:rsidR="00FF4655" w:rsidRPr="005C3FE9">
        <w:rPr>
          <w:lang w:val="en-US" w:eastAsia="en-US"/>
        </w:rPr>
        <w:t xml:space="preserve"> tested an AB-FB including 1 triplet </w:t>
      </w:r>
      <w:r w:rsidR="00BD3E77" w:rsidRPr="005C3FE9">
        <w:rPr>
          <w:lang w:val="en-US" w:eastAsia="en-US"/>
        </w:rPr>
        <w:t>in the</w:t>
      </w:r>
      <w:r w:rsidR="00FF4655" w:rsidRPr="005C3FE9">
        <w:rPr>
          <w:lang w:val="en-US" w:eastAsia="en-US"/>
        </w:rPr>
        <w:t xml:space="preserve"> concentration range 0−1 M</w:t>
      </w:r>
      <w:r w:rsidR="00BD3E77" w:rsidRPr="005C3FE9">
        <w:rPr>
          <w:lang w:val="en-US" w:eastAsia="en-US"/>
        </w:rPr>
        <w:t>, performing nine battery cycles</w:t>
      </w:r>
      <w:r w:rsidR="00FF4655" w:rsidRPr="005C3FE9">
        <w:rPr>
          <w:lang w:val="en-US" w:eastAsia="en-US"/>
        </w:rPr>
        <w:t xml:space="preserve">. At the highest achieved concentration, the </w:t>
      </w:r>
      <w:r w:rsidR="00BD3E77" w:rsidRPr="005C3FE9">
        <w:rPr>
          <w:lang w:val="en-US" w:eastAsia="en-US"/>
        </w:rPr>
        <w:t>open circuit voltage</w:t>
      </w:r>
      <w:r w:rsidR="00FF4655" w:rsidRPr="005C3FE9">
        <w:rPr>
          <w:lang w:val="en-US" w:eastAsia="en-US"/>
        </w:rPr>
        <w:t xml:space="preserve"> was 0.83 V, corresponding to an apparent permselectivity of 89%. Indeed, this study employed </w:t>
      </w:r>
      <w:proofErr w:type="spellStart"/>
      <w:r w:rsidR="00FF4655" w:rsidRPr="005C3FE9">
        <w:rPr>
          <w:lang w:val="en-US" w:eastAsia="en-US"/>
        </w:rPr>
        <w:t>Fumatech</w:t>
      </w:r>
      <w:proofErr w:type="spellEnd"/>
      <w:r w:rsidR="00FF4655" w:rsidRPr="005C3FE9">
        <w:rPr>
          <w:lang w:val="en-US" w:eastAsia="en-US"/>
        </w:rPr>
        <w:t>® membranes, which show high level of performance. In order to prevent membrane delamination</w:t>
      </w:r>
      <w:r w:rsidR="00BD3E77" w:rsidRPr="005C3FE9">
        <w:rPr>
          <w:lang w:val="en-US" w:eastAsia="en-US"/>
        </w:rPr>
        <w:t xml:space="preserve"> (i.e., detachment of the two BPM layers)</w:t>
      </w:r>
      <w:r w:rsidR="00FF4655" w:rsidRPr="005C3FE9">
        <w:rPr>
          <w:lang w:val="en-US" w:eastAsia="en-US"/>
        </w:rPr>
        <w:t xml:space="preserve">, they </w:t>
      </w:r>
      <w:r w:rsidR="00BD3E77" w:rsidRPr="005C3FE9">
        <w:rPr>
          <w:lang w:val="en-US" w:eastAsia="en-US"/>
        </w:rPr>
        <w:t xml:space="preserve">limited </w:t>
      </w:r>
      <w:r w:rsidR="00FF4655" w:rsidRPr="005C3FE9">
        <w:rPr>
          <w:lang w:val="en-US" w:eastAsia="en-US"/>
        </w:rPr>
        <w:t xml:space="preserve">the </w:t>
      </w:r>
      <w:r w:rsidR="00BD3E77" w:rsidRPr="005C3FE9">
        <w:rPr>
          <w:lang w:val="en-US" w:eastAsia="en-US"/>
        </w:rPr>
        <w:t>maximum</w:t>
      </w:r>
      <w:r w:rsidR="00FF4655" w:rsidRPr="005C3FE9">
        <w:rPr>
          <w:lang w:val="en-US" w:eastAsia="en-US"/>
        </w:rPr>
        <w:t xml:space="preserve"> discharge current density to 15 A m</w:t>
      </w:r>
      <w:r w:rsidR="00FF4655" w:rsidRPr="005C3FE9">
        <w:rPr>
          <w:vertAlign w:val="superscript"/>
          <w:lang w:val="en-US" w:eastAsia="en-US"/>
        </w:rPr>
        <w:t>-2</w:t>
      </w:r>
      <w:r w:rsidR="00FF4655" w:rsidRPr="005C3FE9">
        <w:rPr>
          <w:lang w:val="en-US" w:eastAsia="en-US"/>
        </w:rPr>
        <w:t xml:space="preserve">. Compared to prior studies, up to that date, they obtained the highest </w:t>
      </w:r>
      <w:r w:rsidR="00BD3E77" w:rsidRPr="005C3FE9">
        <w:rPr>
          <w:lang w:val="en-US" w:eastAsia="en-US"/>
        </w:rPr>
        <w:t>gross power density (</w:t>
      </w:r>
      <w:r w:rsidR="00FF4655" w:rsidRPr="005C3FE9">
        <w:rPr>
          <w:lang w:val="en-US" w:eastAsia="en-US"/>
        </w:rPr>
        <w:t>GPD</w:t>
      </w:r>
      <w:r w:rsidR="00BD3E77" w:rsidRPr="005C3FE9">
        <w:rPr>
          <w:lang w:val="en-US" w:eastAsia="en-US"/>
        </w:rPr>
        <w:t>)</w:t>
      </w:r>
      <w:r w:rsidR="00FF4655" w:rsidRPr="005C3FE9">
        <w:rPr>
          <w:lang w:val="en-US" w:eastAsia="en-US"/>
        </w:rPr>
        <w:t xml:space="preserve"> value of 3.7 W m</w:t>
      </w:r>
      <w:r w:rsidR="00FF4655" w:rsidRPr="005C3FE9">
        <w:rPr>
          <w:vertAlign w:val="superscript"/>
          <w:lang w:val="en-US" w:eastAsia="en-US"/>
        </w:rPr>
        <w:t>-2</w:t>
      </w:r>
      <w:r w:rsidR="00FF4655" w:rsidRPr="005C3FE9">
        <w:rPr>
          <w:lang w:val="en-US" w:eastAsia="en-US"/>
        </w:rPr>
        <w:t xml:space="preserve">. Xia et al. </w:t>
      </w:r>
      <w:r w:rsidR="00FF4655" w:rsidRPr="005C3FE9">
        <w:rPr>
          <w:lang w:val="en-US" w:eastAsia="en-US"/>
        </w:rPr>
        <w:fldChar w:fldCharType="begin" w:fldLock="1"/>
      </w:r>
      <w:r w:rsidR="00E77EC7">
        <w:rPr>
          <w:lang w:val="en-US" w:eastAsia="en-US"/>
        </w:rPr>
        <w:instrText>ADDIN CSL_CITATION {"citationItems":[{"id":"ITEM-1","itemData":{"DOI":"10.1016/j.memsci.2018.07.073","ISSN":"18733123","abstract":"The efficient storage of electrical energy is a key issue for a sustainable electrical energy supply from fluctuating sources such as windmills or photovoltaic devices. In addition to traditional electrical energy storage devices, flow batteries have become a subject of intensive research and development activities. This publication is concentrated on a flow battery type, based on the neutralization of an acid and a base by reverse electrodialysis with bipolar membranes. The fundamental aspects of the process will be discussed and experiments at laboratory scale in a single repeating cell unit will be presented, using HCl as acid, NaOH as base and NaCl as neutral salt solution. The components and process parameters which determine the performance of this battery, such as the monopolar and bipolar membranes, the concentrations of acid and base, and the operating temperature, have been investigated and their effect on the overall efficiency of the battery will be discussed. In a following second part, experimental results for stacks with 5–20 repeating cell units will be presented by Xia et al., in preparation [13]. Key issues for a successful implementation of a flow battery based on acid/base neutralization are the membrane permselectivities, depending on the fixed charge density, the ionic resistances of the mono- and bipolar ion-exchange membranes and the water permeability of the bipolar membrane.","author":[{"dropping-particle":"","family":"Xia","given":"Jiabing","non-dropping-particle":"","parse-names":false,"suffix":""},{"dropping-particle":"","family":"Eigenberger","given":"Gerhart","non-dropping-particle":"","parse-names":false,"suffix":""},{"dropping-particle":"","family":"Strathmann","given":"Heinrich","non-dropping-particle":"","parse-names":false,"suffix":""},{"dropping-particle":"","family":"Nieken","given":"Ulrich","non-dropping-particle":"","parse-names":false,"suffix":""}],"container-title":"Journal of Membrane Science","id":"ITEM-1","issued":{"date-parts":[["2018","11","1"]]},"page":"157-168","publisher":"Elsevier","title":"Flow battery based on reverse electrodialysis with bipolar membranes: Single cell experiments","type":"article-journal","volume":"565"},"uris":["http://www.mendeley.com/documents/?uuid=6d45fc29-709d-3d31-b364-19250efc1db5"]}],"mendeley":{"formattedCitation":"[30]","plainTextFormattedCitation":"[30]","previouslyFormattedCitation":"[30]"},"properties":{"noteIndex":0},"schema":"https://github.com/citation-style-language/schema/raw/master/csl-citation.json"}</w:instrText>
      </w:r>
      <w:r w:rsidR="00FF4655" w:rsidRPr="005C3FE9">
        <w:rPr>
          <w:lang w:val="en-US" w:eastAsia="en-US"/>
        </w:rPr>
        <w:fldChar w:fldCharType="separate"/>
      </w:r>
      <w:r w:rsidR="004319C3" w:rsidRPr="004319C3">
        <w:rPr>
          <w:noProof/>
          <w:lang w:val="en-US" w:eastAsia="en-US"/>
        </w:rPr>
        <w:t>[30]</w:t>
      </w:r>
      <w:r w:rsidR="00FF4655" w:rsidRPr="005C3FE9">
        <w:rPr>
          <w:lang w:val="en-US" w:eastAsia="en-US"/>
        </w:rPr>
        <w:fldChar w:fldCharType="end"/>
      </w:r>
      <w:r w:rsidR="00FF4655" w:rsidRPr="005C3FE9">
        <w:rPr>
          <w:lang w:val="en-US" w:eastAsia="en-US"/>
        </w:rPr>
        <w:t xml:space="preserve"> </w:t>
      </w:r>
      <w:r w:rsidR="00652393" w:rsidRPr="005C3FE9">
        <w:rPr>
          <w:lang w:val="en-US" w:eastAsia="en-US"/>
        </w:rPr>
        <w:t xml:space="preserve">performed a preliminary study </w:t>
      </w:r>
      <w:r w:rsidR="00FF4655" w:rsidRPr="005C3FE9">
        <w:rPr>
          <w:lang w:val="en-US" w:eastAsia="en-US"/>
        </w:rPr>
        <w:t xml:space="preserve">with 1 </w:t>
      </w:r>
      <w:r w:rsidR="00652393" w:rsidRPr="005C3FE9">
        <w:rPr>
          <w:lang w:val="en-US" w:eastAsia="en-US"/>
        </w:rPr>
        <w:t>triplet</w:t>
      </w:r>
      <w:r w:rsidR="00FF4655" w:rsidRPr="005C3FE9">
        <w:rPr>
          <w:lang w:val="en-US" w:eastAsia="en-US"/>
        </w:rPr>
        <w:t xml:space="preserve">; subsequently, they studied the behavior of the </w:t>
      </w:r>
      <w:r w:rsidR="00652393" w:rsidRPr="005C3FE9">
        <w:rPr>
          <w:lang w:val="en-US" w:eastAsia="en-US"/>
        </w:rPr>
        <w:t xml:space="preserve">AB-FB </w:t>
      </w:r>
      <w:r w:rsidR="00FF4655" w:rsidRPr="005C3FE9">
        <w:rPr>
          <w:lang w:val="en-US" w:eastAsia="en-US"/>
        </w:rPr>
        <w:t xml:space="preserve">with </w:t>
      </w:r>
      <w:r w:rsidR="00652393" w:rsidRPr="005C3FE9">
        <w:rPr>
          <w:lang w:val="en-US" w:eastAsia="en-US"/>
        </w:rPr>
        <w:t>multiple triplets</w:t>
      </w:r>
      <w:r w:rsidR="00FF4655" w:rsidRPr="005C3FE9">
        <w:rPr>
          <w:lang w:val="en-US" w:eastAsia="en-US"/>
        </w:rPr>
        <w:t xml:space="preserve">, ranging from 5 to 20 </w:t>
      </w:r>
      <w:r w:rsidR="00EC2DAD" w:rsidRPr="005C3FE9">
        <w:rPr>
          <w:lang w:val="en-US" w:eastAsia="en-US"/>
        </w:rPr>
        <w:fldChar w:fldCharType="begin" w:fldLock="1"/>
      </w:r>
      <w:r w:rsidR="00E77EC7">
        <w:rPr>
          <w:lang w:val="en-US" w:eastAsia="en-US"/>
        </w:rPr>
        <w:instrText>ADDIN CSL_CITATION {"citationItems":[{"id":"ITEM-1","itemData":{"DOI":"10.3390/pr8010099","ISSN":"22279717","abstract":"Neutralization of acid and base to produce electricity in the process of reverse electrodialysis with bipolar membranes (REDBP) presents an interesting but until now fairly overlooked flow battery concept. Previously, we presented single-cell experiments, which explain the principle and discuss the potential of this process. In this contribution, we discuss experiments with REDBP stacks at lab scale, consisting of 5 to 20 repeating cell units. They demonstrate that the single-cell results can be extrapolated to respective stacks, although additional losses have to be considered. As in other flow battery stacks, losses by shunt currents through the parallel electrolyte feed/exit lines increases with the number of connected cell units, whereas the relative importance of electrode losses decreases with increasing cell number. Experimental results are presented with 1 mole L-1 acid (HCl) and base (NaOH) for open circuit as well as for charge and discharge with up to 18 mA/cm2 current density. Measures to further increase the efficiency of this novel flow battery concept are discussed.","author":[{"dropping-particle":"","family":"Xia","given":"Jiabing","non-dropping-particle":"","parse-names":false,"suffix":""},{"dropping-particle":"","family":"Eigenberger","given":"Gerhart","non-dropping-particle":"","parse-names":false,"suffix":""},{"dropping-particle":"","family":"Strathmann","given":"Heinrich","non-dropping-particle":"","parse-names":false,"suffix":""},{"dropping-particle":"","family":"Nieken","given":"Ulrich","non-dropping-particle":"","parse-names":false,"suffix":""}],"container-title":"Processes","id":"ITEM-1","issue":"1","issued":{"date-parts":[["2020","1","11"]]},"page":"99","publisher":"Multidisciplinary Digital Publishing Institute","title":"Acid-base flow battery, based on reverse electrodialysis with bi-polar membranes: Stack experiments","type":"article-journal","volume":"8"},"uris":["http://www.mendeley.com/documents/?uuid=b7eb5a7e-f910-4726-a539-302922a29435"]}],"mendeley":{"formattedCitation":"[31]","plainTextFormattedCitation":"[31]","previouslyFormattedCitation":"[31]"},"properties":{"noteIndex":0},"schema":"https://github.com/citation-style-language/schema/raw/master/csl-citation.json"}</w:instrText>
      </w:r>
      <w:r w:rsidR="00EC2DAD" w:rsidRPr="005C3FE9">
        <w:rPr>
          <w:lang w:val="en-US" w:eastAsia="en-US"/>
        </w:rPr>
        <w:fldChar w:fldCharType="separate"/>
      </w:r>
      <w:r w:rsidR="004319C3" w:rsidRPr="004319C3">
        <w:rPr>
          <w:noProof/>
          <w:lang w:val="en-US" w:eastAsia="en-US"/>
        </w:rPr>
        <w:t>[31]</w:t>
      </w:r>
      <w:r w:rsidR="00EC2DAD" w:rsidRPr="005C3FE9">
        <w:rPr>
          <w:lang w:val="en-US" w:eastAsia="en-US"/>
        </w:rPr>
        <w:fldChar w:fldCharType="end"/>
      </w:r>
      <w:r w:rsidR="00FF4655" w:rsidRPr="005C3FE9">
        <w:rPr>
          <w:lang w:val="en-US" w:eastAsia="en-US"/>
        </w:rPr>
        <w:t xml:space="preserve">. The two studies investigated </w:t>
      </w:r>
      <w:r w:rsidR="00ED1C47">
        <w:rPr>
          <w:lang w:val="en-US" w:eastAsia="en-US"/>
        </w:rPr>
        <w:t xml:space="preserve">acid and base </w:t>
      </w:r>
      <w:r w:rsidR="00FF4655" w:rsidRPr="005C3FE9">
        <w:rPr>
          <w:lang w:val="en-US" w:eastAsia="en-US"/>
        </w:rPr>
        <w:t xml:space="preserve">concentration ranges 0–1 M </w:t>
      </w:r>
      <w:r w:rsidR="00192794" w:rsidRPr="005C3FE9">
        <w:rPr>
          <w:lang w:val="en-US" w:eastAsia="en-US"/>
        </w:rPr>
        <w:fldChar w:fldCharType="begin" w:fldLock="1"/>
      </w:r>
      <w:r w:rsidR="00E77EC7">
        <w:rPr>
          <w:lang w:val="en-US" w:eastAsia="en-US"/>
        </w:rPr>
        <w:instrText>ADDIN CSL_CITATION {"citationItems":[{"id":"ITEM-1","itemData":{"DOI":"10.1016/j.memsci.2018.07.073","ISSN":"18733123","abstract":"The efficient storage of electrical energy is a key issue for a sustainable electrical energy supply from fluctuating sources such as windmills or photovoltaic devices. In addition to traditional electrical energy storage devices, flow batteries have become a subject of intensive research and development activities. This publication is concentrated on a flow battery type, based on the neutralization of an acid and a base by reverse electrodialysis with bipolar membranes. The fundamental aspects of the process will be discussed and experiments at laboratory scale in a single repeating cell unit will be presented, using HCl as acid, NaOH as base and NaCl as neutral salt solution. The components and process parameters which determine the performance of this battery, such as the monopolar and bipolar membranes, the concentrations of acid and base, and the operating temperature, have been investigated and their effect on the overall efficiency of the battery will be discussed. In a following second part, experimental results for stacks with 5–20 repeating cell units will be presented by Xia et al., in preparation [13]. Key issues for a successful implementation of a flow battery based on acid/base neutralization are the membrane permselectivities, depending on the fixed charge density, the ionic resistances of the mono- and bipolar ion-exchange membranes and the water permeability of the bipolar membrane.","author":[{"dropping-particle":"","family":"Xia","given":"Jiabing","non-dropping-particle":"","parse-names":false,"suffix":""},{"dropping-particle":"","family":"Eigenberger","given":"Gerhart","non-dropping-particle":"","parse-names":false,"suffix":""},{"dropping-particle":"","family":"Strathmann","given":"Heinrich","non-dropping-particle":"","parse-names":false,"suffix":""},{"dropping-particle":"","family":"Nieken","given":"Ulrich","non-dropping-particle":"","parse-names":false,"suffix":""}],"container-title":"Journal of Membrane Science","id":"ITEM-1","issued":{"date-parts":[["2018","11","1"]]},"page":"157-168","publisher":"Elsevier","title":"Flow battery based on reverse electrodialysis with bipolar membranes: Single cell experiments","type":"article-journal","volume":"565"},"uris":["http://www.mendeley.com/documents/?uuid=6d45fc29-709d-3d31-b364-19250efc1db5"]}],"mendeley":{"formattedCitation":"[30]","plainTextFormattedCitation":"[30]","previouslyFormattedCitation":"[30]"},"properties":{"noteIndex":0},"schema":"https://github.com/citation-style-language/schema/raw/master/csl-citation.json"}</w:instrText>
      </w:r>
      <w:r w:rsidR="00192794" w:rsidRPr="005C3FE9">
        <w:rPr>
          <w:lang w:val="en-US" w:eastAsia="en-US"/>
        </w:rPr>
        <w:fldChar w:fldCharType="separate"/>
      </w:r>
      <w:r w:rsidR="004319C3" w:rsidRPr="004319C3">
        <w:rPr>
          <w:noProof/>
          <w:lang w:val="en-US" w:eastAsia="en-US"/>
        </w:rPr>
        <w:t>[30]</w:t>
      </w:r>
      <w:r w:rsidR="00192794" w:rsidRPr="005C3FE9">
        <w:rPr>
          <w:lang w:val="en-US" w:eastAsia="en-US"/>
        </w:rPr>
        <w:fldChar w:fldCharType="end"/>
      </w:r>
      <w:r w:rsidR="00FF4655" w:rsidRPr="005C3FE9">
        <w:rPr>
          <w:lang w:val="en-US" w:eastAsia="en-US"/>
        </w:rPr>
        <w:t xml:space="preserve"> and 0.5</w:t>
      </w:r>
      <w:r w:rsidR="00652393" w:rsidRPr="005C3FE9">
        <w:rPr>
          <w:lang w:val="en-US" w:eastAsia="en-US"/>
        </w:rPr>
        <w:t>–</w:t>
      </w:r>
      <w:r w:rsidR="00FF4655" w:rsidRPr="005C3FE9">
        <w:rPr>
          <w:lang w:val="en-US" w:eastAsia="en-US"/>
        </w:rPr>
        <w:t xml:space="preserve">1 M </w:t>
      </w:r>
      <w:r w:rsidR="00192794" w:rsidRPr="005C3FE9">
        <w:rPr>
          <w:lang w:val="en-US" w:eastAsia="en-US"/>
        </w:rPr>
        <w:fldChar w:fldCharType="begin" w:fldLock="1"/>
      </w:r>
      <w:r w:rsidR="00E77EC7">
        <w:rPr>
          <w:lang w:val="en-US" w:eastAsia="en-US"/>
        </w:rPr>
        <w:instrText>ADDIN CSL_CITATION {"citationItems":[{"id":"ITEM-1","itemData":{"DOI":"10.3390/pr8010099","ISSN":"22279717","abstract":"Neutralization of acid and base to produce electricity in the process of reverse electrodialysis with bipolar membranes (REDBP) presents an interesting but until now fairly overlooked flow battery concept. Previously, we presented single-cell experiments, which explain the principle and discuss the potential of this process. In this contribution, we discuss experiments with REDBP stacks at lab scale, consisting of 5 to 20 repeating cell units. They demonstrate that the single-cell results can be extrapolated to respective stacks, although additional losses have to be considered. As in other flow battery stacks, losses by shunt currents through the parallel electrolyte feed/exit lines increases with the number of connected cell units, whereas the relative importance of electrode losses decreases with increasing cell number. Experimental results are presented with 1 mole L-1 acid (HCl) and base (NaOH) for open circuit as well as for charge and discharge with up to 18 mA/cm2 current density. Measures to further increase the efficiency of this novel flow battery concept are discussed.","author":[{"dropping-particle":"","family":"Xia","given":"Jiabing","non-dropping-particle":"","parse-names":false,"suffix":""},{"dropping-particle":"","family":"Eigenberger","given":"Gerhart","non-dropping-particle":"","parse-names":false,"suffix":""},{"dropping-particle":"","family":"Strathmann","given":"Heinrich","non-dropping-particle":"","parse-names":false,"suffix":""},{"dropping-particle":"","family":"Nieken","given":"Ulrich","non-dropping-particle":"","parse-names":false,"suffix":""}],"container-title":"Processes","id":"ITEM-1","issue":"1","issued":{"date-parts":[["2020","1","11"]]},"page":"99","publisher":"Multidisciplinary Digital Publishing Institute","title":"Acid-base flow battery, based on reverse electrodialysis with bi-polar membranes: Stack experiments","type":"article-journal","volume":"8"},"uris":["http://www.mendeley.com/documents/?uuid=b7eb5a7e-f910-4726-a539-302922a29435"]}],"mendeley":{"formattedCitation":"[31]","plainTextFormattedCitation":"[31]","previouslyFormattedCitation":"[31]"},"properties":{"noteIndex":0},"schema":"https://github.com/citation-style-language/schema/raw/master/csl-citation.json"}</w:instrText>
      </w:r>
      <w:r w:rsidR="00192794" w:rsidRPr="005C3FE9">
        <w:rPr>
          <w:lang w:val="en-US" w:eastAsia="en-US"/>
        </w:rPr>
        <w:fldChar w:fldCharType="separate"/>
      </w:r>
      <w:r w:rsidR="004319C3" w:rsidRPr="004319C3">
        <w:rPr>
          <w:noProof/>
          <w:lang w:val="en-US" w:eastAsia="en-US"/>
        </w:rPr>
        <w:t>[31]</w:t>
      </w:r>
      <w:r w:rsidR="00192794" w:rsidRPr="005C3FE9">
        <w:rPr>
          <w:lang w:val="en-US" w:eastAsia="en-US"/>
        </w:rPr>
        <w:fldChar w:fldCharType="end"/>
      </w:r>
      <w:r w:rsidR="00FF4655" w:rsidRPr="005C3FE9">
        <w:rPr>
          <w:lang w:val="en-US" w:eastAsia="en-US"/>
        </w:rPr>
        <w:t xml:space="preserve">, respectively. Experiments </w:t>
      </w:r>
      <w:r w:rsidR="007604C6" w:rsidRPr="005C3FE9">
        <w:rPr>
          <w:lang w:val="en-US" w:eastAsia="en-US"/>
        </w:rPr>
        <w:t>with</w:t>
      </w:r>
      <w:r w:rsidR="00FF4655" w:rsidRPr="005C3FE9">
        <w:rPr>
          <w:lang w:val="en-US" w:eastAsia="en-US"/>
        </w:rPr>
        <w:t xml:space="preserve"> 20 triplets </w:t>
      </w:r>
      <w:r w:rsidR="007604C6" w:rsidRPr="005C3FE9">
        <w:rPr>
          <w:lang w:val="en-US" w:eastAsia="en-US"/>
        </w:rPr>
        <w:t xml:space="preserve">exhibited </w:t>
      </w:r>
      <w:r w:rsidR="00FF4655" w:rsidRPr="005C3FE9">
        <w:rPr>
          <w:lang w:val="en-US" w:eastAsia="en-US"/>
        </w:rPr>
        <w:t>a maximum power density in the discharge phase of 1</w:t>
      </w:r>
      <w:r w:rsidR="007604C6" w:rsidRPr="005C3FE9">
        <w:rPr>
          <w:lang w:val="en-US" w:eastAsia="en-US"/>
        </w:rPr>
        <w:t>5</w:t>
      </w:r>
      <w:r w:rsidR="00FF4655" w:rsidRPr="005C3FE9">
        <w:rPr>
          <w:lang w:val="en-US" w:eastAsia="en-US"/>
        </w:rPr>
        <w:t xml:space="preserve"> W</w:t>
      </w:r>
      <w:r w:rsidR="00192794" w:rsidRPr="005C3FE9">
        <w:rPr>
          <w:lang w:val="en-US" w:eastAsia="en-US"/>
        </w:rPr>
        <w:t xml:space="preserve"> </w:t>
      </w:r>
      <w:r w:rsidR="00FF4655" w:rsidRPr="005C3FE9">
        <w:rPr>
          <w:lang w:val="en-US" w:eastAsia="en-US"/>
        </w:rPr>
        <w:t>m</w:t>
      </w:r>
      <w:r w:rsidR="00192794" w:rsidRPr="005C3FE9">
        <w:rPr>
          <w:vertAlign w:val="superscript"/>
          <w:lang w:val="en-US" w:eastAsia="en-US"/>
        </w:rPr>
        <w:t>-</w:t>
      </w:r>
      <w:r w:rsidR="00FF4655" w:rsidRPr="005C3FE9">
        <w:rPr>
          <w:vertAlign w:val="superscript"/>
          <w:lang w:val="en-US" w:eastAsia="en-US"/>
        </w:rPr>
        <w:t>2</w:t>
      </w:r>
      <w:r w:rsidR="00FF4655" w:rsidRPr="005C3FE9">
        <w:rPr>
          <w:lang w:val="en-US" w:eastAsia="en-US"/>
        </w:rPr>
        <w:t xml:space="preserve"> </w:t>
      </w:r>
      <w:r w:rsidR="009F39D2" w:rsidRPr="005C3FE9">
        <w:rPr>
          <w:lang w:val="en-US" w:eastAsia="en-US"/>
        </w:rPr>
        <w:fldChar w:fldCharType="begin" w:fldLock="1"/>
      </w:r>
      <w:r w:rsidR="00E77EC7">
        <w:rPr>
          <w:lang w:val="en-US" w:eastAsia="en-US"/>
        </w:rPr>
        <w:instrText>ADDIN CSL_CITATION {"citationItems":[{"id":"ITEM-1","itemData":{"DOI":"10.3390/pr8010099","ISSN":"22279717","abstract":"Neutralization of acid and base to produce electricity in the process of reverse electrodialysis with bipolar membranes (REDBP) presents an interesting but until now fairly overlooked flow battery concept. Previously, we presented single-cell experiments, which explain the principle and discuss the potential of this process. In this contribution, we discuss experiments with REDBP stacks at lab scale, consisting of 5 to 20 repeating cell units. They demonstrate that the single-cell results can be extrapolated to respective stacks, although additional losses have to be considered. As in other flow battery stacks, losses by shunt currents through the parallel electrolyte feed/exit lines increases with the number of connected cell units, whereas the relative importance of electrode losses decreases with increasing cell number. Experimental results are presented with 1 mole L-1 acid (HCl) and base (NaOH) for open circuit as well as for charge and discharge with up to 18 mA/cm2 current density. Measures to further increase the efficiency of this novel flow battery concept are discussed.","author":[{"dropping-particle":"","family":"Xia","given":"Jiabing","non-dropping-particle":"","parse-names":false,"suffix":""},{"dropping-particle":"","family":"Eigenberger","given":"Gerhart","non-dropping-particle":"","parse-names":false,"suffix":""},{"dropping-particle":"","family":"Strathmann","given":"Heinrich","non-dropping-particle":"","parse-names":false,"suffix":""},{"dropping-particle":"","family":"Nieken","given":"Ulrich","non-dropping-particle":"","parse-names":false,"suffix":""}],"container-title":"Processes","id":"ITEM-1","issue":"1","issued":{"date-parts":[["2020","1","11"]]},"page":"99","publisher":"Multidisciplinary Digital Publishing Institute","title":"Acid-base flow battery, based on reverse electrodialysis with bi-polar membranes: Stack experiments","type":"article-journal","volume":"8"},"uris":["http://www.mendeley.com/documents/?uuid=b7eb5a7e-f910-4726-a539-302922a29435"]}],"mendeley":{"formattedCitation":"[31]","plainTextFormattedCitation":"[31]","previouslyFormattedCitation":"[31]"},"properties":{"noteIndex":0},"schema":"https://github.com/citation-style-language/schema/raw/master/csl-citation.json"}</w:instrText>
      </w:r>
      <w:r w:rsidR="009F39D2" w:rsidRPr="005C3FE9">
        <w:rPr>
          <w:lang w:val="en-US" w:eastAsia="en-US"/>
        </w:rPr>
        <w:fldChar w:fldCharType="separate"/>
      </w:r>
      <w:r w:rsidR="004319C3" w:rsidRPr="004319C3">
        <w:rPr>
          <w:noProof/>
          <w:lang w:val="en-US" w:eastAsia="en-US"/>
        </w:rPr>
        <w:t>[31]</w:t>
      </w:r>
      <w:r w:rsidR="009F39D2" w:rsidRPr="005C3FE9">
        <w:rPr>
          <w:lang w:val="en-US" w:eastAsia="en-US"/>
        </w:rPr>
        <w:fldChar w:fldCharType="end"/>
      </w:r>
      <w:r w:rsidR="00FF4655" w:rsidRPr="005C3FE9">
        <w:rPr>
          <w:lang w:val="en-US" w:eastAsia="en-US"/>
        </w:rPr>
        <w:t xml:space="preserve">. </w:t>
      </w:r>
      <w:r w:rsidR="007604C6" w:rsidRPr="005C3FE9">
        <w:rPr>
          <w:lang w:val="en-US" w:eastAsia="en-US"/>
        </w:rPr>
        <w:t>Despite this value was higher than previous results, it was still affected by detrimental phenomena, such as</w:t>
      </w:r>
      <w:r w:rsidR="00FF4655" w:rsidRPr="005C3FE9">
        <w:rPr>
          <w:lang w:val="en-US" w:eastAsia="en-US"/>
        </w:rPr>
        <w:t xml:space="preserve"> parasitic currents via manifolds, which occur to a great extent in AB-FB units due to the high conductivity of the acid and alkaline solutions. A power density of 17 W</w:t>
      </w:r>
      <w:r w:rsidR="00192794" w:rsidRPr="005C3FE9">
        <w:rPr>
          <w:lang w:val="en-US" w:eastAsia="en-US"/>
        </w:rPr>
        <w:t xml:space="preserve"> m</w:t>
      </w:r>
      <w:r w:rsidR="00192794" w:rsidRPr="005C3FE9">
        <w:rPr>
          <w:vertAlign w:val="superscript"/>
          <w:lang w:val="en-US" w:eastAsia="en-US"/>
        </w:rPr>
        <w:t>-2</w:t>
      </w:r>
      <w:r w:rsidR="00FF4655" w:rsidRPr="005C3FE9">
        <w:rPr>
          <w:lang w:val="en-US" w:eastAsia="en-US"/>
        </w:rPr>
        <w:t xml:space="preserve"> was achieved with a stack of 10 triplets in one of our recent studies (</w:t>
      </w:r>
      <w:r w:rsidR="00192794" w:rsidRPr="005C3FE9">
        <w:rPr>
          <w:lang w:val="en-US" w:eastAsia="en-US"/>
        </w:rPr>
        <w:fldChar w:fldCharType="begin" w:fldLock="1"/>
      </w:r>
      <w:r w:rsidR="00E77EC7">
        <w:rPr>
          <w:lang w:val="en-US" w:eastAsia="en-US"/>
        </w:rPr>
        <w:instrText>ADDIN CSL_CITATION {"citationItems":[{"id":"ITEM-1","itemData":{"DOI":"10.3390/en13205510","ISSN":"1996-1073","abstract":"Bipolar Membrane Reverse Electrodialysis (BMRED) can be used to produce electricity exploiting acid-base neutralization, thus representing a valuable route in reusing waste streams. The present work investigates the performance of a lab-scale BMRED module under several operating conditions. By feeding the stack with 1 M HCl and NaOH streams, a maximum power density of ~17 W m−2 was obtained at 100 A m−2 with a 10-triplet stack with a flow velocity of 1 cm s−1, while an energy density of ~10 kWh m−3 acid could be extracted by a complete neutralization. Parasitic currents along feed and drain manifolds significantly affected the performance of the stack when equipped with a higher number of triplets. The apparent permselectivity at 1 M acid and base decreased from 93% with the five-triplet stack to 54% with the 38-triplet stack, which exhibited lower values (~35% less) of power density. An important role may be played also by the presence of NaCl in the acidic and alkaline solutions. With a low number of triplets, the added salt had almost negligible effects. However, with a higher number of triplets it led to a reduction of 23.4–45.7% in power density. The risk of membrane delamination is another aspect that can limit the process performance. However, overall, the present results highlight the high potential of BMRED systems as a productive way of neutralizing waste solutions for energy harvesting.","author":[{"dropping-particle":"","family":"Zaffora","given":"Andrea","non-dropping-particle":"","parse-names":false,"suffix":""},{"dropping-particle":"","family":"Culcasi","given":"Andrea","non-dropping-particle":"","parse-names":false,"suffix":""},{"dropping-particle":"","family":"Gurreri","given":"Luigi","non-dropping-particle":"","parse-names":false,"suffix":""},{"dropping-particle":"","family":"Cosenza","given":"Alessandro","non-dropping-particle":"","parse-names":false,"suffix":""},{"dropping-particle":"","family":"Tamburini","given":"Alessandro","non-dropping-particle":"","parse-names":false,"suffix":""},{"dropping-particle":"","family":"Santamaria","given":"Monica","non-dropping-particle":"","parse-names":false,"suffix":""},{"dropping-particle":"","family":"Micale","given":"Giorgio","non-dropping-particle":"","parse-names":false,"suffix":""}],"container-title":"Energies","id":"ITEM-1","issue":"20","issued":{"date-parts":[["2020","10","21"]]},"page":"5510","publisher":"Multidisciplinary Digital Publishing Institute","title":"Energy Harvesting by Waste Acid/Base Neutralization via Bipolar Membrane Reverse Electrodialysis","type":"article-journal","volume":"13"},"uris":["http://www.mendeley.com/documents/?uuid=10702d0b-5c2e-3516-b155-280c7a4812c4"]}],"mendeley":{"formattedCitation":"[11]","plainTextFormattedCitation":"[11]","previouslyFormattedCitation":"[11]"},"properties":{"noteIndex":0},"schema":"https://github.com/citation-style-language/schema/raw/master/csl-citation.json"}</w:instrText>
      </w:r>
      <w:r w:rsidR="00192794" w:rsidRPr="005C3FE9">
        <w:rPr>
          <w:lang w:val="en-US" w:eastAsia="en-US"/>
        </w:rPr>
        <w:fldChar w:fldCharType="separate"/>
      </w:r>
      <w:r w:rsidR="004319C3" w:rsidRPr="004319C3">
        <w:rPr>
          <w:noProof/>
          <w:lang w:val="en-US" w:eastAsia="en-US"/>
        </w:rPr>
        <w:t>[11]</w:t>
      </w:r>
      <w:r w:rsidR="00192794" w:rsidRPr="005C3FE9">
        <w:rPr>
          <w:lang w:val="en-US" w:eastAsia="en-US"/>
        </w:rPr>
        <w:fldChar w:fldCharType="end"/>
      </w:r>
      <w:r w:rsidR="00FF4655" w:rsidRPr="005C3FE9">
        <w:rPr>
          <w:lang w:val="en-US" w:eastAsia="en-US"/>
        </w:rPr>
        <w:t xml:space="preserve">). These experiments confirmed the presence of shunt currents via manifolds and showed that their </w:t>
      </w:r>
      <w:r w:rsidR="00FF4655" w:rsidRPr="005C3FE9">
        <w:rPr>
          <w:lang w:val="en-US" w:eastAsia="en-US"/>
        </w:rPr>
        <w:lastRenderedPageBreak/>
        <w:t>effect increases with the number of triplets and the concentration of acid and base</w:t>
      </w:r>
      <w:r w:rsidR="00ED1C47" w:rsidRPr="00ED1C47">
        <w:rPr>
          <w:lang w:val="en-US" w:eastAsia="en-US"/>
        </w:rPr>
        <w:t xml:space="preserve"> </w:t>
      </w:r>
      <w:r w:rsidR="00ED1C47" w:rsidRPr="005C3FE9">
        <w:rPr>
          <w:lang w:val="en-US" w:eastAsia="en-US"/>
        </w:rPr>
        <w:t>achieved</w:t>
      </w:r>
      <w:r w:rsidR="00ED1C47">
        <w:rPr>
          <w:lang w:val="en-US" w:eastAsia="en-US"/>
        </w:rPr>
        <w:t xml:space="preserve"> at the end of the charge phase</w:t>
      </w:r>
      <w:r w:rsidR="00FF4655" w:rsidRPr="005C3FE9">
        <w:rPr>
          <w:lang w:val="en-US" w:eastAsia="en-US"/>
        </w:rPr>
        <w:t xml:space="preserve">. A stack geometry that reduces the cross-sectional area of the manifolds (i.e., collectors and distributors) could be used, but the benefit of reduced parasitic currents should be balanced against </w:t>
      </w:r>
      <w:r w:rsidR="00ED1C47">
        <w:rPr>
          <w:lang w:val="en-US" w:eastAsia="en-US"/>
        </w:rPr>
        <w:t>(</w:t>
      </w:r>
      <w:proofErr w:type="spellStart"/>
      <w:r w:rsidR="00ED1C47">
        <w:rPr>
          <w:lang w:val="en-US" w:eastAsia="en-US"/>
        </w:rPr>
        <w:t>i</w:t>
      </w:r>
      <w:proofErr w:type="spellEnd"/>
      <w:r w:rsidR="00ED1C47">
        <w:rPr>
          <w:lang w:val="en-US" w:eastAsia="en-US"/>
        </w:rPr>
        <w:t xml:space="preserve">) </w:t>
      </w:r>
      <w:r w:rsidR="00FF4655" w:rsidRPr="005C3FE9">
        <w:rPr>
          <w:lang w:val="en-US" w:eastAsia="en-US"/>
        </w:rPr>
        <w:t xml:space="preserve">the pressure losses and, as a result, </w:t>
      </w:r>
      <w:r w:rsidR="00E46088">
        <w:rPr>
          <w:lang w:val="en-US" w:eastAsia="en-US"/>
        </w:rPr>
        <w:t xml:space="preserve">(ii) </w:t>
      </w:r>
      <w:r w:rsidR="00FF4655" w:rsidRPr="005C3FE9">
        <w:rPr>
          <w:lang w:val="en-US" w:eastAsia="en-US"/>
        </w:rPr>
        <w:t xml:space="preserve">the poorer distribution of the electrolytic solutions in the stack channels. A more effective alternative for reducing parasitic currents is to use fewer triplets by connecting more stacks in blocks. As a result, the battery would be made up of several hydraulically independent stacks, which would reduce the impact of shunt currents </w:t>
      </w:r>
      <w:r w:rsidR="00192794" w:rsidRPr="005C3FE9">
        <w:rPr>
          <w:lang w:val="en-US" w:eastAsia="en-US"/>
        </w:rPr>
        <w:fldChar w:fldCharType="begin" w:fldLock="1"/>
      </w:r>
      <w:r w:rsidR="00E77EC7">
        <w:rPr>
          <w:lang w:val="en-US" w:eastAsia="en-US"/>
        </w:rPr>
        <w:instrText>ADDIN CSL_CITATION {"citationItems":[{"id":"ITEM-1","itemData":{"DOI":"10.3390/membranes10120409","ISSN":"2077-0375","abstract":"The increasing share of renewables in electric grids nowadays causes a growing daily and seasonal mismatch between electricity generation and demand. In this regard, novel energy storage systems need to be developed, to allow large-scale storage of the excess electricity during low-demand time, and its distribution during peak demand time. Acid–base flow battery (ABFB) is a novel and environmentally friendly technology based on the reversible water dissociation by bipolar membranes, and it stores electricity in the form of chemical energy in acid and base solutions. The technology has already been demonstrated at the laboratory scale, and the experimental testing of the first 1 kW pilot plant is currently ongoing. This work aims to describe the current development and the perspectives of the ABFB technology. In particular, we discuss the main technical challenges related to the development of battery components (membranes, electrolyte solutions, and stack design), as well as simulated scenarios, to demonstrate the technology at the kW–MW scale. Finally, we present an economic analysis for a first 100 kW commercial unit and suggest future directions for further technology scale-up and commercial deployment.","author":[{"dropping-particle":"","family":"Pärnamäe","given":"Ragne","non-dropping-particle":"","parse-names":false,"suffix":""},{"dropping-particle":"","family":"Gurreri","given":"Luigi","non-dropping-particle":"","parse-names":false,"suffix":""},{"dropping-particle":"","family":"Post","given":"Jan","non-dropping-particle":"","parse-names":false,"suffix":""},{"dropping-particle":"","family":"Egmond","given":"Willem Johannes","non-dropping-particle":"van","parse-names":false,"suffix":""},{"dropping-particle":"","family":"Culcasi","given":"Andrea","non-dropping-particle":"","parse-names":false,"suffix":""},{"dropping-particle":"","family":"Saakes","given":"Michel","non-dropping-particle":"","parse-names":false,"suffix":""},{"dropping-particle":"","family":"Cen","given":"Jiajun","non-dropping-particle":"","parse-names":false,"suffix":""},{"dropping-particle":"","family":"Goosen","given":"Emil","non-dropping-particle":"","parse-names":false,"suffix":""},{"dropping-particle":"","family":"Tamburini","given":"Alessandro","non-dropping-particle":"","parse-names":false,"suffix":""},{"dropping-particle":"","family":"Vermaas","given":"David A.","non-dropping-particle":"","parse-names":false,"suffix":""},{"dropping-particle":"","family":"Tedesco","given":"Michele","non-dropping-particle":"","parse-names":false,"suffix":""}],"container-title":"Membranes","id":"ITEM-1","issue":"12","issued":{"date-parts":[["2020","12","10"]]},"page":"409","publisher":"Multidisciplinary Digital Publishing Institute","title":"The Acid–Base Flow Battery: Sustainable Energy Storage via Reversible Water Dissociation with Bipolar Membranes","type":"article-journal","volume":"10"},"uris":["http://www.mendeley.com/documents/?uuid=5e24d4fa-aef2-3817-bec6-dd3e516a2e66"]}],"mendeley":{"formattedCitation":"[32]","plainTextFormattedCitation":"[32]","previouslyFormattedCitation":"[32]"},"properties":{"noteIndex":0},"schema":"https://github.com/citation-style-language/schema/raw/master/csl-citation.json"}</w:instrText>
      </w:r>
      <w:r w:rsidR="00192794" w:rsidRPr="005C3FE9">
        <w:rPr>
          <w:lang w:val="en-US" w:eastAsia="en-US"/>
        </w:rPr>
        <w:fldChar w:fldCharType="separate"/>
      </w:r>
      <w:r w:rsidR="004319C3" w:rsidRPr="004319C3">
        <w:rPr>
          <w:noProof/>
          <w:lang w:val="en-US" w:eastAsia="en-US"/>
        </w:rPr>
        <w:t>[32]</w:t>
      </w:r>
      <w:r w:rsidR="00192794" w:rsidRPr="005C3FE9">
        <w:rPr>
          <w:lang w:val="en-US" w:eastAsia="en-US"/>
        </w:rPr>
        <w:fldChar w:fldCharType="end"/>
      </w:r>
      <w:r w:rsidR="00FF4655" w:rsidRPr="005C3FE9">
        <w:rPr>
          <w:lang w:val="en-US" w:eastAsia="en-US"/>
        </w:rPr>
        <w:t>.</w:t>
      </w:r>
    </w:p>
    <w:p w14:paraId="37C77B59" w14:textId="7DD8F1FF" w:rsidR="00FF4655" w:rsidRPr="005C3FE9" w:rsidRDefault="00223613" w:rsidP="00FF4655">
      <w:pPr>
        <w:rPr>
          <w:lang w:val="en-US" w:eastAsia="en-US"/>
        </w:rPr>
      </w:pPr>
      <w:r w:rsidRPr="005C3FE9">
        <w:rPr>
          <w:lang w:val="en-US" w:eastAsia="en-US"/>
        </w:rPr>
        <w:t>The t</w:t>
      </w:r>
      <w:r w:rsidR="00FF4655" w:rsidRPr="005C3FE9">
        <w:rPr>
          <w:lang w:val="en-US" w:eastAsia="en-US"/>
        </w:rPr>
        <w:t>heoretical energy density is proportional to the achieved acid/base concentrations. For example, with concentrations of 1</w:t>
      </w:r>
      <w:r w:rsidR="00192794" w:rsidRPr="005C3FE9">
        <w:rPr>
          <w:lang w:val="en-US" w:eastAsia="en-US"/>
        </w:rPr>
        <w:t xml:space="preserve"> </w:t>
      </w:r>
      <w:r w:rsidR="00FF4655" w:rsidRPr="005C3FE9">
        <w:rPr>
          <w:lang w:val="en-US" w:eastAsia="en-US"/>
        </w:rPr>
        <w:t>M HCl and NaOH, the energy density would be 20</w:t>
      </w:r>
      <w:r w:rsidR="009F73E2">
        <w:rPr>
          <w:lang w:val="en-US" w:eastAsia="en-US"/>
        </w:rPr>
        <w:t>.</w:t>
      </w:r>
      <w:r w:rsidR="00617A33">
        <w:rPr>
          <w:lang w:val="en-US" w:eastAsia="en-US"/>
        </w:rPr>
        <w:t>8</w:t>
      </w:r>
      <w:r w:rsidR="00FF4655" w:rsidRPr="005C3FE9">
        <w:rPr>
          <w:lang w:val="en-US" w:eastAsia="en-US"/>
        </w:rPr>
        <w:t xml:space="preserve"> kWh</w:t>
      </w:r>
      <w:r w:rsidR="00192794" w:rsidRPr="005C3FE9">
        <w:rPr>
          <w:lang w:val="en-US" w:eastAsia="en-US"/>
        </w:rPr>
        <w:t xml:space="preserve"> </w:t>
      </w:r>
      <w:r w:rsidR="00FF4655" w:rsidRPr="005C3FE9">
        <w:rPr>
          <w:lang w:val="en-US" w:eastAsia="en-US"/>
        </w:rPr>
        <w:t>m</w:t>
      </w:r>
      <w:r w:rsidR="00192794" w:rsidRPr="005C3FE9">
        <w:rPr>
          <w:vertAlign w:val="superscript"/>
          <w:lang w:val="en-US" w:eastAsia="en-US"/>
        </w:rPr>
        <w:t>-</w:t>
      </w:r>
      <w:r w:rsidR="00FF4655" w:rsidRPr="005C3FE9">
        <w:rPr>
          <w:vertAlign w:val="superscript"/>
          <w:lang w:val="en-US" w:eastAsia="en-US"/>
        </w:rPr>
        <w:t>3</w:t>
      </w:r>
      <w:r w:rsidR="00FF4655" w:rsidRPr="005C3FE9">
        <w:rPr>
          <w:lang w:val="en-US" w:eastAsia="en-US"/>
        </w:rPr>
        <w:t xml:space="preserve"> of acid (or base) solution during the discharge phase. Potentially, with 5</w:t>
      </w:r>
      <w:r w:rsidR="00192794" w:rsidRPr="005C3FE9">
        <w:rPr>
          <w:lang w:val="en-US" w:eastAsia="en-US"/>
        </w:rPr>
        <w:t xml:space="preserve"> </w:t>
      </w:r>
      <w:r w:rsidR="00FF4655" w:rsidRPr="005C3FE9">
        <w:rPr>
          <w:lang w:val="en-US" w:eastAsia="en-US"/>
        </w:rPr>
        <w:t>M acid and base concentrations, the theoretical energy density would become 115 kWh</w:t>
      </w:r>
      <w:r w:rsidR="00192794" w:rsidRPr="005C3FE9">
        <w:rPr>
          <w:lang w:val="en-US" w:eastAsia="en-US"/>
        </w:rPr>
        <w:t xml:space="preserve"> </w:t>
      </w:r>
      <w:r w:rsidR="00FF4655" w:rsidRPr="005C3FE9">
        <w:rPr>
          <w:lang w:val="en-US" w:eastAsia="en-US"/>
        </w:rPr>
        <w:t>m</w:t>
      </w:r>
      <w:r w:rsidR="00192794" w:rsidRPr="005C3FE9">
        <w:rPr>
          <w:vertAlign w:val="superscript"/>
          <w:lang w:val="en-US" w:eastAsia="en-US"/>
        </w:rPr>
        <w:t>-3</w:t>
      </w:r>
      <w:r w:rsidR="00FF4655" w:rsidRPr="005C3FE9">
        <w:rPr>
          <w:lang w:val="en-US" w:eastAsia="en-US"/>
        </w:rPr>
        <w:t xml:space="preserve">. However, membranes should be designed </w:t>
      </w:r>
      <w:r w:rsidR="00C95D1D" w:rsidRPr="005C3FE9">
        <w:rPr>
          <w:lang w:val="en-US" w:eastAsia="en-US"/>
        </w:rPr>
        <w:t>to bear</w:t>
      </w:r>
      <w:r w:rsidR="00FF4655" w:rsidRPr="005C3FE9">
        <w:rPr>
          <w:lang w:val="en-US" w:eastAsia="en-US"/>
        </w:rPr>
        <w:t xml:space="preserve"> highly acidic and alkaline solutions</w:t>
      </w:r>
      <w:r w:rsidR="00C95D1D" w:rsidRPr="005C3FE9">
        <w:rPr>
          <w:lang w:val="en-US" w:eastAsia="en-US"/>
        </w:rPr>
        <w:t xml:space="preserve"> without damage nor </w:t>
      </w:r>
      <w:r w:rsidR="00B41626" w:rsidRPr="005C3FE9">
        <w:rPr>
          <w:lang w:val="en-US" w:eastAsia="en-US"/>
        </w:rPr>
        <w:t xml:space="preserve">significant drop of </w:t>
      </w:r>
      <w:r w:rsidR="00C95D1D" w:rsidRPr="005C3FE9">
        <w:rPr>
          <w:lang w:val="en-US" w:eastAsia="en-US"/>
        </w:rPr>
        <w:t>performance</w:t>
      </w:r>
      <w:r w:rsidR="00FF4655" w:rsidRPr="005C3FE9">
        <w:rPr>
          <w:lang w:val="en-US" w:eastAsia="en-US"/>
        </w:rPr>
        <w:t>. Furthermore, it has been found that with higher concentrations of acid and base, the specific energy consumed during the charg</w:t>
      </w:r>
      <w:r w:rsidR="00D14C4C" w:rsidRPr="005C3FE9">
        <w:rPr>
          <w:lang w:val="en-US" w:eastAsia="en-US"/>
        </w:rPr>
        <w:t>e</w:t>
      </w:r>
      <w:r w:rsidR="00FF4655" w:rsidRPr="005C3FE9">
        <w:rPr>
          <w:lang w:val="en-US" w:eastAsia="en-US"/>
        </w:rPr>
        <w:t xml:space="preserve"> phase increases </w:t>
      </w:r>
      <w:r w:rsidR="00192794" w:rsidRPr="005C3FE9">
        <w:rPr>
          <w:lang w:val="en-US" w:eastAsia="en-US"/>
        </w:rPr>
        <w:fldChar w:fldCharType="begin" w:fldLock="1"/>
      </w:r>
      <w:r w:rsidR="00E77EC7">
        <w:rPr>
          <w:lang w:val="en-US" w:eastAsia="en-US"/>
        </w:rPr>
        <w:instrText>ADDIN CSL_CITATION {"citationItems":[{"id":"ITEM-1","itemData":{"DOI":"10.1016/j.cej.2022.135317","ISSN":"13858947","author":[{"dropping-particle":"","family":"Culcasi","given":"Andrea","non-dropping-particle":"","parse-names":false,"suffix":""},{"dropping-particle":"","family":"Gurreri","given":"Luigi","non-dropping-particle":"","parse-names":false,"suffix":""},{"dropping-particle":"","family":"Cipollina","given":"Andrea","non-dropping-particle":"","parse-names":false,"suffix":""},{"dropping-particle":"","family":"Tamburini","given":"Alessandro","non-dropping-particle":"","parse-names":false,"suffix":""},{"dropping-particle":"","family":"Micale","given":"Giorgio","non-dropping-particle":"","parse-names":false,"suffix":""}],"container-title":"Chemical Engineering Journal","id":"ITEM-1","issued":{"date-parts":[["2022","6","1"]]},"page":"135317","publisher":"Elsevier","title":"A comprehensive multi-scale model for bipolar membrane electrodialysis (BMED)","type":"article-journal","volume":"437"},"uris":["http://www.mendeley.com/documents/?uuid=4b5f5378-9631-323e-a606-3b159a663308"]}],"mendeley":{"formattedCitation":"[33]","plainTextFormattedCitation":"[33]","previouslyFormattedCitation":"[33]"},"properties":{"noteIndex":0},"schema":"https://github.com/citation-style-language/schema/raw/master/csl-citation.json"}</w:instrText>
      </w:r>
      <w:r w:rsidR="00192794" w:rsidRPr="005C3FE9">
        <w:rPr>
          <w:lang w:val="en-US" w:eastAsia="en-US"/>
        </w:rPr>
        <w:fldChar w:fldCharType="separate"/>
      </w:r>
      <w:r w:rsidR="004319C3" w:rsidRPr="004319C3">
        <w:rPr>
          <w:noProof/>
          <w:lang w:val="en-US" w:eastAsia="en-US"/>
        </w:rPr>
        <w:t>[33]</w:t>
      </w:r>
      <w:r w:rsidR="00192794" w:rsidRPr="005C3FE9">
        <w:rPr>
          <w:lang w:val="en-US" w:eastAsia="en-US"/>
        </w:rPr>
        <w:fldChar w:fldCharType="end"/>
      </w:r>
      <w:r w:rsidR="00FF4655" w:rsidRPr="005C3FE9">
        <w:rPr>
          <w:lang w:val="en-US" w:eastAsia="en-US"/>
        </w:rPr>
        <w:t xml:space="preserve">. </w:t>
      </w:r>
      <w:r w:rsidR="00E03F8F" w:rsidRPr="00E03F8F">
        <w:rPr>
          <w:lang w:val="en-US" w:eastAsia="en-US"/>
        </w:rPr>
        <w:t>Although the battery has high performance potential,</w:t>
      </w:r>
      <w:r w:rsidR="00E03F8F">
        <w:rPr>
          <w:lang w:val="en-US" w:eastAsia="en-US"/>
        </w:rPr>
        <w:t xml:space="preserve"> i</w:t>
      </w:r>
      <w:r w:rsidR="00FF4655" w:rsidRPr="005C3FE9">
        <w:rPr>
          <w:lang w:val="en-US" w:eastAsia="en-US"/>
        </w:rPr>
        <w:t xml:space="preserve">t has been agreed that the main limiting factor </w:t>
      </w:r>
      <w:r w:rsidR="00E46088">
        <w:rPr>
          <w:lang w:val="en-US" w:eastAsia="en-US"/>
        </w:rPr>
        <w:t xml:space="preserve">for the technology spread </w:t>
      </w:r>
      <w:r w:rsidR="00FF4655" w:rsidRPr="005C3FE9">
        <w:rPr>
          <w:lang w:val="en-US" w:eastAsia="en-US"/>
        </w:rPr>
        <w:t>is the membranes</w:t>
      </w:r>
      <w:r w:rsidR="006165FE" w:rsidRPr="006165FE">
        <w:rPr>
          <w:lang w:val="en-US" w:eastAsia="en-US"/>
        </w:rPr>
        <w:t xml:space="preserve"> </w:t>
      </w:r>
      <w:r w:rsidR="006165FE" w:rsidRPr="005C3FE9">
        <w:rPr>
          <w:lang w:val="en-US" w:eastAsia="en-US"/>
        </w:rPr>
        <w:t>cost</w:t>
      </w:r>
      <w:r w:rsidR="00FF4655" w:rsidRPr="005C3FE9">
        <w:rPr>
          <w:lang w:val="en-US" w:eastAsia="en-US"/>
        </w:rPr>
        <w:t xml:space="preserve">, especially the bipolar </w:t>
      </w:r>
      <w:r w:rsidR="006165FE" w:rsidRPr="005C3FE9">
        <w:rPr>
          <w:lang w:val="en-US" w:eastAsia="en-US"/>
        </w:rPr>
        <w:t>membrane</w:t>
      </w:r>
      <w:r w:rsidR="006165FE">
        <w:rPr>
          <w:lang w:val="en-US" w:eastAsia="en-US"/>
        </w:rPr>
        <w:t xml:space="preserve"> one</w:t>
      </w:r>
      <w:r w:rsidR="006165FE" w:rsidRPr="005C3FE9">
        <w:rPr>
          <w:lang w:val="en-US" w:eastAsia="en-US"/>
        </w:rPr>
        <w:t xml:space="preserve"> </w:t>
      </w:r>
      <w:r w:rsidR="00192794" w:rsidRPr="005C3FE9">
        <w:rPr>
          <w:lang w:val="en-US" w:eastAsia="en-US"/>
        </w:rPr>
        <w:fldChar w:fldCharType="begin" w:fldLock="1"/>
      </w:r>
      <w:r w:rsidR="00E77EC7">
        <w:rPr>
          <w:lang w:val="en-US" w:eastAsia="en-US"/>
        </w:rPr>
        <w:instrText>ADDIN CSL_CITATION {"citationItems":[{"id":"ITEM-1","itemData":{"DOI":"10.1016/j.cej.2022.135317","ISSN":"13858947","author":[{"dropping-particle":"","family":"Culcasi","given":"Andrea","non-dropping-particle":"","parse-names":false,"suffix":""},{"dropping-particle":"","family":"Gurreri","given":"Luigi","non-dropping-particle":"","parse-names":false,"suffix":""},{"dropping-particle":"","family":"Cipollina","given":"Andrea","non-dropping-particle":"","parse-names":false,"suffix":""},{"dropping-particle":"","family":"Tamburini","given":"Alessandro","non-dropping-particle":"","parse-names":false,"suffix":""},{"dropping-particle":"","family":"Micale","given":"Giorgio","non-dropping-particle":"","parse-names":false,"suffix":""}],"container-title":"Chemical Engineering Journal","id":"ITEM-1","issued":{"date-parts":[["2022","6","1"]]},"page":"135317","publisher":"Elsevier","title":"A comprehensive multi-scale model for bipolar membrane electrodialysis (BMED)","type":"article-journal","volume":"437"},"uris":["http://www.mendeley.com/documents/?uuid=4b5f5378-9631-323e-a606-3b159a663308"]}],"mendeley":{"formattedCitation":"[33]","plainTextFormattedCitation":"[33]","previouslyFormattedCitation":"[33]"},"properties":{"noteIndex":0},"schema":"https://github.com/citation-style-language/schema/raw/master/csl-citation.json"}</w:instrText>
      </w:r>
      <w:r w:rsidR="00192794" w:rsidRPr="005C3FE9">
        <w:rPr>
          <w:lang w:val="en-US" w:eastAsia="en-US"/>
        </w:rPr>
        <w:fldChar w:fldCharType="separate"/>
      </w:r>
      <w:r w:rsidR="004319C3" w:rsidRPr="004319C3">
        <w:rPr>
          <w:noProof/>
          <w:lang w:val="en-US" w:eastAsia="en-US"/>
        </w:rPr>
        <w:t>[33]</w:t>
      </w:r>
      <w:r w:rsidR="00192794" w:rsidRPr="005C3FE9">
        <w:rPr>
          <w:lang w:val="en-US" w:eastAsia="en-US"/>
        </w:rPr>
        <w:fldChar w:fldCharType="end"/>
      </w:r>
      <w:r w:rsidR="00FF4655" w:rsidRPr="005C3FE9">
        <w:rPr>
          <w:lang w:val="en-US" w:eastAsia="en-US"/>
        </w:rPr>
        <w:t>. However, some studies have shown that AB-FB is a promising technology with a</w:t>
      </w:r>
      <w:r w:rsidR="004A4CC3" w:rsidRPr="005C3FE9">
        <w:rPr>
          <w:lang w:val="en-US" w:eastAsia="en-US"/>
        </w:rPr>
        <w:t>n estimated</w:t>
      </w:r>
      <w:r w:rsidR="00FF4655" w:rsidRPr="005C3FE9">
        <w:rPr>
          <w:lang w:val="en-US" w:eastAsia="en-US"/>
        </w:rPr>
        <w:t xml:space="preserve"> LCOS of </w:t>
      </w:r>
      <w:r w:rsidR="00D508DC" w:rsidRPr="005C3FE9">
        <w:rPr>
          <w:lang w:val="en-US" w:eastAsia="en-US"/>
        </w:rPr>
        <w:t>0.44</w:t>
      </w:r>
      <w:r w:rsidR="00FF4655" w:rsidRPr="005C3FE9">
        <w:rPr>
          <w:lang w:val="en-US" w:eastAsia="en-US"/>
        </w:rPr>
        <w:t xml:space="preserve"> €</w:t>
      </w:r>
      <w:r w:rsidR="005B1480" w:rsidRPr="005C3FE9">
        <w:rPr>
          <w:lang w:val="en-US" w:eastAsia="en-US"/>
        </w:rPr>
        <w:t xml:space="preserve"> </w:t>
      </w:r>
      <w:r w:rsidR="00FF4655" w:rsidRPr="005C3FE9">
        <w:rPr>
          <w:lang w:val="en-US" w:eastAsia="en-US"/>
        </w:rPr>
        <w:t>kWh</w:t>
      </w:r>
      <w:r w:rsidR="005B1480" w:rsidRPr="005C3FE9">
        <w:rPr>
          <w:vertAlign w:val="superscript"/>
          <w:lang w:val="en-US" w:eastAsia="en-US"/>
        </w:rPr>
        <w:t>-1</w:t>
      </w:r>
      <w:r w:rsidR="00FF4655" w:rsidRPr="005C3FE9">
        <w:rPr>
          <w:lang w:val="en-US" w:eastAsia="en-US"/>
        </w:rPr>
        <w:t>, making it competitive with the current most common technologies, such as lithium-ion batteries or lead acid batteries (</w:t>
      </w:r>
      <w:r w:rsidR="00D508DC" w:rsidRPr="005C3FE9">
        <w:rPr>
          <w:lang w:val="en-US" w:eastAsia="en-US"/>
        </w:rPr>
        <w:fldChar w:fldCharType="begin" w:fldLock="1"/>
      </w:r>
      <w:r w:rsidR="00E77EC7">
        <w:rPr>
          <w:lang w:val="en-US" w:eastAsia="en-US"/>
        </w:rPr>
        <w:instrText>ADDIN CSL_CITATION {"citationItems":[{"id":"ITEM-1","itemData":{"DOI":"10.1016/j.apenergy.2020.115576","ISSN":"03062619","abstract":"Electrical energy storage can enhance the efficiency in the use of fluctuating renewable sources, e.g. solar and wind energy. The Acid/Base Flow Battery is an innovative and sustainable process to store electrical energy in the form of pH and salinity gradients via electrodialytic reversible techniques. Two electromembrane processes are involved: Bipolar Membrane Electrodialysis during the charge phase and its opposite, Bipolar Membrane Reverse Electrodialysis, during the discharge phase. For the first time, the present work aims at predicting the performance of this energy storage device via the development of a dynamic mathematical model based on a multi-scale approach with distributed parameters. Four models, each one at a different scale, are fully integrated in a comprehensive process simulator. The model was preliminary validated by a comparison with experimental data and a good agreement was found. A sensitivity analysis was performed to identify the most detrimental phenomena. Results indicate a loss of 25–35% of Round Trip Efficiency caused by parasitic currents in the manifolds. Therefore, they may represent the main limit to the present technology performance in scaled-up stacks converting more power. Suitable geometries and operating conditions should be adopted to tackle this issue (e.g. isolated blocks), thus enhancing the battery Round Trip Efficiency.","author":[{"dropping-particle":"","family":"Culcasi","given":"Andrea","non-dropping-particle":"","parse-names":false,"suffix":""},{"dropping-particle":"","family":"Gurreri","given":"Luigi","non-dropping-particle":"","parse-names":false,"suffix":""},{"dropping-particle":"","family":"Zaffora","given":"Andrea","non-dropping-particle":"","parse-names":false,"suffix":""},{"dropping-particle":"","family":"Cosenza","given":"Alessandro","non-dropping-particle":"","parse-names":false,"suffix":""},{"dropping-particle":"","family":"Tamburini","given":"Alessandro","non-dropping-particle":"","parse-names":false,"suffix":""},{"dropping-particle":"","family":"Micale","given":"Giorgio","non-dropping-particle":"","parse-names":false,"suffix":""}],"container-title":"Applied Energy","id":"ITEM-1","issued":{"date-parts":[["2020","11","1"]]},"page":"115576","publisher":"Elsevier Ltd","title":"On the modelling of an Acid/Base Flow Battery: An innovative electrical energy storage device based on pH and salinity gradients","type":"article-journal","volume":"277"},"uris":["http://www.mendeley.com/documents/?uuid=d34f0740-e538-347e-bfb7-0024b366e26a"]}],"mendeley":{"formattedCitation":"[8]","plainTextFormattedCitation":"[8]","previouslyFormattedCitation":"[8]"},"properties":{"noteIndex":0},"schema":"https://github.com/citation-style-language/schema/raw/master/csl-citation.json"}</w:instrText>
      </w:r>
      <w:r w:rsidR="00D508DC" w:rsidRPr="005C3FE9">
        <w:rPr>
          <w:lang w:val="en-US" w:eastAsia="en-US"/>
        </w:rPr>
        <w:fldChar w:fldCharType="separate"/>
      </w:r>
      <w:r w:rsidR="004319C3" w:rsidRPr="004319C3">
        <w:rPr>
          <w:noProof/>
          <w:lang w:val="en-US" w:eastAsia="en-US"/>
        </w:rPr>
        <w:t>[8]</w:t>
      </w:r>
      <w:r w:rsidR="00D508DC" w:rsidRPr="005C3FE9">
        <w:rPr>
          <w:lang w:val="en-US" w:eastAsia="en-US"/>
        </w:rPr>
        <w:fldChar w:fldCharType="end"/>
      </w:r>
      <w:r w:rsidR="00FF4655" w:rsidRPr="005C3FE9">
        <w:rPr>
          <w:lang w:val="en-US" w:eastAsia="en-US"/>
        </w:rPr>
        <w:t>). Finally, recent studies have demonstrated</w:t>
      </w:r>
      <w:r w:rsidR="004A4CC3" w:rsidRPr="005C3FE9">
        <w:rPr>
          <w:lang w:val="en-US" w:eastAsia="en-US"/>
        </w:rPr>
        <w:t xml:space="preserve"> the</w:t>
      </w:r>
      <w:r w:rsidR="00FF4655" w:rsidRPr="005C3FE9">
        <w:rPr>
          <w:lang w:val="en-US" w:eastAsia="en-US"/>
        </w:rPr>
        <w:t xml:space="preserve"> technological feasibility at the pilot</w:t>
      </w:r>
      <w:r w:rsidR="004A4CC3" w:rsidRPr="005C3FE9">
        <w:rPr>
          <w:lang w:val="en-US" w:eastAsia="en-US"/>
        </w:rPr>
        <w:t xml:space="preserve"> </w:t>
      </w:r>
      <w:r w:rsidR="00FF4655" w:rsidRPr="005C3FE9">
        <w:rPr>
          <w:lang w:val="en-US" w:eastAsia="en-US"/>
        </w:rPr>
        <w:t xml:space="preserve">scale by obtaining average RTEs of 50% </w:t>
      </w:r>
      <w:r w:rsidR="004A4CC3" w:rsidRPr="005C3FE9">
        <w:rPr>
          <w:lang w:val="en-US" w:eastAsia="en-US"/>
        </w:rPr>
        <w:t xml:space="preserve">by </w:t>
      </w:r>
      <w:r w:rsidR="00FF4655" w:rsidRPr="005C3FE9">
        <w:rPr>
          <w:lang w:val="en-US" w:eastAsia="en-US"/>
        </w:rPr>
        <w:t>investigating various scenarios with multiple battery stages in series</w:t>
      </w:r>
      <w:r w:rsidR="001256D2" w:rsidRPr="005C3FE9">
        <w:rPr>
          <w:lang w:val="en-US" w:eastAsia="en-US"/>
        </w:rPr>
        <w:t xml:space="preserve"> </w:t>
      </w:r>
      <w:r w:rsidR="001256D2" w:rsidRPr="005C3FE9">
        <w:rPr>
          <w:lang w:val="en-US" w:eastAsia="en-US"/>
        </w:rPr>
        <w:fldChar w:fldCharType="begin" w:fldLock="1"/>
      </w:r>
      <w:r w:rsidR="00E77EC7">
        <w:rPr>
          <w:lang w:val="en-US" w:eastAsia="en-US"/>
        </w:rPr>
        <w:instrText>ADDIN CSL_CITATION {"citationItems":[{"id":"ITEM-1","itemData":{"DOI":"10.3390/membranes10120409","ISSN":"2077-0375","abstract":"The increasing share of renewables in electric grids nowadays causes a growing daily and seasonal mismatch between electricity generation and demand. In this regard, novel energy storage systems need to be developed, to allow large-scale storage of the excess electricity during low-demand time, and its distribution during peak demand time. Acid–base flow battery (ABFB) is a novel and environmentally friendly technology based on the reversible water dissociation by bipolar membranes, and it stores electricity in the form of chemical energy in acid and base solutions. The technology has already been demonstrated at the laboratory scale, and the experimental testing of the first 1 kW pilot plant is currently ongoing. This work aims to describe the current development and the perspectives of the ABFB technology. In particular, we discuss the main technical challenges related to the development of battery components (membranes, electrolyte solutions, and stack design), as well as simulated scenarios, to demonstrate the technology at the kW–MW scale. Finally, we present an economic analysis for a first 100 kW commercial unit and suggest future directions for further technology scale-up and commercial deployment.","author":[{"dropping-particle":"","family":"Pärnamäe","given":"Ragne","non-dropping-particle":"","parse-names":false,"suffix":""},{"dropping-particle":"","family":"Gurreri","given":"Luigi","non-dropping-particle":"","parse-names":false,"suffix":""},{"dropping-particle":"","family":"Post","given":"Jan","non-dropping-particle":"","parse-names":false,"suffix":""},{"dropping-particle":"","family":"Egmond","given":"Willem Johannes","non-dropping-particle":"van","parse-names":false,"suffix":""},{"dropping-particle":"","family":"Culcasi","given":"Andrea","non-dropping-particle":"","parse-names":false,"suffix":""},{"dropping-particle":"","family":"Saakes","given":"Michel","non-dropping-particle":"","parse-names":false,"suffix":""},{"dropping-particle":"","family":"Cen","given":"Jiajun","non-dropping-particle":"","parse-names":false,"suffix":""},{"dropping-particle":"","family":"Goosen","given":"Emil","non-dropping-particle":"","parse-names":false,"suffix":""},{"dropping-particle":"","family":"Tamburini","given":"Alessandro","non-dropping-particle":"","parse-names":false,"suffix":""},{"dropping-particle":"","family":"Vermaas","given":"David A.","non-dropping-particle":"","parse-names":false,"suffix":""},{"dropping-particle":"","family":"Tedesco","given":"Michele","non-dropping-particle":"","parse-names":false,"suffix":""}],"container-title":"Membranes","id":"ITEM-1","issue":"12","issued":{"date-parts":[["2020","12","10"]]},"page":"409","publisher":"Multidisciplinary Digital Publishing Institute","title":"The Acid–Base Flow Battery: Sustainable Energy Storage via Reversible Water Dissociation with Bipolar Membranes","type":"article-journal","volume":"10"},"uris":["http://www.mendeley.com/documents/?uuid=5e24d4fa-aef2-3817-bec6-dd3e516a2e66"]}],"mendeley":{"formattedCitation":"[32]","plainTextFormattedCitation":"[32]","previouslyFormattedCitation":"[32]"},"properties":{"noteIndex":0},"schema":"https://github.com/citation-style-language/schema/raw/master/csl-citation.json"}</w:instrText>
      </w:r>
      <w:r w:rsidR="001256D2" w:rsidRPr="005C3FE9">
        <w:rPr>
          <w:lang w:val="en-US" w:eastAsia="en-US"/>
        </w:rPr>
        <w:fldChar w:fldCharType="separate"/>
      </w:r>
      <w:r w:rsidR="004319C3" w:rsidRPr="004319C3">
        <w:rPr>
          <w:noProof/>
          <w:lang w:val="en-US" w:eastAsia="en-US"/>
        </w:rPr>
        <w:t>[32]</w:t>
      </w:r>
      <w:r w:rsidR="001256D2" w:rsidRPr="005C3FE9">
        <w:rPr>
          <w:lang w:val="en-US" w:eastAsia="en-US"/>
        </w:rPr>
        <w:fldChar w:fldCharType="end"/>
      </w:r>
      <w:r w:rsidR="00FF4655" w:rsidRPr="005C3FE9">
        <w:rPr>
          <w:lang w:val="en-US" w:eastAsia="en-US"/>
        </w:rPr>
        <w:t>.</w:t>
      </w:r>
    </w:p>
    <w:p w14:paraId="7AD3D8B9" w14:textId="69BDEB4C" w:rsidR="00FF4655" w:rsidRPr="005C3FE9" w:rsidRDefault="00FF4655" w:rsidP="00FF4655">
      <w:pPr>
        <w:rPr>
          <w:lang w:val="en-GB" w:eastAsia="en-US"/>
        </w:rPr>
      </w:pPr>
      <w:r w:rsidRPr="005C3FE9">
        <w:rPr>
          <w:lang w:val="en-GB" w:eastAsia="en-US"/>
        </w:rPr>
        <w:t>The optimi</w:t>
      </w:r>
      <w:r w:rsidR="008A0EAC">
        <w:rPr>
          <w:lang w:val="en-GB" w:eastAsia="en-US"/>
        </w:rPr>
        <w:t>s</w:t>
      </w:r>
      <w:r w:rsidRPr="005C3FE9">
        <w:rPr>
          <w:lang w:val="en-GB" w:eastAsia="en-US"/>
        </w:rPr>
        <w:t xml:space="preserve">ation of the AB-FB is an essential step to increase the competitiveness of the </w:t>
      </w:r>
      <w:r w:rsidR="00E05FC6" w:rsidRPr="005C3FE9">
        <w:rPr>
          <w:lang w:val="en-GB" w:eastAsia="en-US"/>
        </w:rPr>
        <w:t>technology</w:t>
      </w:r>
      <w:r w:rsidR="00080D29">
        <w:rPr>
          <w:lang w:val="en-GB" w:eastAsia="en-US"/>
        </w:rPr>
        <w:t xml:space="preserve"> and assess its real potential</w:t>
      </w:r>
      <w:r w:rsidRPr="005C3FE9">
        <w:rPr>
          <w:lang w:val="en-GB" w:eastAsia="en-US"/>
        </w:rPr>
        <w:t xml:space="preserve">. Different combinations of operating and design features </w:t>
      </w:r>
      <w:r w:rsidR="006E63A4" w:rsidRPr="005C3FE9">
        <w:rPr>
          <w:lang w:val="en-GB" w:eastAsia="en-US"/>
        </w:rPr>
        <w:t xml:space="preserve">may </w:t>
      </w:r>
      <w:r w:rsidRPr="005C3FE9">
        <w:rPr>
          <w:lang w:val="en-GB" w:eastAsia="en-US"/>
        </w:rPr>
        <w:t xml:space="preserve">significantly affect the performance of the system during both phases (i.e., charge and discharge). These parameters may ultimately have contrasting effects on the performance. The main performance indicators of an AB-FB are the Round Trip Efficiency and the average power density obtained during </w:t>
      </w:r>
      <w:r w:rsidRPr="005C3FE9">
        <w:rPr>
          <w:lang w:val="en-GB" w:eastAsia="en-US"/>
        </w:rPr>
        <w:lastRenderedPageBreak/>
        <w:t xml:space="preserve">the discharge. However, </w:t>
      </w:r>
      <w:r w:rsidR="00385772" w:rsidRPr="005C3FE9">
        <w:rPr>
          <w:lang w:val="en-GB" w:eastAsia="en-US"/>
        </w:rPr>
        <w:t>it is difficult to find a good compromise</w:t>
      </w:r>
      <w:r w:rsidRPr="005C3FE9">
        <w:rPr>
          <w:lang w:val="en-GB" w:eastAsia="en-US"/>
        </w:rPr>
        <w:t xml:space="preserve">. In fact, the </w:t>
      </w:r>
      <w:r w:rsidR="00CB56D1" w:rsidRPr="005C3FE9">
        <w:rPr>
          <w:lang w:val="en-GB" w:eastAsia="en-US"/>
        </w:rPr>
        <w:t xml:space="preserve">discharge power density </w:t>
      </w:r>
      <w:r w:rsidRPr="005C3FE9">
        <w:rPr>
          <w:lang w:val="en-GB" w:eastAsia="en-US"/>
        </w:rPr>
        <w:t xml:space="preserve">is a parabolic function of the applied external current. Therefore, </w:t>
      </w:r>
      <w:r w:rsidR="00B24E3B" w:rsidRPr="005C3FE9">
        <w:rPr>
          <w:lang w:val="en-GB" w:eastAsia="en-US"/>
        </w:rPr>
        <w:t>it</w:t>
      </w:r>
      <w:r w:rsidRPr="005C3FE9">
        <w:rPr>
          <w:lang w:val="en-GB" w:eastAsia="en-US"/>
        </w:rPr>
        <w:t xml:space="preserve"> may be maximi</w:t>
      </w:r>
      <w:r w:rsidR="008A0EAC">
        <w:rPr>
          <w:lang w:val="en-GB" w:eastAsia="en-US"/>
        </w:rPr>
        <w:t>s</w:t>
      </w:r>
      <w:r w:rsidRPr="005C3FE9">
        <w:rPr>
          <w:lang w:val="en-GB" w:eastAsia="en-US"/>
        </w:rPr>
        <w:t xml:space="preserve">ed when </w:t>
      </w:r>
      <w:r w:rsidR="00B24E3B" w:rsidRPr="005C3FE9">
        <w:rPr>
          <w:lang w:val="en-GB" w:eastAsia="en-US"/>
        </w:rPr>
        <w:t>higher</w:t>
      </w:r>
      <w:r w:rsidRPr="005C3FE9">
        <w:rPr>
          <w:lang w:val="en-GB" w:eastAsia="en-US"/>
        </w:rPr>
        <w:t xml:space="preserve"> ohmic losses lead to a</w:t>
      </w:r>
      <w:r w:rsidR="00B24E3B" w:rsidRPr="005C3FE9">
        <w:rPr>
          <w:lang w:val="en-GB" w:eastAsia="en-US"/>
        </w:rPr>
        <w:t xml:space="preserve"> lower</w:t>
      </w:r>
      <w:r w:rsidRPr="005C3FE9">
        <w:rPr>
          <w:lang w:val="en-GB" w:eastAsia="en-US"/>
        </w:rPr>
        <w:t xml:space="preserve"> RTE. Moreover, </w:t>
      </w:r>
      <w:r w:rsidR="00B24E3B" w:rsidRPr="005C3FE9">
        <w:rPr>
          <w:lang w:val="en-GB" w:eastAsia="en-US"/>
        </w:rPr>
        <w:t xml:space="preserve">the risk of BPM delamination may limit the safe discharge current to values that do not provide the maximum power density. Finally, </w:t>
      </w:r>
      <w:r w:rsidRPr="005C3FE9">
        <w:rPr>
          <w:lang w:val="en-GB" w:eastAsia="en-US"/>
        </w:rPr>
        <w:t xml:space="preserve">pumping power may play </w:t>
      </w:r>
      <w:r w:rsidR="00940129">
        <w:rPr>
          <w:lang w:val="en-GB" w:eastAsia="en-US"/>
        </w:rPr>
        <w:t>an</w:t>
      </w:r>
      <w:r w:rsidRPr="005C3FE9">
        <w:rPr>
          <w:lang w:val="en-GB" w:eastAsia="en-US"/>
        </w:rPr>
        <w:t xml:space="preserve"> important role in the discharge phase. </w:t>
      </w:r>
      <w:r w:rsidR="00940129">
        <w:rPr>
          <w:lang w:val="en-GB" w:eastAsia="en-US"/>
        </w:rPr>
        <w:t>Thus</w:t>
      </w:r>
      <w:r w:rsidRPr="005C3FE9">
        <w:rPr>
          <w:lang w:val="en-GB" w:eastAsia="en-US"/>
        </w:rPr>
        <w:t>, power losses must be limited</w:t>
      </w:r>
      <w:r w:rsidR="00EF371A" w:rsidRPr="005C3FE9">
        <w:rPr>
          <w:lang w:val="en-GB" w:eastAsia="en-US"/>
        </w:rPr>
        <w:t xml:space="preserve"> and the search </w:t>
      </w:r>
      <w:r w:rsidR="00940129">
        <w:rPr>
          <w:lang w:val="en-GB" w:eastAsia="en-US"/>
        </w:rPr>
        <w:t>for</w:t>
      </w:r>
      <w:r w:rsidR="00940129" w:rsidRPr="005C3FE9">
        <w:rPr>
          <w:lang w:val="en-GB" w:eastAsia="en-US"/>
        </w:rPr>
        <w:t xml:space="preserve"> </w:t>
      </w:r>
      <w:r w:rsidR="00EF371A" w:rsidRPr="005C3FE9">
        <w:rPr>
          <w:lang w:val="en-GB" w:eastAsia="en-US"/>
        </w:rPr>
        <w:t>optimal conditions is not straightforward at all</w:t>
      </w:r>
      <w:r w:rsidRPr="005C3FE9">
        <w:rPr>
          <w:lang w:val="en-GB" w:eastAsia="en-US"/>
        </w:rPr>
        <w:t>.</w:t>
      </w:r>
    </w:p>
    <w:p w14:paraId="041EAFD4" w14:textId="073BD974" w:rsidR="00FF4655" w:rsidRPr="005C3FE9" w:rsidRDefault="00FF4655" w:rsidP="00660BC7">
      <w:pPr>
        <w:rPr>
          <w:lang w:val="en-GB" w:eastAsia="en-US"/>
        </w:rPr>
      </w:pPr>
      <w:r w:rsidRPr="005C3FE9">
        <w:rPr>
          <w:lang w:val="en-US" w:eastAsia="en-US"/>
        </w:rPr>
        <w:t xml:space="preserve">The aim of this study was to conduct, for the first time, a bi-objective </w:t>
      </w:r>
      <w:proofErr w:type="spellStart"/>
      <w:r w:rsidRPr="005C3FE9">
        <w:rPr>
          <w:lang w:val="en-US" w:eastAsia="en-US"/>
        </w:rPr>
        <w:t>optimi</w:t>
      </w:r>
      <w:r w:rsidR="008A0EAC">
        <w:rPr>
          <w:lang w:val="en-US" w:eastAsia="en-US"/>
        </w:rPr>
        <w:t>s</w:t>
      </w:r>
      <w:r w:rsidRPr="005C3FE9">
        <w:rPr>
          <w:lang w:val="en-US" w:eastAsia="en-US"/>
        </w:rPr>
        <w:t>ation</w:t>
      </w:r>
      <w:proofErr w:type="spellEnd"/>
      <w:r w:rsidRPr="005C3FE9">
        <w:rPr>
          <w:lang w:val="en-US" w:eastAsia="en-US"/>
        </w:rPr>
        <w:t xml:space="preserve"> of the AB-FB </w:t>
      </w:r>
      <w:proofErr w:type="spellStart"/>
      <w:r w:rsidRPr="005C3FE9">
        <w:rPr>
          <w:lang w:val="en-US" w:eastAsia="en-US"/>
        </w:rPr>
        <w:t>utili</w:t>
      </w:r>
      <w:r w:rsidR="008A0EAC">
        <w:rPr>
          <w:lang w:val="en-US" w:eastAsia="en-US"/>
        </w:rPr>
        <w:t>s</w:t>
      </w:r>
      <w:r w:rsidRPr="005C3FE9">
        <w:rPr>
          <w:lang w:val="en-US" w:eastAsia="en-US"/>
        </w:rPr>
        <w:t>ing</w:t>
      </w:r>
      <w:proofErr w:type="spellEnd"/>
      <w:r w:rsidRPr="005C3FE9">
        <w:rPr>
          <w:lang w:val="en-US" w:eastAsia="en-US"/>
        </w:rPr>
        <w:t xml:space="preserve"> the epsilon-constraint method </w:t>
      </w:r>
      <w:r w:rsidR="00B855F6" w:rsidRPr="005C3FE9">
        <w:rPr>
          <w:lang w:val="en-US" w:eastAsia="en-US"/>
        </w:rPr>
        <w:t xml:space="preserve">targeting </w:t>
      </w:r>
      <w:r w:rsidRPr="005C3FE9">
        <w:rPr>
          <w:lang w:val="en-US" w:eastAsia="en-US"/>
        </w:rPr>
        <w:t xml:space="preserve">the </w:t>
      </w:r>
      <w:r w:rsidR="00B855F6" w:rsidRPr="005C3FE9">
        <w:rPr>
          <w:lang w:val="en-US" w:eastAsia="en-US"/>
        </w:rPr>
        <w:t xml:space="preserve">maximum </w:t>
      </w:r>
      <w:r w:rsidRPr="005C3FE9">
        <w:rPr>
          <w:lang w:val="en-US" w:eastAsia="en-US"/>
        </w:rPr>
        <w:t xml:space="preserve">net Round Trip Efficiency and the </w:t>
      </w:r>
      <w:r w:rsidR="00B855F6" w:rsidRPr="005C3FE9">
        <w:rPr>
          <w:lang w:val="en-US" w:eastAsia="en-US"/>
        </w:rPr>
        <w:t xml:space="preserve">maximum </w:t>
      </w:r>
      <w:r w:rsidRPr="005C3FE9">
        <w:rPr>
          <w:lang w:val="en-US" w:eastAsia="en-US"/>
        </w:rPr>
        <w:t xml:space="preserve">average net discharge power density. </w:t>
      </w:r>
      <w:r w:rsidR="00660BC7" w:rsidRPr="005C3FE9">
        <w:rPr>
          <w:lang w:val="en-US" w:eastAsia="en-US"/>
        </w:rPr>
        <w:t>The</w:t>
      </w:r>
      <w:r w:rsidRPr="005C3FE9">
        <w:rPr>
          <w:lang w:val="en-US" w:eastAsia="en-US"/>
        </w:rPr>
        <w:t xml:space="preserve"> </w:t>
      </w:r>
      <w:proofErr w:type="spellStart"/>
      <w:r w:rsidRPr="005C3FE9">
        <w:rPr>
          <w:lang w:val="en-US" w:eastAsia="en-US"/>
        </w:rPr>
        <w:t>gPROMS</w:t>
      </w:r>
      <w:proofErr w:type="spellEnd"/>
      <w:r w:rsidRPr="005C3FE9">
        <w:rPr>
          <w:lang w:val="en-US" w:eastAsia="en-US"/>
        </w:rPr>
        <w:t xml:space="preserve"> Model Builder </w:t>
      </w:r>
      <w:proofErr w:type="spellStart"/>
      <w:r w:rsidRPr="005C3FE9">
        <w:rPr>
          <w:lang w:val="en-US" w:eastAsia="en-US"/>
        </w:rPr>
        <w:t>optimi</w:t>
      </w:r>
      <w:r w:rsidR="008A0EAC">
        <w:rPr>
          <w:lang w:val="en-US" w:eastAsia="en-US"/>
        </w:rPr>
        <w:t>s</w:t>
      </w:r>
      <w:r w:rsidRPr="005C3FE9">
        <w:rPr>
          <w:lang w:val="en-US" w:eastAsia="en-US"/>
        </w:rPr>
        <w:t>ation</w:t>
      </w:r>
      <w:proofErr w:type="spellEnd"/>
      <w:r w:rsidRPr="005C3FE9">
        <w:rPr>
          <w:lang w:val="en-US" w:eastAsia="en-US"/>
        </w:rPr>
        <w:t xml:space="preserve"> tool</w:t>
      </w:r>
      <w:r w:rsidR="00660BC7" w:rsidRPr="005C3FE9">
        <w:rPr>
          <w:lang w:val="en-US" w:eastAsia="en-US"/>
        </w:rPr>
        <w:t xml:space="preserve"> was used to find optimal solutions, and the dynamic </w:t>
      </w:r>
      <w:proofErr w:type="spellStart"/>
      <w:r w:rsidR="00660BC7" w:rsidRPr="005C3FE9">
        <w:rPr>
          <w:lang w:val="en-US" w:eastAsia="en-US"/>
        </w:rPr>
        <w:t>behaviour</w:t>
      </w:r>
      <w:proofErr w:type="spellEnd"/>
      <w:r w:rsidR="00660BC7" w:rsidRPr="005C3FE9">
        <w:rPr>
          <w:lang w:val="en-US" w:eastAsia="en-US"/>
        </w:rPr>
        <w:t xml:space="preserve"> and the performance of the</w:t>
      </w:r>
      <w:r w:rsidRPr="005C3FE9">
        <w:rPr>
          <w:lang w:val="en-GB" w:eastAsia="en-US"/>
        </w:rPr>
        <w:t xml:space="preserve">AB-FB </w:t>
      </w:r>
      <w:r w:rsidR="00660BC7" w:rsidRPr="005C3FE9">
        <w:rPr>
          <w:lang w:val="en-GB" w:eastAsia="en-US"/>
        </w:rPr>
        <w:t>w</w:t>
      </w:r>
      <w:r w:rsidR="00C55476" w:rsidRPr="005C3FE9">
        <w:rPr>
          <w:lang w:val="en-GB" w:eastAsia="en-US"/>
        </w:rPr>
        <w:t>ere</w:t>
      </w:r>
      <w:r w:rsidR="00660BC7" w:rsidRPr="005C3FE9">
        <w:rPr>
          <w:lang w:val="en-GB" w:eastAsia="en-US"/>
        </w:rPr>
        <w:t xml:space="preserve"> predicted by </w:t>
      </w:r>
      <w:r w:rsidR="00940129">
        <w:rPr>
          <w:lang w:val="en-GB" w:eastAsia="en-US"/>
        </w:rPr>
        <w:t>a</w:t>
      </w:r>
      <w:r w:rsidR="00940129" w:rsidRPr="005C3FE9">
        <w:rPr>
          <w:lang w:val="en-GB" w:eastAsia="en-US"/>
        </w:rPr>
        <w:t xml:space="preserve"> </w:t>
      </w:r>
      <w:r w:rsidRPr="005C3FE9">
        <w:rPr>
          <w:lang w:val="en-GB" w:eastAsia="en-US"/>
        </w:rPr>
        <w:t xml:space="preserve">multi-scale model previously developed </w:t>
      </w:r>
      <w:r w:rsidR="00660BC7" w:rsidRPr="005C3FE9">
        <w:rPr>
          <w:lang w:val="en-GB" w:eastAsia="en-US"/>
        </w:rPr>
        <w:t xml:space="preserve">by our group </w:t>
      </w:r>
      <w:r w:rsidR="00956A30" w:rsidRPr="005C3FE9">
        <w:rPr>
          <w:lang w:val="en-GB" w:eastAsia="en-US"/>
        </w:rPr>
        <w:fldChar w:fldCharType="begin" w:fldLock="1"/>
      </w:r>
      <w:r w:rsidR="00E77EC7">
        <w:rPr>
          <w:lang w:val="en-GB" w:eastAsia="en-US"/>
        </w:rPr>
        <w:instrText>ADDIN CSL_CITATION {"citationItems":[{"id":"ITEM-1","itemData":{"DOI":"10.1016/j.jenvman.2021.112319","ISSN":"03014797","abstract":"The theoretical energy density extractable from acidic and alkaline solutions is higher than 20 kWh m−3 of single solution when mixing 1 M concentrated streams. Therefore, acidic and alkaline industrial wastewater have a huge potential for the recovery of energy. To this purpose, bipolar membrane reverse electrodialysis (BMRED) is an interesting, yet poorly studied technology for the conversion of the mixing entropy of solutions at different pH into electricity. Although it shows promising performance, only few works have been presented in the literature so far, and no comprehensive models have been developed yet. This work presents a mathematical multi-scale model based on a semi-empirical approach. The model was validated against experimental data and was applied over a variety of operating conditions, showing that it may represent an effective tool for the prediction of the BMRED performance. A sensitivity analysis was performed in two different scenarios, i.e. (i) a reference case and (ii) an improved case with high-performance membrane properties. A Net Power Density of ~15 W m−2 was predicted in the reference scenario with 1 M HCl and NaOH solutions, but it increased significantly by simulating high-performance membranes. A simulated scheme for an industrial application yielded an energy density of ~50 kWh m−3 (of acid solution) with an energy efficiency of ~80–90% in the improved scenario.","author":[{"dropping-particle":"","family":"Culcasi","given":"Andrea","non-dropping-particle":"","parse-names":false,"suffix":""},{"dropping-particle":"","family":"Gurreri","given":"Luigi","non-dropping-particle":"","parse-names":false,"suffix":""},{"dropping-particle":"","family":"Micale","given":"Giorgio","non-dropping-particle":"","parse-names":false,"suffix":""},{"dropping-particle":"","family":"Tamburini","given":"Alessandro","non-dropping-particle":"","parse-names":false,"suffix":""}],"container-title":"Journal of Environmental Management","id":"ITEM-1","issued":{"date-parts":[["2021","6","1"]]},"page":"112319","publisher":"Academic Press","title":"Bipolar membrane reverse electrodialysis for the sustainable recovery of energy from pH gradients of industrial wastewater: Performance prediction by a validated process model","type":"article-journal","volume":"287"},"uris":["http://www.mendeley.com/documents/?uuid=ee2d4995-5f1b-366c-ab28-5516ac7d1b69"]},{"id":"ITEM-2","itemData":{"DOI":"10.1016/j.apenergy.2020.115576","ISSN":"03062619","abstract":"Electrical energy storage can enhance the efficiency in the use of fluctuating renewable sources, e.g. solar and wind energy. The Acid/Base Flow Battery is an innovative and sustainable process to store electrical energy in the form of pH and salinity gradients via electrodialytic reversible techniques. Two electromembrane processes are involved: Bipolar Membrane Electrodialysis during the charge phase and its opposite, Bipolar Membrane Reverse Electrodialysis, during the discharge phase. For the first time, the present work aims at predicting the performance of this energy storage device via the development of a dynamic mathematical model based on a multi-scale approach with distributed parameters. Four models, each one at a different scale, are fully integrated in a comprehensive process simulator. The model was preliminary validated by a comparison with experimental data and a good agreement was found. A sensitivity analysis was performed to identify the most detrimental phenomena. Results indicate a loss of 25–35% of Round Trip Efficiency caused by parasitic currents in the manifolds. Therefore, they may represent the main limit to the present technology performance in scaled-up stacks converting more power. Suitable geometries and operating conditions should be adopted to tackle this issue (e.g. isolated blocks), thus enhancing the battery Round Trip Efficiency.","author":[{"dropping-particle":"","family":"Culcasi","given":"Andrea","non-dropping-particle":"","parse-names":false,"suffix":""},{"dropping-particle":"","family":"Gurreri","given":"Luigi","non-dropping-particle":"","parse-names":false,"suffix":""},{"dropping-particle":"","family":"Zaffora","given":"Andrea","non-dropping-particle":"","parse-names":false,"suffix":""},{"dropping-particle":"","family":"Cosenza","given":"Alessandro","non-dropping-particle":"","parse-names":false,"suffix":""},{"dropping-particle":"","family":"Tamburini","given":"Alessandro","non-dropping-particle":"","parse-names":false,"suffix":""},{"dropping-particle":"","family":"Micale","given":"Giorgio","non-dropping-particle":"","parse-names":false,"suffix":""}],"container-title":"Applied Energy","id":"ITEM-2","issued":{"date-parts":[["2020","11","1"]]},"page":"115576","publisher":"Elsevier Ltd","title":"On the modelling of an Acid/Base Flow Battery: An innovative electrical energy storage device based on pH and salinity gradients","type":"article-journal","volume":"277"},"uris":["http://www.mendeley.com/documents/?uuid=d34f0740-e538-347e-bfb7-0024b366e26a"]},{"id":"ITEM-3","itemData":{"DOI":"10.1016/j.cej.2022.135317","ISSN":"13858947","author":[{"dropping-particle":"","family":"Culcasi","given":"Andrea","non-dropping-particle":"","parse-names":false,"suffix":""},{"dropping-particle":"","family":"Gurreri","given":"Luigi","non-dropping-particle":"","parse-names":false,"suffix":""},{"dropping-particle":"","family":"Cipollina","given":"Andrea","non-dropping-particle":"","parse-names":false,"suffix":""},{"dropping-particle":"","family":"Tamburini","given":"Alessandro","non-dropping-particle":"","parse-names":false,"suffix":""},{"dropping-particle":"","family":"Micale","given":"Giorgio","non-dropping-particle":"","parse-names":false,"suffix":""}],"container-title":"Chemical Engineering Journal","id":"ITEM-3","issued":{"date-parts":[["2022","6","1"]]},"page":"135317","publisher":"Elsevier","title":"A comprehensive multi-scale model for bipolar membrane electrodialysis (BMED)","type":"article-journal","volume":"437"},"uris":["http://www.mendeley.com/documents/?uuid=4b5f5378-9631-323e-a606-3b159a663308"]}],"mendeley":{"formattedCitation":"[8,33,34]","plainTextFormattedCitation":"[8,33,34]","previouslyFormattedCitation":"[8,33,34]"},"properties":{"noteIndex":0},"schema":"https://github.com/citation-style-language/schema/raw/master/csl-citation.json"}</w:instrText>
      </w:r>
      <w:r w:rsidR="00956A30" w:rsidRPr="005C3FE9">
        <w:rPr>
          <w:lang w:val="en-GB" w:eastAsia="en-US"/>
        </w:rPr>
        <w:fldChar w:fldCharType="separate"/>
      </w:r>
      <w:r w:rsidR="004319C3" w:rsidRPr="004319C3">
        <w:rPr>
          <w:noProof/>
          <w:lang w:val="en-GB" w:eastAsia="en-US"/>
        </w:rPr>
        <w:t>[8,33,34]</w:t>
      </w:r>
      <w:r w:rsidR="00956A30" w:rsidRPr="005C3FE9">
        <w:rPr>
          <w:lang w:val="en-GB" w:eastAsia="en-US"/>
        </w:rPr>
        <w:fldChar w:fldCharType="end"/>
      </w:r>
      <w:r w:rsidRPr="005C3FE9">
        <w:rPr>
          <w:lang w:val="en-GB" w:eastAsia="en-US"/>
        </w:rPr>
        <w:t xml:space="preserve">. </w:t>
      </w:r>
      <w:r w:rsidR="00C55476" w:rsidRPr="005C3FE9">
        <w:rPr>
          <w:lang w:val="en-GB" w:eastAsia="en-US"/>
        </w:rPr>
        <w:t>Several</w:t>
      </w:r>
      <w:r w:rsidRPr="005C3FE9">
        <w:rPr>
          <w:lang w:val="en-GB" w:eastAsia="en-US"/>
        </w:rPr>
        <w:t xml:space="preserve"> scenarios</w:t>
      </w:r>
      <w:r w:rsidR="00C55476" w:rsidRPr="005C3FE9">
        <w:rPr>
          <w:lang w:val="en-GB" w:eastAsia="en-US"/>
        </w:rPr>
        <w:t xml:space="preserve"> were simulated</w:t>
      </w:r>
      <w:r w:rsidRPr="005C3FE9">
        <w:rPr>
          <w:lang w:val="en-GB" w:eastAsia="en-US"/>
        </w:rPr>
        <w:t xml:space="preserve"> </w:t>
      </w:r>
      <w:r w:rsidR="00C55476" w:rsidRPr="005C3FE9">
        <w:rPr>
          <w:lang w:val="en-GB" w:eastAsia="en-US"/>
        </w:rPr>
        <w:t>by letting two</w:t>
      </w:r>
      <w:r w:rsidRPr="005C3FE9">
        <w:rPr>
          <w:lang w:val="en-GB" w:eastAsia="en-US"/>
        </w:rPr>
        <w:t xml:space="preserve"> to eight operating and design decision variables to vary</w:t>
      </w:r>
      <w:r w:rsidR="00940129">
        <w:rPr>
          <w:lang w:val="en-GB" w:eastAsia="en-US"/>
        </w:rPr>
        <w:t xml:space="preserve"> contemporaneously</w:t>
      </w:r>
      <w:r w:rsidR="009D2487" w:rsidRPr="005C3FE9">
        <w:rPr>
          <w:lang w:val="en-GB" w:eastAsia="en-US"/>
        </w:rPr>
        <w:t>,</w:t>
      </w:r>
      <w:r w:rsidRPr="005C3FE9">
        <w:rPr>
          <w:lang w:val="en-GB" w:eastAsia="en-US"/>
        </w:rPr>
        <w:t xml:space="preserve"> determin</w:t>
      </w:r>
      <w:r w:rsidR="009D2487" w:rsidRPr="005C3FE9">
        <w:rPr>
          <w:lang w:val="en-GB" w:eastAsia="en-US"/>
        </w:rPr>
        <w:t>ing</w:t>
      </w:r>
      <w:r w:rsidRPr="005C3FE9">
        <w:rPr>
          <w:lang w:val="en-GB" w:eastAsia="en-US"/>
        </w:rPr>
        <w:t xml:space="preserve"> the best </w:t>
      </w:r>
      <w:r w:rsidR="009D2487" w:rsidRPr="005C3FE9">
        <w:rPr>
          <w:lang w:val="en-GB" w:eastAsia="en-US"/>
        </w:rPr>
        <w:t>solutions</w:t>
      </w:r>
      <w:r w:rsidRPr="005C3FE9">
        <w:rPr>
          <w:lang w:val="en-GB" w:eastAsia="en-US"/>
        </w:rPr>
        <w:t xml:space="preserve"> in </w:t>
      </w:r>
      <w:r w:rsidR="009D2487" w:rsidRPr="005C3FE9">
        <w:rPr>
          <w:lang w:val="en-GB" w:eastAsia="en-US"/>
        </w:rPr>
        <w:t xml:space="preserve">the form </w:t>
      </w:r>
      <w:r w:rsidRPr="005C3FE9">
        <w:rPr>
          <w:lang w:val="en-GB" w:eastAsia="en-US"/>
        </w:rPr>
        <w:t>of Pareto frontiers</w:t>
      </w:r>
      <w:r w:rsidR="009D2487" w:rsidRPr="005C3FE9">
        <w:rPr>
          <w:lang w:val="en-GB" w:eastAsia="en-US"/>
        </w:rPr>
        <w:t xml:space="preserve"> and providing</w:t>
      </w:r>
      <w:r w:rsidRPr="005C3FE9">
        <w:rPr>
          <w:lang w:val="en-GB" w:eastAsia="en-US"/>
        </w:rPr>
        <w:t xml:space="preserve"> a broad picture of the AB-FB technology</w:t>
      </w:r>
      <w:r w:rsidR="009D2487" w:rsidRPr="005C3FE9">
        <w:rPr>
          <w:lang w:val="en-GB" w:eastAsia="en-US"/>
        </w:rPr>
        <w:t xml:space="preserve"> potential</w:t>
      </w:r>
      <w:r w:rsidRPr="005C3FE9">
        <w:rPr>
          <w:lang w:val="en-GB" w:eastAsia="en-US"/>
        </w:rPr>
        <w:t xml:space="preserve">. </w:t>
      </w:r>
    </w:p>
    <w:p w14:paraId="60E7BFD5" w14:textId="48F9F9D2" w:rsidR="00CE4FDA" w:rsidRPr="005C3FE9" w:rsidRDefault="0012472B" w:rsidP="00065615">
      <w:pPr>
        <w:pStyle w:val="Titolo1"/>
        <w:spacing w:before="0"/>
      </w:pPr>
      <w:r w:rsidRPr="005C3FE9">
        <w:t>Mathematical modelling</w:t>
      </w:r>
    </w:p>
    <w:p w14:paraId="566D0753" w14:textId="4C5C9B94" w:rsidR="00AC65A0" w:rsidRPr="005C3FE9" w:rsidRDefault="003F6C30" w:rsidP="0012472B">
      <w:pPr>
        <w:rPr>
          <w:lang w:val="en-GB" w:eastAsia="en-US"/>
        </w:rPr>
      </w:pPr>
      <w:r w:rsidRPr="003F6C30">
        <w:rPr>
          <w:lang w:val="en-GB" w:eastAsia="en-US"/>
        </w:rPr>
        <w:t xml:space="preserve">The mathematical model was initially developed in 2020 in our previous work </w:t>
      </w:r>
      <w:r w:rsidRPr="005C3FE9">
        <w:rPr>
          <w:lang w:val="en-GB" w:eastAsia="en-US"/>
        </w:rPr>
        <w:fldChar w:fldCharType="begin" w:fldLock="1"/>
      </w:r>
      <w:r w:rsidR="00E77EC7">
        <w:rPr>
          <w:lang w:val="en-GB" w:eastAsia="en-US"/>
        </w:rPr>
        <w:instrText>ADDIN CSL_CITATION {"citationItems":[{"id":"ITEM-1","itemData":{"DOI":"10.1016/j.apenergy.2020.115576","ISSN":"03062619","abstract":"Electrical energy storage can enhance the efficiency in the use of fluctuating renewable sources, e.g. solar and wind energy. The Acid/Base Flow Battery is an innovative and sustainable process to store electrical energy in the form of pH and salinity gradients via electrodialytic reversible techniques. Two electromembrane processes are involved: Bipolar Membrane Electrodialysis during the charge phase and its opposite, Bipolar Membrane Reverse Electrodialysis, during the discharge phase. For the first time, the present work aims at predicting the performance of this energy storage device via the development of a dynamic mathematical model based on a multi-scale approach with distributed parameters. Four models, each one at a different scale, are fully integrated in a comprehensive process simulator. The model was preliminary validated by a comparison with experimental data and a good agreement was found. A sensitivity analysis was performed to identify the most detrimental phenomena. Results indicate a loss of 25–35% of Round Trip Efficiency caused by parasitic currents in the manifolds. Therefore, they may represent the main limit to the present technology performance in scaled-up stacks converting more power. Suitable geometries and operating conditions should be adopted to tackle this issue (e.g. isolated blocks), thus enhancing the battery Round Trip Efficiency.","author":[{"dropping-particle":"","family":"Culcasi","given":"Andrea","non-dropping-particle":"","parse-names":false,"suffix":""},{"dropping-particle":"","family":"Gurreri","given":"Luigi","non-dropping-particle":"","parse-names":false,"suffix":""},{"dropping-particle":"","family":"Zaffora","given":"Andrea","non-dropping-particle":"","parse-names":false,"suffix":""},{"dropping-particle":"","family":"Cosenza","given":"Alessandro","non-dropping-particle":"","parse-names":false,"suffix":""},{"dropping-particle":"","family":"Tamburini","given":"Alessandro","non-dropping-particle":"","parse-names":false,"suffix":""},{"dropping-particle":"","family":"Micale","given":"Giorgio","non-dropping-particle":"","parse-names":false,"suffix":""}],"container-title":"Applied Energy","id":"ITEM-1","issued":{"date-parts":[["2020","11","1"]]},"page":"115576","publisher":"Elsevier Ltd","title":"On the modelling of an Acid/Base Flow Battery: An innovative electrical energy storage device based on pH and salinity gradients","type":"article-journal","volume":"277"},"uris":["http://www.mendeley.com/documents/?uuid=d34f0740-e538-347e-bfb7-0024b366e26a"]}],"mendeley":{"formattedCitation":"[8]","plainTextFormattedCitation":"[8]","previouslyFormattedCitation":"[8]"},"properties":{"noteIndex":0},"schema":"https://github.com/citation-style-language/schema/raw/master/csl-citation.json"}</w:instrText>
      </w:r>
      <w:r w:rsidRPr="005C3FE9">
        <w:rPr>
          <w:lang w:val="en-GB" w:eastAsia="en-US"/>
        </w:rPr>
        <w:fldChar w:fldCharType="separate"/>
      </w:r>
      <w:r w:rsidR="004319C3" w:rsidRPr="004319C3">
        <w:rPr>
          <w:noProof/>
          <w:lang w:val="en-GB" w:eastAsia="en-US"/>
        </w:rPr>
        <w:t>[8]</w:t>
      </w:r>
      <w:r w:rsidRPr="005C3FE9">
        <w:rPr>
          <w:lang w:val="en-GB" w:eastAsia="en-US"/>
        </w:rPr>
        <w:fldChar w:fldCharType="end"/>
      </w:r>
      <w:r w:rsidRPr="003F6C30">
        <w:rPr>
          <w:lang w:val="en-GB" w:eastAsia="en-US"/>
        </w:rPr>
        <w:t xml:space="preserve">. Then the model was modified by integrating ad-hoc equations to accurately predict the behaviour of the bipolar membrane during the charging </w:t>
      </w:r>
      <w:r w:rsidRPr="005C3FE9">
        <w:rPr>
          <w:lang w:val="en-GB" w:eastAsia="en-US"/>
        </w:rPr>
        <w:fldChar w:fldCharType="begin" w:fldLock="1"/>
      </w:r>
      <w:r w:rsidR="00E77EC7">
        <w:rPr>
          <w:lang w:val="en-GB" w:eastAsia="en-US"/>
        </w:rPr>
        <w:instrText>ADDIN CSL_CITATION {"citationItems":[{"id":"ITEM-1","itemData":{"DOI":"10.1016/j.cej.2022.135317","ISSN":"13858947","author":[{"dropping-particle":"","family":"Culcasi","given":"Andrea","non-dropping-particle":"","parse-names":false,"suffix":""},{"dropping-particle":"","family":"Gurreri","given":"Luigi","non-dropping-particle":"","parse-names":false,"suffix":""},{"dropping-particle":"","family":"Cipollina","given":"Andrea","non-dropping-particle":"","parse-names":false,"suffix":""},{"dropping-particle":"","family":"Tamburini","given":"Alessandro","non-dropping-particle":"","parse-names":false,"suffix":""},{"dropping-particle":"","family":"Micale","given":"Giorgio","non-dropping-particle":"","parse-names":false,"suffix":""}],"container-title":"Chemical Engineering Journal","id":"ITEM-1","issued":{"date-parts":[["2022","6","1"]]},"page":"135317","publisher":"Elsevier","title":"A comprehensive multi-scale model for bipolar membrane electrodialysis (BMED)","type":"article-journal","volume":"437"},"uris":["http://www.mendeley.com/documents/?uuid=4b5f5378-9631-323e-a606-3b159a663308"]}],"mendeley":{"formattedCitation":"[33]","plainTextFormattedCitation":"[33]","previouslyFormattedCitation":"[33]"},"properties":{"noteIndex":0},"schema":"https://github.com/citation-style-language/schema/raw/master/csl-citation.json"}</w:instrText>
      </w:r>
      <w:r w:rsidRPr="005C3FE9">
        <w:rPr>
          <w:lang w:val="en-GB" w:eastAsia="en-US"/>
        </w:rPr>
        <w:fldChar w:fldCharType="separate"/>
      </w:r>
      <w:r w:rsidR="004319C3" w:rsidRPr="004319C3">
        <w:rPr>
          <w:noProof/>
          <w:lang w:val="en-GB" w:eastAsia="en-US"/>
        </w:rPr>
        <w:t>[33]</w:t>
      </w:r>
      <w:r w:rsidRPr="005C3FE9">
        <w:rPr>
          <w:lang w:val="en-GB" w:eastAsia="en-US"/>
        </w:rPr>
        <w:fldChar w:fldCharType="end"/>
      </w:r>
      <w:r w:rsidRPr="003F6C30">
        <w:rPr>
          <w:lang w:val="en-GB" w:eastAsia="en-US"/>
        </w:rPr>
        <w:t xml:space="preserve"> and discharging phases </w:t>
      </w:r>
      <w:r w:rsidRPr="005C3FE9">
        <w:rPr>
          <w:lang w:val="en-GB" w:eastAsia="en-US"/>
        </w:rPr>
        <w:fldChar w:fldCharType="begin" w:fldLock="1"/>
      </w:r>
      <w:r w:rsidR="00E77EC7">
        <w:rPr>
          <w:lang w:val="en-GB" w:eastAsia="en-US"/>
        </w:rPr>
        <w:instrText>ADDIN CSL_CITATION {"citationItems":[{"id":"ITEM-1","itemData":{"DOI":"10.1016/j.jenvman.2021.112319","ISSN":"03014797","abstract":"The theoretical energy density extractable from acidic and alkaline solutions is higher than 20 kWh m−3 of single solution when mixing 1 M concentrated streams. Therefore, acidic and alkaline industrial wastewater have a huge potential for the recovery of energy. To this purpose, bipolar membrane reverse electrodialysis (BMRED) is an interesting, yet poorly studied technology for the conversion of the mixing entropy of solutions at different pH into electricity. Although it shows promising performance, only few works have been presented in the literature so far, and no comprehensive models have been developed yet. This work presents a mathematical multi-scale model based on a semi-empirical approach. The model was validated against experimental data and was applied over a variety of operating conditions, showing that it may represent an effective tool for the prediction of the BMRED performance. A sensitivity analysis was performed in two different scenarios, i.e. (i) a reference case and (ii) an improved case with high-performance membrane properties. A Net Power Density of ~15 W m−2 was predicted in the reference scenario with 1 M HCl and NaOH solutions, but it increased significantly by simulating high-performance membranes. A simulated scheme for an industrial application yielded an energy density of ~50 kWh m−3 (of acid solution) with an energy efficiency of ~80–90% in the improved scenario.","author":[{"dropping-particle":"","family":"Culcasi","given":"Andrea","non-dropping-particle":"","parse-names":false,"suffix":""},{"dropping-particle":"","family":"Gurreri","given":"Luigi","non-dropping-particle":"","parse-names":false,"suffix":""},{"dropping-particle":"","family":"Micale","given":"Giorgio","non-dropping-particle":"","parse-names":false,"suffix":""},{"dropping-particle":"","family":"Tamburini","given":"Alessandro","non-dropping-particle":"","parse-names":false,"suffix":""}],"container-title":"Journal of Environmental Management","id":"ITEM-1","issued":{"date-parts":[["2021","6","1"]]},"page":"112319","publisher":"Academic Press","title":"Bipolar membrane reverse electrodialysis for the sustainable recovery of energy from pH gradients of industrial wastewater: Performance prediction by a validated process model","type":"article-journal","volume":"287"},"uris":["http://www.mendeley.com/documents/?uuid=ee2d4995-5f1b-366c-ab28-5516ac7d1b69"]}],"mendeley":{"formattedCitation":"[34]","plainTextFormattedCitation":"[34]","previouslyFormattedCitation":"[34]"},"properties":{"noteIndex":0},"schema":"https://github.com/citation-style-language/schema/raw/master/csl-citation.json"}</w:instrText>
      </w:r>
      <w:r w:rsidRPr="005C3FE9">
        <w:rPr>
          <w:lang w:val="en-GB" w:eastAsia="en-US"/>
        </w:rPr>
        <w:fldChar w:fldCharType="separate"/>
      </w:r>
      <w:r w:rsidR="004319C3" w:rsidRPr="004319C3">
        <w:rPr>
          <w:noProof/>
          <w:lang w:val="en-GB" w:eastAsia="en-US"/>
        </w:rPr>
        <w:t>[34]</w:t>
      </w:r>
      <w:r w:rsidRPr="005C3FE9">
        <w:rPr>
          <w:lang w:val="en-GB" w:eastAsia="en-US"/>
        </w:rPr>
        <w:fldChar w:fldCharType="end"/>
      </w:r>
      <w:r w:rsidRPr="003F6C30">
        <w:rPr>
          <w:lang w:val="en-GB" w:eastAsia="en-US"/>
        </w:rPr>
        <w:t>.</w:t>
      </w:r>
      <w:r>
        <w:rPr>
          <w:lang w:val="en-GB" w:eastAsia="en-US"/>
        </w:rPr>
        <w:t xml:space="preserve"> </w:t>
      </w:r>
      <w:r w:rsidR="00F320F1" w:rsidRPr="005C3FE9">
        <w:rPr>
          <w:lang w:val="en-GB" w:eastAsia="en-US"/>
        </w:rPr>
        <w:t>Our previous works have highlighted that electro-membrane processes can be accurately simulated, whilst maintaining an appropriate computational burden, by integrating calculations of non-ideal phenomena (</w:t>
      </w:r>
      <w:r w:rsidR="00810372" w:rsidRPr="005C3FE9">
        <w:rPr>
          <w:lang w:val="en-GB" w:eastAsia="en-US"/>
        </w:rPr>
        <w:t>e.g.,</w:t>
      </w:r>
      <w:r w:rsidR="00F320F1" w:rsidRPr="005C3FE9">
        <w:rPr>
          <w:lang w:val="en-GB" w:eastAsia="en-US"/>
        </w:rPr>
        <w:t xml:space="preserve"> concentration polarisation, parasitic currents via manifolds) and pressure losses. </w:t>
      </w:r>
      <w:r w:rsidR="003E1357" w:rsidRPr="005C3FE9">
        <w:rPr>
          <w:lang w:val="en-GB" w:eastAsia="en-US"/>
        </w:rPr>
        <w:t xml:space="preserve">The </w:t>
      </w:r>
      <w:r w:rsidR="00000FF8" w:rsidRPr="005C3FE9">
        <w:rPr>
          <w:lang w:val="en-GB" w:eastAsia="en-US"/>
        </w:rPr>
        <w:t xml:space="preserve">simulation tool </w:t>
      </w:r>
      <w:r w:rsidR="003E1357" w:rsidRPr="005C3FE9">
        <w:rPr>
          <w:lang w:val="en-GB" w:eastAsia="en-US"/>
        </w:rPr>
        <w:t>developed in our previous stud</w:t>
      </w:r>
      <w:r w:rsidR="004B5A16" w:rsidRPr="005C3FE9">
        <w:rPr>
          <w:lang w:val="en-GB" w:eastAsia="en-US"/>
        </w:rPr>
        <w:t>y</w:t>
      </w:r>
      <w:r w:rsidR="003E1357" w:rsidRPr="005C3FE9">
        <w:rPr>
          <w:lang w:val="en-GB" w:eastAsia="en-US"/>
        </w:rPr>
        <w:t xml:space="preserve"> is semi-empirical, as it </w:t>
      </w:r>
      <w:r w:rsidR="00FF7DE0" w:rsidRPr="005C3FE9">
        <w:rPr>
          <w:lang w:val="en-GB" w:eastAsia="en-US"/>
        </w:rPr>
        <w:t>describes the process through</w:t>
      </w:r>
      <w:r w:rsidR="003E1357" w:rsidRPr="005C3FE9">
        <w:rPr>
          <w:lang w:val="en-GB" w:eastAsia="en-US"/>
        </w:rPr>
        <w:t xml:space="preserve"> phenomenological equations </w:t>
      </w:r>
      <w:r w:rsidR="00FF7DE0" w:rsidRPr="005C3FE9">
        <w:rPr>
          <w:lang w:val="en-GB" w:eastAsia="en-US"/>
        </w:rPr>
        <w:t xml:space="preserve">that contain </w:t>
      </w:r>
      <w:r w:rsidR="00864D0F" w:rsidRPr="005C3FE9">
        <w:rPr>
          <w:lang w:val="en-GB" w:eastAsia="en-US"/>
        </w:rPr>
        <w:t>membrane</w:t>
      </w:r>
      <w:r w:rsidR="003E1357" w:rsidRPr="005C3FE9">
        <w:rPr>
          <w:lang w:val="en-GB" w:eastAsia="en-US"/>
        </w:rPr>
        <w:t xml:space="preserve"> parameters</w:t>
      </w:r>
      <w:r w:rsidR="00FF7DE0" w:rsidRPr="005C3FE9">
        <w:rPr>
          <w:lang w:val="en-GB" w:eastAsia="en-US"/>
        </w:rPr>
        <w:t xml:space="preserve"> whose values are obtained experimentally</w:t>
      </w:r>
      <w:r w:rsidR="00E05454" w:rsidRPr="005C3FE9">
        <w:rPr>
          <w:lang w:val="en-GB" w:eastAsia="en-US"/>
        </w:rPr>
        <w:t xml:space="preserve"> </w:t>
      </w:r>
      <w:r w:rsidR="009C21BE" w:rsidRPr="005C3FE9">
        <w:rPr>
          <w:lang w:val="en-GB" w:eastAsia="en-US"/>
        </w:rPr>
        <w:fldChar w:fldCharType="begin" w:fldLock="1"/>
      </w:r>
      <w:r w:rsidR="00E77EC7">
        <w:rPr>
          <w:lang w:val="en-GB" w:eastAsia="en-US"/>
        </w:rPr>
        <w:instrText>ADDIN CSL_CITATION {"citationItems":[{"id":"ITEM-1","itemData":{"DOI":"10.1016/j.apenergy.2020.115576","ISSN":"03062619","abstract":"Electrical energy storage can enhance the efficiency in the use of fluctuating renewable sources, e.g. solar and wind energy. The Acid/Base Flow Battery is an innovative and sustainable process to store electrical energy in the form of pH and salinity gradients via electrodialytic reversible techniques. Two electromembrane processes are involved: Bipolar Membrane Electrodialysis during the charge phase and its opposite, Bipolar Membrane Reverse Electrodialysis, during the discharge phase. For the first time, the present work aims at predicting the performance of this energy storage device via the development of a dynamic mathematical model based on a multi-scale approach with distributed parameters. Four models, each one at a different scale, are fully integrated in a comprehensive process simulator. The model was preliminary validated by a comparison with experimental data and a good agreement was found. A sensitivity analysis was performed to identify the most detrimental phenomena. Results indicate a loss of 25–35% of Round Trip Efficiency caused by parasitic currents in the manifolds. Therefore, they may represent the main limit to the present technology performance in scaled-up stacks converting more power. Suitable geometries and operating conditions should be adopted to tackle this issue (e.g. isolated blocks), thus enhancing the battery Round Trip Efficiency.","author":[{"dropping-particle":"","family":"Culcasi","given":"Andrea","non-dropping-particle":"","parse-names":false,"suffix":""},{"dropping-particle":"","family":"Gurreri","given":"Luigi","non-dropping-particle":"","parse-names":false,"suffix":""},{"dropping-particle":"","family":"Zaffora","given":"Andrea","non-dropping-particle":"","parse-names":false,"suffix":""},{"dropping-particle":"","family":"Cosenza","given":"Alessandro","non-dropping-particle":"","parse-names":false,"suffix":""},{"dropping-particle":"","family":"Tamburini","given":"Alessandro","non-dropping-particle":"","parse-names":false,"suffix":""},{"dropping-particle":"","family":"Micale","given":"Giorgio","non-dropping-particle":"","parse-names":false,"suffix":""}],"container-title":"Applied Energy","id":"ITEM-1","issued":{"date-parts":[["2020","11","1"]]},"page":"115576","publisher":"Elsevier Ltd","title":"On the modelling of an Acid/Base Flow Battery: An innovative electrical energy storage device based on pH and salinity gradients","type":"article-journal","volume":"277"},"uris":["http://www.mendeley.com/documents/?uuid=d34f0740-e538-347e-bfb7-0024b366e26a"]}],"mendeley":{"formattedCitation":"[8]","plainTextFormattedCitation":"[8]","previouslyFormattedCitation":"[8]"},"properties":{"noteIndex":0},"schema":"https://github.com/citation-style-language/schema/raw/master/csl-citation.json"}</w:instrText>
      </w:r>
      <w:r w:rsidR="009C21BE" w:rsidRPr="005C3FE9">
        <w:rPr>
          <w:lang w:val="en-GB" w:eastAsia="en-US"/>
        </w:rPr>
        <w:fldChar w:fldCharType="separate"/>
      </w:r>
      <w:r w:rsidR="004319C3" w:rsidRPr="004319C3">
        <w:rPr>
          <w:noProof/>
          <w:lang w:val="en-GB" w:eastAsia="en-US"/>
        </w:rPr>
        <w:t>[8]</w:t>
      </w:r>
      <w:r w:rsidR="009C21BE" w:rsidRPr="005C3FE9">
        <w:rPr>
          <w:lang w:val="en-GB" w:eastAsia="en-US"/>
        </w:rPr>
        <w:fldChar w:fldCharType="end"/>
      </w:r>
      <w:r w:rsidR="003E1357" w:rsidRPr="005C3FE9">
        <w:rPr>
          <w:lang w:val="en-GB" w:eastAsia="en-US"/>
        </w:rPr>
        <w:t xml:space="preserve">. </w:t>
      </w:r>
      <w:r w:rsidR="00FF7DE0" w:rsidRPr="005C3FE9">
        <w:rPr>
          <w:lang w:val="en-GB" w:eastAsia="en-US"/>
        </w:rPr>
        <w:t>Phenomenological</w:t>
      </w:r>
      <w:r w:rsidR="003E1357" w:rsidRPr="005C3FE9">
        <w:rPr>
          <w:lang w:val="en-GB" w:eastAsia="en-US"/>
        </w:rPr>
        <w:t xml:space="preserve"> equations are used for predicting water and ion transport across both monopolar and bipolar membranes. </w:t>
      </w:r>
      <w:r w:rsidR="00565085" w:rsidRPr="005C3FE9">
        <w:rPr>
          <w:lang w:val="en-GB" w:eastAsia="en-US"/>
        </w:rPr>
        <w:t xml:space="preserve">The empirical information that must be provided to </w:t>
      </w:r>
      <w:r w:rsidR="00565085" w:rsidRPr="005C3FE9">
        <w:rPr>
          <w:lang w:val="en-GB" w:eastAsia="en-US"/>
        </w:rPr>
        <w:lastRenderedPageBreak/>
        <w:t xml:space="preserve">the model </w:t>
      </w:r>
      <w:r w:rsidR="00E36DB4">
        <w:rPr>
          <w:lang w:val="en-GB" w:eastAsia="en-US"/>
        </w:rPr>
        <w:t>concerns</w:t>
      </w:r>
      <w:r w:rsidR="00864D0F" w:rsidRPr="005C3FE9">
        <w:rPr>
          <w:lang w:val="en-GB" w:eastAsia="en-US"/>
        </w:rPr>
        <w:t xml:space="preserve"> </w:t>
      </w:r>
      <w:r w:rsidR="00565085" w:rsidRPr="005C3FE9">
        <w:rPr>
          <w:lang w:val="en-GB" w:eastAsia="en-US"/>
        </w:rPr>
        <w:t xml:space="preserve">membrane </w:t>
      </w:r>
      <w:r w:rsidR="00AE47B5" w:rsidRPr="005C3FE9">
        <w:rPr>
          <w:lang w:val="en-GB" w:eastAsia="en-US"/>
        </w:rPr>
        <w:t xml:space="preserve">properties such as electrical </w:t>
      </w:r>
      <w:r w:rsidR="00565085" w:rsidRPr="005C3FE9">
        <w:rPr>
          <w:lang w:val="en-GB" w:eastAsia="en-US"/>
        </w:rPr>
        <w:t xml:space="preserve">resistances and ion diffusivities. </w:t>
      </w:r>
      <w:r w:rsidR="00445CA3" w:rsidRPr="005C3FE9">
        <w:rPr>
          <w:lang w:val="en-GB" w:eastAsia="en-US"/>
        </w:rPr>
        <w:t>NaCl, HCl and NaOH are the electrolytes simulated for the salt, acid</w:t>
      </w:r>
      <w:r w:rsidR="00424F51" w:rsidRPr="005C3FE9">
        <w:rPr>
          <w:lang w:val="en-GB" w:eastAsia="en-US"/>
        </w:rPr>
        <w:t>,</w:t>
      </w:r>
      <w:r w:rsidR="00445CA3" w:rsidRPr="005C3FE9">
        <w:rPr>
          <w:lang w:val="en-GB" w:eastAsia="en-US"/>
        </w:rPr>
        <w:t xml:space="preserve"> and base, respectively.</w:t>
      </w:r>
    </w:p>
    <w:p w14:paraId="6B8CE9D2" w14:textId="14A0382D" w:rsidR="00B32BE3" w:rsidRPr="005C3FE9" w:rsidRDefault="00A93E9F" w:rsidP="0012472B">
      <w:pPr>
        <w:rPr>
          <w:color w:val="000000" w:themeColor="text1"/>
          <w:lang w:val="en-GB" w:eastAsia="en-US"/>
        </w:rPr>
      </w:pPr>
      <w:r w:rsidRPr="005C3FE9">
        <w:rPr>
          <w:lang w:val="en-GB" w:eastAsia="en-US"/>
        </w:rPr>
        <w:t xml:space="preserve">The hierarchical structure of the </w:t>
      </w:r>
      <w:r w:rsidR="002E3FDD" w:rsidRPr="005C3FE9">
        <w:rPr>
          <w:lang w:val="en-GB" w:eastAsia="en-US"/>
        </w:rPr>
        <w:t xml:space="preserve">multi-scale </w:t>
      </w:r>
      <w:r w:rsidRPr="005C3FE9">
        <w:rPr>
          <w:lang w:val="en-GB" w:eastAsia="en-US"/>
        </w:rPr>
        <w:t>model used for the present optimi</w:t>
      </w:r>
      <w:r w:rsidR="008A0EAC">
        <w:rPr>
          <w:lang w:val="en-GB" w:eastAsia="en-US"/>
        </w:rPr>
        <w:t>s</w:t>
      </w:r>
      <w:r w:rsidRPr="005C3FE9">
        <w:rPr>
          <w:lang w:val="en-GB" w:eastAsia="en-US"/>
        </w:rPr>
        <w:t xml:space="preserve">ation study is the same as in previous works on BMED </w:t>
      </w:r>
      <w:r w:rsidR="002E3FDD" w:rsidRPr="005C3FE9">
        <w:rPr>
          <w:lang w:val="en-GB" w:eastAsia="en-US"/>
        </w:rPr>
        <w:fldChar w:fldCharType="begin" w:fldLock="1"/>
      </w:r>
      <w:r w:rsidR="00E77EC7">
        <w:rPr>
          <w:lang w:val="en-GB" w:eastAsia="en-US"/>
        </w:rPr>
        <w:instrText>ADDIN CSL_CITATION {"citationItems":[{"id":"ITEM-1","itemData":{"DOI":"10.1016/j.cej.2022.135317","ISSN":"13858947","author":[{"dropping-particle":"","family":"Culcasi","given":"Andrea","non-dropping-particle":"","parse-names":false,"suffix":""},{"dropping-particle":"","family":"Gurreri","given":"Luigi","non-dropping-particle":"","parse-names":false,"suffix":""},{"dropping-particle":"","family":"Cipollina","given":"Andrea","non-dropping-particle":"","parse-names":false,"suffix":""},{"dropping-particle":"","family":"Tamburini","given":"Alessandro","non-dropping-particle":"","parse-names":false,"suffix":""},{"dropping-particle":"","family":"Micale","given":"Giorgio","non-dropping-particle":"","parse-names":false,"suffix":""}],"container-title":"Chemical Engineering Journal","id":"ITEM-1","issued":{"date-parts":[["2022","6","1"]]},"page":"135317","publisher":"Elsevier","title":"A comprehensive multi-scale model for bipolar membrane electrodialysis (BMED)","type":"article-journal","volume":"437"},"uris":["http://www.mendeley.com/documents/?uuid=4b5f5378-9631-323e-a606-3b159a663308"]}],"mendeley":{"formattedCitation":"[33]","plainTextFormattedCitation":"[33]","previouslyFormattedCitation":"[33]"},"properties":{"noteIndex":0},"schema":"https://github.com/citation-style-language/schema/raw/master/csl-citation.json"}</w:instrText>
      </w:r>
      <w:r w:rsidR="002E3FDD" w:rsidRPr="005C3FE9">
        <w:rPr>
          <w:lang w:val="en-GB" w:eastAsia="en-US"/>
        </w:rPr>
        <w:fldChar w:fldCharType="separate"/>
      </w:r>
      <w:r w:rsidR="004319C3" w:rsidRPr="004319C3">
        <w:rPr>
          <w:noProof/>
          <w:lang w:val="en-GB" w:eastAsia="en-US"/>
        </w:rPr>
        <w:t>[33]</w:t>
      </w:r>
      <w:r w:rsidR="002E3FDD" w:rsidRPr="005C3FE9">
        <w:rPr>
          <w:lang w:val="en-GB" w:eastAsia="en-US"/>
        </w:rPr>
        <w:fldChar w:fldCharType="end"/>
      </w:r>
      <w:r w:rsidRPr="005C3FE9">
        <w:rPr>
          <w:lang w:val="en-GB" w:eastAsia="en-US"/>
        </w:rPr>
        <w:t xml:space="preserve">, BMRED </w:t>
      </w:r>
      <w:r w:rsidR="002E3FDD" w:rsidRPr="005C3FE9">
        <w:rPr>
          <w:lang w:val="en-GB" w:eastAsia="en-US"/>
        </w:rPr>
        <w:fldChar w:fldCharType="begin" w:fldLock="1"/>
      </w:r>
      <w:r w:rsidR="00E77EC7">
        <w:rPr>
          <w:lang w:val="en-GB" w:eastAsia="en-US"/>
        </w:rPr>
        <w:instrText>ADDIN CSL_CITATION {"citationItems":[{"id":"ITEM-1","itemData":{"DOI":"10.1016/j.jenvman.2021.112319","ISSN":"03014797","abstract":"The theoretical energy density extractable from acidic and alkaline solutions is higher than 20 kWh m−3 of single solution when mixing 1 M concentrated streams. Therefore, acidic and alkaline industrial wastewater have a huge potential for the recovery of energy. To this purpose, bipolar membrane reverse electrodialysis (BMRED) is an interesting, yet poorly studied technology for the conversion of the mixing entropy of solutions at different pH into electricity. Although it shows promising performance, only few works have been presented in the literature so far, and no comprehensive models have been developed yet. This work presents a mathematical multi-scale model based on a semi-empirical approach. The model was validated against experimental data and was applied over a variety of operating conditions, showing that it may represent an effective tool for the prediction of the BMRED performance. A sensitivity analysis was performed in two different scenarios, i.e. (i) a reference case and (ii) an improved case with high-performance membrane properties. A Net Power Density of ~15 W m−2 was predicted in the reference scenario with 1 M HCl and NaOH solutions, but it increased significantly by simulating high-performance membranes. A simulated scheme for an industrial application yielded an energy density of ~50 kWh m−3 (of acid solution) with an energy efficiency of ~80–90% in the improved scenario.","author":[{"dropping-particle":"","family":"Culcasi","given":"Andrea","non-dropping-particle":"","parse-names":false,"suffix":""},{"dropping-particle":"","family":"Gurreri","given":"Luigi","non-dropping-particle":"","parse-names":false,"suffix":""},{"dropping-particle":"","family":"Micale","given":"Giorgio","non-dropping-particle":"","parse-names":false,"suffix":""},{"dropping-particle":"","family":"Tamburini","given":"Alessandro","non-dropping-particle":"","parse-names":false,"suffix":""}],"container-title":"Journal of Environmental Management","id":"ITEM-1","issued":{"date-parts":[["2021","6","1"]]},"page":"112319","publisher":"Academic Press","title":"Bipolar membrane reverse electrodialysis for the sustainable recovery of energy from pH gradients of industrial wastewater: Performance prediction by a validated process model","type":"article-journal","volume":"287"},"uris":["http://www.mendeley.com/documents/?uuid=ee2d4995-5f1b-366c-ab28-5516ac7d1b69"]}],"mendeley":{"formattedCitation":"[34]","plainTextFormattedCitation":"[34]","previouslyFormattedCitation":"[34]"},"properties":{"noteIndex":0},"schema":"https://github.com/citation-style-language/schema/raw/master/csl-citation.json"}</w:instrText>
      </w:r>
      <w:r w:rsidR="002E3FDD" w:rsidRPr="005C3FE9">
        <w:rPr>
          <w:lang w:val="en-GB" w:eastAsia="en-US"/>
        </w:rPr>
        <w:fldChar w:fldCharType="separate"/>
      </w:r>
      <w:r w:rsidR="004319C3" w:rsidRPr="004319C3">
        <w:rPr>
          <w:noProof/>
          <w:lang w:val="en-GB" w:eastAsia="en-US"/>
        </w:rPr>
        <w:t>[34]</w:t>
      </w:r>
      <w:r w:rsidR="002E3FDD" w:rsidRPr="005C3FE9">
        <w:rPr>
          <w:lang w:val="en-GB" w:eastAsia="en-US"/>
        </w:rPr>
        <w:fldChar w:fldCharType="end"/>
      </w:r>
      <w:r w:rsidRPr="005C3FE9">
        <w:rPr>
          <w:lang w:val="en-GB" w:eastAsia="en-US"/>
        </w:rPr>
        <w:t xml:space="preserve"> and AB-FB </w:t>
      </w:r>
      <w:r w:rsidR="00000FF8" w:rsidRPr="005C3FE9">
        <w:rPr>
          <w:lang w:val="en-GB" w:eastAsia="en-US"/>
        </w:rPr>
        <w:fldChar w:fldCharType="begin" w:fldLock="1"/>
      </w:r>
      <w:r w:rsidR="00E77EC7">
        <w:rPr>
          <w:lang w:val="en-GB" w:eastAsia="en-US"/>
        </w:rPr>
        <w:instrText>ADDIN CSL_CITATION {"citationItems":[{"id":"ITEM-1","itemData":{"DOI":"10.1016/j.apenergy.2020.115576","ISSN":"03062619","abstract":"Electrical energy storage can enhance the efficiency in the use of fluctuating renewable sources, e.g. solar and wind energy. The Acid/Base Flow Battery is an innovative and sustainable process to store electrical energy in the form of pH and salinity gradients via electrodialytic reversible techniques. Two electromembrane processes are involved: Bipolar Membrane Electrodialysis during the charge phase and its opposite, Bipolar Membrane Reverse Electrodialysis, during the discharge phase. For the first time, the present work aims at predicting the performance of this energy storage device via the development of a dynamic mathematical model based on a multi-scale approach with distributed parameters. Four models, each one at a different scale, are fully integrated in a comprehensive process simulator. The model was preliminary validated by a comparison with experimental data and a good agreement was found. A sensitivity analysis was performed to identify the most detrimental phenomena. Results indicate a loss of 25–35% of Round Trip Efficiency caused by parasitic currents in the manifolds. Therefore, they may represent the main limit to the present technology performance in scaled-up stacks converting more power. Suitable geometries and operating conditions should be adopted to tackle this issue (e.g. isolated blocks), thus enhancing the battery Round Trip Efficiency.","author":[{"dropping-particle":"","family":"Culcasi","given":"Andrea","non-dropping-particle":"","parse-names":false,"suffix":""},{"dropping-particle":"","family":"Gurreri","given":"Luigi","non-dropping-particle":"","parse-names":false,"suffix":""},{"dropping-particle":"","family":"Zaffora","given":"Andrea","non-dropping-particle":"","parse-names":false,"suffix":""},{"dropping-particle":"","family":"Cosenza","given":"Alessandro","non-dropping-particle":"","parse-names":false,"suffix":""},{"dropping-particle":"","family":"Tamburini","given":"Alessandro","non-dropping-particle":"","parse-names":false,"suffix":""},{"dropping-particle":"","family":"Micale","given":"Giorgio","non-dropping-particle":"","parse-names":false,"suffix":""}],"container-title":"Applied Energy","id":"ITEM-1","issued":{"date-parts":[["2020","11","1"]]},"page":"115576","publisher":"Elsevier Ltd","title":"On the modelling of an Acid/Base Flow Battery: An innovative electrical energy storage device based on pH and salinity gradients","type":"article-journal","volume":"277"},"uris":["http://www.mendeley.com/documents/?uuid=d34f0740-e538-347e-bfb7-0024b366e26a"]}],"mendeley":{"formattedCitation":"[8]","plainTextFormattedCitation":"[8]","previouslyFormattedCitation":"[8]"},"properties":{"noteIndex":0},"schema":"https://github.com/citation-style-language/schema/raw/master/csl-citation.json"}</w:instrText>
      </w:r>
      <w:r w:rsidR="00000FF8" w:rsidRPr="005C3FE9">
        <w:rPr>
          <w:lang w:val="en-GB" w:eastAsia="en-US"/>
        </w:rPr>
        <w:fldChar w:fldCharType="separate"/>
      </w:r>
      <w:r w:rsidR="004319C3" w:rsidRPr="004319C3">
        <w:rPr>
          <w:noProof/>
          <w:lang w:val="en-GB" w:eastAsia="en-US"/>
        </w:rPr>
        <w:t>[8]</w:t>
      </w:r>
      <w:r w:rsidR="00000FF8" w:rsidRPr="005C3FE9">
        <w:rPr>
          <w:lang w:val="en-GB" w:eastAsia="en-US"/>
        </w:rPr>
        <w:fldChar w:fldCharType="end"/>
      </w:r>
      <w:r w:rsidRPr="005C3FE9">
        <w:rPr>
          <w:lang w:val="en-GB" w:eastAsia="en-US"/>
        </w:rPr>
        <w:t>. The basic mode</w:t>
      </w:r>
      <w:r w:rsidR="007B59C9" w:rsidRPr="005C3FE9">
        <w:rPr>
          <w:lang w:val="en-GB" w:eastAsia="en-US"/>
        </w:rPr>
        <w:t>l</w:t>
      </w:r>
      <w:r w:rsidRPr="005C3FE9">
        <w:rPr>
          <w:lang w:val="en-GB" w:eastAsia="en-US"/>
        </w:rPr>
        <w:t xml:space="preserve"> presented in </w:t>
      </w:r>
      <w:r w:rsidR="002E3FDD" w:rsidRPr="005C3FE9">
        <w:rPr>
          <w:lang w:val="en-GB" w:eastAsia="en-US"/>
        </w:rPr>
        <w:fldChar w:fldCharType="begin" w:fldLock="1"/>
      </w:r>
      <w:r w:rsidR="00E77EC7">
        <w:rPr>
          <w:lang w:val="en-GB" w:eastAsia="en-US"/>
        </w:rPr>
        <w:instrText>ADDIN CSL_CITATION {"citationItems":[{"id":"ITEM-1","itemData":{"DOI":"10.1016/j.apenergy.2020.115576","ISSN":"03062619","abstract":"Electrical energy storage can enhance the efficiency in the use of fluctuating renewable sources, e.g. solar and wind energy. The Acid/Base Flow Battery is an innovative and sustainable process to store electrical energy in the form of pH and salinity gradients via electrodialytic reversible techniques. Two electromembrane processes are involved: Bipolar Membrane Electrodialysis during the charge phase and its opposite, Bipolar Membrane Reverse Electrodialysis, during the discharge phase. For the first time, the present work aims at predicting the performance of this energy storage device via the development of a dynamic mathematical model based on a multi-scale approach with distributed parameters. Four models, each one at a different scale, are fully integrated in a comprehensive process simulator. The model was preliminary validated by a comparison with experimental data and a good agreement was found. A sensitivity analysis was performed to identify the most detrimental phenomena. Results indicate a loss of 25–35% of Round Trip Efficiency caused by parasitic currents in the manifolds. Therefore, they may represent the main limit to the present technology performance in scaled-up stacks converting more power. Suitable geometries and operating conditions should be adopted to tackle this issue (e.g. isolated blocks), thus enhancing the battery Round Trip Efficiency.","author":[{"dropping-particle":"","family":"Culcasi","given":"Andrea","non-dropping-particle":"","parse-names":false,"suffix":""},{"dropping-particle":"","family":"Gurreri","given":"Luigi","non-dropping-particle":"","parse-names":false,"suffix":""},{"dropping-particle":"","family":"Zaffora","given":"Andrea","non-dropping-particle":"","parse-names":false,"suffix":""},{"dropping-particle":"","family":"Cosenza","given":"Alessandro","non-dropping-particle":"","parse-names":false,"suffix":""},{"dropping-particle":"","family":"Tamburini","given":"Alessandro","non-dropping-particle":"","parse-names":false,"suffix":""},{"dropping-particle":"","family":"Micale","given":"Giorgio","non-dropping-particle":"","parse-names":false,"suffix":""}],"container-title":"Applied Energy","id":"ITEM-1","issued":{"date-parts":[["2020","11","1"]]},"page":"115576","publisher":"Elsevier Ltd","title":"On the modelling of an Acid/Base Flow Battery: An innovative electrical energy storage device based on pH and salinity gradients","type":"article-journal","volume":"277"},"uris":["http://www.mendeley.com/documents/?uuid=d34f0740-e538-347e-bfb7-0024b366e26a"]}],"mendeley":{"formattedCitation":"[8]","plainTextFormattedCitation":"[8]","previouslyFormattedCitation":"[8]"},"properties":{"noteIndex":0},"schema":"https://github.com/citation-style-language/schema/raw/master/csl-citation.json"}</w:instrText>
      </w:r>
      <w:r w:rsidR="002E3FDD" w:rsidRPr="005C3FE9">
        <w:rPr>
          <w:lang w:val="en-GB" w:eastAsia="en-US"/>
        </w:rPr>
        <w:fldChar w:fldCharType="separate"/>
      </w:r>
      <w:r w:rsidR="004319C3" w:rsidRPr="004319C3">
        <w:rPr>
          <w:noProof/>
          <w:lang w:val="en-GB" w:eastAsia="en-US"/>
        </w:rPr>
        <w:t>[8]</w:t>
      </w:r>
      <w:r w:rsidR="002E3FDD" w:rsidRPr="005C3FE9">
        <w:rPr>
          <w:lang w:val="en-GB" w:eastAsia="en-US"/>
        </w:rPr>
        <w:fldChar w:fldCharType="end"/>
      </w:r>
      <w:r w:rsidRPr="005C3FE9">
        <w:rPr>
          <w:lang w:val="en-GB" w:eastAsia="en-US"/>
        </w:rPr>
        <w:t xml:space="preserve"> was taken to simulate </w:t>
      </w:r>
      <w:r w:rsidR="007B59C9" w:rsidRPr="005C3FE9">
        <w:rPr>
          <w:lang w:val="en-GB" w:eastAsia="en-US"/>
        </w:rPr>
        <w:t>most</w:t>
      </w:r>
      <w:r w:rsidRPr="005C3FE9">
        <w:rPr>
          <w:lang w:val="en-GB" w:eastAsia="en-US"/>
        </w:rPr>
        <w:t xml:space="preserve"> scales</w:t>
      </w:r>
      <w:r w:rsidR="007B59C9" w:rsidRPr="005C3FE9">
        <w:rPr>
          <w:lang w:val="en-GB" w:eastAsia="en-US"/>
        </w:rPr>
        <w:t>, e</w:t>
      </w:r>
      <w:r w:rsidR="004265E8" w:rsidRPr="005C3FE9">
        <w:rPr>
          <w:lang w:val="en-GB" w:eastAsia="en-US"/>
        </w:rPr>
        <w:t xml:space="preserve">xcept for the bipolar membrane level, </w:t>
      </w:r>
      <w:r w:rsidR="002E3FDD" w:rsidRPr="005C3FE9">
        <w:rPr>
          <w:lang w:val="en-GB" w:eastAsia="en-US"/>
        </w:rPr>
        <w:t xml:space="preserve">which was simulated as in </w:t>
      </w:r>
      <w:r w:rsidR="002E3FDD" w:rsidRPr="005C3FE9">
        <w:rPr>
          <w:lang w:val="en-GB" w:eastAsia="en-US"/>
        </w:rPr>
        <w:fldChar w:fldCharType="begin" w:fldLock="1"/>
      </w:r>
      <w:r w:rsidR="00E77EC7">
        <w:rPr>
          <w:lang w:val="en-GB" w:eastAsia="en-US"/>
        </w:rPr>
        <w:instrText>ADDIN CSL_CITATION {"citationItems":[{"id":"ITEM-1","itemData":{"DOI":"10.1016/j.cej.2022.135317","ISSN":"13858947","author":[{"dropping-particle":"","family":"Culcasi","given":"Andrea","non-dropping-particle":"","parse-names":false,"suffix":""},{"dropping-particle":"","family":"Gurreri","given":"Luigi","non-dropping-particle":"","parse-names":false,"suffix":""},{"dropping-particle":"","family":"Cipollina","given":"Andrea","non-dropping-particle":"","parse-names":false,"suffix":""},{"dropping-particle":"","family":"Tamburini","given":"Alessandro","non-dropping-particle":"","parse-names":false,"suffix":""},{"dropping-particle":"","family":"Micale","given":"Giorgio","non-dropping-particle":"","parse-names":false,"suffix":""}],"container-title":"Chemical Engineering Journal","id":"ITEM-1","issued":{"date-parts":[["2022","6","1"]]},"page":"135317","publisher":"Elsevier","title":"A comprehensive multi-scale model for bipolar membrane electrodialysis (BMED)","type":"article-journal","volume":"437"},"uris":["http://www.mendeley.com/documents/?uuid=4b5f5378-9631-323e-a606-3b159a663308"]}],"mendeley":{"formattedCitation":"[33]","plainTextFormattedCitation":"[33]","previouslyFormattedCitation":"[33]"},"properties":{"noteIndex":0},"schema":"https://github.com/citation-style-language/schema/raw/master/csl-citation.json"}</w:instrText>
      </w:r>
      <w:r w:rsidR="002E3FDD" w:rsidRPr="005C3FE9">
        <w:rPr>
          <w:lang w:val="en-GB" w:eastAsia="en-US"/>
        </w:rPr>
        <w:fldChar w:fldCharType="separate"/>
      </w:r>
      <w:r w:rsidR="004319C3" w:rsidRPr="004319C3">
        <w:rPr>
          <w:noProof/>
          <w:lang w:val="en-GB" w:eastAsia="en-US"/>
        </w:rPr>
        <w:t>[33]</w:t>
      </w:r>
      <w:r w:rsidR="002E3FDD" w:rsidRPr="005C3FE9">
        <w:rPr>
          <w:lang w:val="en-GB" w:eastAsia="en-US"/>
        </w:rPr>
        <w:fldChar w:fldCharType="end"/>
      </w:r>
      <w:r w:rsidR="002E3FDD" w:rsidRPr="005C3FE9">
        <w:rPr>
          <w:lang w:val="en-GB" w:eastAsia="en-US"/>
        </w:rPr>
        <w:t xml:space="preserve"> and </w:t>
      </w:r>
      <w:r w:rsidR="002E3FDD" w:rsidRPr="005C3FE9">
        <w:rPr>
          <w:lang w:val="en-GB" w:eastAsia="en-US"/>
        </w:rPr>
        <w:fldChar w:fldCharType="begin" w:fldLock="1"/>
      </w:r>
      <w:r w:rsidR="00E77EC7">
        <w:rPr>
          <w:lang w:val="en-GB" w:eastAsia="en-US"/>
        </w:rPr>
        <w:instrText>ADDIN CSL_CITATION {"citationItems":[{"id":"ITEM-1","itemData":{"DOI":"10.1016/j.jenvman.2021.112319","ISSN":"03014797","abstract":"The theoretical energy density extractable from acidic and alkaline solutions is higher than 20 kWh m−3 of single solution when mixing 1 M concentrated streams. Therefore, acidic and alkaline industrial wastewater have a huge potential for the recovery of energy. To this purpose, bipolar membrane reverse electrodialysis (BMRED) is an interesting, yet poorly studied technology for the conversion of the mixing entropy of solutions at different pH into electricity. Although it shows promising performance, only few works have been presented in the literature so far, and no comprehensive models have been developed yet. This work presents a mathematical multi-scale model based on a semi-empirical approach. The model was validated against experimental data and was applied over a variety of operating conditions, showing that it may represent an effective tool for the prediction of the BMRED performance. A sensitivity analysis was performed in two different scenarios, i.e. (i) a reference case and (ii) an improved case with high-performance membrane properties. A Net Power Density of ~15 W m−2 was predicted in the reference scenario with 1 M HCl and NaOH solutions, but it increased significantly by simulating high-performance membranes. A simulated scheme for an industrial application yielded an energy density of ~50 kWh m−3 (of acid solution) with an energy efficiency of ~80–90% in the improved scenario.","author":[{"dropping-particle":"","family":"Culcasi","given":"Andrea","non-dropping-particle":"","parse-names":false,"suffix":""},{"dropping-particle":"","family":"Gurreri","given":"Luigi","non-dropping-particle":"","parse-names":false,"suffix":""},{"dropping-particle":"","family":"Micale","given":"Giorgio","non-dropping-particle":"","parse-names":false,"suffix":""},{"dropping-particle":"","family":"Tamburini","given":"Alessandro","non-dropping-particle":"","parse-names":false,"suffix":""}],"container-title":"Journal of Environmental Management","id":"ITEM-1","issued":{"date-parts":[["2021","6","1"]]},"page":"112319","publisher":"Academic Press","title":"Bipolar membrane reverse electrodialysis for the sustainable recovery of energy from pH gradients of industrial wastewater: Performance prediction by a validated process model","type":"article-journal","volume":"287"},"uris":["http://www.mendeley.com/documents/?uuid=ee2d4995-5f1b-366c-ab28-5516ac7d1b69"]}],"mendeley":{"formattedCitation":"[34]","plainTextFormattedCitation":"[34]","previouslyFormattedCitation":"[34]"},"properties":{"noteIndex":0},"schema":"https://github.com/citation-style-language/schema/raw/master/csl-citation.json"}</w:instrText>
      </w:r>
      <w:r w:rsidR="002E3FDD" w:rsidRPr="005C3FE9">
        <w:rPr>
          <w:lang w:val="en-GB" w:eastAsia="en-US"/>
        </w:rPr>
        <w:fldChar w:fldCharType="separate"/>
      </w:r>
      <w:r w:rsidR="004319C3" w:rsidRPr="004319C3">
        <w:rPr>
          <w:noProof/>
          <w:lang w:val="en-GB" w:eastAsia="en-US"/>
        </w:rPr>
        <w:t>[34]</w:t>
      </w:r>
      <w:r w:rsidR="002E3FDD" w:rsidRPr="005C3FE9">
        <w:rPr>
          <w:lang w:val="en-GB" w:eastAsia="en-US"/>
        </w:rPr>
        <w:fldChar w:fldCharType="end"/>
      </w:r>
      <w:r w:rsidR="008B7E70" w:rsidRPr="005C3FE9">
        <w:rPr>
          <w:lang w:val="en-GB" w:eastAsia="en-US"/>
        </w:rPr>
        <w:t xml:space="preserve"> for the charge phase and discharge phase, respectively</w:t>
      </w:r>
      <w:r w:rsidR="00A128BF" w:rsidRPr="005C3FE9">
        <w:rPr>
          <w:lang w:val="en-GB" w:eastAsia="en-US"/>
        </w:rPr>
        <w:t xml:space="preserve">. </w:t>
      </w:r>
    </w:p>
    <w:p w14:paraId="4CBCAF83" w14:textId="7F37D237" w:rsidR="006665A3" w:rsidRPr="005C3FE9" w:rsidRDefault="006665A3" w:rsidP="006665A3">
      <w:pPr>
        <w:rPr>
          <w:color w:val="000000" w:themeColor="text1"/>
          <w:lang w:val="en-GB" w:eastAsia="en-US"/>
        </w:rPr>
      </w:pPr>
      <w:r w:rsidRPr="005C3FE9">
        <w:rPr>
          <w:color w:val="000000" w:themeColor="text1"/>
          <w:lang w:val="en-GB" w:eastAsia="en-US"/>
        </w:rPr>
        <w:t>The BPM model predicts the value of the limiting current of salt (NaCl</w:t>
      </w:r>
      <w:r w:rsidR="00445CA3" w:rsidRPr="005C3FE9">
        <w:rPr>
          <w:color w:val="000000" w:themeColor="text1"/>
          <w:lang w:val="en-GB" w:eastAsia="en-US"/>
        </w:rPr>
        <w:t xml:space="preserve"> in this case</w:t>
      </w:r>
      <w:r w:rsidRPr="005C3FE9">
        <w:rPr>
          <w:color w:val="000000" w:themeColor="text1"/>
          <w:lang w:val="en-GB" w:eastAsia="en-US"/>
        </w:rPr>
        <w:t xml:space="preserve">) migrating across the bipolar membrane layers. Furthermore, this model takes into consideration that the membrane is not completely perm-selective to protons in the CEL and to hydroxide ions in the AEL and, thus, that the transport numbers of these ions in the BPM layers may vary depending on the concentration of the other ions in </w:t>
      </w:r>
      <w:r w:rsidR="00E36DB4">
        <w:rPr>
          <w:color w:val="000000" w:themeColor="text1"/>
          <w:lang w:val="en-GB" w:eastAsia="en-US"/>
        </w:rPr>
        <w:t xml:space="preserve">the </w:t>
      </w:r>
      <w:r w:rsidRPr="005C3FE9">
        <w:rPr>
          <w:color w:val="000000" w:themeColor="text1"/>
          <w:lang w:val="en-GB" w:eastAsia="en-US"/>
        </w:rPr>
        <w:t xml:space="preserve">solution. </w:t>
      </w:r>
    </w:p>
    <w:p w14:paraId="46E1273D" w14:textId="3369461D" w:rsidR="00AC65A0" w:rsidRPr="005C3FE9" w:rsidRDefault="007D2E37" w:rsidP="0012472B">
      <w:pPr>
        <w:rPr>
          <w:lang w:val="en-GB" w:eastAsia="en-US"/>
        </w:rPr>
      </w:pPr>
      <w:r w:rsidRPr="005C3FE9">
        <w:rPr>
          <w:lang w:val="en-GB" w:eastAsia="en-US"/>
        </w:rPr>
        <w:t>For the complete description of the model, see</w:t>
      </w:r>
      <w:r w:rsidR="007E03A6" w:rsidRPr="005C3FE9">
        <w:rPr>
          <w:lang w:val="en-GB" w:eastAsia="en-US"/>
        </w:rPr>
        <w:t xml:space="preserve"> the Supplementary Information</w:t>
      </w:r>
      <w:r w:rsidRPr="005C3FE9">
        <w:rPr>
          <w:lang w:val="en-GB" w:eastAsia="en-US"/>
        </w:rPr>
        <w:t>.</w:t>
      </w:r>
    </w:p>
    <w:p w14:paraId="5D7312D2" w14:textId="1EBF17F3" w:rsidR="001E76C1" w:rsidRPr="005C3FE9" w:rsidRDefault="00424F51" w:rsidP="005C3311">
      <w:pPr>
        <w:rPr>
          <w:lang w:val="en-GB"/>
        </w:rPr>
      </w:pPr>
      <w:r w:rsidRPr="005C3FE9">
        <w:rPr>
          <w:lang w:val="en-GB"/>
        </w:rPr>
        <w:t>Note that t</w:t>
      </w:r>
      <w:r w:rsidR="001E76C1" w:rsidRPr="005C3FE9">
        <w:rPr>
          <w:lang w:val="en-GB"/>
        </w:rPr>
        <w:t>he present optimi</w:t>
      </w:r>
      <w:r w:rsidR="008A0EAC">
        <w:rPr>
          <w:lang w:val="en-GB"/>
        </w:rPr>
        <w:t>s</w:t>
      </w:r>
      <w:r w:rsidR="001E76C1" w:rsidRPr="005C3FE9">
        <w:rPr>
          <w:lang w:val="en-GB"/>
        </w:rPr>
        <w:t xml:space="preserve">ation study was performed with simulations of the AB-FB working with recirculation of the electrolyte solutions into the feed tanks, </w:t>
      </w:r>
      <w:r w:rsidRPr="005C3FE9">
        <w:rPr>
          <w:lang w:val="en-GB"/>
        </w:rPr>
        <w:t xml:space="preserve">each </w:t>
      </w:r>
      <w:r w:rsidR="001E76C1" w:rsidRPr="005C3FE9">
        <w:rPr>
          <w:lang w:val="en-GB"/>
        </w:rPr>
        <w:t>assumed with perfect mixing.</w:t>
      </w:r>
    </w:p>
    <w:p w14:paraId="05634F1E" w14:textId="279572D0" w:rsidR="0006701C" w:rsidRPr="005C3FE9" w:rsidRDefault="00BD5B0B" w:rsidP="005C3311">
      <w:pPr>
        <w:rPr>
          <w:lang w:val="en"/>
        </w:rPr>
      </w:pPr>
      <w:r w:rsidRPr="005C3FE9">
        <w:rPr>
          <w:lang w:val="en-GB" w:eastAsia="en-US"/>
        </w:rPr>
        <w:t>The optimi</w:t>
      </w:r>
      <w:r w:rsidR="008A0EAC">
        <w:rPr>
          <w:lang w:val="en-GB" w:eastAsia="en-US"/>
        </w:rPr>
        <w:t>s</w:t>
      </w:r>
      <w:r w:rsidRPr="005C3FE9">
        <w:rPr>
          <w:lang w:val="en-GB" w:eastAsia="en-US"/>
        </w:rPr>
        <w:t xml:space="preserve">ation </w:t>
      </w:r>
      <w:r w:rsidR="00583BD0" w:rsidRPr="005C3FE9">
        <w:rPr>
          <w:lang w:val="en-GB" w:eastAsia="en-US"/>
        </w:rPr>
        <w:t xml:space="preserve">simulations </w:t>
      </w:r>
      <w:r w:rsidRPr="005C3FE9">
        <w:rPr>
          <w:lang w:val="en-GB" w:eastAsia="en-US"/>
        </w:rPr>
        <w:t xml:space="preserve">were carried out in the </w:t>
      </w:r>
      <w:proofErr w:type="spellStart"/>
      <w:r w:rsidRPr="005C3FE9">
        <w:rPr>
          <w:lang w:val="en-GB" w:eastAsia="en-US"/>
        </w:rPr>
        <w:t>gPROMS</w:t>
      </w:r>
      <w:proofErr w:type="spellEnd"/>
      <w:r w:rsidRPr="005C3FE9">
        <w:rPr>
          <w:lang w:val="en-GB" w:eastAsia="en-US"/>
        </w:rPr>
        <w:t xml:space="preserve"> Model Builder® platform. </w:t>
      </w:r>
    </w:p>
    <w:p w14:paraId="38F1C2C8" w14:textId="77929408" w:rsidR="0012472B" w:rsidRPr="005C3FE9" w:rsidRDefault="0012472B" w:rsidP="005C3311">
      <w:pPr>
        <w:pStyle w:val="Titolo2"/>
        <w:spacing w:before="0"/>
      </w:pPr>
      <w:r w:rsidRPr="005C3FE9">
        <w:t>Optimi</w:t>
      </w:r>
      <w:r w:rsidR="008A0EAC">
        <w:t>s</w:t>
      </w:r>
      <w:r w:rsidRPr="005C3FE9">
        <w:t>ation method</w:t>
      </w:r>
      <w:r w:rsidR="00E40F73" w:rsidRPr="005C3FE9">
        <w:t xml:space="preserve"> and </w:t>
      </w:r>
      <w:r w:rsidR="003C22ED" w:rsidRPr="005C3FE9">
        <w:t>figures of merit</w:t>
      </w:r>
    </w:p>
    <w:p w14:paraId="7EF8CC47" w14:textId="1D05F097" w:rsidR="00F05516" w:rsidRPr="005C3FE9" w:rsidRDefault="00583BD0" w:rsidP="00740010">
      <w:pPr>
        <w:rPr>
          <w:lang w:val="en-GB" w:eastAsia="en-US" w:bidi="en-US"/>
        </w:rPr>
      </w:pPr>
      <w:r w:rsidRPr="005C3FE9">
        <w:rPr>
          <w:lang w:val="en-GB" w:eastAsia="en-US"/>
        </w:rPr>
        <w:t>The optimi</w:t>
      </w:r>
      <w:r w:rsidR="008A0EAC">
        <w:rPr>
          <w:lang w:val="en-GB" w:eastAsia="en-US"/>
        </w:rPr>
        <w:t>s</w:t>
      </w:r>
      <w:r w:rsidRPr="005C3FE9">
        <w:rPr>
          <w:lang w:val="en-GB" w:eastAsia="en-US"/>
        </w:rPr>
        <w:t>ation was conducted with two objective</w:t>
      </w:r>
      <w:r w:rsidR="00E17021" w:rsidRPr="005C3FE9">
        <w:rPr>
          <w:lang w:val="en-GB" w:eastAsia="en-US"/>
        </w:rPr>
        <w:t xml:space="preserve"> functions, i.e., maximi</w:t>
      </w:r>
      <w:r w:rsidR="008A0EAC">
        <w:rPr>
          <w:lang w:val="en-GB" w:eastAsia="en-US"/>
        </w:rPr>
        <w:t>s</w:t>
      </w:r>
      <w:r w:rsidR="00E17021" w:rsidRPr="005C3FE9">
        <w:rPr>
          <w:lang w:val="en-GB" w:eastAsia="en-US"/>
        </w:rPr>
        <w:t xml:space="preserve">ing the net </w:t>
      </w:r>
      <w:r w:rsidR="00E36DB4">
        <w:rPr>
          <w:lang w:val="en-GB" w:eastAsia="en-US"/>
        </w:rPr>
        <w:t>R</w:t>
      </w:r>
      <w:r w:rsidR="00E17021" w:rsidRPr="005C3FE9">
        <w:rPr>
          <w:lang w:val="en-GB" w:eastAsia="en-US"/>
        </w:rPr>
        <w:t xml:space="preserve">ound </w:t>
      </w:r>
      <w:r w:rsidR="00E36DB4">
        <w:rPr>
          <w:lang w:val="en-GB" w:eastAsia="en-US"/>
        </w:rPr>
        <w:t>T</w:t>
      </w:r>
      <w:r w:rsidR="00E17021" w:rsidRPr="005C3FE9">
        <w:rPr>
          <w:lang w:val="en-GB" w:eastAsia="en-US"/>
        </w:rPr>
        <w:t xml:space="preserve">rip </w:t>
      </w:r>
      <w:r w:rsidR="00E36DB4">
        <w:rPr>
          <w:lang w:val="en-GB" w:eastAsia="en-US"/>
        </w:rPr>
        <w:t>E</w:t>
      </w:r>
      <w:r w:rsidR="00E17021" w:rsidRPr="005C3FE9">
        <w:rPr>
          <w:lang w:val="en-GB" w:eastAsia="en-US"/>
        </w:rPr>
        <w:t xml:space="preserve">fficiency </w:t>
      </w:r>
      <w:r w:rsidR="005173C6" w:rsidRPr="005C3FE9">
        <w:rPr>
          <w:lang w:val="en-GB" w:eastAsia="en-US"/>
        </w:rPr>
        <w:t>(</w:t>
      </w:r>
      <m:oMath>
        <m:sSub>
          <m:sSubPr>
            <m:ctrlPr>
              <w:rPr>
                <w:rFonts w:ascii="Cambria Math" w:hAnsi="Cambria Math"/>
                <w:i/>
                <w:lang w:val="en-GB"/>
              </w:rPr>
            </m:ctrlPr>
          </m:sSubPr>
          <m:e>
            <m:r>
              <w:rPr>
                <w:rFonts w:ascii="Cambria Math" w:hAnsi="Cambria Math"/>
                <w:lang w:val="en-GB"/>
              </w:rPr>
              <m:t>RTE</m:t>
            </m:r>
          </m:e>
          <m:sub>
            <m:r>
              <w:rPr>
                <w:rFonts w:ascii="Cambria Math" w:hAnsi="Cambria Math"/>
                <w:lang w:val="en-GB"/>
              </w:rPr>
              <m:t>net</m:t>
            </m:r>
          </m:sub>
        </m:sSub>
      </m:oMath>
      <w:r w:rsidR="005173C6" w:rsidRPr="005C3FE9">
        <w:rPr>
          <w:lang w:val="en-GB" w:eastAsia="en-US"/>
        </w:rPr>
        <w:t xml:space="preserve">) </w:t>
      </w:r>
      <w:r w:rsidR="00E17021" w:rsidRPr="005C3FE9">
        <w:rPr>
          <w:lang w:val="en-GB" w:eastAsia="en-US"/>
        </w:rPr>
        <w:t>and maximi</w:t>
      </w:r>
      <w:r w:rsidR="008A0EAC">
        <w:rPr>
          <w:lang w:val="en-GB" w:eastAsia="en-US"/>
        </w:rPr>
        <w:t>s</w:t>
      </w:r>
      <w:r w:rsidR="00E17021" w:rsidRPr="005C3FE9">
        <w:rPr>
          <w:lang w:val="en-GB" w:eastAsia="en-US"/>
        </w:rPr>
        <w:t xml:space="preserve">ing the average </w:t>
      </w:r>
      <w:r w:rsidR="00E36DB4">
        <w:rPr>
          <w:lang w:val="en-GB" w:eastAsia="en-US"/>
        </w:rPr>
        <w:t>N</w:t>
      </w:r>
      <w:r w:rsidR="00E17021" w:rsidRPr="005C3FE9">
        <w:rPr>
          <w:lang w:val="en-GB" w:eastAsia="en-US"/>
        </w:rPr>
        <w:t xml:space="preserve">et </w:t>
      </w:r>
      <w:r w:rsidR="00E36DB4">
        <w:rPr>
          <w:lang w:val="en-GB" w:eastAsia="en-US"/>
        </w:rPr>
        <w:t>P</w:t>
      </w:r>
      <w:r w:rsidR="00E17021" w:rsidRPr="005C3FE9">
        <w:rPr>
          <w:lang w:val="en-GB" w:eastAsia="en-US"/>
        </w:rPr>
        <w:t xml:space="preserve">ower </w:t>
      </w:r>
      <w:r w:rsidR="00E36DB4">
        <w:rPr>
          <w:lang w:val="en-GB" w:eastAsia="en-US"/>
        </w:rPr>
        <w:t>D</w:t>
      </w:r>
      <w:r w:rsidR="00E17021" w:rsidRPr="005C3FE9">
        <w:rPr>
          <w:lang w:val="en-GB" w:eastAsia="en-US"/>
        </w:rPr>
        <w:t xml:space="preserve">ensity </w:t>
      </w:r>
      <w:r w:rsidR="003A39A7" w:rsidRPr="005C3FE9">
        <w:rPr>
          <w:lang w:val="en-GB" w:eastAsia="en-US"/>
        </w:rPr>
        <w:t xml:space="preserve">per unit membrane area </w:t>
      </w:r>
      <w:r w:rsidR="00045679">
        <w:rPr>
          <w:lang w:val="en-GB" w:eastAsia="en-US"/>
        </w:rPr>
        <w:t xml:space="preserve">produced during </w:t>
      </w:r>
      <w:r w:rsidR="00E17021" w:rsidRPr="005C3FE9">
        <w:rPr>
          <w:lang w:val="en-GB" w:eastAsia="en-US"/>
        </w:rPr>
        <w:t>the discharge phase</w:t>
      </w:r>
      <w:r w:rsidR="005173C6" w:rsidRPr="005C3FE9">
        <w:rPr>
          <w:lang w:val="en-GB" w:eastAsia="en-US"/>
        </w:rPr>
        <w:t xml:space="preserve"> (</w:t>
      </w:r>
      <m:oMath>
        <m:acc>
          <m:accPr>
            <m:chr m:val="̅"/>
            <m:ctrlPr>
              <w:rPr>
                <w:rFonts w:ascii="Cambria Math" w:hAnsi="Cambria Math"/>
                <w:i/>
              </w:rPr>
            </m:ctrlPr>
          </m:accPr>
          <m:e>
            <m:sSub>
              <m:sSubPr>
                <m:ctrlPr>
                  <w:rPr>
                    <w:rFonts w:ascii="Cambria Math" w:hAnsi="Cambria Math"/>
                    <w:i/>
                  </w:rPr>
                </m:ctrlPr>
              </m:sSubPr>
              <m:e>
                <m:r>
                  <w:rPr>
                    <w:rFonts w:ascii="Cambria Math" w:hAnsi="Cambria Math"/>
                  </w:rPr>
                  <m:t>NPD</m:t>
                </m:r>
              </m:e>
              <m:sub>
                <m:r>
                  <w:rPr>
                    <w:rFonts w:ascii="Cambria Math" w:hAnsi="Cambria Math"/>
                  </w:rPr>
                  <m:t>d</m:t>
                </m:r>
              </m:sub>
            </m:sSub>
          </m:e>
        </m:acc>
      </m:oMath>
      <w:r w:rsidR="005173C6" w:rsidRPr="005C3FE9">
        <w:rPr>
          <w:lang w:val="en-GB" w:eastAsia="en-US"/>
        </w:rPr>
        <w:t>)</w:t>
      </w:r>
      <w:r w:rsidR="00E17021" w:rsidRPr="005C3FE9">
        <w:rPr>
          <w:lang w:val="en-GB" w:eastAsia="en-US"/>
        </w:rPr>
        <w:t>.</w:t>
      </w:r>
      <w:r w:rsidRPr="005C3FE9">
        <w:rPr>
          <w:lang w:val="en-GB" w:eastAsia="en-US"/>
        </w:rPr>
        <w:t xml:space="preserve"> </w:t>
      </w:r>
      <w:r w:rsidR="005173C6" w:rsidRPr="005C3FE9">
        <w:rPr>
          <w:lang w:val="en-GB" w:eastAsia="en-US"/>
        </w:rPr>
        <w:t xml:space="preserve">The former quantity </w:t>
      </w:r>
      <w:r w:rsidR="002A65C9" w:rsidRPr="005C3FE9">
        <w:rPr>
          <w:lang w:val="en-GB" w:eastAsia="en-US"/>
        </w:rPr>
        <w:t>clearly measures</w:t>
      </w:r>
      <w:r w:rsidR="005173C6" w:rsidRPr="005C3FE9">
        <w:rPr>
          <w:lang w:val="en-GB" w:eastAsia="en-US"/>
        </w:rPr>
        <w:t xml:space="preserve"> the conversion efficiency of the available energy. </w:t>
      </w:r>
      <w:r w:rsidRPr="005C3FE9">
        <w:rPr>
          <w:lang w:val="en-GB" w:eastAsia="en-US"/>
        </w:rPr>
        <w:t xml:space="preserve">Net </w:t>
      </w:r>
      <w:r w:rsidR="002A65C9" w:rsidRPr="005C3FE9">
        <w:rPr>
          <w:lang w:val="en-GB" w:eastAsia="en-US"/>
        </w:rPr>
        <w:t>values of energy or power</w:t>
      </w:r>
      <w:r w:rsidRPr="005C3FE9">
        <w:rPr>
          <w:lang w:val="en-GB" w:eastAsia="en-US"/>
        </w:rPr>
        <w:t xml:space="preserve"> </w:t>
      </w:r>
      <w:r w:rsidR="002A65C9" w:rsidRPr="005C3FE9">
        <w:rPr>
          <w:lang w:val="en-GB" w:eastAsia="en-US"/>
        </w:rPr>
        <w:t>includ</w:t>
      </w:r>
      <w:r w:rsidR="00206B06">
        <w:rPr>
          <w:lang w:val="en-GB" w:eastAsia="en-US"/>
        </w:rPr>
        <w:t>e</w:t>
      </w:r>
      <w:r w:rsidR="002A65C9" w:rsidRPr="005C3FE9">
        <w:rPr>
          <w:lang w:val="en-GB" w:eastAsia="en-US"/>
        </w:rPr>
        <w:t xml:space="preserve"> the requirements for </w:t>
      </w:r>
      <w:r w:rsidRPr="005C3FE9">
        <w:rPr>
          <w:lang w:val="en-GB" w:eastAsia="en-US"/>
        </w:rPr>
        <w:t>pump</w:t>
      </w:r>
      <w:r w:rsidR="002A65C9" w:rsidRPr="005C3FE9">
        <w:rPr>
          <w:lang w:val="en-GB" w:eastAsia="en-US"/>
        </w:rPr>
        <w:t>ing</w:t>
      </w:r>
      <w:r w:rsidRPr="005C3FE9">
        <w:rPr>
          <w:lang w:val="en-GB" w:eastAsia="en-US"/>
        </w:rPr>
        <w:t xml:space="preserve"> the electrolyt</w:t>
      </w:r>
      <w:r w:rsidR="00224601" w:rsidRPr="005C3FE9">
        <w:rPr>
          <w:lang w:val="en-GB" w:eastAsia="en-US"/>
        </w:rPr>
        <w:t>e</w:t>
      </w:r>
      <w:r w:rsidRPr="005C3FE9">
        <w:rPr>
          <w:lang w:val="en-GB" w:eastAsia="en-US"/>
        </w:rPr>
        <w:t xml:space="preserve"> solutions through the stack. </w:t>
      </w:r>
      <w:r w:rsidR="00740010" w:rsidRPr="005C3FE9">
        <w:rPr>
          <w:lang w:val="en-GB" w:eastAsia="en-US" w:bidi="en-US"/>
        </w:rPr>
        <w:t>The Net Power Density</w:t>
      </w:r>
      <w:r w:rsidR="004F21ED" w:rsidRPr="005C3FE9">
        <w:rPr>
          <w:lang w:val="en-GB" w:eastAsia="en-US" w:bidi="en-US"/>
        </w:rPr>
        <w:t xml:space="preserve"> (</w:t>
      </w:r>
      <m:oMath>
        <m:r>
          <w:rPr>
            <w:rFonts w:ascii="Cambria Math" w:hAnsi="Cambria Math"/>
            <w:spacing w:val="-3"/>
            <w:lang w:val="en-US"/>
          </w:rPr>
          <m:t>NPD)</m:t>
        </m:r>
      </m:oMath>
      <w:r w:rsidR="00740010" w:rsidRPr="005C3FE9">
        <w:rPr>
          <w:lang w:val="en-GB" w:eastAsia="en-US" w:bidi="en-US"/>
        </w:rPr>
        <w:t xml:space="preserve"> was </w:t>
      </w:r>
      <w:r w:rsidR="00F05516" w:rsidRPr="005C3FE9">
        <w:rPr>
          <w:lang w:val="en-GB" w:eastAsia="en-US" w:bidi="en-US"/>
        </w:rPr>
        <w:t>calculated as</w:t>
      </w:r>
      <w:r w:rsidR="00392961" w:rsidRPr="005C3FE9">
        <w:rPr>
          <w:lang w:val="en-GB" w:eastAsia="en-US" w:bidi="en-US"/>
        </w:rPr>
        <w:t>,</w:t>
      </w:r>
      <w:r w:rsidR="00E81B32" w:rsidRPr="005C3FE9">
        <w:rPr>
          <w:lang w:val="en-GB" w:eastAsia="en-US" w:bidi="en-US"/>
        </w:rPr>
        <w:t xml:space="preserve"> </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
        <w:gridCol w:w="7899"/>
        <w:gridCol w:w="1455"/>
      </w:tblGrid>
      <w:tr w:rsidR="009B545A" w:rsidRPr="005C3FE9" w14:paraId="4F633668" w14:textId="77777777" w:rsidTr="009B545A">
        <w:tc>
          <w:tcPr>
            <w:tcW w:w="147" w:type="pct"/>
          </w:tcPr>
          <w:p w14:paraId="2650B752" w14:textId="77777777" w:rsidR="009B545A" w:rsidRPr="005C3FE9" w:rsidRDefault="009B545A">
            <w:pPr>
              <w:rPr>
                <w:rFonts w:ascii="Times New Roman" w:hAnsi="Times New Roman"/>
                <w:lang w:val="en-US"/>
              </w:rPr>
            </w:pPr>
          </w:p>
        </w:tc>
        <w:tc>
          <w:tcPr>
            <w:tcW w:w="4098" w:type="pct"/>
          </w:tcPr>
          <w:p w14:paraId="0195798B" w14:textId="3A2AED0C" w:rsidR="009B545A" w:rsidRPr="005C3FE9" w:rsidRDefault="009B545A">
            <w:pPr>
              <w:rPr>
                <w:rFonts w:ascii="Times New Roman" w:hAnsi="Times New Roman"/>
              </w:rPr>
            </w:pPr>
            <m:oMath>
              <m:r>
                <w:rPr>
                  <w:rFonts w:ascii="Cambria Math" w:hAnsi="Cambria Math"/>
                  <w:spacing w:val="-3"/>
                  <w:lang w:val="en-US"/>
                </w:rPr>
                <m:t>NPD=GPD±PPD</m:t>
              </m:r>
            </m:oMath>
            <w:r w:rsidR="00D96FFE" w:rsidRPr="005C3FE9">
              <w:rPr>
                <w:rFonts w:ascii="Times New Roman" w:hAnsi="Times New Roman"/>
                <w:spacing w:val="-3"/>
                <w:lang w:val="en-US"/>
              </w:rPr>
              <w:t xml:space="preserve"> </w:t>
            </w:r>
          </w:p>
        </w:tc>
        <w:tc>
          <w:tcPr>
            <w:tcW w:w="755" w:type="pct"/>
          </w:tcPr>
          <w:p w14:paraId="5E64782D" w14:textId="778C4DA5" w:rsidR="009B545A" w:rsidRPr="005C3FE9" w:rsidRDefault="009B545A" w:rsidP="009502E3">
            <w:pPr>
              <w:jc w:val="right"/>
              <w:rPr>
                <w:rFonts w:ascii="Times New Roman" w:hAnsi="Times New Roman"/>
              </w:rPr>
            </w:pPr>
            <w:r w:rsidRPr="005C3FE9">
              <w:rPr>
                <w:rFonts w:ascii="Times New Roman" w:hAnsi="Times New Roman"/>
              </w:rPr>
              <w:t>(</w:t>
            </w:r>
            <w:r w:rsidR="00FD0C59" w:rsidRPr="005C3FE9">
              <w:rPr>
                <w:rFonts w:ascii="Times New Roman" w:hAnsi="Times New Roman"/>
              </w:rPr>
              <w:t>1</w:t>
            </w:r>
            <w:r w:rsidRPr="005C3FE9">
              <w:rPr>
                <w:rFonts w:ascii="Times New Roman" w:hAnsi="Times New Roman"/>
              </w:rPr>
              <w:t>)</w:t>
            </w:r>
          </w:p>
        </w:tc>
      </w:tr>
    </w:tbl>
    <w:p w14:paraId="143635BC" w14:textId="11ACD583" w:rsidR="004F21ED" w:rsidRPr="005C3FE9" w:rsidRDefault="004F21ED" w:rsidP="00740010">
      <w:pPr>
        <w:rPr>
          <w:spacing w:val="-3"/>
          <w:lang w:val="en-US"/>
        </w:rPr>
      </w:pPr>
      <w:r w:rsidRPr="005C3FE9">
        <w:rPr>
          <w:lang w:val="en-GB" w:eastAsia="en-US" w:bidi="en-US"/>
        </w:rPr>
        <w:lastRenderedPageBreak/>
        <w:t xml:space="preserve">where </w:t>
      </w:r>
      <m:oMath>
        <m:r>
          <w:rPr>
            <w:rFonts w:ascii="Cambria Math" w:hAnsi="Cambria Math"/>
            <w:spacing w:val="-3"/>
            <w:lang w:val="en-US"/>
          </w:rPr>
          <m:t>GPD</m:t>
        </m:r>
      </m:oMath>
      <w:r w:rsidRPr="005C3FE9">
        <w:rPr>
          <w:spacing w:val="-3"/>
          <w:lang w:val="en-US"/>
        </w:rPr>
        <w:t xml:space="preserve"> is the Gross Power Density and </w:t>
      </w:r>
      <m:oMath>
        <m:r>
          <w:rPr>
            <w:rFonts w:ascii="Cambria Math" w:hAnsi="Cambria Math"/>
            <w:spacing w:val="-3"/>
            <w:lang w:val="en-US"/>
          </w:rPr>
          <m:t>PPD</m:t>
        </m:r>
      </m:oMath>
      <w:r w:rsidRPr="005C3FE9">
        <w:rPr>
          <w:spacing w:val="-3"/>
          <w:lang w:val="en-US"/>
        </w:rPr>
        <w:t xml:space="preserve"> is the Pumping Power Density, all measured in W m</w:t>
      </w:r>
      <w:r w:rsidRPr="005C3FE9">
        <w:rPr>
          <w:spacing w:val="-3"/>
          <w:vertAlign w:val="superscript"/>
          <w:lang w:val="en-US"/>
        </w:rPr>
        <w:t>-2</w:t>
      </w:r>
      <w:r w:rsidRPr="005C3FE9">
        <w:rPr>
          <w:spacing w:val="-3"/>
          <w:lang w:val="en-US"/>
        </w:rPr>
        <w:t xml:space="preserve"> of total membrane area. </w:t>
      </w:r>
      <w:r w:rsidR="001868B1" w:rsidRPr="005C3FE9">
        <w:rPr>
          <w:spacing w:val="-3"/>
          <w:lang w:val="en-US"/>
        </w:rPr>
        <w:t xml:space="preserve">In Eq. </w:t>
      </w:r>
      <w:r w:rsidR="00B34B47" w:rsidRPr="005C3FE9">
        <w:rPr>
          <w:spacing w:val="-3"/>
          <w:lang w:val="en-US"/>
        </w:rPr>
        <w:t>(1)</w:t>
      </w:r>
      <w:r w:rsidR="001868B1" w:rsidRPr="005C3FE9">
        <w:rPr>
          <w:spacing w:val="-3"/>
          <w:lang w:val="en-US"/>
        </w:rPr>
        <w:t xml:space="preserve"> the sign + applies in the charge phase, while the sign – applies in the discharge phase.</w:t>
      </w:r>
    </w:p>
    <w:p w14:paraId="31D6F781" w14:textId="1C1966E1" w:rsidR="004F21ED" w:rsidRPr="005C3FE9" w:rsidRDefault="004F21ED" w:rsidP="00740010">
      <w:pPr>
        <w:rPr>
          <w:spacing w:val="-3"/>
          <w:lang w:val="en-US"/>
        </w:rPr>
      </w:pPr>
      <w:r w:rsidRPr="005C3FE9">
        <w:rPr>
          <w:spacing w:val="-3"/>
          <w:lang w:val="en-US"/>
        </w:rPr>
        <w:t>The average Net Power Density in the discharge phase</w:t>
      </w:r>
      <w:r w:rsidR="0090693C" w:rsidRPr="005C3FE9">
        <w:rPr>
          <w:spacing w:val="-3"/>
          <w:lang w:val="en-US"/>
        </w:rPr>
        <w:t xml:space="preserve"> (</w:t>
      </w:r>
      <m:oMath>
        <m:acc>
          <m:accPr>
            <m:chr m:val="̅"/>
            <m:ctrlPr>
              <w:rPr>
                <w:rFonts w:ascii="Cambria Math" w:eastAsia="Calibri" w:hAnsi="Cambria Math"/>
                <w:i/>
                <w:lang w:eastAsia="en-US"/>
              </w:rPr>
            </m:ctrlPr>
          </m:accPr>
          <m:e>
            <m:sSub>
              <m:sSubPr>
                <m:ctrlPr>
                  <w:rPr>
                    <w:rFonts w:ascii="Cambria Math" w:eastAsia="Calibri" w:hAnsi="Cambria Math"/>
                    <w:i/>
                    <w:lang w:eastAsia="en-US"/>
                  </w:rPr>
                </m:ctrlPr>
              </m:sSubPr>
              <m:e>
                <m:r>
                  <w:rPr>
                    <w:rFonts w:ascii="Cambria Math" w:hAnsi="Cambria Math"/>
                  </w:rPr>
                  <m:t>NPD</m:t>
                </m:r>
              </m:e>
              <m:sub>
                <m:r>
                  <w:rPr>
                    <w:rFonts w:ascii="Cambria Math" w:hAnsi="Cambria Math"/>
                  </w:rPr>
                  <m:t>d</m:t>
                </m:r>
              </m:sub>
            </m:sSub>
          </m:e>
        </m:acc>
        <m:r>
          <w:rPr>
            <w:rFonts w:ascii="Cambria Math" w:eastAsia="Calibri" w:hAnsi="Cambria Math"/>
            <w:lang w:val="en-US" w:eastAsia="en-US"/>
          </w:rPr>
          <m:t>)</m:t>
        </m:r>
      </m:oMath>
      <w:r w:rsidRPr="005C3FE9">
        <w:rPr>
          <w:spacing w:val="-3"/>
          <w:lang w:val="en-US"/>
        </w:rPr>
        <w:t xml:space="preserve"> is defined as f</w:t>
      </w:r>
      <w:proofErr w:type="spellStart"/>
      <w:r w:rsidRPr="005C3FE9">
        <w:rPr>
          <w:spacing w:val="-3"/>
          <w:lang w:val="en-US"/>
        </w:rPr>
        <w:t>ollows</w:t>
      </w:r>
      <w:proofErr w:type="spellEnd"/>
      <w:r w:rsidRPr="005C3FE9">
        <w:rPr>
          <w:spacing w:val="-3"/>
          <w:lang w:val="en-US"/>
        </w:rPr>
        <w:t xml:space="preserve">, </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1"/>
        <w:gridCol w:w="7844"/>
        <w:gridCol w:w="1063"/>
      </w:tblGrid>
      <w:tr w:rsidR="007E0D97" w:rsidRPr="005C3FE9" w14:paraId="5BE24A2B" w14:textId="77777777" w:rsidTr="00237342">
        <w:trPr>
          <w:trHeight w:val="492"/>
        </w:trPr>
        <w:tc>
          <w:tcPr>
            <w:tcW w:w="437" w:type="pct"/>
          </w:tcPr>
          <w:p w14:paraId="4BFB8328" w14:textId="77777777" w:rsidR="007E0D97" w:rsidRPr="005C3FE9" w:rsidRDefault="007E0D97" w:rsidP="0072101F">
            <w:pPr>
              <w:suppressAutoHyphens/>
              <w:rPr>
                <w:rFonts w:ascii="Times New Roman" w:eastAsia="Times New Roman" w:hAnsi="Times New Roman"/>
                <w:spacing w:val="-3"/>
                <w:lang w:val="en-GB"/>
              </w:rPr>
            </w:pPr>
          </w:p>
        </w:tc>
        <w:tc>
          <w:tcPr>
            <w:tcW w:w="4127" w:type="pct"/>
          </w:tcPr>
          <w:p w14:paraId="0AE375BE" w14:textId="0F255FD0" w:rsidR="007E0D97" w:rsidRPr="005C3FE9" w:rsidRDefault="00000000" w:rsidP="0072101F">
            <w:pPr>
              <w:suppressAutoHyphens/>
              <w:rPr>
                <w:rFonts w:ascii="Times New Roman" w:eastAsia="Times New Roman" w:hAnsi="Times New Roman"/>
                <w:spacing w:val="-3"/>
                <w:lang w:val="en-GB"/>
              </w:rPr>
            </w:pPr>
            <m:oMath>
              <m:acc>
                <m:accPr>
                  <m:chr m:val="̅"/>
                  <m:ctrlPr>
                    <w:rPr>
                      <w:rFonts w:ascii="Cambria Math" w:hAnsi="Cambria Math"/>
                      <w:i/>
                    </w:rPr>
                  </m:ctrlPr>
                </m:accPr>
                <m:e>
                  <m:sSub>
                    <m:sSubPr>
                      <m:ctrlPr>
                        <w:rPr>
                          <w:rFonts w:ascii="Cambria Math" w:hAnsi="Cambria Math"/>
                          <w:i/>
                        </w:rPr>
                      </m:ctrlPr>
                    </m:sSubPr>
                    <m:e>
                      <m:r>
                        <w:rPr>
                          <w:rFonts w:ascii="Cambria Math" w:hAnsi="Cambria Math"/>
                        </w:rPr>
                        <m:t>NPD</m:t>
                      </m:r>
                    </m:e>
                    <m:sub>
                      <m:r>
                        <w:rPr>
                          <w:rFonts w:ascii="Cambria Math" w:hAnsi="Cambria Math"/>
                        </w:rPr>
                        <m:t>d</m:t>
                      </m:r>
                    </m:sub>
                  </m:sSub>
                </m:e>
              </m:acc>
              <m:r>
                <w:rPr>
                  <w:rFonts w:ascii="Cambria Math" w:hAnsi="Cambria Math"/>
                  <w:lang w:val="en-US"/>
                </w:rPr>
                <m:t xml:space="preserve">= </m:t>
              </m:r>
              <m:f>
                <m:fPr>
                  <m:ctrlPr>
                    <w:rPr>
                      <w:rFonts w:ascii="Cambria Math" w:hAnsi="Cambria Math"/>
                      <w:i/>
                    </w:rPr>
                  </m:ctrlPr>
                </m:fPr>
                <m:num>
                  <m:nary>
                    <m:naryPr>
                      <m:limLoc m:val="subSup"/>
                      <m:ctrlPr>
                        <w:rPr>
                          <w:rFonts w:ascii="Cambria Math" w:hAnsi="Cambria Math"/>
                          <w:i/>
                        </w:rPr>
                      </m:ctrlPr>
                    </m:naryPr>
                    <m:sub>
                      <m:r>
                        <w:rPr>
                          <w:rFonts w:ascii="Cambria Math" w:hAnsi="Cambria Math"/>
                          <w:lang w:val="en-US"/>
                        </w:rPr>
                        <m:t>0</m:t>
                      </m:r>
                    </m:sub>
                    <m:sup>
                      <m:sSub>
                        <m:sSubPr>
                          <m:ctrlPr>
                            <w:rPr>
                              <w:rFonts w:ascii="Cambria Math" w:hAnsi="Cambria Math"/>
                              <w:i/>
                            </w:rPr>
                          </m:ctrlPr>
                        </m:sSubPr>
                        <m:e>
                          <m:r>
                            <w:rPr>
                              <w:rFonts w:ascii="Cambria Math" w:hAnsi="Cambria Math"/>
                            </w:rPr>
                            <m:t>t</m:t>
                          </m:r>
                        </m:e>
                        <m:sub>
                          <m:r>
                            <w:rPr>
                              <w:rFonts w:ascii="Cambria Math" w:hAnsi="Cambria Math"/>
                            </w:rPr>
                            <m:t>d</m:t>
                          </m:r>
                        </m:sub>
                      </m:sSub>
                    </m:sup>
                    <m:e>
                      <m:sSub>
                        <m:sSubPr>
                          <m:ctrlPr>
                            <w:rPr>
                              <w:rFonts w:ascii="Cambria Math" w:hAnsi="Cambria Math"/>
                              <w:i/>
                            </w:rPr>
                          </m:ctrlPr>
                        </m:sSubPr>
                        <m:e>
                          <m:r>
                            <w:rPr>
                              <w:rFonts w:ascii="Cambria Math" w:hAnsi="Cambria Math"/>
                            </w:rPr>
                            <m:t>NPD</m:t>
                          </m:r>
                        </m:e>
                        <m:sub>
                          <m:r>
                            <w:rPr>
                              <w:rFonts w:ascii="Cambria Math" w:hAnsi="Cambria Math"/>
                            </w:rPr>
                            <m:t>d</m:t>
                          </m:r>
                        </m:sub>
                      </m:sSub>
                      <m:r>
                        <w:rPr>
                          <w:rFonts w:ascii="Cambria Math" w:hAnsi="Cambria Math"/>
                          <w:lang w:val="en-US"/>
                        </w:rPr>
                        <m:t xml:space="preserve"> </m:t>
                      </m:r>
                      <m:r>
                        <w:rPr>
                          <w:rFonts w:ascii="Cambria Math" w:hAnsi="Cambria Math"/>
                        </w:rPr>
                        <m:t>dt</m:t>
                      </m:r>
                    </m:e>
                  </m:nary>
                </m:num>
                <m:den>
                  <m:sSub>
                    <m:sSubPr>
                      <m:ctrlPr>
                        <w:rPr>
                          <w:rFonts w:ascii="Cambria Math" w:hAnsi="Cambria Math"/>
                          <w:i/>
                        </w:rPr>
                      </m:ctrlPr>
                    </m:sSubPr>
                    <m:e>
                      <m:r>
                        <w:rPr>
                          <w:rFonts w:ascii="Cambria Math" w:hAnsi="Cambria Math"/>
                        </w:rPr>
                        <m:t>t</m:t>
                      </m:r>
                    </m:e>
                    <m:sub>
                      <m:r>
                        <w:rPr>
                          <w:rFonts w:ascii="Cambria Math" w:hAnsi="Cambria Math"/>
                        </w:rPr>
                        <m:t>d</m:t>
                      </m:r>
                    </m:sub>
                  </m:sSub>
                </m:den>
              </m:f>
            </m:oMath>
            <w:r w:rsidR="007E0D97" w:rsidRPr="005C3FE9">
              <w:rPr>
                <w:rFonts w:ascii="Times New Roman" w:eastAsia="Times New Roman" w:hAnsi="Times New Roman"/>
                <w:lang w:val="en-GB"/>
              </w:rPr>
              <w:t xml:space="preserve"> </w:t>
            </w:r>
          </w:p>
        </w:tc>
        <w:tc>
          <w:tcPr>
            <w:tcW w:w="437" w:type="pct"/>
          </w:tcPr>
          <w:p w14:paraId="5328B631" w14:textId="0CAD35A0" w:rsidR="007E0D97" w:rsidRPr="005C3FE9" w:rsidRDefault="00FD0C59" w:rsidP="0072101F">
            <w:pPr>
              <w:suppressAutoHyphens/>
              <w:rPr>
                <w:rFonts w:ascii="Times New Roman" w:eastAsia="Times New Roman" w:hAnsi="Times New Roman"/>
                <w:spacing w:val="-3"/>
                <w:lang w:val="en-GB"/>
              </w:rPr>
            </w:pPr>
            <w:r w:rsidRPr="005C3FE9">
              <w:rPr>
                <w:rFonts w:ascii="Times New Roman" w:hAnsi="Times New Roman"/>
              </w:rPr>
              <w:t>(2)</w:t>
            </w:r>
          </w:p>
        </w:tc>
      </w:tr>
    </w:tbl>
    <w:p w14:paraId="55F8A513" w14:textId="1BE0A08D" w:rsidR="004F21ED" w:rsidRPr="005C3FE9" w:rsidRDefault="0090693C" w:rsidP="00740010">
      <w:pPr>
        <w:rPr>
          <w:lang w:val="en-US" w:eastAsia="en-US" w:bidi="en-US"/>
        </w:rPr>
      </w:pPr>
      <w:r w:rsidRPr="005C3FE9">
        <w:rPr>
          <w:lang w:val="en-GB" w:eastAsia="en-US" w:bidi="en-US"/>
        </w:rPr>
        <w:t xml:space="preserve">where </w:t>
      </w:r>
      <m:oMath>
        <m:sSub>
          <m:sSubPr>
            <m:ctrlPr>
              <w:rPr>
                <w:rFonts w:ascii="Cambria Math" w:eastAsia="Calibri" w:hAnsi="Cambria Math"/>
                <w:i/>
                <w:lang w:eastAsia="en-US"/>
              </w:rPr>
            </m:ctrlPr>
          </m:sSubPr>
          <m:e>
            <m:r>
              <w:rPr>
                <w:rFonts w:ascii="Cambria Math" w:hAnsi="Cambria Math"/>
              </w:rPr>
              <m:t>t</m:t>
            </m:r>
          </m:e>
          <m:sub>
            <m:r>
              <w:rPr>
                <w:rFonts w:ascii="Cambria Math" w:hAnsi="Cambria Math"/>
              </w:rPr>
              <m:t>d</m:t>
            </m:r>
          </m:sub>
        </m:sSub>
      </m:oMath>
      <w:r w:rsidRPr="005C3FE9">
        <w:rPr>
          <w:lang w:val="en-US" w:eastAsia="en-US"/>
        </w:rPr>
        <w:t xml:space="preserve"> is the discharge time. </w:t>
      </w:r>
    </w:p>
    <w:p w14:paraId="1CBF73E6" w14:textId="74653B7E" w:rsidR="00740010" w:rsidRPr="005C3FE9" w:rsidRDefault="00740010" w:rsidP="00740010">
      <w:pPr>
        <w:rPr>
          <w:lang w:val="en-GB" w:eastAsia="en-US" w:bidi="en-US"/>
        </w:rPr>
      </w:pPr>
      <w:r w:rsidRPr="005C3FE9">
        <w:rPr>
          <w:lang w:val="en-GB" w:eastAsia="en-US" w:bidi="en-US"/>
        </w:rPr>
        <w:t xml:space="preserve">The net Round Trip Efficiency is defined as follows, </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4"/>
        <w:gridCol w:w="7847"/>
        <w:gridCol w:w="1057"/>
      </w:tblGrid>
      <w:tr w:rsidR="007E0D97" w:rsidRPr="005C3FE9" w14:paraId="4247C2AC" w14:textId="77777777" w:rsidTr="00237342">
        <w:trPr>
          <w:trHeight w:val="492"/>
        </w:trPr>
        <w:tc>
          <w:tcPr>
            <w:tcW w:w="437" w:type="pct"/>
          </w:tcPr>
          <w:p w14:paraId="55E6DC30" w14:textId="77777777" w:rsidR="007E0D97" w:rsidRPr="005C3FE9" w:rsidRDefault="007E0D97" w:rsidP="0072101F">
            <w:pPr>
              <w:suppressAutoHyphens/>
              <w:rPr>
                <w:rFonts w:ascii="Times New Roman" w:eastAsia="Times New Roman" w:hAnsi="Times New Roman"/>
                <w:spacing w:val="-3"/>
                <w:lang w:val="en-GB"/>
              </w:rPr>
            </w:pPr>
          </w:p>
        </w:tc>
        <w:tc>
          <w:tcPr>
            <w:tcW w:w="4127" w:type="pct"/>
          </w:tcPr>
          <w:p w14:paraId="1499FE19" w14:textId="648B9E78" w:rsidR="007E0D97" w:rsidRPr="005C3FE9" w:rsidRDefault="00000000" w:rsidP="0072101F">
            <w:pPr>
              <w:suppressAutoHyphens/>
              <w:rPr>
                <w:rFonts w:ascii="Times New Roman" w:eastAsia="Times New Roman" w:hAnsi="Times New Roman"/>
                <w:spacing w:val="-3"/>
                <w:lang w:val="en-GB"/>
              </w:rPr>
            </w:pPr>
            <m:oMath>
              <m:sSub>
                <m:sSubPr>
                  <m:ctrlPr>
                    <w:rPr>
                      <w:rFonts w:ascii="Cambria Math" w:hAnsi="Cambria Math"/>
                      <w:i/>
                      <w:lang w:val="en-GB"/>
                    </w:rPr>
                  </m:ctrlPr>
                </m:sSubPr>
                <m:e>
                  <m:r>
                    <w:rPr>
                      <w:rFonts w:ascii="Cambria Math" w:hAnsi="Cambria Math"/>
                      <w:lang w:val="en-GB"/>
                    </w:rPr>
                    <m:t>RTE</m:t>
                  </m:r>
                </m:e>
                <m:sub>
                  <m:r>
                    <w:rPr>
                      <w:rFonts w:ascii="Cambria Math" w:hAnsi="Cambria Math"/>
                      <w:lang w:val="en-GB"/>
                    </w:rPr>
                    <m:t>net</m:t>
                  </m:r>
                </m:sub>
              </m:sSub>
              <m:r>
                <w:rPr>
                  <w:rFonts w:ascii="Cambria Math" w:hAnsi="Cambria Math"/>
                  <w:lang w:val="en-US"/>
                </w:rPr>
                <m:t>=</m:t>
              </m:r>
              <m:f>
                <m:fPr>
                  <m:ctrlPr>
                    <w:rPr>
                      <w:rFonts w:ascii="Cambria Math" w:hAnsi="Cambria Math"/>
                      <w:i/>
                      <w:lang w:val="en-GB"/>
                    </w:rPr>
                  </m:ctrlPr>
                </m:fPr>
                <m:num>
                  <m:nary>
                    <m:naryPr>
                      <m:limLoc m:val="subSup"/>
                      <m:ctrlPr>
                        <w:rPr>
                          <w:rFonts w:ascii="Cambria Math" w:hAnsi="Cambria Math"/>
                          <w:i/>
                          <w:lang w:val="en-GB"/>
                        </w:rPr>
                      </m:ctrlPr>
                    </m:naryPr>
                    <m:sub>
                      <m:r>
                        <w:rPr>
                          <w:rFonts w:ascii="Cambria Math" w:hAnsi="Cambria Math"/>
                          <w:lang w:val="en-US"/>
                        </w:rPr>
                        <m:t>0</m:t>
                      </m:r>
                    </m:sub>
                    <m:sup>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d</m:t>
                          </m:r>
                        </m:sub>
                      </m:sSub>
                    </m:sup>
                    <m:e>
                      <m:r>
                        <w:rPr>
                          <w:rFonts w:ascii="Cambria Math" w:hAnsi="Cambria Math"/>
                          <w:lang w:val="en-US"/>
                        </w:rPr>
                        <m:t xml:space="preserve"> </m:t>
                      </m:r>
                      <m:d>
                        <m:dPr>
                          <m:ctrlPr>
                            <w:rPr>
                              <w:rFonts w:ascii="Cambria Math" w:hAnsi="Cambria Math"/>
                              <w:i/>
                              <w:lang w:val="en-GB"/>
                            </w:rPr>
                          </m:ctrlPr>
                        </m:dPr>
                        <m:e>
                          <m:sSub>
                            <m:sSubPr>
                              <m:ctrlPr>
                                <w:rPr>
                                  <w:rFonts w:ascii="Cambria Math" w:hAnsi="Cambria Math"/>
                                  <w:i/>
                                  <w:lang w:val="en-GB"/>
                                </w:rPr>
                              </m:ctrlPr>
                            </m:sSubPr>
                            <m:e>
                              <m:r>
                                <w:rPr>
                                  <w:rFonts w:ascii="Cambria Math" w:hAnsi="Cambria Math"/>
                                  <w:lang w:val="en-GB"/>
                                </w:rPr>
                                <m:t>GPD</m:t>
                              </m:r>
                            </m:e>
                            <m:sub>
                              <m:r>
                                <w:rPr>
                                  <w:rFonts w:ascii="Cambria Math" w:hAnsi="Cambria Math"/>
                                  <w:lang w:val="en-GB"/>
                                </w:rPr>
                                <m:t>d</m:t>
                              </m:r>
                            </m:sub>
                          </m:sSub>
                          <m:r>
                            <w:rPr>
                              <w:rFonts w:ascii="Cambria Math" w:hAnsi="Cambria Math"/>
                              <w:lang w:val="en-US"/>
                            </w:rPr>
                            <m:t>-</m:t>
                          </m:r>
                          <m:sSub>
                            <m:sSubPr>
                              <m:ctrlPr>
                                <w:rPr>
                                  <w:rFonts w:ascii="Cambria Math" w:hAnsi="Cambria Math"/>
                                  <w:i/>
                                  <w:lang w:val="en-GB"/>
                                </w:rPr>
                              </m:ctrlPr>
                            </m:sSubPr>
                            <m:e>
                              <m:r>
                                <w:rPr>
                                  <w:rFonts w:ascii="Cambria Math" w:hAnsi="Cambria Math"/>
                                  <w:lang w:val="en-GB"/>
                                </w:rPr>
                                <m:t>PPD</m:t>
                              </m:r>
                            </m:e>
                            <m:sub>
                              <m:r>
                                <w:rPr>
                                  <w:rFonts w:ascii="Cambria Math" w:hAnsi="Cambria Math"/>
                                  <w:lang w:val="en-GB"/>
                                </w:rPr>
                                <m:t>d</m:t>
                              </m:r>
                            </m:sub>
                          </m:sSub>
                        </m:e>
                      </m:d>
                    </m:e>
                  </m:nary>
                  <m:r>
                    <w:rPr>
                      <w:rFonts w:ascii="Cambria Math" w:hAnsi="Cambria Math"/>
                      <w:lang w:val="en-GB"/>
                    </w:rPr>
                    <m:t>dt</m:t>
                  </m:r>
                </m:num>
                <m:den>
                  <m:nary>
                    <m:naryPr>
                      <m:limLoc m:val="subSup"/>
                      <m:ctrlPr>
                        <w:rPr>
                          <w:rFonts w:ascii="Cambria Math" w:hAnsi="Cambria Math"/>
                          <w:i/>
                          <w:lang w:val="en-GB"/>
                        </w:rPr>
                      </m:ctrlPr>
                    </m:naryPr>
                    <m:sub>
                      <m:r>
                        <w:rPr>
                          <w:rFonts w:ascii="Cambria Math" w:hAnsi="Cambria Math"/>
                          <w:lang w:val="en-US"/>
                        </w:rPr>
                        <m:t>0</m:t>
                      </m:r>
                    </m:sub>
                    <m:sup>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c</m:t>
                          </m:r>
                        </m:sub>
                      </m:sSub>
                    </m:sup>
                    <m:e>
                      <m:d>
                        <m:dPr>
                          <m:ctrlPr>
                            <w:rPr>
                              <w:rFonts w:ascii="Cambria Math" w:hAnsi="Cambria Math"/>
                              <w:i/>
                              <w:lang w:val="en-GB"/>
                            </w:rPr>
                          </m:ctrlPr>
                        </m:dPr>
                        <m:e>
                          <m:sSub>
                            <m:sSubPr>
                              <m:ctrlPr>
                                <w:rPr>
                                  <w:rFonts w:ascii="Cambria Math" w:hAnsi="Cambria Math"/>
                                  <w:i/>
                                  <w:lang w:val="en-GB"/>
                                </w:rPr>
                              </m:ctrlPr>
                            </m:sSubPr>
                            <m:e>
                              <m:r>
                                <w:rPr>
                                  <w:rFonts w:ascii="Cambria Math" w:hAnsi="Cambria Math"/>
                                  <w:lang w:val="en-GB"/>
                                </w:rPr>
                                <m:t>GPD</m:t>
                              </m:r>
                            </m:e>
                            <m:sub>
                              <m:r>
                                <w:rPr>
                                  <w:rFonts w:ascii="Cambria Math" w:hAnsi="Cambria Math"/>
                                  <w:lang w:val="en-GB"/>
                                </w:rPr>
                                <m:t>c</m:t>
                              </m:r>
                            </m:sub>
                          </m:sSub>
                          <m:r>
                            <w:rPr>
                              <w:rFonts w:ascii="Cambria Math" w:hAnsi="Cambria Math"/>
                              <w:lang w:val="en-US"/>
                            </w:rPr>
                            <m:t>+</m:t>
                          </m:r>
                          <m:sSub>
                            <m:sSubPr>
                              <m:ctrlPr>
                                <w:rPr>
                                  <w:rFonts w:ascii="Cambria Math" w:hAnsi="Cambria Math"/>
                                  <w:i/>
                                  <w:lang w:val="en-GB"/>
                                </w:rPr>
                              </m:ctrlPr>
                            </m:sSubPr>
                            <m:e>
                              <m:r>
                                <w:rPr>
                                  <w:rFonts w:ascii="Cambria Math" w:hAnsi="Cambria Math"/>
                                  <w:lang w:val="en-GB"/>
                                </w:rPr>
                                <m:t>PPD</m:t>
                              </m:r>
                            </m:e>
                            <m:sub>
                              <m:r>
                                <w:rPr>
                                  <w:rFonts w:ascii="Cambria Math" w:hAnsi="Cambria Math"/>
                                  <w:lang w:val="en-GB"/>
                                </w:rPr>
                                <m:t>c</m:t>
                              </m:r>
                            </m:sub>
                          </m:sSub>
                        </m:e>
                      </m:d>
                    </m:e>
                  </m:nary>
                  <m:r>
                    <w:rPr>
                      <w:rFonts w:ascii="Cambria Math" w:hAnsi="Cambria Math"/>
                      <w:lang w:val="en-GB"/>
                    </w:rPr>
                    <m:t>dt</m:t>
                  </m:r>
                </m:den>
              </m:f>
            </m:oMath>
            <w:r w:rsidR="007E0D97" w:rsidRPr="005C3FE9">
              <w:rPr>
                <w:rFonts w:ascii="Times New Roman" w:eastAsia="Times New Roman" w:hAnsi="Times New Roman"/>
                <w:lang w:val="en-GB"/>
              </w:rPr>
              <w:t xml:space="preserve"> </w:t>
            </w:r>
          </w:p>
        </w:tc>
        <w:tc>
          <w:tcPr>
            <w:tcW w:w="437" w:type="pct"/>
          </w:tcPr>
          <w:p w14:paraId="72B5C4B2" w14:textId="54769200" w:rsidR="007E0D97" w:rsidRPr="005C3FE9" w:rsidRDefault="007E0D97" w:rsidP="0072101F">
            <w:pPr>
              <w:suppressAutoHyphens/>
              <w:rPr>
                <w:rFonts w:ascii="Times New Roman" w:eastAsia="Times New Roman" w:hAnsi="Times New Roman"/>
                <w:spacing w:val="-3"/>
                <w:lang w:val="en-GB"/>
              </w:rPr>
            </w:pPr>
            <w:r w:rsidRPr="005C3FE9">
              <w:rPr>
                <w:rFonts w:ascii="Times New Roman" w:eastAsia="Times New Roman" w:hAnsi="Times New Roman"/>
                <w:spacing w:val="-3"/>
                <w:lang w:val="en-GB"/>
              </w:rPr>
              <w:t>(</w:t>
            </w:r>
            <w:r w:rsidR="00FD0C59" w:rsidRPr="005C3FE9">
              <w:rPr>
                <w:rFonts w:ascii="Times New Roman" w:hAnsi="Times New Roman"/>
              </w:rPr>
              <w:t>3</w:t>
            </w:r>
            <w:r w:rsidRPr="005C3FE9">
              <w:rPr>
                <w:rFonts w:ascii="Times New Roman" w:eastAsia="Times New Roman" w:hAnsi="Times New Roman"/>
                <w:spacing w:val="-3"/>
                <w:lang w:val="en-GB"/>
              </w:rPr>
              <w:t>)</w:t>
            </w:r>
          </w:p>
        </w:tc>
      </w:tr>
    </w:tbl>
    <w:p w14:paraId="3E084424" w14:textId="6CE8A54F" w:rsidR="0090693C" w:rsidRPr="005C3FE9" w:rsidRDefault="0090693C" w:rsidP="0090693C">
      <w:pPr>
        <w:rPr>
          <w:lang w:val="en-GB"/>
        </w:rPr>
      </w:pPr>
      <w:r w:rsidRPr="005C3FE9">
        <w:rPr>
          <w:lang w:val="en-GB" w:eastAsia="en-US" w:bidi="en-US"/>
        </w:rPr>
        <w:t xml:space="preserve">in which </w:t>
      </w:r>
      <m:oMath>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c</m:t>
            </m:r>
          </m:sub>
        </m:sSub>
      </m:oMath>
      <w:r w:rsidRPr="005C3FE9">
        <w:rPr>
          <w:lang w:val="en-GB"/>
        </w:rPr>
        <w:t xml:space="preserve"> is the charge time. </w:t>
      </w:r>
    </w:p>
    <w:p w14:paraId="653AB181" w14:textId="22D6A1E1" w:rsidR="00E40F73" w:rsidRPr="005C3FE9" w:rsidRDefault="00E40F73" w:rsidP="0090693C">
      <w:pPr>
        <w:rPr>
          <w:lang w:val="en-GB" w:eastAsia="en-US" w:bidi="en-US"/>
        </w:rPr>
      </w:pPr>
      <w:r w:rsidRPr="005C3FE9">
        <w:rPr>
          <w:lang w:val="en-GB" w:eastAsia="en-US" w:bidi="en-US"/>
        </w:rPr>
        <w:t xml:space="preserve">The theoretical and </w:t>
      </w:r>
      <w:r w:rsidR="003A39A7" w:rsidRPr="005C3FE9">
        <w:rPr>
          <w:lang w:val="en-GB" w:eastAsia="en-US" w:bidi="en-US"/>
        </w:rPr>
        <w:t xml:space="preserve">actual </w:t>
      </w:r>
      <w:r w:rsidR="0050068C">
        <w:rPr>
          <w:lang w:val="en-GB" w:eastAsia="en-US" w:bidi="en-US"/>
        </w:rPr>
        <w:t>N</w:t>
      </w:r>
      <w:r w:rsidR="00E21B11" w:rsidRPr="005C3FE9">
        <w:rPr>
          <w:lang w:val="en-GB" w:eastAsia="en-US" w:bidi="en-US"/>
        </w:rPr>
        <w:t xml:space="preserve">et </w:t>
      </w:r>
      <w:r w:rsidRPr="005C3FE9">
        <w:rPr>
          <w:lang w:val="en-GB" w:eastAsia="en-US" w:bidi="en-US"/>
        </w:rPr>
        <w:t xml:space="preserve">discharge </w:t>
      </w:r>
      <w:r w:rsidR="0050068C">
        <w:rPr>
          <w:lang w:val="en-GB" w:eastAsia="en-US" w:bidi="en-US"/>
        </w:rPr>
        <w:t>E</w:t>
      </w:r>
      <w:r w:rsidRPr="005C3FE9">
        <w:rPr>
          <w:lang w:val="en-GB" w:eastAsia="en-US" w:bidi="en-US"/>
        </w:rPr>
        <w:t xml:space="preserve">nergy </w:t>
      </w:r>
      <w:r w:rsidR="0050068C">
        <w:rPr>
          <w:lang w:val="en-GB" w:eastAsia="en-US" w:bidi="en-US"/>
        </w:rPr>
        <w:t>D</w:t>
      </w:r>
      <w:r w:rsidRPr="005C3FE9">
        <w:rPr>
          <w:lang w:val="en-GB" w:eastAsia="en-US" w:bidi="en-US"/>
        </w:rPr>
        <w:t xml:space="preserve">ensities </w:t>
      </w:r>
      <w:r w:rsidR="003A39A7" w:rsidRPr="005C3FE9">
        <w:rPr>
          <w:lang w:val="en-GB" w:eastAsia="en-US" w:bidi="en-US"/>
        </w:rPr>
        <w:t xml:space="preserve">per unit volume of a reference solution (the acid solution was chosen in this study) </w:t>
      </w:r>
      <w:r w:rsidRPr="005C3FE9">
        <w:rPr>
          <w:lang w:val="en-GB" w:eastAsia="en-US" w:bidi="en-US"/>
        </w:rPr>
        <w:t xml:space="preserve">are given by </w:t>
      </w:r>
      <w:proofErr w:type="spellStart"/>
      <w:r w:rsidRPr="005C3FE9">
        <w:rPr>
          <w:lang w:val="en-GB" w:eastAsia="en-US" w:bidi="en-US"/>
        </w:rPr>
        <w:t>Eqs</w:t>
      </w:r>
      <w:proofErr w:type="spellEnd"/>
      <w:r w:rsidRPr="005C3FE9">
        <w:rPr>
          <w:lang w:val="en-GB" w:eastAsia="en-US" w:bidi="en-US"/>
        </w:rPr>
        <w:t xml:space="preserve">. </w:t>
      </w:r>
      <w:r w:rsidR="00FD0C59" w:rsidRPr="005C3FE9">
        <w:rPr>
          <w:lang w:val="en-GB" w:eastAsia="en-US" w:bidi="en-US"/>
        </w:rPr>
        <w:t xml:space="preserve">(4) </w:t>
      </w:r>
      <w:r w:rsidRPr="005C3FE9">
        <w:rPr>
          <w:lang w:val="en-GB" w:eastAsia="en-US" w:bidi="en-US"/>
        </w:rPr>
        <w:t xml:space="preserve">and </w:t>
      </w:r>
      <w:r w:rsidR="00FD0C59" w:rsidRPr="005C3FE9">
        <w:rPr>
          <w:lang w:val="en-GB" w:eastAsia="en-US" w:bidi="en-US"/>
        </w:rPr>
        <w:t>(5)</w:t>
      </w:r>
      <w:r w:rsidRPr="005C3FE9">
        <w:rPr>
          <w:lang w:val="en-GB" w:eastAsia="en-US" w:bidi="en-US"/>
        </w:rPr>
        <w:t xml:space="preserve"> respectively</w:t>
      </w:r>
      <w:r w:rsidR="00C829BC" w:rsidRPr="005C3FE9">
        <w:rPr>
          <w:lang w:val="en-GB" w:eastAsia="en-US" w:bidi="en-US"/>
        </w:rPr>
        <w:t>:</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5"/>
        <w:gridCol w:w="7849"/>
        <w:gridCol w:w="1054"/>
      </w:tblGrid>
      <w:tr w:rsidR="007E0D97" w:rsidRPr="005C3FE9" w14:paraId="04D4A26F" w14:textId="77777777" w:rsidTr="00237342">
        <w:trPr>
          <w:trHeight w:val="492"/>
        </w:trPr>
        <w:tc>
          <w:tcPr>
            <w:tcW w:w="437" w:type="pct"/>
          </w:tcPr>
          <w:p w14:paraId="6118C193" w14:textId="77777777" w:rsidR="007E0D97" w:rsidRPr="005C3FE9" w:rsidRDefault="007E0D97" w:rsidP="0072101F">
            <w:pPr>
              <w:suppressAutoHyphens/>
              <w:rPr>
                <w:rFonts w:ascii="Times New Roman" w:eastAsia="Times New Roman" w:hAnsi="Times New Roman"/>
                <w:spacing w:val="-3"/>
                <w:lang w:val="en-GB"/>
              </w:rPr>
            </w:pPr>
          </w:p>
        </w:tc>
        <w:tc>
          <w:tcPr>
            <w:tcW w:w="4127" w:type="pct"/>
          </w:tcPr>
          <w:p w14:paraId="0DC6FDA5" w14:textId="6A6AAB74" w:rsidR="007E0D97" w:rsidRPr="005C3FE9" w:rsidRDefault="00000000" w:rsidP="0072101F">
            <w:pPr>
              <w:suppressAutoHyphens/>
              <w:rPr>
                <w:rFonts w:ascii="Times New Roman" w:eastAsia="Times New Roman" w:hAnsi="Times New Roman"/>
                <w:spacing w:val="-3"/>
                <w:lang w:val="en-GB"/>
              </w:rPr>
            </w:pPr>
            <m:oMath>
              <m:sSub>
                <m:sSubPr>
                  <m:ctrlPr>
                    <w:rPr>
                      <w:rFonts w:ascii="Cambria Math" w:hAnsi="Cambria Math"/>
                      <w:i/>
                    </w:rPr>
                  </m:ctrlPr>
                </m:sSubPr>
                <m:e>
                  <m:r>
                    <w:rPr>
                      <w:rFonts w:ascii="Cambria Math" w:hAnsi="Cambria Math"/>
                    </w:rPr>
                    <m:t>NED</m:t>
                  </m:r>
                </m:e>
                <m:sub>
                  <m:r>
                    <w:rPr>
                      <w:rFonts w:ascii="Cambria Math" w:hAnsi="Cambria Math"/>
                    </w:rPr>
                    <m:t>v</m:t>
                  </m:r>
                  <m:r>
                    <w:rPr>
                      <w:rFonts w:ascii="Cambria Math" w:hAnsi="Cambria Math"/>
                      <w:lang w:val="en-US"/>
                    </w:rPr>
                    <m:t>,</m:t>
                  </m:r>
                  <m:r>
                    <w:rPr>
                      <w:rFonts w:ascii="Cambria Math" w:hAnsi="Cambria Math"/>
                    </w:rPr>
                    <m:t>t</m:t>
                  </m:r>
                  <m:r>
                    <w:rPr>
                      <w:rFonts w:ascii="Cambria Math" w:hAnsi="Cambria Math"/>
                      <w:lang w:val="en-US"/>
                    </w:rPr>
                    <m:t>h</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F</m:t>
                  </m:r>
                </m:num>
                <m:den>
                  <m:r>
                    <w:rPr>
                      <w:rFonts w:ascii="Cambria Math" w:hAnsi="Cambria Math"/>
                      <w:lang w:val="en-US"/>
                    </w:rPr>
                    <m:t>3.6∙</m:t>
                  </m:r>
                  <m:sSup>
                    <m:sSupPr>
                      <m:ctrlPr>
                        <w:rPr>
                          <w:rFonts w:ascii="Cambria Math" w:hAnsi="Cambria Math"/>
                          <w:i/>
                          <w:lang w:val="en-US"/>
                        </w:rPr>
                      </m:ctrlPr>
                    </m:sSupPr>
                    <m:e>
                      <m:r>
                        <w:rPr>
                          <w:rFonts w:ascii="Cambria Math" w:hAnsi="Cambria Math"/>
                          <w:lang w:val="en-US"/>
                        </w:rPr>
                        <m:t>10</m:t>
                      </m:r>
                    </m:e>
                    <m:sup>
                      <m:r>
                        <w:rPr>
                          <w:rFonts w:ascii="Cambria Math" w:hAnsi="Cambria Math"/>
                          <w:lang w:val="en-US"/>
                        </w:rPr>
                        <m:t>6</m:t>
                      </m:r>
                    </m:sup>
                  </m:sSup>
                </m:den>
              </m:f>
              <m:nary>
                <m:naryPr>
                  <m:limLoc m:val="subSup"/>
                  <m:ctrlPr>
                    <w:rPr>
                      <w:rFonts w:ascii="Cambria Math" w:hAnsi="Cambria Math"/>
                      <w:i/>
                    </w:rPr>
                  </m:ctrlPr>
                </m:naryPr>
                <m:sub>
                  <m:sSup>
                    <m:sSupPr>
                      <m:ctrlPr>
                        <w:rPr>
                          <w:rFonts w:ascii="Cambria Math" w:hAnsi="Cambria Math"/>
                          <w:i/>
                        </w:rPr>
                      </m:ctrlPr>
                    </m:sSupPr>
                    <m:e>
                      <m:r>
                        <w:rPr>
                          <w:rFonts w:ascii="Cambria Math" w:hAnsi="Cambria Math"/>
                          <w:lang w:val="en-US"/>
                        </w:rPr>
                        <m:t>10</m:t>
                      </m:r>
                    </m:e>
                    <m:sup>
                      <m:r>
                        <w:rPr>
                          <w:rFonts w:ascii="Cambria Math" w:hAnsi="Cambria Math"/>
                          <w:lang w:val="en-US"/>
                        </w:rPr>
                        <m:t>-4</m:t>
                      </m:r>
                    </m:sup>
                  </m:sSup>
                </m:sub>
                <m:sup>
                  <m:sSub>
                    <m:sSubPr>
                      <m:ctrlPr>
                        <w:rPr>
                          <w:rFonts w:ascii="Cambria Math" w:hAnsi="Cambria Math"/>
                          <w:i/>
                        </w:rPr>
                      </m:ctrlPr>
                    </m:sSubPr>
                    <m:e>
                      <m:r>
                        <w:rPr>
                          <w:rFonts w:ascii="Cambria Math" w:hAnsi="Cambria Math"/>
                        </w:rPr>
                        <m:t>C</m:t>
                      </m:r>
                    </m:e>
                    <m:sub>
                      <m:r>
                        <w:rPr>
                          <w:rFonts w:ascii="Cambria Math" w:hAnsi="Cambria Math"/>
                        </w:rPr>
                        <m:t>target</m:t>
                      </m:r>
                      <m:r>
                        <w:rPr>
                          <w:rFonts w:ascii="Cambria Math" w:hAnsi="Cambria Math"/>
                          <w:lang w:val="en-US"/>
                        </w:rPr>
                        <m:t>,</m:t>
                      </m:r>
                      <m:r>
                        <w:rPr>
                          <w:rFonts w:ascii="Cambria Math" w:hAnsi="Cambria Math"/>
                        </w:rPr>
                        <m:t>c</m:t>
                      </m:r>
                    </m:sub>
                  </m:sSub>
                </m:sup>
                <m:e>
                  <m:r>
                    <w:rPr>
                      <w:rFonts w:ascii="Cambria Math" w:hAnsi="Cambria Math"/>
                    </w:rPr>
                    <m:t>EMF</m:t>
                  </m:r>
                  <m:r>
                    <w:rPr>
                      <w:rFonts w:ascii="Cambria Math" w:hAnsi="Cambria Math"/>
                      <w:lang w:val="en-US"/>
                    </w:rPr>
                    <m:t>∙</m:t>
                  </m:r>
                  <m:r>
                    <w:rPr>
                      <w:rFonts w:ascii="Cambria Math" w:hAnsi="Cambria Math"/>
                    </w:rPr>
                    <m:t>d</m:t>
                  </m:r>
                  <m:sSub>
                    <m:sSubPr>
                      <m:ctrlPr>
                        <w:rPr>
                          <w:rFonts w:ascii="Cambria Math" w:hAnsi="Cambria Math"/>
                          <w:i/>
                        </w:rPr>
                      </m:ctrlPr>
                    </m:sSubPr>
                    <m:e>
                      <m:r>
                        <w:rPr>
                          <w:rFonts w:ascii="Cambria Math" w:hAnsi="Cambria Math"/>
                        </w:rPr>
                        <m:t>C</m:t>
                      </m:r>
                    </m:e>
                    <m:sub>
                      <m:r>
                        <w:rPr>
                          <w:rFonts w:ascii="Cambria Math" w:hAnsi="Cambria Math"/>
                        </w:rPr>
                        <m:t>a</m:t>
                      </m:r>
                      <m:r>
                        <w:rPr>
                          <w:rFonts w:ascii="Cambria Math" w:hAnsi="Cambria Math"/>
                          <w:lang w:val="en-US"/>
                        </w:rPr>
                        <m:t>,</m:t>
                      </m:r>
                      <m:r>
                        <w:rPr>
                          <w:rFonts w:ascii="Cambria Math" w:hAnsi="Cambria Math"/>
                        </w:rPr>
                        <m:t>HCl</m:t>
                      </m:r>
                    </m:sub>
                  </m:sSub>
                </m:e>
              </m:nary>
            </m:oMath>
            <w:r w:rsidR="007E0D97" w:rsidRPr="005C3FE9">
              <w:rPr>
                <w:rFonts w:ascii="Times New Roman" w:eastAsia="Times New Roman" w:hAnsi="Times New Roman"/>
                <w:lang w:val="en-GB"/>
              </w:rPr>
              <w:t xml:space="preserve"> </w:t>
            </w:r>
          </w:p>
        </w:tc>
        <w:tc>
          <w:tcPr>
            <w:tcW w:w="437" w:type="pct"/>
          </w:tcPr>
          <w:p w14:paraId="25FD633B" w14:textId="283141C2" w:rsidR="007E0D97" w:rsidRPr="005C3FE9" w:rsidRDefault="007E0D97" w:rsidP="0072101F">
            <w:pPr>
              <w:suppressAutoHyphens/>
              <w:rPr>
                <w:rFonts w:ascii="Times New Roman" w:eastAsia="Times New Roman" w:hAnsi="Times New Roman"/>
                <w:spacing w:val="-3"/>
                <w:lang w:val="en-GB"/>
              </w:rPr>
            </w:pPr>
            <w:bookmarkStart w:id="4" w:name="_Ref115451929"/>
            <w:bookmarkStart w:id="5" w:name="_Ref115451953"/>
            <w:r w:rsidRPr="005C3FE9">
              <w:rPr>
                <w:rFonts w:ascii="Times New Roman" w:eastAsia="Times New Roman" w:hAnsi="Times New Roman"/>
                <w:spacing w:val="-3"/>
                <w:lang w:val="en-GB"/>
              </w:rPr>
              <w:t>(</w:t>
            </w:r>
            <w:bookmarkEnd w:id="4"/>
            <w:r w:rsidR="00FD0C59" w:rsidRPr="005C3FE9">
              <w:rPr>
                <w:rFonts w:ascii="Times New Roman" w:hAnsi="Times New Roman"/>
                <w:spacing w:val="-3"/>
                <w:lang w:val="en-GB"/>
              </w:rPr>
              <w:t>4</w:t>
            </w:r>
            <w:r w:rsidRPr="005C3FE9">
              <w:rPr>
                <w:rFonts w:ascii="Times New Roman" w:eastAsia="Times New Roman" w:hAnsi="Times New Roman"/>
                <w:spacing w:val="-3"/>
                <w:lang w:val="en-GB"/>
              </w:rPr>
              <w:t>)</w:t>
            </w:r>
            <w:bookmarkEnd w:id="5"/>
          </w:p>
        </w:tc>
      </w:tr>
      <w:tr w:rsidR="007E0D97" w:rsidRPr="005C3FE9" w14:paraId="230A3889" w14:textId="77777777" w:rsidTr="00237342">
        <w:trPr>
          <w:trHeight w:val="492"/>
        </w:trPr>
        <w:tc>
          <w:tcPr>
            <w:tcW w:w="437" w:type="pct"/>
          </w:tcPr>
          <w:p w14:paraId="7BE725AF" w14:textId="77777777" w:rsidR="007E0D97" w:rsidRPr="005C3FE9" w:rsidRDefault="007E0D97" w:rsidP="0072101F">
            <w:pPr>
              <w:suppressAutoHyphens/>
              <w:rPr>
                <w:rFonts w:ascii="Times New Roman" w:eastAsia="Times New Roman" w:hAnsi="Times New Roman"/>
                <w:spacing w:val="-3"/>
                <w:lang w:val="en-GB"/>
              </w:rPr>
            </w:pPr>
          </w:p>
        </w:tc>
        <w:tc>
          <w:tcPr>
            <w:tcW w:w="4127" w:type="pct"/>
          </w:tcPr>
          <w:p w14:paraId="6D9DABD3" w14:textId="35FF9102" w:rsidR="007E0D97" w:rsidRPr="005C3FE9" w:rsidRDefault="00000000" w:rsidP="0072101F">
            <w:pPr>
              <w:suppressAutoHyphens/>
              <w:rPr>
                <w:rFonts w:ascii="Times New Roman" w:eastAsia="Times New Roman" w:hAnsi="Times New Roman"/>
                <w:spacing w:val="-3"/>
                <w:lang w:val="en-GB"/>
              </w:rPr>
            </w:pPr>
            <m:oMath>
              <m:sSub>
                <m:sSubPr>
                  <m:ctrlPr>
                    <w:rPr>
                      <w:rFonts w:ascii="Cambria Math" w:hAnsi="Cambria Math"/>
                      <w:i/>
                    </w:rPr>
                  </m:ctrlPr>
                </m:sSubPr>
                <m:e>
                  <m:r>
                    <w:rPr>
                      <w:rFonts w:ascii="Cambria Math" w:hAnsi="Cambria Math"/>
                    </w:rPr>
                    <m:t>NED</m:t>
                  </m:r>
                </m:e>
                <m:sub>
                  <m:r>
                    <w:rPr>
                      <w:rFonts w:ascii="Cambria Math" w:hAnsi="Cambria Math"/>
                    </w:rPr>
                    <m:t>v</m:t>
                  </m:r>
                </m:sub>
              </m:sSub>
              <m:r>
                <w:rPr>
                  <w:rFonts w:ascii="Cambria Math" w:hAnsi="Cambria Math"/>
                  <w:lang w:val="en-GB"/>
                </w:rPr>
                <m:t>=</m:t>
              </m:r>
              <m:f>
                <m:fPr>
                  <m:ctrlPr>
                    <w:rPr>
                      <w:rFonts w:ascii="Cambria Math" w:hAnsi="Cambria Math"/>
                      <w:i/>
                    </w:rPr>
                  </m:ctrlPr>
                </m:fPr>
                <m:num>
                  <m:r>
                    <w:rPr>
                      <w:rFonts w:ascii="Cambria Math" w:hAnsi="Cambria Math"/>
                      <w:lang w:val="en-GB"/>
                    </w:rPr>
                    <m:t xml:space="preserve">3 </m:t>
                  </m:r>
                  <m:r>
                    <w:rPr>
                      <w:rFonts w:ascii="Cambria Math" w:hAnsi="Cambria Math"/>
                    </w:rPr>
                    <m:t>N</m:t>
                  </m:r>
                  <m:r>
                    <w:rPr>
                      <w:rFonts w:ascii="Cambria Math" w:hAnsi="Cambria Math"/>
                      <w:lang w:val="en-GB"/>
                    </w:rPr>
                    <m:t xml:space="preserve"> </m:t>
                  </m:r>
                  <m:r>
                    <w:rPr>
                      <w:rFonts w:ascii="Cambria Math" w:hAnsi="Cambria Math"/>
                    </w:rPr>
                    <m:t>b</m:t>
                  </m:r>
                  <m:r>
                    <w:rPr>
                      <w:rFonts w:ascii="Cambria Math" w:hAnsi="Cambria Math"/>
                      <w:lang w:val="en-GB"/>
                    </w:rPr>
                    <m:t xml:space="preserve"> </m:t>
                  </m:r>
                  <m:r>
                    <w:rPr>
                      <w:rFonts w:ascii="Cambria Math" w:hAnsi="Cambria Math"/>
                    </w:rPr>
                    <m:t>L</m:t>
                  </m:r>
                  <m:r>
                    <w:rPr>
                      <w:rFonts w:ascii="Cambria Math" w:hAnsi="Cambria Math"/>
                      <w:lang w:val="en-GB"/>
                    </w:rPr>
                    <m:t xml:space="preserve"> </m:t>
                  </m:r>
                  <m:nary>
                    <m:naryPr>
                      <m:limLoc m:val="subSup"/>
                      <m:ctrlPr>
                        <w:rPr>
                          <w:rFonts w:ascii="Cambria Math" w:hAnsi="Cambria Math"/>
                          <w:i/>
                        </w:rPr>
                      </m:ctrlPr>
                    </m:naryPr>
                    <m:sub>
                      <m:r>
                        <w:rPr>
                          <w:rFonts w:ascii="Cambria Math" w:hAnsi="Cambria Math"/>
                          <w:lang w:val="en-GB"/>
                        </w:rPr>
                        <m:t>0</m:t>
                      </m:r>
                    </m:sub>
                    <m:sup>
                      <m:sSub>
                        <m:sSubPr>
                          <m:ctrlPr>
                            <w:rPr>
                              <w:rFonts w:ascii="Cambria Math" w:hAnsi="Cambria Math"/>
                              <w:i/>
                            </w:rPr>
                          </m:ctrlPr>
                        </m:sSubPr>
                        <m:e>
                          <m:r>
                            <w:rPr>
                              <w:rFonts w:ascii="Cambria Math" w:hAnsi="Cambria Math"/>
                            </w:rPr>
                            <m:t>t</m:t>
                          </m:r>
                        </m:e>
                        <m:sub>
                          <m:r>
                            <w:rPr>
                              <w:rFonts w:ascii="Cambria Math" w:hAnsi="Cambria Math"/>
                            </w:rPr>
                            <m:t>d</m:t>
                          </m:r>
                        </m:sub>
                      </m:sSub>
                    </m:sup>
                    <m:e>
                      <m:d>
                        <m:dPr>
                          <m:ctrlPr>
                            <w:rPr>
                              <w:rFonts w:ascii="Cambria Math" w:hAnsi="Cambria Math"/>
                              <w:i/>
                              <w:lang w:val="en-GB"/>
                            </w:rPr>
                          </m:ctrlPr>
                        </m:dPr>
                        <m:e>
                          <m:sSub>
                            <m:sSubPr>
                              <m:ctrlPr>
                                <w:rPr>
                                  <w:rFonts w:ascii="Cambria Math" w:hAnsi="Cambria Math"/>
                                  <w:i/>
                                  <w:lang w:val="en-GB"/>
                                </w:rPr>
                              </m:ctrlPr>
                            </m:sSubPr>
                            <m:e>
                              <m:r>
                                <w:rPr>
                                  <w:rFonts w:ascii="Cambria Math" w:hAnsi="Cambria Math"/>
                                  <w:lang w:val="en-GB"/>
                                </w:rPr>
                                <m:t>GPD</m:t>
                              </m:r>
                            </m:e>
                            <m:sub>
                              <m:r>
                                <w:rPr>
                                  <w:rFonts w:ascii="Cambria Math" w:hAnsi="Cambria Math"/>
                                  <w:lang w:val="en-GB"/>
                                </w:rPr>
                                <m:t>d</m:t>
                              </m:r>
                            </m:sub>
                          </m:sSub>
                          <m:r>
                            <w:rPr>
                              <w:rFonts w:ascii="Cambria Math" w:hAnsi="Cambria Math"/>
                              <w:lang w:val="en-US"/>
                            </w:rPr>
                            <m:t>-</m:t>
                          </m:r>
                          <m:sSub>
                            <m:sSubPr>
                              <m:ctrlPr>
                                <w:rPr>
                                  <w:rFonts w:ascii="Cambria Math" w:hAnsi="Cambria Math"/>
                                  <w:i/>
                                  <w:lang w:val="en-GB"/>
                                </w:rPr>
                              </m:ctrlPr>
                            </m:sSubPr>
                            <m:e>
                              <m:r>
                                <w:rPr>
                                  <w:rFonts w:ascii="Cambria Math" w:hAnsi="Cambria Math"/>
                                  <w:lang w:val="en-GB"/>
                                </w:rPr>
                                <m:t>PPD</m:t>
                              </m:r>
                            </m:e>
                            <m:sub>
                              <m:r>
                                <w:rPr>
                                  <w:rFonts w:ascii="Cambria Math" w:hAnsi="Cambria Math"/>
                                  <w:lang w:val="en-GB"/>
                                </w:rPr>
                                <m:t>d</m:t>
                              </m:r>
                            </m:sub>
                          </m:sSub>
                        </m:e>
                      </m:d>
                      <m:r>
                        <w:rPr>
                          <w:rFonts w:ascii="Cambria Math" w:hAnsi="Cambria Math"/>
                          <w:lang w:val="en-GB"/>
                        </w:rPr>
                        <m:t xml:space="preserve"> </m:t>
                      </m:r>
                      <m:r>
                        <w:rPr>
                          <w:rFonts w:ascii="Cambria Math" w:hAnsi="Cambria Math"/>
                        </w:rPr>
                        <m:t>dt</m:t>
                      </m:r>
                    </m:e>
                  </m:nary>
                </m:num>
                <m:den>
                  <m:r>
                    <w:rPr>
                      <w:rFonts w:ascii="Cambria Math" w:hAnsi="Cambria Math"/>
                      <w:lang w:val="en-GB"/>
                    </w:rPr>
                    <m:t>3.6∙</m:t>
                  </m:r>
                  <m:sSup>
                    <m:sSupPr>
                      <m:ctrlPr>
                        <w:rPr>
                          <w:rFonts w:ascii="Cambria Math" w:hAnsi="Cambria Math"/>
                          <w:i/>
                        </w:rPr>
                      </m:ctrlPr>
                    </m:sSupPr>
                    <m:e>
                      <m:r>
                        <w:rPr>
                          <w:rFonts w:ascii="Cambria Math" w:hAnsi="Cambria Math"/>
                          <w:lang w:val="en-GB"/>
                        </w:rPr>
                        <m:t>10</m:t>
                      </m:r>
                    </m:e>
                    <m:sup>
                      <m:r>
                        <w:rPr>
                          <w:rFonts w:ascii="Cambria Math" w:hAnsi="Cambria Math"/>
                          <w:lang w:val="en-GB"/>
                        </w:rPr>
                        <m:t>6</m:t>
                      </m:r>
                    </m:sup>
                  </m:sSup>
                  <m:r>
                    <w:rPr>
                      <w:rFonts w:ascii="Cambria Math" w:hAnsi="Cambria Math"/>
                      <w:lang w:val="en-GB"/>
                    </w:rPr>
                    <m:t>∙</m:t>
                  </m:r>
                  <m:sSub>
                    <m:sSubPr>
                      <m:ctrlPr>
                        <w:rPr>
                          <w:rFonts w:ascii="Cambria Math" w:hAnsi="Cambria Math"/>
                          <w:i/>
                        </w:rPr>
                      </m:ctrlPr>
                    </m:sSubPr>
                    <m:e>
                      <m:r>
                        <w:rPr>
                          <w:rFonts w:ascii="Cambria Math" w:hAnsi="Cambria Math"/>
                        </w:rPr>
                        <m:t>V</m:t>
                      </m:r>
                    </m:e>
                    <m:sub>
                      <m:r>
                        <w:rPr>
                          <w:rFonts w:ascii="Cambria Math" w:hAnsi="Cambria Math"/>
                        </w:rPr>
                        <m:t>t</m:t>
                      </m:r>
                      <m:r>
                        <w:rPr>
                          <w:rFonts w:ascii="Cambria Math" w:hAnsi="Cambria Math"/>
                          <w:lang w:val="en-GB"/>
                        </w:rPr>
                        <m:t>,</m:t>
                      </m:r>
                      <m:r>
                        <w:rPr>
                          <w:rFonts w:ascii="Cambria Math" w:hAnsi="Cambria Math"/>
                        </w:rPr>
                        <m:t>a</m:t>
                      </m:r>
                    </m:sub>
                  </m:sSub>
                </m:den>
              </m:f>
            </m:oMath>
            <w:r w:rsidR="007E0D97" w:rsidRPr="005C3FE9">
              <w:rPr>
                <w:rFonts w:ascii="Times New Roman" w:eastAsia="Times New Roman" w:hAnsi="Times New Roman"/>
                <w:lang w:val="en-GB"/>
              </w:rPr>
              <w:t xml:space="preserve"> </w:t>
            </w:r>
          </w:p>
        </w:tc>
        <w:tc>
          <w:tcPr>
            <w:tcW w:w="437" w:type="pct"/>
          </w:tcPr>
          <w:p w14:paraId="54D5A43A" w14:textId="65D1B66B" w:rsidR="007E0D97" w:rsidRPr="005C3FE9" w:rsidRDefault="007E0D97" w:rsidP="0072101F">
            <w:pPr>
              <w:suppressAutoHyphens/>
              <w:rPr>
                <w:rFonts w:ascii="Times New Roman" w:eastAsia="Times New Roman" w:hAnsi="Times New Roman"/>
                <w:spacing w:val="-3"/>
                <w:lang w:val="en-GB"/>
              </w:rPr>
            </w:pPr>
            <w:bookmarkStart w:id="6" w:name="_Ref115451941"/>
            <w:r w:rsidRPr="005C3FE9">
              <w:rPr>
                <w:rFonts w:ascii="Times New Roman" w:eastAsia="Times New Roman" w:hAnsi="Times New Roman"/>
                <w:spacing w:val="-3"/>
                <w:lang w:val="en-GB"/>
              </w:rPr>
              <w:t>(</w:t>
            </w:r>
            <w:r w:rsidR="00FD0C59" w:rsidRPr="005C3FE9">
              <w:rPr>
                <w:rFonts w:ascii="Times New Roman" w:hAnsi="Times New Roman"/>
                <w:spacing w:val="-3"/>
                <w:lang w:val="en-GB"/>
              </w:rPr>
              <w:t>5</w:t>
            </w:r>
            <w:r w:rsidRPr="005C3FE9">
              <w:rPr>
                <w:rFonts w:ascii="Times New Roman" w:eastAsia="Times New Roman" w:hAnsi="Times New Roman"/>
                <w:spacing w:val="-3"/>
                <w:lang w:val="en-GB"/>
              </w:rPr>
              <w:t>)</w:t>
            </w:r>
            <w:bookmarkEnd w:id="6"/>
          </w:p>
        </w:tc>
      </w:tr>
    </w:tbl>
    <w:p w14:paraId="0603F27F" w14:textId="6D41B72E" w:rsidR="0097097D" w:rsidRDefault="00530C3E" w:rsidP="001A2083">
      <w:pPr>
        <w:ind w:firstLine="0"/>
        <w:rPr>
          <w:lang w:val="en-US" w:eastAsia="en-US"/>
        </w:rPr>
      </w:pPr>
      <w:r w:rsidRPr="005C3FE9">
        <w:rPr>
          <w:lang w:val="en-GB" w:eastAsia="en-US" w:bidi="en-US"/>
        </w:rPr>
        <w:t xml:space="preserve">where </w:t>
      </w:r>
      <m:oMath>
        <m:r>
          <w:rPr>
            <w:rFonts w:ascii="Cambria Math" w:hAnsi="Cambria Math"/>
            <w:lang w:val="en-US"/>
          </w:rPr>
          <m:t>F</m:t>
        </m:r>
      </m:oMath>
      <w:r w:rsidRPr="005C3FE9">
        <w:rPr>
          <w:lang w:val="en-US"/>
        </w:rPr>
        <w:t xml:space="preserve"> is the Faraday constant (i.e., 96,485 C mol</w:t>
      </w:r>
      <w:r w:rsidRPr="005C3FE9">
        <w:rPr>
          <w:vertAlign w:val="superscript"/>
          <w:lang w:val="en-US"/>
        </w:rPr>
        <w:t>-1</w:t>
      </w:r>
      <w:r w:rsidRPr="005C3FE9">
        <w:rPr>
          <w:lang w:val="en-US"/>
        </w:rPr>
        <w:t xml:space="preserve">), </w:t>
      </w:r>
      <m:oMath>
        <m:r>
          <w:rPr>
            <w:rFonts w:ascii="Cambria Math" w:hAnsi="Cambria Math"/>
          </w:rPr>
          <m:t>EMF</m:t>
        </m:r>
      </m:oMath>
      <w:r w:rsidRPr="005C3FE9">
        <w:rPr>
          <w:lang w:val="en-US"/>
        </w:rPr>
        <w:t xml:space="preserve"> is the </w:t>
      </w:r>
      <w:r w:rsidR="00A94B15" w:rsidRPr="005C3FE9">
        <w:rPr>
          <w:lang w:val="en-US"/>
        </w:rPr>
        <w:t>Nernst potential,</w:t>
      </w:r>
      <w:r w:rsidR="00E12EB7" w:rsidRPr="005C3FE9">
        <w:rPr>
          <w:lang w:val="en-US"/>
        </w:rPr>
        <w:t xml:space="preserve"> </w:t>
      </w:r>
      <m:oMath>
        <m:sSub>
          <m:sSubPr>
            <m:ctrlPr>
              <w:rPr>
                <w:rFonts w:ascii="Cambria Math" w:eastAsia="Calibri" w:hAnsi="Cambria Math"/>
                <w:i/>
                <w:lang w:eastAsia="en-US"/>
              </w:rPr>
            </m:ctrlPr>
          </m:sSubPr>
          <m:e>
            <m:r>
              <w:rPr>
                <w:rFonts w:ascii="Cambria Math" w:hAnsi="Cambria Math"/>
              </w:rPr>
              <m:t>C</m:t>
            </m:r>
          </m:e>
          <m:sub>
            <m:r>
              <w:rPr>
                <w:rFonts w:ascii="Cambria Math" w:hAnsi="Cambria Math"/>
              </w:rPr>
              <m:t>target</m:t>
            </m:r>
            <m:r>
              <w:rPr>
                <w:rFonts w:ascii="Cambria Math" w:hAnsi="Cambria Math"/>
                <w:lang w:val="en-US"/>
              </w:rPr>
              <m:t>,</m:t>
            </m:r>
            <m:r>
              <w:rPr>
                <w:rFonts w:ascii="Cambria Math" w:hAnsi="Cambria Math"/>
              </w:rPr>
              <m:t>c</m:t>
            </m:r>
          </m:sub>
        </m:sSub>
      </m:oMath>
      <w:r w:rsidR="00A94B15" w:rsidRPr="005C3FE9">
        <w:rPr>
          <w:lang w:val="en-US"/>
        </w:rPr>
        <w:t xml:space="preserve"> </w:t>
      </w:r>
      <w:r w:rsidR="00E12EB7" w:rsidRPr="005C3FE9">
        <w:rPr>
          <w:lang w:val="en-US"/>
        </w:rPr>
        <w:t xml:space="preserve">is the target concentration of the charge phase, </w:t>
      </w:r>
      <m:oMath>
        <m:sSub>
          <m:sSubPr>
            <m:ctrlPr>
              <w:rPr>
                <w:rFonts w:ascii="Cambria Math" w:eastAsia="Calibri" w:hAnsi="Cambria Math"/>
                <w:i/>
                <w:lang w:eastAsia="en-US"/>
              </w:rPr>
            </m:ctrlPr>
          </m:sSubPr>
          <m:e>
            <m:r>
              <w:rPr>
                <w:rFonts w:ascii="Cambria Math" w:hAnsi="Cambria Math"/>
              </w:rPr>
              <m:t>C</m:t>
            </m:r>
          </m:e>
          <m:sub>
            <m:r>
              <w:rPr>
                <w:rFonts w:ascii="Cambria Math" w:hAnsi="Cambria Math"/>
              </w:rPr>
              <m:t>a</m:t>
            </m:r>
            <m:r>
              <w:rPr>
                <w:rFonts w:ascii="Cambria Math" w:hAnsi="Cambria Math"/>
                <w:lang w:val="en-US"/>
              </w:rPr>
              <m:t>,</m:t>
            </m:r>
            <m:r>
              <w:rPr>
                <w:rFonts w:ascii="Cambria Math" w:hAnsi="Cambria Math"/>
              </w:rPr>
              <m:t>HCl</m:t>
            </m:r>
          </m:sub>
        </m:sSub>
      </m:oMath>
      <w:r w:rsidR="00A94B15" w:rsidRPr="005C3FE9">
        <w:rPr>
          <w:lang w:val="en-US" w:eastAsia="en-US"/>
        </w:rPr>
        <w:t xml:space="preserve"> is the HCl concentration in the acid tank, </w:t>
      </w:r>
      <m:oMath>
        <m:r>
          <w:rPr>
            <w:rFonts w:ascii="Cambria Math" w:hAnsi="Cambria Math"/>
          </w:rPr>
          <m:t>N</m:t>
        </m:r>
      </m:oMath>
      <w:r w:rsidR="00A96D75" w:rsidRPr="005C3FE9">
        <w:rPr>
          <w:lang w:val="en-US" w:eastAsia="en-US"/>
        </w:rPr>
        <w:t xml:space="preserve"> is the number of triplets, </w:t>
      </w:r>
      <m:oMath>
        <m:r>
          <w:rPr>
            <w:rFonts w:ascii="Cambria Math" w:hAnsi="Cambria Math"/>
          </w:rPr>
          <m:t>b</m:t>
        </m:r>
      </m:oMath>
      <w:r w:rsidR="00A96D75" w:rsidRPr="005C3FE9">
        <w:rPr>
          <w:lang w:val="en-US" w:eastAsia="en-US"/>
        </w:rPr>
        <w:t xml:space="preserve"> is the spacer width, </w:t>
      </w:r>
      <m:oMath>
        <m:r>
          <w:rPr>
            <w:rFonts w:ascii="Cambria Math" w:hAnsi="Cambria Math"/>
          </w:rPr>
          <m:t>L</m:t>
        </m:r>
      </m:oMath>
      <w:r w:rsidR="00A96D75" w:rsidRPr="005C3FE9">
        <w:rPr>
          <w:lang w:val="en-US" w:eastAsia="en-US"/>
        </w:rPr>
        <w:t xml:space="preserve"> is the spacer length, </w:t>
      </w:r>
      <w:r w:rsidR="00CF74B2" w:rsidRPr="005C3FE9">
        <w:rPr>
          <w:lang w:val="en-US" w:eastAsia="en-US"/>
        </w:rPr>
        <w:t xml:space="preserve">and </w:t>
      </w:r>
      <m:oMath>
        <m:sSub>
          <m:sSubPr>
            <m:ctrlPr>
              <w:rPr>
                <w:rFonts w:ascii="Cambria Math" w:eastAsia="Calibri" w:hAnsi="Cambria Math"/>
                <w:i/>
                <w:lang w:eastAsia="en-US"/>
              </w:rPr>
            </m:ctrlPr>
          </m:sSubPr>
          <m:e>
            <m:r>
              <w:rPr>
                <w:rFonts w:ascii="Cambria Math" w:hAnsi="Cambria Math"/>
              </w:rPr>
              <m:t>V</m:t>
            </m:r>
          </m:e>
          <m:sub>
            <m:r>
              <w:rPr>
                <w:rFonts w:ascii="Cambria Math" w:hAnsi="Cambria Math"/>
              </w:rPr>
              <m:t>t</m:t>
            </m:r>
            <m:r>
              <w:rPr>
                <w:rFonts w:ascii="Cambria Math" w:hAnsi="Cambria Math"/>
                <w:lang w:val="en-US"/>
              </w:rPr>
              <m:t>,</m:t>
            </m:r>
            <m:r>
              <w:rPr>
                <w:rFonts w:ascii="Cambria Math" w:hAnsi="Cambria Math"/>
              </w:rPr>
              <m:t>a</m:t>
            </m:r>
          </m:sub>
        </m:sSub>
      </m:oMath>
      <w:r w:rsidR="00CF74B2" w:rsidRPr="005C3FE9">
        <w:rPr>
          <w:lang w:val="en-US" w:eastAsia="en-US"/>
        </w:rPr>
        <w:t xml:space="preserve"> is the acid solution volume. </w:t>
      </w:r>
    </w:p>
    <w:p w14:paraId="0D1D5607" w14:textId="3CEF713B" w:rsidR="0091393F" w:rsidRDefault="0091393F" w:rsidP="001A2083">
      <w:pPr>
        <w:ind w:firstLine="0"/>
        <w:rPr>
          <w:lang w:val="en-US" w:eastAsia="en-US"/>
        </w:rPr>
      </w:pPr>
      <w:r w:rsidRPr="0091393F">
        <w:rPr>
          <w:lang w:val="en-US" w:eastAsia="en-US"/>
        </w:rPr>
        <w:t>The efficiency of the discharge phase</w:t>
      </w:r>
      <w:r w:rsidR="00F21749">
        <w:rPr>
          <w:lang w:val="en-US" w:eastAsia="en-US"/>
        </w:rPr>
        <w:t xml:space="preserve"> is the ratio between the actual and theoretical net energy density. It is given by</w:t>
      </w:r>
      <w:r w:rsidR="00F60E30">
        <w:rPr>
          <w:lang w:val="en-US" w:eastAsia="en-US"/>
        </w:rPr>
        <w:t>,</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5"/>
        <w:gridCol w:w="7847"/>
        <w:gridCol w:w="1056"/>
      </w:tblGrid>
      <w:tr w:rsidR="00F60E30" w:rsidRPr="005C3FE9" w14:paraId="25A9CAB1" w14:textId="77777777" w:rsidTr="000861D6">
        <w:trPr>
          <w:trHeight w:val="492"/>
        </w:trPr>
        <w:tc>
          <w:tcPr>
            <w:tcW w:w="381" w:type="pct"/>
          </w:tcPr>
          <w:p w14:paraId="4FE5DFCD" w14:textId="77777777" w:rsidR="00F60E30" w:rsidRPr="005C3FE9" w:rsidRDefault="00F60E30" w:rsidP="000861D6">
            <w:pPr>
              <w:suppressAutoHyphens/>
              <w:rPr>
                <w:rFonts w:ascii="Times New Roman" w:eastAsia="Times New Roman" w:hAnsi="Times New Roman"/>
                <w:spacing w:val="-3"/>
                <w:lang w:val="en-GB"/>
              </w:rPr>
            </w:pPr>
          </w:p>
        </w:tc>
        <w:tc>
          <w:tcPr>
            <w:tcW w:w="4071" w:type="pct"/>
          </w:tcPr>
          <w:p w14:paraId="40C79EE7" w14:textId="20C30235" w:rsidR="00F60E30" w:rsidRPr="005C3FE9" w:rsidRDefault="00F60E30" w:rsidP="000861D6">
            <w:pPr>
              <w:suppressAutoHyphens/>
              <w:rPr>
                <w:rFonts w:ascii="Times New Roman" w:eastAsia="Times New Roman" w:hAnsi="Times New Roman"/>
                <w:spacing w:val="-3"/>
                <w:lang w:val="en-GB"/>
              </w:rPr>
            </w:pPr>
            <m:oMath>
              <m:r>
                <w:rPr>
                  <w:rFonts w:ascii="Cambria Math" w:hAnsi="Cambria Math"/>
                </w:rPr>
                <m:t>Disc</m:t>
              </m:r>
              <m:r>
                <w:rPr>
                  <w:rFonts w:ascii="Cambria Math" w:hAnsi="Cambria Math"/>
                  <w:lang w:val="en-GB"/>
                </w:rPr>
                <m:t>h</m:t>
              </m:r>
              <m:r>
                <w:rPr>
                  <w:rFonts w:ascii="Cambria Math" w:hAnsi="Cambria Math"/>
                </w:rPr>
                <m:t>arge</m:t>
              </m:r>
              <m:r>
                <w:rPr>
                  <w:rFonts w:ascii="Cambria Math" w:hAnsi="Cambria Math"/>
                  <w:lang w:val="en-GB"/>
                </w:rPr>
                <m:t xml:space="preserve"> </m:t>
              </m:r>
              <m:r>
                <w:rPr>
                  <w:rFonts w:ascii="Cambria Math" w:hAnsi="Cambria Math"/>
                </w:rPr>
                <m:t>efficiency</m:t>
              </m:r>
              <m:r>
                <w:rPr>
                  <w:rFonts w:ascii="Cambria Math" w:hAnsi="Cambria Math"/>
                  <w:lang w:val="en-GB"/>
                </w:rPr>
                <m:t xml:space="preserve">= </m:t>
              </m:r>
              <m:f>
                <m:fPr>
                  <m:ctrlPr>
                    <w:rPr>
                      <w:rFonts w:ascii="Cambria Math" w:hAnsi="Cambria Math"/>
                      <w:i/>
                      <w:lang w:val="en-GB"/>
                    </w:rPr>
                  </m:ctrlPr>
                </m:fPr>
                <m:num>
                  <m:sSub>
                    <m:sSubPr>
                      <m:ctrlPr>
                        <w:rPr>
                          <w:rFonts w:ascii="Cambria Math" w:hAnsi="Cambria Math"/>
                          <w:i/>
                        </w:rPr>
                      </m:ctrlPr>
                    </m:sSubPr>
                    <m:e>
                      <m:r>
                        <w:rPr>
                          <w:rFonts w:ascii="Cambria Math" w:hAnsi="Cambria Math"/>
                        </w:rPr>
                        <m:t>NED</m:t>
                      </m:r>
                    </m:e>
                    <m:sub>
                      <m:r>
                        <w:rPr>
                          <w:rFonts w:ascii="Cambria Math" w:hAnsi="Cambria Math"/>
                        </w:rPr>
                        <m:t>v</m:t>
                      </m:r>
                    </m:sub>
                  </m:sSub>
                </m:num>
                <m:den>
                  <m:sSub>
                    <m:sSubPr>
                      <m:ctrlPr>
                        <w:rPr>
                          <w:rFonts w:ascii="Cambria Math" w:hAnsi="Cambria Math"/>
                          <w:i/>
                        </w:rPr>
                      </m:ctrlPr>
                    </m:sSubPr>
                    <m:e>
                      <m:r>
                        <w:rPr>
                          <w:rFonts w:ascii="Cambria Math" w:hAnsi="Cambria Math"/>
                        </w:rPr>
                        <m:t>NED</m:t>
                      </m:r>
                    </m:e>
                    <m:sub>
                      <m:r>
                        <w:rPr>
                          <w:rFonts w:ascii="Cambria Math" w:hAnsi="Cambria Math"/>
                        </w:rPr>
                        <m:t>v</m:t>
                      </m:r>
                      <m:r>
                        <w:rPr>
                          <w:rFonts w:ascii="Cambria Math" w:hAnsi="Cambria Math"/>
                          <w:lang w:val="en-US"/>
                        </w:rPr>
                        <m:t>,</m:t>
                      </m:r>
                      <m:r>
                        <w:rPr>
                          <w:rFonts w:ascii="Cambria Math" w:hAnsi="Cambria Math"/>
                        </w:rPr>
                        <m:t>t</m:t>
                      </m:r>
                      <m:r>
                        <w:rPr>
                          <w:rFonts w:ascii="Cambria Math" w:hAnsi="Cambria Math"/>
                          <w:lang w:val="en-US"/>
                        </w:rPr>
                        <m:t>h</m:t>
                      </m:r>
                    </m:sub>
                  </m:sSub>
                </m:den>
              </m:f>
            </m:oMath>
            <w:r w:rsidR="00F21749">
              <w:rPr>
                <w:rFonts w:ascii="Times New Roman" w:eastAsia="Times New Roman" w:hAnsi="Times New Roman"/>
                <w:lang w:val="en-GB"/>
              </w:rPr>
              <w:t xml:space="preserve"> </w:t>
            </w:r>
          </w:p>
        </w:tc>
        <w:tc>
          <w:tcPr>
            <w:tcW w:w="548" w:type="pct"/>
          </w:tcPr>
          <w:p w14:paraId="4527DF2E" w14:textId="77777777" w:rsidR="00F60E30" w:rsidRPr="005C3FE9" w:rsidRDefault="00F60E30" w:rsidP="000861D6">
            <w:pPr>
              <w:suppressAutoHyphens/>
              <w:rPr>
                <w:rFonts w:ascii="Times New Roman" w:eastAsia="Times New Roman" w:hAnsi="Times New Roman"/>
                <w:spacing w:val="-3"/>
                <w:lang w:val="en-GB"/>
              </w:rPr>
            </w:pPr>
            <w:r w:rsidRPr="005C3FE9">
              <w:rPr>
                <w:rFonts w:ascii="Times New Roman" w:eastAsia="Times New Roman" w:hAnsi="Times New Roman"/>
                <w:spacing w:val="-3"/>
                <w:lang w:val="en-GB"/>
              </w:rPr>
              <w:t>(</w:t>
            </w:r>
            <w:r w:rsidRPr="005C3FE9">
              <w:rPr>
                <w:rFonts w:ascii="Times New Roman" w:hAnsi="Times New Roman"/>
                <w:spacing w:val="-3"/>
                <w:lang w:val="en-GB"/>
              </w:rPr>
              <w:t>6</w:t>
            </w:r>
            <w:r w:rsidRPr="005C3FE9">
              <w:rPr>
                <w:rFonts w:ascii="Times New Roman" w:eastAsia="Times New Roman" w:hAnsi="Times New Roman"/>
                <w:spacing w:val="-3"/>
                <w:lang w:val="en-GB"/>
              </w:rPr>
              <w:t>)</w:t>
            </w:r>
          </w:p>
        </w:tc>
      </w:tr>
    </w:tbl>
    <w:p w14:paraId="1697CE6E" w14:textId="721818D9" w:rsidR="005C6E92" w:rsidRPr="005C3FE9" w:rsidRDefault="003423BE" w:rsidP="001A2083">
      <w:pPr>
        <w:ind w:firstLine="0"/>
        <w:rPr>
          <w:lang w:val="en-US" w:eastAsia="en-US"/>
        </w:rPr>
      </w:pPr>
      <w:r w:rsidRPr="005C3FE9">
        <w:rPr>
          <w:lang w:val="en-US" w:eastAsia="en-US"/>
        </w:rPr>
        <w:t xml:space="preserve">Each </w:t>
      </w:r>
      <w:proofErr w:type="spellStart"/>
      <w:r w:rsidRPr="005C3FE9">
        <w:rPr>
          <w:lang w:val="en-US" w:eastAsia="en-US"/>
        </w:rPr>
        <w:t>optimi</w:t>
      </w:r>
      <w:r w:rsidR="008A0EAC">
        <w:rPr>
          <w:lang w:val="en-US" w:eastAsia="en-US"/>
        </w:rPr>
        <w:t>s</w:t>
      </w:r>
      <w:r w:rsidRPr="005C3FE9">
        <w:rPr>
          <w:lang w:val="en-US" w:eastAsia="en-US"/>
        </w:rPr>
        <w:t>ation</w:t>
      </w:r>
      <w:proofErr w:type="spellEnd"/>
      <w:r w:rsidRPr="005C3FE9">
        <w:rPr>
          <w:lang w:val="en-US" w:eastAsia="en-US"/>
        </w:rPr>
        <w:t xml:space="preserve"> problem consists of a </w:t>
      </w:r>
      <w:r w:rsidR="00E21B11" w:rsidRPr="005C3FE9">
        <w:rPr>
          <w:lang w:val="en-US" w:eastAsia="en-US"/>
        </w:rPr>
        <w:t xml:space="preserve">single </w:t>
      </w:r>
      <w:r w:rsidRPr="005C3FE9">
        <w:rPr>
          <w:lang w:val="en-US" w:eastAsia="en-US"/>
        </w:rPr>
        <w:t xml:space="preserve">round-trip cycle, which begins with the charge phase, followed by the discharge phase. Each battery cycle is carried out by imposing that the initial </w:t>
      </w:r>
      <w:r w:rsidRPr="005C3FE9">
        <w:rPr>
          <w:lang w:val="en-US" w:eastAsia="en-US"/>
        </w:rPr>
        <w:lastRenderedPageBreak/>
        <w:t xml:space="preserve">concentration of HCl in the acidic solution </w:t>
      </w:r>
      <w:r w:rsidR="00E77ABA">
        <w:rPr>
          <w:lang w:val="en-US" w:eastAsia="en-US"/>
        </w:rPr>
        <w:t>is</w:t>
      </w:r>
      <w:r w:rsidRPr="005C3FE9">
        <w:rPr>
          <w:lang w:val="en-US" w:eastAsia="en-US"/>
        </w:rPr>
        <w:t xml:space="preserve"> coincident to the final (target) concentration of HCl of the discharge phase (</w:t>
      </w:r>
      <m:oMath>
        <m:sSub>
          <m:sSubPr>
            <m:ctrlPr>
              <w:rPr>
                <w:rFonts w:ascii="Cambria Math" w:hAnsi="Cambria Math"/>
                <w:i/>
              </w:rPr>
            </m:ctrlPr>
          </m:sSubPr>
          <m:e>
            <m:r>
              <w:rPr>
                <w:rFonts w:ascii="Cambria Math" w:hAnsi="Cambria Math"/>
              </w:rPr>
              <m:t>C</m:t>
            </m:r>
          </m:e>
          <m:sub>
            <m:r>
              <w:rPr>
                <w:rFonts w:ascii="Cambria Math" w:hAnsi="Cambria Math"/>
              </w:rPr>
              <m:t>target</m:t>
            </m:r>
            <m:r>
              <w:rPr>
                <w:rFonts w:ascii="Cambria Math" w:hAnsi="Cambria Math"/>
                <w:lang w:val="en-US"/>
              </w:rPr>
              <m:t>,</m:t>
            </m:r>
            <m:r>
              <w:rPr>
                <w:rFonts w:ascii="Cambria Math" w:hAnsi="Cambria Math"/>
              </w:rPr>
              <m:t>d</m:t>
            </m:r>
          </m:sub>
        </m:sSub>
      </m:oMath>
      <w:r w:rsidRPr="005C3FE9">
        <w:rPr>
          <w:lang w:val="en-US" w:eastAsia="en-US"/>
        </w:rPr>
        <w:t>)</w:t>
      </w:r>
      <w:r w:rsidR="005C6E92" w:rsidRPr="005C3FE9">
        <w:rPr>
          <w:lang w:val="en-US" w:eastAsia="en-US"/>
        </w:rPr>
        <w:t xml:space="preserve"> as follows</w:t>
      </w:r>
      <w:r w:rsidR="00E21B11" w:rsidRPr="005C3FE9">
        <w:rPr>
          <w:lang w:val="en-US" w:eastAsia="en-US"/>
        </w:rPr>
        <w:t>:</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5"/>
        <w:gridCol w:w="7847"/>
        <w:gridCol w:w="1056"/>
      </w:tblGrid>
      <w:tr w:rsidR="005C6E92" w:rsidRPr="005C3FE9" w14:paraId="4FB587F2" w14:textId="77777777" w:rsidTr="005C6E92">
        <w:trPr>
          <w:trHeight w:val="492"/>
        </w:trPr>
        <w:tc>
          <w:tcPr>
            <w:tcW w:w="381" w:type="pct"/>
          </w:tcPr>
          <w:p w14:paraId="6F883852" w14:textId="77777777" w:rsidR="005C6E92" w:rsidRPr="005C3FE9" w:rsidRDefault="005C6E92" w:rsidP="00144E6A">
            <w:pPr>
              <w:suppressAutoHyphens/>
              <w:rPr>
                <w:rFonts w:ascii="Times New Roman" w:eastAsia="Times New Roman" w:hAnsi="Times New Roman"/>
                <w:spacing w:val="-3"/>
                <w:lang w:val="en-GB"/>
              </w:rPr>
            </w:pPr>
          </w:p>
        </w:tc>
        <w:tc>
          <w:tcPr>
            <w:tcW w:w="4071" w:type="pct"/>
          </w:tcPr>
          <w:p w14:paraId="57E5A5A9" w14:textId="57BB8426" w:rsidR="005C6E92" w:rsidRPr="005C3FE9" w:rsidRDefault="00000000" w:rsidP="00144E6A">
            <w:pPr>
              <w:suppressAutoHyphens/>
              <w:rPr>
                <w:rFonts w:ascii="Times New Roman" w:eastAsia="Times New Roman" w:hAnsi="Times New Roman"/>
                <w:spacing w:val="-3"/>
                <w:lang w:val="en-GB"/>
              </w:rPr>
            </w:pPr>
            <m:oMath>
              <m:sSub>
                <m:sSubPr>
                  <m:ctrlPr>
                    <w:rPr>
                      <w:rFonts w:ascii="Cambria Math" w:hAnsi="Cambria Math"/>
                      <w:i/>
                    </w:rPr>
                  </m:ctrlPr>
                </m:sSubPr>
                <m:e>
                  <m:r>
                    <w:rPr>
                      <w:rFonts w:ascii="Cambria Math" w:hAnsi="Cambria Math"/>
                    </w:rPr>
                    <m:t>C</m:t>
                  </m:r>
                </m:e>
                <m:sub>
                  <m:r>
                    <w:rPr>
                      <w:rFonts w:ascii="Cambria Math" w:hAnsi="Cambria Math"/>
                    </w:rPr>
                    <m:t>a</m:t>
                  </m:r>
                  <m:r>
                    <w:rPr>
                      <w:rFonts w:ascii="Cambria Math" w:hAnsi="Cambria Math"/>
                      <w:lang w:val="en-US"/>
                    </w:rPr>
                    <m:t>,</m:t>
                  </m:r>
                  <m:r>
                    <w:rPr>
                      <w:rFonts w:ascii="Cambria Math" w:hAnsi="Cambria Math"/>
                    </w:rPr>
                    <m:t>HCl</m:t>
                  </m:r>
                  <m:r>
                    <w:rPr>
                      <w:rFonts w:ascii="Cambria Math" w:hAnsi="Cambria Math"/>
                      <w:lang w:val="en-GB"/>
                    </w:rPr>
                    <m:t>,target,d</m:t>
                  </m:r>
                </m:sub>
              </m:sSub>
              <m:r>
                <w:rPr>
                  <w:rFonts w:ascii="Cambria Math" w:hAnsi="Cambria Math"/>
                  <w:lang w:val="en-GB"/>
                </w:rPr>
                <m:t>=</m:t>
              </m:r>
            </m:oMath>
            <w:r w:rsidR="005C6E92" w:rsidRPr="005C3FE9">
              <w:rPr>
                <w:rFonts w:ascii="Times New Roman" w:eastAsia="Times New Roman" w:hAnsi="Times New Roman"/>
                <w:lang w:val="en-GB"/>
              </w:rPr>
              <w:t xml:space="preserve"> </w:t>
            </w:r>
            <m:oMath>
              <m:sSub>
                <m:sSubPr>
                  <m:ctrlPr>
                    <w:rPr>
                      <w:rFonts w:ascii="Cambria Math" w:hAnsi="Cambria Math"/>
                      <w:i/>
                    </w:rPr>
                  </m:ctrlPr>
                </m:sSubPr>
                <m:e>
                  <m:r>
                    <w:rPr>
                      <w:rFonts w:ascii="Cambria Math" w:hAnsi="Cambria Math"/>
                    </w:rPr>
                    <m:t>C</m:t>
                  </m:r>
                </m:e>
                <m:sub>
                  <m:r>
                    <w:rPr>
                      <w:rFonts w:ascii="Cambria Math" w:hAnsi="Cambria Math"/>
                    </w:rPr>
                    <m:t>t</m:t>
                  </m:r>
                  <m:r>
                    <w:rPr>
                      <w:rFonts w:ascii="Cambria Math" w:hAnsi="Cambria Math"/>
                      <w:lang w:val="en-GB"/>
                    </w:rPr>
                    <m:t xml:space="preserve">, </m:t>
                  </m:r>
                  <m:r>
                    <w:rPr>
                      <w:rFonts w:ascii="Cambria Math" w:hAnsi="Cambria Math"/>
                    </w:rPr>
                    <m:t>HCl</m:t>
                  </m:r>
                  <m:r>
                    <w:rPr>
                      <w:rFonts w:ascii="Cambria Math" w:hAnsi="Cambria Math"/>
                      <w:lang w:val="en-GB"/>
                    </w:rPr>
                    <m:t>,out,a</m:t>
                  </m:r>
                </m:sub>
              </m:sSub>
            </m:oMath>
          </w:p>
        </w:tc>
        <w:tc>
          <w:tcPr>
            <w:tcW w:w="548" w:type="pct"/>
          </w:tcPr>
          <w:p w14:paraId="2011389C" w14:textId="0C72587B" w:rsidR="005C6E92" w:rsidRPr="005C3FE9" w:rsidRDefault="005C6E92" w:rsidP="00144E6A">
            <w:pPr>
              <w:suppressAutoHyphens/>
              <w:rPr>
                <w:rFonts w:ascii="Times New Roman" w:eastAsia="Times New Roman" w:hAnsi="Times New Roman"/>
                <w:spacing w:val="-3"/>
                <w:lang w:val="en-GB"/>
              </w:rPr>
            </w:pPr>
            <w:r w:rsidRPr="005C3FE9">
              <w:rPr>
                <w:rFonts w:ascii="Times New Roman" w:eastAsia="Times New Roman" w:hAnsi="Times New Roman"/>
                <w:spacing w:val="-3"/>
                <w:lang w:val="en-GB"/>
              </w:rPr>
              <w:t>(</w:t>
            </w:r>
            <w:r w:rsidR="00F60E30">
              <w:rPr>
                <w:rFonts w:ascii="Times New Roman" w:hAnsi="Times New Roman"/>
                <w:spacing w:val="-3"/>
                <w:lang w:val="en-GB"/>
              </w:rPr>
              <w:t>7</w:t>
            </w:r>
            <w:r w:rsidRPr="005C3FE9">
              <w:rPr>
                <w:rFonts w:ascii="Times New Roman" w:eastAsia="Times New Roman" w:hAnsi="Times New Roman"/>
                <w:spacing w:val="-3"/>
                <w:lang w:val="en-GB"/>
              </w:rPr>
              <w:t>)</w:t>
            </w:r>
          </w:p>
        </w:tc>
      </w:tr>
    </w:tbl>
    <w:p w14:paraId="7F485D84" w14:textId="46F33C44" w:rsidR="0074668E" w:rsidRPr="005C3FE9" w:rsidRDefault="003423BE" w:rsidP="0074668E">
      <w:pPr>
        <w:rPr>
          <w:lang w:val="en-GB"/>
        </w:rPr>
      </w:pPr>
      <w:r w:rsidRPr="005C3FE9">
        <w:rPr>
          <w:lang w:val="en-US" w:eastAsia="en-US"/>
        </w:rPr>
        <w:t xml:space="preserve">Therefore, each cycle begins and ends at the same acid concentration and (approximately) the </w:t>
      </w:r>
      <w:r w:rsidR="00474D2D" w:rsidRPr="005C3FE9">
        <w:rPr>
          <w:lang w:val="en-US" w:eastAsia="en-US"/>
        </w:rPr>
        <w:t xml:space="preserve">same </w:t>
      </w:r>
      <w:r w:rsidRPr="005C3FE9">
        <w:rPr>
          <w:lang w:val="en-US" w:eastAsia="en-US"/>
        </w:rPr>
        <w:t>base</w:t>
      </w:r>
      <w:r w:rsidR="00474D2D" w:rsidRPr="005C3FE9">
        <w:rPr>
          <w:lang w:val="en-US" w:eastAsia="en-US"/>
        </w:rPr>
        <w:t xml:space="preserve"> concentration</w:t>
      </w:r>
      <w:r w:rsidRPr="005C3FE9">
        <w:rPr>
          <w:lang w:val="en-US" w:eastAsia="en-US"/>
        </w:rPr>
        <w:t xml:space="preserve">. </w:t>
      </w:r>
      <w:r w:rsidR="0074668E" w:rsidRPr="005C3FE9">
        <w:rPr>
          <w:lang w:val="en-GB"/>
        </w:rPr>
        <w:t xml:space="preserve">The acid concentration targets are representative of the </w:t>
      </w:r>
      <w:r w:rsidR="00206B06">
        <w:rPr>
          <w:lang w:val="en-GB"/>
        </w:rPr>
        <w:t xml:space="preserve">maximum </w:t>
      </w:r>
      <w:r w:rsidR="0074668E" w:rsidRPr="005C3FE9">
        <w:rPr>
          <w:lang w:val="en-GB"/>
        </w:rPr>
        <w:t>state of charge of the battery. For example, the state of charge may be 0% when the concentration reaches 0 M HCl and 100% when it reaches 1 M HCl.</w:t>
      </w:r>
    </w:p>
    <w:p w14:paraId="4B3FBB2D" w14:textId="411C2FF7" w:rsidR="00740010" w:rsidRPr="005C3FE9" w:rsidRDefault="00740010" w:rsidP="00740010">
      <w:pPr>
        <w:rPr>
          <w:lang w:val="en-GB" w:eastAsia="en-US" w:bidi="en-US"/>
        </w:rPr>
      </w:pPr>
      <w:r w:rsidRPr="005C3FE9">
        <w:rPr>
          <w:lang w:val="en-GB" w:eastAsia="en-US" w:bidi="en-US"/>
        </w:rPr>
        <w:t>A multi-objective optimi</w:t>
      </w:r>
      <w:r w:rsidR="008A0EAC">
        <w:rPr>
          <w:lang w:val="en-GB" w:eastAsia="en-US" w:bidi="en-US"/>
        </w:rPr>
        <w:t>s</w:t>
      </w:r>
      <w:r w:rsidRPr="005C3FE9">
        <w:rPr>
          <w:lang w:val="en-GB" w:eastAsia="en-US" w:bidi="en-US"/>
        </w:rPr>
        <w:t>ation problem may be generally defined as the minimi</w:t>
      </w:r>
      <w:r w:rsidR="008A0EAC">
        <w:rPr>
          <w:lang w:val="en-GB" w:eastAsia="en-US" w:bidi="en-US"/>
        </w:rPr>
        <w:t>s</w:t>
      </w:r>
      <w:r w:rsidRPr="005C3FE9">
        <w:rPr>
          <w:lang w:val="en-GB" w:eastAsia="en-US" w:bidi="en-US"/>
        </w:rPr>
        <w:t>ation (or the maximi</w:t>
      </w:r>
      <w:r w:rsidR="008A0EAC">
        <w:rPr>
          <w:lang w:val="en-GB" w:eastAsia="en-US" w:bidi="en-US"/>
        </w:rPr>
        <w:t>s</w:t>
      </w:r>
      <w:r w:rsidRPr="005C3FE9">
        <w:rPr>
          <w:lang w:val="en-GB" w:eastAsia="en-US" w:bidi="en-US"/>
        </w:rPr>
        <w:t xml:space="preserve">ation) of a vector of objective functions </w:t>
      </w:r>
      <w:r w:rsidRPr="005C3FE9">
        <w:rPr>
          <w:lang w:val="en-GB" w:eastAsia="en-US" w:bidi="en-US"/>
        </w:rPr>
        <w:fldChar w:fldCharType="begin" w:fldLock="1"/>
      </w:r>
      <w:r w:rsidR="00E77EC7">
        <w:rPr>
          <w:lang w:val="en-GB" w:eastAsia="en-US" w:bidi="en-US"/>
        </w:rPr>
        <w:instrText>ADDIN CSL_CITATION {"citationItems":[{"id":"ITEM-1","itemData":{"DOI":"10.1016/j.energy.2017.02.174","ISSN":"03605442","abstract":"Multi-objective optimization problems are difficult to solve in that the optimized objectives are usually conflicting with each other. It is usually hard to find an optimal solution that satisfies all objectives from the mathematical point of view. Unlike analytical methods and classical numerical methods, which require strict mathematical calculation or defined initial search values, intelligent optimization algorithms are heuristic algorithms able to find global optimal solutions. In this paper, we make a brief introduction of multi-objective optimization problems and some state-of-the-art intelligent algorithms. In order to get the final optimal solution in the real-world multi-objective optimization problems, trade-off methods including a priori methods, interactive methods, Pareto-dominated methods and new dominance methods are utilized. Moreover, we give a review of multi-objective optimization methods application in the environmental protection fields, for optimization objectives of energy saving, emissions reduction and cost reduction, etc. At last, a whole summary about current difficulties existed in the multi-objective optimization problem is given out, serving as suggestions or guidance for future researches.","author":[{"dropping-particle":"","family":"Cui","given":"Yunfei","non-dropping-particle":"","parse-names":false,"suffix":""},{"dropping-particle":"","family":"Geng","given":"Zhiqiang","non-dropping-particle":"","parse-names":false,"suffix":""},{"dropping-particle":"","family":"Zhu","given":"Qunxiong","non-dropping-particle":"","parse-names":false,"suffix":""},{"dropping-particle":"","family":"Han","given":"Yongming","non-dropping-particle":"","parse-names":false,"suffix":""}],"container-title":"Energy","id":"ITEM-1","issued":{"date-parts":[["2017"]]},"page":"681-704","publisher":"Elsevier Ltd","title":"Review: Multi-objective optimization methods and application in energy saving","type":"article-journal","volume":"125"},"uris":["http://www.mendeley.com/documents/?uuid=6896dc20-5e58-42e0-8390-69e08b65e22b","http://www.mendeley.com/documents/?uuid=90cd5ce1-3e35-4ac5-9bf6-81e757e619b4"]}],"mendeley":{"formattedCitation":"[35]","plainTextFormattedCitation":"[35]","previouslyFormattedCitation":"[35]"},"properties":{"noteIndex":0},"schema":"https://github.com/citation-style-language/schema/raw/master/csl-citation.json"}</w:instrText>
      </w:r>
      <w:r w:rsidRPr="005C3FE9">
        <w:rPr>
          <w:lang w:val="en-GB" w:eastAsia="en-US" w:bidi="en-US"/>
        </w:rPr>
        <w:fldChar w:fldCharType="separate"/>
      </w:r>
      <w:r w:rsidR="004319C3" w:rsidRPr="004319C3">
        <w:rPr>
          <w:noProof/>
          <w:lang w:val="en-GB" w:eastAsia="en-US" w:bidi="en-US"/>
        </w:rPr>
        <w:t>[35]</w:t>
      </w:r>
      <w:r w:rsidRPr="005C3FE9">
        <w:rPr>
          <w:lang w:val="en-GB" w:eastAsia="en-US" w:bidi="en-US"/>
        </w:rPr>
        <w:fldChar w:fldCharType="end"/>
      </w:r>
      <w:r w:rsidRPr="005C3FE9">
        <w:rPr>
          <w:lang w:val="en-GB" w:eastAsia="en-US" w:bidi="en-US"/>
        </w:rPr>
        <w:t xml:space="preserve">: </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4"/>
        <w:gridCol w:w="7787"/>
        <w:gridCol w:w="1177"/>
      </w:tblGrid>
      <w:tr w:rsidR="007E0D97" w:rsidRPr="005C3FE9" w14:paraId="20E4B2CA" w14:textId="77777777" w:rsidTr="00237342">
        <w:trPr>
          <w:trHeight w:val="492"/>
        </w:trPr>
        <w:tc>
          <w:tcPr>
            <w:tcW w:w="437" w:type="pct"/>
          </w:tcPr>
          <w:p w14:paraId="0E1B693F" w14:textId="77777777" w:rsidR="007E0D97" w:rsidRPr="005C3FE9" w:rsidRDefault="007E0D97" w:rsidP="0072101F">
            <w:pPr>
              <w:suppressAutoHyphens/>
              <w:rPr>
                <w:rFonts w:ascii="Times New Roman" w:eastAsia="Times New Roman" w:hAnsi="Times New Roman"/>
                <w:spacing w:val="-3"/>
                <w:lang w:val="en-GB"/>
              </w:rPr>
            </w:pPr>
          </w:p>
        </w:tc>
        <w:tc>
          <w:tcPr>
            <w:tcW w:w="4127" w:type="pct"/>
          </w:tcPr>
          <w:p w14:paraId="4CA14E3B" w14:textId="360FB0F4" w:rsidR="007E0D97" w:rsidRPr="005C3FE9" w:rsidRDefault="007E0D97" w:rsidP="0072101F">
            <w:pPr>
              <w:suppressAutoHyphens/>
              <w:rPr>
                <w:rFonts w:ascii="Times New Roman" w:eastAsia="Times New Roman" w:hAnsi="Times New Roman"/>
                <w:spacing w:val="-3"/>
                <w:lang w:val="en-GB"/>
              </w:rPr>
            </w:pPr>
            <m:oMath>
              <m:r>
                <w:rPr>
                  <w:rFonts w:ascii="Cambria Math" w:hAnsi="Cambria Math"/>
                  <w:lang w:val="en-GB"/>
                </w:rPr>
                <m:t>max</m:t>
              </m:r>
              <m:d>
                <m:dPr>
                  <m:begChr m:val="{"/>
                  <m:endChr m:val="}"/>
                  <m:ctrlPr>
                    <w:rPr>
                      <w:rFonts w:ascii="Cambria Math" w:hAnsi="Cambria Math"/>
                      <w:i/>
                      <w:lang w:val="en-GB"/>
                    </w:rPr>
                  </m:ctrlPr>
                </m:dPr>
                <m:e>
                  <m:r>
                    <w:rPr>
                      <w:rFonts w:ascii="Cambria Math" w:hAnsi="Cambria Math"/>
                      <w:lang w:val="en-GB"/>
                    </w:rPr>
                    <m:t>f(</m:t>
                  </m:r>
                  <m:r>
                    <m:rPr>
                      <m:sty m:val="bi"/>
                    </m:rPr>
                    <w:rPr>
                      <w:rFonts w:ascii="Cambria Math" w:hAnsi="Cambria Math"/>
                      <w:lang w:val="en-GB"/>
                    </w:rPr>
                    <m:t>x</m:t>
                  </m:r>
                  <m:r>
                    <w:rPr>
                      <w:rFonts w:ascii="Cambria Math" w:hAnsi="Cambria Math"/>
                      <w:lang w:val="en-GB"/>
                    </w:rPr>
                    <m:t>)</m:t>
                  </m:r>
                </m:e>
              </m:d>
              <m:r>
                <w:rPr>
                  <w:rFonts w:ascii="Cambria Math" w:hAnsi="Cambria Math"/>
                  <w:lang w:val="en-GB"/>
                </w:rPr>
                <m:t>↔min</m:t>
              </m:r>
              <m:d>
                <m:dPr>
                  <m:begChr m:val="{"/>
                  <m:endChr m:val="}"/>
                  <m:ctrlPr>
                    <w:rPr>
                      <w:rFonts w:ascii="Cambria Math" w:hAnsi="Cambria Math"/>
                      <w:i/>
                      <w:lang w:val="en-GB"/>
                    </w:rPr>
                  </m:ctrlPr>
                </m:dPr>
                <m:e>
                  <m:r>
                    <w:rPr>
                      <w:rFonts w:ascii="Cambria Math" w:hAnsi="Cambria Math"/>
                      <w:lang w:val="en-GB"/>
                    </w:rPr>
                    <m:t>-f(</m:t>
                  </m:r>
                  <m:r>
                    <m:rPr>
                      <m:sty m:val="bi"/>
                    </m:rPr>
                    <w:rPr>
                      <w:rFonts w:ascii="Cambria Math" w:hAnsi="Cambria Math"/>
                      <w:lang w:val="en-GB"/>
                    </w:rPr>
                    <m:t>x</m:t>
                  </m:r>
                  <m:r>
                    <w:rPr>
                      <w:rFonts w:ascii="Cambria Math" w:hAnsi="Cambria Math"/>
                      <w:lang w:val="en-GB"/>
                    </w:rPr>
                    <m:t>)</m:t>
                  </m:r>
                </m:e>
              </m:d>
            </m:oMath>
            <w:r w:rsidRPr="005C3FE9">
              <w:rPr>
                <w:rFonts w:ascii="Times New Roman" w:eastAsia="Times New Roman" w:hAnsi="Times New Roman"/>
                <w:lang w:val="en-GB"/>
              </w:rPr>
              <w:t xml:space="preserve"> </w:t>
            </w:r>
          </w:p>
        </w:tc>
        <w:tc>
          <w:tcPr>
            <w:tcW w:w="437" w:type="pct"/>
          </w:tcPr>
          <w:p w14:paraId="63431E0D" w14:textId="18B272C9" w:rsidR="007E0D97" w:rsidRPr="005C3FE9" w:rsidRDefault="007E0D97" w:rsidP="0072101F">
            <w:pPr>
              <w:suppressAutoHyphens/>
              <w:rPr>
                <w:rFonts w:ascii="Times New Roman" w:eastAsia="Times New Roman" w:hAnsi="Times New Roman"/>
                <w:spacing w:val="-3"/>
                <w:lang w:val="en-GB"/>
              </w:rPr>
            </w:pPr>
            <w:r w:rsidRPr="005C3FE9">
              <w:rPr>
                <w:rFonts w:ascii="Times New Roman" w:eastAsia="Times New Roman" w:hAnsi="Times New Roman"/>
                <w:spacing w:val="-3"/>
                <w:lang w:val="en-GB"/>
              </w:rPr>
              <w:t>(</w:t>
            </w:r>
            <w:r w:rsidR="00C87BD3">
              <w:rPr>
                <w:rFonts w:ascii="Times New Roman" w:hAnsi="Times New Roman"/>
                <w:spacing w:val="-3"/>
                <w:lang w:val="en-GB"/>
              </w:rPr>
              <w:t>8</w:t>
            </w:r>
            <w:r w:rsidRPr="005C3FE9">
              <w:rPr>
                <w:rFonts w:ascii="Times New Roman" w:eastAsia="Times New Roman" w:hAnsi="Times New Roman"/>
                <w:spacing w:val="-3"/>
                <w:lang w:val="en-GB"/>
              </w:rPr>
              <w:t>)</w:t>
            </w:r>
          </w:p>
        </w:tc>
      </w:tr>
      <w:tr w:rsidR="007E0D97" w:rsidRPr="005C3FE9" w14:paraId="2A730511" w14:textId="77777777" w:rsidTr="00237342">
        <w:trPr>
          <w:trHeight w:val="492"/>
        </w:trPr>
        <w:tc>
          <w:tcPr>
            <w:tcW w:w="437" w:type="pct"/>
          </w:tcPr>
          <w:p w14:paraId="1F03CA5C" w14:textId="77777777" w:rsidR="007E0D97" w:rsidRPr="005C3FE9" w:rsidRDefault="007E0D97" w:rsidP="0072101F">
            <w:pPr>
              <w:suppressAutoHyphens/>
              <w:rPr>
                <w:rFonts w:ascii="Times New Roman" w:eastAsia="Times New Roman" w:hAnsi="Times New Roman"/>
                <w:spacing w:val="-3"/>
                <w:lang w:val="en-GB"/>
              </w:rPr>
            </w:pPr>
          </w:p>
        </w:tc>
        <w:tc>
          <w:tcPr>
            <w:tcW w:w="4127" w:type="pct"/>
          </w:tcPr>
          <w:p w14:paraId="6F77002A" w14:textId="72255D2A" w:rsidR="007E0D97" w:rsidRPr="005C3FE9" w:rsidRDefault="007E0D97" w:rsidP="0072101F">
            <w:pPr>
              <w:suppressAutoHyphens/>
              <w:rPr>
                <w:rFonts w:ascii="Times New Roman" w:eastAsia="Times New Roman" w:hAnsi="Times New Roman"/>
                <w:spacing w:val="-3"/>
                <w:lang w:val="en-GB"/>
              </w:rPr>
            </w:pPr>
            <m:oMath>
              <m:r>
                <w:rPr>
                  <w:rFonts w:ascii="Cambria Math" w:hAnsi="Cambria Math"/>
                  <w:lang w:val="en-GB"/>
                </w:rPr>
                <m:t>f</m:t>
              </m:r>
              <m:d>
                <m:dPr>
                  <m:ctrlPr>
                    <w:rPr>
                      <w:rFonts w:ascii="Cambria Math" w:hAnsi="Cambria Math"/>
                      <w:i/>
                      <w:lang w:val="en-GB"/>
                    </w:rPr>
                  </m:ctrlPr>
                </m:dPr>
                <m:e>
                  <m:r>
                    <m:rPr>
                      <m:sty m:val="bi"/>
                    </m:rPr>
                    <w:rPr>
                      <w:rFonts w:ascii="Cambria Math" w:hAnsi="Cambria Math"/>
                      <w:lang w:val="en-GB"/>
                    </w:rPr>
                    <m:t>x</m:t>
                  </m:r>
                </m:e>
              </m:d>
              <m:r>
                <w:rPr>
                  <w:rFonts w:ascii="Cambria Math" w:hAnsi="Cambria Math"/>
                  <w:lang w:val="en-GB"/>
                </w:rPr>
                <m:t>=</m:t>
              </m:r>
              <m:sSup>
                <m:sSupPr>
                  <m:ctrlPr>
                    <w:rPr>
                      <w:rFonts w:ascii="Cambria Math" w:hAnsi="Cambria Math"/>
                      <w:i/>
                      <w:lang w:val="en-GB"/>
                    </w:rPr>
                  </m:ctrlPr>
                </m:sSupPr>
                <m:e>
                  <m:d>
                    <m:dPr>
                      <m:begChr m:val="["/>
                      <m:endChr m:val="]"/>
                      <m:ctrlPr>
                        <w:rPr>
                          <w:rFonts w:ascii="Cambria Math" w:hAnsi="Cambria Math"/>
                          <w:i/>
                          <w:lang w:val="en-GB"/>
                        </w:rPr>
                      </m:ctrlPr>
                    </m:dPr>
                    <m:e>
                      <m:sSub>
                        <m:sSubPr>
                          <m:ctrlPr>
                            <w:rPr>
                              <w:rFonts w:ascii="Cambria Math" w:hAnsi="Cambria Math"/>
                              <w:i/>
                              <w:lang w:val="en-GB"/>
                            </w:rPr>
                          </m:ctrlPr>
                        </m:sSubPr>
                        <m:e>
                          <m:r>
                            <w:rPr>
                              <w:rFonts w:ascii="Cambria Math" w:hAnsi="Cambria Math"/>
                              <w:lang w:val="en-GB"/>
                            </w:rPr>
                            <m:t>f</m:t>
                          </m:r>
                        </m:e>
                        <m:sub>
                          <m:r>
                            <w:rPr>
                              <w:rFonts w:ascii="Cambria Math" w:hAnsi="Cambria Math"/>
                              <w:lang w:val="en-GB"/>
                            </w:rPr>
                            <m:t>1</m:t>
                          </m:r>
                        </m:sub>
                      </m:sSub>
                      <m:d>
                        <m:dPr>
                          <m:ctrlPr>
                            <w:rPr>
                              <w:rFonts w:ascii="Cambria Math" w:hAnsi="Cambria Math"/>
                              <w:i/>
                              <w:lang w:val="en-GB"/>
                            </w:rPr>
                          </m:ctrlPr>
                        </m:dPr>
                        <m:e>
                          <m:r>
                            <m:rPr>
                              <m:sty m:val="bi"/>
                            </m:rPr>
                            <w:rPr>
                              <w:rFonts w:ascii="Cambria Math" w:hAnsi="Cambria Math"/>
                              <w:lang w:val="en-GB"/>
                            </w:rPr>
                            <m:t>x</m:t>
                          </m:r>
                        </m:e>
                      </m:d>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f</m:t>
                          </m:r>
                        </m:e>
                        <m:sub>
                          <m:r>
                            <w:rPr>
                              <w:rFonts w:ascii="Cambria Math" w:hAnsi="Cambria Math"/>
                              <w:lang w:val="en-GB"/>
                            </w:rPr>
                            <m:t>2</m:t>
                          </m:r>
                        </m:sub>
                      </m:sSub>
                      <m:d>
                        <m:dPr>
                          <m:ctrlPr>
                            <w:rPr>
                              <w:rFonts w:ascii="Cambria Math" w:hAnsi="Cambria Math"/>
                              <w:i/>
                              <w:lang w:val="en-GB"/>
                            </w:rPr>
                          </m:ctrlPr>
                        </m:dPr>
                        <m:e>
                          <m:r>
                            <m:rPr>
                              <m:sty m:val="bi"/>
                            </m:rPr>
                            <w:rPr>
                              <w:rFonts w:ascii="Cambria Math" w:hAnsi="Cambria Math"/>
                              <w:lang w:val="en-GB"/>
                            </w:rPr>
                            <m:t>x</m:t>
                          </m:r>
                        </m:e>
                      </m:d>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f</m:t>
                          </m:r>
                        </m:e>
                        <m:sub>
                          <m:r>
                            <w:rPr>
                              <w:rFonts w:ascii="Cambria Math" w:hAnsi="Cambria Math"/>
                              <w:lang w:val="en-GB"/>
                            </w:rPr>
                            <m:t>m</m:t>
                          </m:r>
                        </m:sub>
                      </m:sSub>
                      <m:d>
                        <m:dPr>
                          <m:ctrlPr>
                            <w:rPr>
                              <w:rFonts w:ascii="Cambria Math" w:hAnsi="Cambria Math"/>
                              <w:i/>
                              <w:lang w:val="en-GB"/>
                            </w:rPr>
                          </m:ctrlPr>
                        </m:dPr>
                        <m:e>
                          <m:r>
                            <m:rPr>
                              <m:sty m:val="bi"/>
                            </m:rPr>
                            <w:rPr>
                              <w:rFonts w:ascii="Cambria Math" w:hAnsi="Cambria Math"/>
                              <w:lang w:val="en-GB"/>
                            </w:rPr>
                            <m:t>x</m:t>
                          </m:r>
                        </m:e>
                      </m:d>
                    </m:e>
                  </m:d>
                </m:e>
                <m:sup>
                  <m:r>
                    <w:rPr>
                      <w:rFonts w:ascii="Cambria Math" w:hAnsi="Cambria Math"/>
                      <w:lang w:val="en-GB"/>
                    </w:rPr>
                    <m:t>T</m:t>
                  </m:r>
                </m:sup>
              </m:sSup>
            </m:oMath>
            <w:r w:rsidRPr="005C3FE9">
              <w:rPr>
                <w:rFonts w:ascii="Times New Roman" w:eastAsia="Times New Roman" w:hAnsi="Times New Roman"/>
                <w:lang w:val="en-GB"/>
              </w:rPr>
              <w:t xml:space="preserve"> </w:t>
            </w:r>
          </w:p>
        </w:tc>
        <w:tc>
          <w:tcPr>
            <w:tcW w:w="437" w:type="pct"/>
          </w:tcPr>
          <w:p w14:paraId="434E35CE" w14:textId="04C0CA15" w:rsidR="007E0D97" w:rsidRPr="005C3FE9" w:rsidRDefault="007E0D97" w:rsidP="0072101F">
            <w:pPr>
              <w:suppressAutoHyphens/>
              <w:rPr>
                <w:rFonts w:ascii="Times New Roman" w:eastAsia="Times New Roman" w:hAnsi="Times New Roman"/>
                <w:spacing w:val="-3"/>
                <w:lang w:val="en-GB"/>
              </w:rPr>
            </w:pPr>
            <w:r w:rsidRPr="005C3FE9">
              <w:rPr>
                <w:rFonts w:ascii="Times New Roman" w:eastAsia="Times New Roman" w:hAnsi="Times New Roman"/>
                <w:spacing w:val="-3"/>
                <w:lang w:val="en-GB"/>
              </w:rPr>
              <w:t>(</w:t>
            </w:r>
            <w:r w:rsidR="00C87BD3">
              <w:rPr>
                <w:rFonts w:ascii="Times New Roman" w:hAnsi="Times New Roman"/>
                <w:spacing w:val="-3"/>
                <w:lang w:val="en-GB"/>
              </w:rPr>
              <w:t>9</w:t>
            </w:r>
            <w:r w:rsidRPr="005C3FE9">
              <w:rPr>
                <w:rFonts w:ascii="Times New Roman" w:eastAsia="Times New Roman" w:hAnsi="Times New Roman"/>
                <w:spacing w:val="-3"/>
                <w:lang w:val="en-GB"/>
              </w:rPr>
              <w:t>)</w:t>
            </w:r>
          </w:p>
        </w:tc>
      </w:tr>
      <w:tr w:rsidR="007E0D97" w:rsidRPr="005C3FE9" w14:paraId="41000A11" w14:textId="77777777" w:rsidTr="00237342">
        <w:trPr>
          <w:trHeight w:val="492"/>
        </w:trPr>
        <w:tc>
          <w:tcPr>
            <w:tcW w:w="437" w:type="pct"/>
          </w:tcPr>
          <w:p w14:paraId="0CF34A2B" w14:textId="77777777" w:rsidR="007E0D97" w:rsidRPr="005C3FE9" w:rsidRDefault="007E0D97" w:rsidP="0072101F">
            <w:pPr>
              <w:suppressAutoHyphens/>
              <w:rPr>
                <w:rFonts w:ascii="Times New Roman" w:eastAsia="Times New Roman" w:hAnsi="Times New Roman"/>
                <w:spacing w:val="-3"/>
                <w:lang w:val="en-GB"/>
              </w:rPr>
            </w:pPr>
          </w:p>
        </w:tc>
        <w:tc>
          <w:tcPr>
            <w:tcW w:w="4127" w:type="pct"/>
          </w:tcPr>
          <w:p w14:paraId="6C711269" w14:textId="557ACA39" w:rsidR="007E0D97" w:rsidRPr="005C3FE9" w:rsidRDefault="007E0D97" w:rsidP="0072101F">
            <w:pPr>
              <w:suppressAutoHyphens/>
              <w:rPr>
                <w:rFonts w:ascii="Times New Roman" w:eastAsia="Times New Roman" w:hAnsi="Times New Roman"/>
                <w:spacing w:val="-3"/>
                <w:lang w:val="en-GB"/>
              </w:rPr>
            </w:pPr>
            <m:oMath>
              <m:r>
                <m:rPr>
                  <m:sty m:val="p"/>
                </m:rPr>
                <w:rPr>
                  <w:rFonts w:ascii="Cambria Math" w:hAnsi="Cambria Math"/>
                  <w:lang w:val="en-GB"/>
                </w:rPr>
                <m:t xml:space="preserve"> </m:t>
              </m:r>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g</m:t>
                  </m:r>
                </m:e>
                <m:sub>
                  <m:r>
                    <w:rPr>
                      <w:rFonts w:ascii="Cambria Math" w:hAnsi="Cambria Math"/>
                      <w:lang w:val="en-GB"/>
                    </w:rPr>
                    <m:t>i</m:t>
                  </m:r>
                </m:sub>
              </m:sSub>
              <m:d>
                <m:dPr>
                  <m:ctrlPr>
                    <w:rPr>
                      <w:rFonts w:ascii="Cambria Math" w:hAnsi="Cambria Math"/>
                      <w:i/>
                      <w:lang w:val="en-GB"/>
                    </w:rPr>
                  </m:ctrlPr>
                </m:dPr>
                <m:e>
                  <m:r>
                    <w:rPr>
                      <w:rFonts w:ascii="Cambria Math" w:hAnsi="Cambria Math"/>
                      <w:lang w:val="en-GB"/>
                    </w:rPr>
                    <m:t>x</m:t>
                  </m:r>
                </m:e>
              </m:d>
              <m:r>
                <w:rPr>
                  <w:rFonts w:ascii="Cambria Math" w:hAnsi="Cambria Math"/>
                  <w:lang w:val="en-GB"/>
                </w:rPr>
                <m:t>≤0 (i=1,2,…,p)</m:t>
              </m:r>
            </m:oMath>
            <w:r w:rsidRPr="005C3FE9">
              <w:rPr>
                <w:rFonts w:ascii="Times New Roman" w:eastAsia="Times New Roman" w:hAnsi="Times New Roman"/>
                <w:lang w:val="en-GB"/>
              </w:rPr>
              <w:t xml:space="preserve"> </w:t>
            </w:r>
          </w:p>
        </w:tc>
        <w:tc>
          <w:tcPr>
            <w:tcW w:w="437" w:type="pct"/>
          </w:tcPr>
          <w:p w14:paraId="48DC283A" w14:textId="0A8B0848" w:rsidR="007E0D97" w:rsidRPr="005C3FE9" w:rsidRDefault="007E0D97" w:rsidP="0072101F">
            <w:pPr>
              <w:suppressAutoHyphens/>
              <w:rPr>
                <w:rFonts w:ascii="Times New Roman" w:eastAsia="Times New Roman" w:hAnsi="Times New Roman"/>
                <w:spacing w:val="-3"/>
                <w:lang w:val="en-GB"/>
              </w:rPr>
            </w:pPr>
            <w:bookmarkStart w:id="7" w:name="_Ref114246987"/>
            <w:r w:rsidRPr="005C3FE9">
              <w:rPr>
                <w:rFonts w:ascii="Times New Roman" w:eastAsia="Times New Roman" w:hAnsi="Times New Roman"/>
                <w:spacing w:val="-3"/>
                <w:lang w:val="en-GB"/>
              </w:rPr>
              <w:t>(</w:t>
            </w:r>
            <w:r w:rsidR="00C87BD3">
              <w:rPr>
                <w:rFonts w:ascii="Times New Roman" w:hAnsi="Times New Roman"/>
                <w:spacing w:val="-3"/>
                <w:lang w:val="en-GB"/>
              </w:rPr>
              <w:t>10</w:t>
            </w:r>
            <w:r w:rsidRPr="005C3FE9">
              <w:rPr>
                <w:rFonts w:ascii="Times New Roman" w:eastAsia="Times New Roman" w:hAnsi="Times New Roman"/>
                <w:spacing w:val="-3"/>
                <w:lang w:val="en-GB"/>
              </w:rPr>
              <w:t>)</w:t>
            </w:r>
            <w:bookmarkEnd w:id="7"/>
          </w:p>
        </w:tc>
      </w:tr>
      <w:tr w:rsidR="007E0D97" w:rsidRPr="005C3FE9" w14:paraId="5284BD4B" w14:textId="77777777" w:rsidTr="00237342">
        <w:trPr>
          <w:trHeight w:val="492"/>
        </w:trPr>
        <w:tc>
          <w:tcPr>
            <w:tcW w:w="437" w:type="pct"/>
          </w:tcPr>
          <w:p w14:paraId="46E05445" w14:textId="77777777" w:rsidR="007E0D97" w:rsidRPr="005C3FE9" w:rsidRDefault="007E0D97" w:rsidP="0072101F">
            <w:pPr>
              <w:suppressAutoHyphens/>
              <w:rPr>
                <w:rFonts w:ascii="Times New Roman" w:eastAsia="Times New Roman" w:hAnsi="Times New Roman"/>
                <w:spacing w:val="-3"/>
                <w:lang w:val="en-GB"/>
              </w:rPr>
            </w:pPr>
          </w:p>
        </w:tc>
        <w:tc>
          <w:tcPr>
            <w:tcW w:w="4127" w:type="pct"/>
          </w:tcPr>
          <w:p w14:paraId="270DB1FC" w14:textId="5CC8A9BF" w:rsidR="007E0D97" w:rsidRPr="005C3FE9" w:rsidRDefault="00000000" w:rsidP="0072101F">
            <w:pPr>
              <w:suppressAutoHyphens/>
              <w:rPr>
                <w:rFonts w:ascii="Times New Roman" w:eastAsia="Times New Roman" w:hAnsi="Times New Roman"/>
                <w:spacing w:val="-3"/>
                <w:lang w:val="en-GB"/>
              </w:rPr>
            </w:pPr>
            <m:oMath>
              <m:sSub>
                <m:sSubPr>
                  <m:ctrlPr>
                    <w:rPr>
                      <w:rFonts w:ascii="Cambria Math" w:hAnsi="Cambria Math"/>
                      <w:i/>
                      <w:lang w:val="en-GB"/>
                    </w:rPr>
                  </m:ctrlPr>
                </m:sSubPr>
                <m:e>
                  <m:r>
                    <w:rPr>
                      <w:rFonts w:ascii="Cambria Math" w:hAnsi="Cambria Math"/>
                      <w:lang w:val="en-GB"/>
                    </w:rPr>
                    <m:t>h</m:t>
                  </m:r>
                </m:e>
                <m:sub>
                  <m:r>
                    <w:rPr>
                      <w:rFonts w:ascii="Cambria Math" w:hAnsi="Cambria Math"/>
                      <w:lang w:val="en-GB"/>
                    </w:rPr>
                    <m:t>k</m:t>
                  </m:r>
                </m:sub>
              </m:sSub>
              <m:d>
                <m:dPr>
                  <m:ctrlPr>
                    <w:rPr>
                      <w:rFonts w:ascii="Cambria Math" w:hAnsi="Cambria Math"/>
                      <w:i/>
                      <w:lang w:val="en-GB"/>
                    </w:rPr>
                  </m:ctrlPr>
                </m:dPr>
                <m:e>
                  <m:r>
                    <w:rPr>
                      <w:rFonts w:ascii="Cambria Math" w:hAnsi="Cambria Math"/>
                      <w:lang w:val="en-GB"/>
                    </w:rPr>
                    <m:t>x</m:t>
                  </m:r>
                </m:e>
              </m:d>
              <m:r>
                <w:rPr>
                  <w:rFonts w:ascii="Cambria Math" w:hAnsi="Cambria Math"/>
                  <w:lang w:val="en-GB"/>
                </w:rPr>
                <m:t>=0 (k=1,2,…,q)</m:t>
              </m:r>
            </m:oMath>
            <w:r w:rsidR="007E0D97" w:rsidRPr="005C3FE9">
              <w:rPr>
                <w:rFonts w:ascii="Times New Roman" w:eastAsia="Times New Roman" w:hAnsi="Times New Roman"/>
                <w:lang w:val="en-GB"/>
              </w:rPr>
              <w:t xml:space="preserve"> </w:t>
            </w:r>
          </w:p>
        </w:tc>
        <w:tc>
          <w:tcPr>
            <w:tcW w:w="437" w:type="pct"/>
          </w:tcPr>
          <w:p w14:paraId="5371DEFF" w14:textId="566EC571" w:rsidR="007E0D97" w:rsidRPr="005C3FE9" w:rsidRDefault="007E0D97" w:rsidP="0072101F">
            <w:pPr>
              <w:suppressAutoHyphens/>
              <w:rPr>
                <w:rFonts w:ascii="Times New Roman" w:eastAsia="Times New Roman" w:hAnsi="Times New Roman"/>
                <w:spacing w:val="-3"/>
                <w:lang w:val="en-GB"/>
              </w:rPr>
            </w:pPr>
            <w:bookmarkStart w:id="8" w:name="_Ref114246995"/>
            <w:r w:rsidRPr="005C3FE9">
              <w:rPr>
                <w:rFonts w:ascii="Times New Roman" w:eastAsia="Times New Roman" w:hAnsi="Times New Roman"/>
                <w:spacing w:val="-3"/>
                <w:lang w:val="en-GB"/>
              </w:rPr>
              <w:t>(</w:t>
            </w:r>
            <w:r w:rsidR="00FD0C59" w:rsidRPr="005C3FE9">
              <w:rPr>
                <w:rFonts w:ascii="Times New Roman" w:hAnsi="Times New Roman"/>
              </w:rPr>
              <w:t>1</w:t>
            </w:r>
            <w:r w:rsidR="00C87BD3">
              <w:rPr>
                <w:rFonts w:ascii="Times New Roman" w:hAnsi="Times New Roman"/>
              </w:rPr>
              <w:t>1</w:t>
            </w:r>
            <w:r w:rsidRPr="005C3FE9">
              <w:rPr>
                <w:rFonts w:ascii="Times New Roman" w:eastAsia="Times New Roman" w:hAnsi="Times New Roman"/>
                <w:spacing w:val="-3"/>
                <w:lang w:val="en-GB"/>
              </w:rPr>
              <w:t>)</w:t>
            </w:r>
            <w:bookmarkEnd w:id="8"/>
          </w:p>
        </w:tc>
      </w:tr>
      <w:tr w:rsidR="007E0D97" w:rsidRPr="005C3FE9" w14:paraId="32812222" w14:textId="77777777" w:rsidTr="00237342">
        <w:trPr>
          <w:trHeight w:val="492"/>
        </w:trPr>
        <w:tc>
          <w:tcPr>
            <w:tcW w:w="437" w:type="pct"/>
          </w:tcPr>
          <w:p w14:paraId="79CE0E64" w14:textId="77777777" w:rsidR="007E0D97" w:rsidRPr="005C3FE9" w:rsidRDefault="007E0D97" w:rsidP="0072101F">
            <w:pPr>
              <w:suppressAutoHyphens/>
              <w:rPr>
                <w:rFonts w:ascii="Times New Roman" w:eastAsia="Times New Roman" w:hAnsi="Times New Roman"/>
                <w:spacing w:val="-3"/>
                <w:lang w:val="en-GB"/>
              </w:rPr>
            </w:pPr>
          </w:p>
        </w:tc>
        <w:tc>
          <w:tcPr>
            <w:tcW w:w="4127" w:type="pct"/>
          </w:tcPr>
          <w:p w14:paraId="710AFAC7" w14:textId="179E5356" w:rsidR="007E0D97" w:rsidRPr="005C3FE9" w:rsidRDefault="00000000" w:rsidP="0072101F">
            <w:pPr>
              <w:suppressAutoHyphens/>
              <w:rPr>
                <w:rFonts w:ascii="Times New Roman" w:eastAsia="Times New Roman" w:hAnsi="Times New Roman"/>
                <w:spacing w:val="-3"/>
                <w:lang w:val="en-GB"/>
              </w:rPr>
            </w:pPr>
            <m:oMath>
              <m:sSubSup>
                <m:sSubSupPr>
                  <m:ctrlPr>
                    <w:rPr>
                      <w:rFonts w:ascii="Cambria Math" w:hAnsi="Cambria Math"/>
                      <w:i/>
                      <w:lang w:val="en-GB"/>
                    </w:rPr>
                  </m:ctrlPr>
                </m:sSubSupPr>
                <m:e>
                  <m:r>
                    <w:rPr>
                      <w:rFonts w:ascii="Cambria Math" w:hAnsi="Cambria Math"/>
                      <w:lang w:val="en-GB"/>
                    </w:rPr>
                    <m:t>x</m:t>
                  </m:r>
                </m:e>
                <m:sub>
                  <m:r>
                    <w:rPr>
                      <w:rFonts w:ascii="Cambria Math" w:hAnsi="Cambria Math"/>
                      <w:lang w:val="en-GB"/>
                    </w:rPr>
                    <m:t>i</m:t>
                  </m:r>
                </m:sub>
                <m:sup>
                  <m:r>
                    <w:rPr>
                      <w:rFonts w:ascii="Cambria Math" w:hAnsi="Cambria Math"/>
                      <w:lang w:val="en-GB"/>
                    </w:rPr>
                    <m:t>min</m:t>
                  </m:r>
                </m:sup>
              </m:sSubSup>
              <m:r>
                <w:rPr>
                  <w:rFonts w:ascii="Cambria Math" w:hAnsi="Cambria Math"/>
                  <w:lang w:val="en-GB"/>
                </w:rPr>
                <m:t>≤</m:t>
              </m:r>
              <m:sSub>
                <m:sSubPr>
                  <m:ctrlPr>
                    <w:rPr>
                      <w:rFonts w:ascii="Cambria Math" w:hAnsi="Cambria Math"/>
                      <w:i/>
                      <w:lang w:val="en-GB"/>
                    </w:rPr>
                  </m:ctrlPr>
                </m:sSubPr>
                <m:e>
                  <m:r>
                    <w:rPr>
                      <w:rFonts w:ascii="Cambria Math" w:hAnsi="Cambria Math"/>
                      <w:lang w:val="en-GB"/>
                    </w:rPr>
                    <m:t>x</m:t>
                  </m:r>
                </m:e>
                <m:sub>
                  <m:r>
                    <w:rPr>
                      <w:rFonts w:ascii="Cambria Math" w:hAnsi="Cambria Math"/>
                      <w:lang w:val="en-GB"/>
                    </w:rPr>
                    <m:t>i</m:t>
                  </m:r>
                </m:sub>
              </m:sSub>
              <m:r>
                <w:rPr>
                  <w:rFonts w:ascii="Cambria Math" w:hAnsi="Cambria Math"/>
                  <w:lang w:val="en-GB"/>
                </w:rPr>
                <m:t>≤</m:t>
              </m:r>
              <m:sSubSup>
                <m:sSubSupPr>
                  <m:ctrlPr>
                    <w:rPr>
                      <w:rFonts w:ascii="Cambria Math" w:hAnsi="Cambria Math"/>
                      <w:i/>
                      <w:lang w:val="en-GB"/>
                    </w:rPr>
                  </m:ctrlPr>
                </m:sSubSupPr>
                <m:e>
                  <m:r>
                    <w:rPr>
                      <w:rFonts w:ascii="Cambria Math" w:hAnsi="Cambria Math"/>
                      <w:lang w:val="en-GB"/>
                    </w:rPr>
                    <m:t>x</m:t>
                  </m:r>
                </m:e>
                <m:sub>
                  <m:r>
                    <w:rPr>
                      <w:rFonts w:ascii="Cambria Math" w:hAnsi="Cambria Math"/>
                      <w:lang w:val="en-GB"/>
                    </w:rPr>
                    <m:t>i</m:t>
                  </m:r>
                </m:sub>
                <m:sup>
                  <m:r>
                    <w:rPr>
                      <w:rFonts w:ascii="Cambria Math" w:hAnsi="Cambria Math"/>
                      <w:lang w:val="en-GB"/>
                    </w:rPr>
                    <m:t>max</m:t>
                  </m:r>
                </m:sup>
              </m:sSubSup>
              <m:r>
                <w:rPr>
                  <w:rFonts w:ascii="Cambria Math" w:hAnsi="Cambria Math"/>
                  <w:lang w:val="en-GB"/>
                </w:rPr>
                <m:t xml:space="preserve"> (i=1,2,…,n)</m:t>
              </m:r>
            </m:oMath>
            <w:r w:rsidR="007E0D97" w:rsidRPr="005C3FE9">
              <w:rPr>
                <w:rFonts w:ascii="Times New Roman" w:eastAsia="Times New Roman" w:hAnsi="Times New Roman"/>
                <w:lang w:val="en-GB"/>
              </w:rPr>
              <w:t xml:space="preserve"> </w:t>
            </w:r>
          </w:p>
        </w:tc>
        <w:tc>
          <w:tcPr>
            <w:tcW w:w="437" w:type="pct"/>
          </w:tcPr>
          <w:p w14:paraId="4D438639" w14:textId="00343057" w:rsidR="007E0D97" w:rsidRPr="005C3FE9" w:rsidRDefault="007E0D97" w:rsidP="0072101F">
            <w:pPr>
              <w:suppressAutoHyphens/>
              <w:rPr>
                <w:rFonts w:ascii="Times New Roman" w:eastAsia="Times New Roman" w:hAnsi="Times New Roman"/>
                <w:spacing w:val="-3"/>
                <w:lang w:val="en-GB"/>
              </w:rPr>
            </w:pPr>
            <w:bookmarkStart w:id="9" w:name="_Ref114246970"/>
            <w:r w:rsidRPr="005C3FE9">
              <w:rPr>
                <w:rFonts w:ascii="Times New Roman" w:eastAsia="Times New Roman" w:hAnsi="Times New Roman"/>
                <w:spacing w:val="-3"/>
                <w:lang w:val="en-GB"/>
              </w:rPr>
              <w:t>(</w:t>
            </w:r>
            <w:r w:rsidR="00FD0C59" w:rsidRPr="005C3FE9">
              <w:rPr>
                <w:rFonts w:ascii="Times New Roman" w:hAnsi="Times New Roman"/>
              </w:rPr>
              <w:t>1</w:t>
            </w:r>
            <w:r w:rsidR="00C87BD3">
              <w:rPr>
                <w:rFonts w:ascii="Times New Roman" w:hAnsi="Times New Roman"/>
              </w:rPr>
              <w:t>2</w:t>
            </w:r>
            <w:r w:rsidRPr="005C3FE9">
              <w:rPr>
                <w:rFonts w:ascii="Times New Roman" w:eastAsia="Times New Roman" w:hAnsi="Times New Roman"/>
                <w:spacing w:val="-3"/>
                <w:lang w:val="en-GB"/>
              </w:rPr>
              <w:t>)</w:t>
            </w:r>
            <w:bookmarkEnd w:id="9"/>
          </w:p>
        </w:tc>
      </w:tr>
    </w:tbl>
    <w:p w14:paraId="3850A741" w14:textId="0F930800" w:rsidR="00740010" w:rsidRPr="005C3FE9" w:rsidRDefault="00740010" w:rsidP="00740010">
      <w:pPr>
        <w:ind w:firstLine="0"/>
        <w:rPr>
          <w:lang w:val="en-US"/>
        </w:rPr>
      </w:pPr>
      <w:r w:rsidRPr="005C3FE9">
        <w:rPr>
          <w:lang w:val="en-GB" w:eastAsia="en-US" w:bidi="en-US"/>
        </w:rPr>
        <w:t xml:space="preserve">where </w:t>
      </w:r>
      <m:oMath>
        <m:r>
          <w:rPr>
            <w:rFonts w:ascii="Cambria Math" w:hAnsi="Cambria Math"/>
            <w:lang w:val="en-GB"/>
          </w:rPr>
          <m:t>f</m:t>
        </m:r>
      </m:oMath>
      <w:r w:rsidRPr="005C3FE9">
        <w:rPr>
          <w:lang w:val="en-GB"/>
        </w:rPr>
        <w:t xml:space="preserve"> is the objective functions vector, </w:t>
      </w:r>
      <m:oMath>
        <m:r>
          <m:rPr>
            <m:sty m:val="bi"/>
          </m:rPr>
          <w:rPr>
            <w:rFonts w:ascii="Cambria Math" w:hAnsi="Cambria Math"/>
            <w:lang w:val="en-GB"/>
          </w:rPr>
          <m:t>x</m:t>
        </m:r>
      </m:oMath>
      <w:r w:rsidRPr="005C3FE9">
        <w:rPr>
          <w:b/>
          <w:bCs/>
          <w:lang w:val="en-GB"/>
        </w:rPr>
        <w:t xml:space="preserve"> </w:t>
      </w:r>
      <w:r w:rsidRPr="005C3FE9">
        <w:rPr>
          <w:lang w:val="en-GB"/>
        </w:rPr>
        <w:t>is the vector of the decision variables falling within the interval between the lower and upper limits as in Eq.</w:t>
      </w:r>
      <w:r w:rsidR="00FD0C59" w:rsidRPr="005C3FE9">
        <w:rPr>
          <w:lang w:val="en-GB"/>
        </w:rPr>
        <w:t xml:space="preserve"> (1</w:t>
      </w:r>
      <w:r w:rsidR="00C87BD3">
        <w:rPr>
          <w:lang w:val="en-GB"/>
        </w:rPr>
        <w:t>2</w:t>
      </w:r>
      <w:r w:rsidR="00FD0C59" w:rsidRPr="005C3FE9">
        <w:rPr>
          <w:lang w:val="en-GB"/>
        </w:rPr>
        <w:t>)</w:t>
      </w:r>
      <w:r w:rsidRPr="005C3FE9">
        <w:rPr>
          <w:lang w:val="en-GB"/>
        </w:rPr>
        <w:t xml:space="preserve">. </w:t>
      </w:r>
      <w:proofErr w:type="spellStart"/>
      <w:r w:rsidRPr="005C3FE9">
        <w:rPr>
          <w:lang w:val="en-GB"/>
        </w:rPr>
        <w:t>Eqs</w:t>
      </w:r>
      <w:proofErr w:type="spellEnd"/>
      <w:r w:rsidRPr="005C3FE9">
        <w:rPr>
          <w:lang w:val="en-GB"/>
        </w:rPr>
        <w:t xml:space="preserve">. </w:t>
      </w:r>
      <w:r w:rsidR="00FD0C59" w:rsidRPr="005C3FE9">
        <w:rPr>
          <w:lang w:val="en-GB"/>
        </w:rPr>
        <w:t>(</w:t>
      </w:r>
      <w:r w:rsidR="00C87BD3">
        <w:rPr>
          <w:lang w:val="en-GB"/>
        </w:rPr>
        <w:t>10</w:t>
      </w:r>
      <w:r w:rsidR="00FD0C59" w:rsidRPr="005C3FE9">
        <w:rPr>
          <w:lang w:val="en-GB"/>
        </w:rPr>
        <w:t xml:space="preserve">) </w:t>
      </w:r>
      <w:r w:rsidRPr="005C3FE9">
        <w:rPr>
          <w:lang w:val="en-US"/>
        </w:rPr>
        <w:t xml:space="preserve">and </w:t>
      </w:r>
      <w:r w:rsidR="00FD0C59" w:rsidRPr="005C3FE9">
        <w:rPr>
          <w:lang w:val="en-GB"/>
        </w:rPr>
        <w:t>(1</w:t>
      </w:r>
      <w:r w:rsidR="00C87BD3">
        <w:rPr>
          <w:lang w:val="en-GB"/>
        </w:rPr>
        <w:t>1</w:t>
      </w:r>
      <w:r w:rsidR="00FD0C59" w:rsidRPr="005C3FE9">
        <w:rPr>
          <w:lang w:val="en-GB"/>
        </w:rPr>
        <w:t>)</w:t>
      </w:r>
      <w:r w:rsidRPr="005C3FE9">
        <w:rPr>
          <w:lang w:val="en-US"/>
        </w:rPr>
        <w:t xml:space="preserve"> denote </w:t>
      </w:r>
      <w:r w:rsidRPr="005C3FE9">
        <w:rPr>
          <w:i/>
          <w:iCs/>
          <w:lang w:val="en-US"/>
        </w:rPr>
        <w:t>p</w:t>
      </w:r>
      <w:r w:rsidRPr="005C3FE9">
        <w:rPr>
          <w:lang w:val="en-US"/>
        </w:rPr>
        <w:t xml:space="preserve">- inequalities and </w:t>
      </w:r>
      <w:r w:rsidRPr="005C3FE9">
        <w:rPr>
          <w:i/>
          <w:iCs/>
          <w:lang w:val="en-US"/>
        </w:rPr>
        <w:t>q</w:t>
      </w:r>
      <w:r w:rsidRPr="005C3FE9">
        <w:rPr>
          <w:lang w:val="en-US"/>
        </w:rPr>
        <w:t xml:space="preserve">-equalities constraints. </w:t>
      </w:r>
    </w:p>
    <w:p w14:paraId="4C7FE717" w14:textId="72FBDA7D" w:rsidR="007D765F" w:rsidRPr="005C3FE9" w:rsidRDefault="00740010" w:rsidP="00DB0AE1">
      <w:pPr>
        <w:rPr>
          <w:lang w:val="en-GB"/>
        </w:rPr>
      </w:pPr>
      <w:r w:rsidRPr="005C3FE9">
        <w:rPr>
          <w:lang w:val="en-GB"/>
        </w:rPr>
        <w:t xml:space="preserve">In this </w:t>
      </w:r>
      <w:r w:rsidR="00452AF9" w:rsidRPr="005C3FE9">
        <w:rPr>
          <w:lang w:val="en-GB"/>
        </w:rPr>
        <w:t>work</w:t>
      </w:r>
      <w:r w:rsidRPr="005C3FE9">
        <w:rPr>
          <w:lang w:val="en-GB"/>
        </w:rPr>
        <w:t xml:space="preserve">, </w:t>
      </w:r>
      <w:r w:rsidR="00452AF9" w:rsidRPr="005C3FE9">
        <w:rPr>
          <w:lang w:val="en-GB"/>
        </w:rPr>
        <w:t>bi-</w:t>
      </w:r>
      <w:r w:rsidRPr="005C3FE9">
        <w:rPr>
          <w:lang w:val="en-GB"/>
        </w:rPr>
        <w:t>objective optimi</w:t>
      </w:r>
      <w:r w:rsidR="008A0EAC">
        <w:rPr>
          <w:lang w:val="en-GB"/>
        </w:rPr>
        <w:t>s</w:t>
      </w:r>
      <w:r w:rsidRPr="005C3FE9">
        <w:rPr>
          <w:lang w:val="en-GB"/>
        </w:rPr>
        <w:t>ation problem</w:t>
      </w:r>
      <w:r w:rsidR="00452AF9" w:rsidRPr="005C3FE9">
        <w:rPr>
          <w:lang w:val="en-GB"/>
        </w:rPr>
        <w:t>s</w:t>
      </w:r>
      <w:r w:rsidRPr="005C3FE9">
        <w:rPr>
          <w:lang w:val="en-GB"/>
        </w:rPr>
        <w:t xml:space="preserve"> w</w:t>
      </w:r>
      <w:r w:rsidR="00452AF9" w:rsidRPr="005C3FE9">
        <w:rPr>
          <w:lang w:val="en-GB"/>
        </w:rPr>
        <w:t>ere</w:t>
      </w:r>
      <w:r w:rsidRPr="005C3FE9">
        <w:rPr>
          <w:lang w:val="en-GB"/>
        </w:rPr>
        <w:t xml:space="preserve"> solved by using the optimi</w:t>
      </w:r>
      <w:r w:rsidR="008A0EAC">
        <w:rPr>
          <w:lang w:val="en-GB"/>
        </w:rPr>
        <w:t>s</w:t>
      </w:r>
      <w:r w:rsidRPr="005C3FE9">
        <w:rPr>
          <w:lang w:val="en-GB"/>
        </w:rPr>
        <w:t xml:space="preserve">ation tool of </w:t>
      </w:r>
      <w:proofErr w:type="spellStart"/>
      <w:r w:rsidRPr="005C3FE9">
        <w:rPr>
          <w:lang w:val="en-GB"/>
        </w:rPr>
        <w:t>gPROMS</w:t>
      </w:r>
      <w:proofErr w:type="spellEnd"/>
      <w:r w:rsidRPr="005C3FE9">
        <w:rPr>
          <w:lang w:val="en-GB"/>
        </w:rPr>
        <w:t xml:space="preserve"> Model Builder</w:t>
      </w:r>
      <w:r w:rsidRPr="005C3FE9">
        <w:rPr>
          <w:vertAlign w:val="superscript"/>
          <w:lang w:val="en-GB"/>
        </w:rPr>
        <w:t>®</w:t>
      </w:r>
      <w:r w:rsidRPr="005C3FE9">
        <w:rPr>
          <w:lang w:val="en-GB"/>
        </w:rPr>
        <w:t>.</w:t>
      </w:r>
      <w:r w:rsidR="00DB0AE1" w:rsidRPr="005C3FE9">
        <w:rPr>
          <w:lang w:val="en-US"/>
        </w:rPr>
        <w:t xml:space="preserve"> </w:t>
      </w:r>
      <w:r w:rsidR="0074668E" w:rsidRPr="005C3FE9">
        <w:rPr>
          <w:lang w:val="en-US"/>
        </w:rPr>
        <w:t>S</w:t>
      </w:r>
      <w:proofErr w:type="spellStart"/>
      <w:r w:rsidRPr="005C3FE9">
        <w:rPr>
          <w:lang w:val="en-GB"/>
        </w:rPr>
        <w:t>ince</w:t>
      </w:r>
      <w:proofErr w:type="spellEnd"/>
      <w:r w:rsidRPr="005C3FE9">
        <w:rPr>
          <w:lang w:val="en-GB"/>
        </w:rPr>
        <w:t xml:space="preserve"> this software allows only to solve single-objective optimi</w:t>
      </w:r>
      <w:r w:rsidR="008A0EAC">
        <w:rPr>
          <w:lang w:val="en-GB"/>
        </w:rPr>
        <w:t>s</w:t>
      </w:r>
      <w:r w:rsidRPr="005C3FE9">
        <w:rPr>
          <w:lang w:val="en-GB"/>
        </w:rPr>
        <w:t>ation problems, the two-objective optimi</w:t>
      </w:r>
      <w:r w:rsidR="008A0EAC">
        <w:rPr>
          <w:lang w:val="en-GB"/>
        </w:rPr>
        <w:t>s</w:t>
      </w:r>
      <w:r w:rsidRPr="005C3FE9">
        <w:rPr>
          <w:lang w:val="en-GB"/>
        </w:rPr>
        <w:t xml:space="preserve">ation was performed by using the ε-constraint method. This method was proposed in 1971 by </w:t>
      </w:r>
      <w:proofErr w:type="spellStart"/>
      <w:r w:rsidRPr="005C3FE9">
        <w:rPr>
          <w:lang w:val="en-GB"/>
        </w:rPr>
        <w:t>Haimes</w:t>
      </w:r>
      <w:proofErr w:type="spellEnd"/>
      <w:r w:rsidRPr="005C3FE9">
        <w:rPr>
          <w:lang w:val="en-GB"/>
        </w:rPr>
        <w:t xml:space="preserve"> et al. </w:t>
      </w:r>
      <w:r w:rsidRPr="005C3FE9">
        <w:rPr>
          <w:lang w:val="en-GB"/>
        </w:rPr>
        <w:fldChar w:fldCharType="begin" w:fldLock="1"/>
      </w:r>
      <w:r w:rsidR="00E77EC7">
        <w:rPr>
          <w:lang w:val="en-GB"/>
        </w:rPr>
        <w:instrText>ADDIN CSL_CITATION {"citationItems":[{"id":"ITEM-1","itemData":{"DOI":"10.1109/TSMC.1971.4308298","ISSN":"0018-9472","abstract":"The bicriterion formation of the two problems and the epsilon- constraint formulation viewing the identification problem as a constraint to the optimization problem are introduced. The equivalence theorem relating these two formulations is presented and proved.","author":[{"dropping-particle":"","family":"Haimes","given":"Y.Y.","non-dropping-particle":"","parse-names":false,"suffix":""},{"dropping-particle":"","family":"Lasdon","given":"L.S.","non-dropping-particle":"","parse-names":false,"suffix":""},{"dropping-particle":"","family":"Wismer","given":"D.A.","non-dropping-particle":"","parse-names":false,"suffix":""}],"container-title":"IEEE Transactions on Systems, Man, and Cybernetics","id":"ITEM-1","issue":"3","issued":{"date-parts":[["1971","7"]]},"page":"296-297","title":"On a Bicriterion Formulation of the Problems of Integrated System Identification and System Optimization","type":"article-journal","volume":"SMC-1"},"uris":["http://www.mendeley.com/documents/?uuid=88a01bee-76f2-4d9b-827d-63b255056fdb","http://www.mendeley.com/documents/?uuid=68ba2623-c30e-48a4-aea8-a5ce22f5976a"]}],"mendeley":{"formattedCitation":"[36]","plainTextFormattedCitation":"[36]","previouslyFormattedCitation":"[36]"},"properties":{"noteIndex":0},"schema":"https://github.com/citation-style-language/schema/raw/master/csl-citation.json"}</w:instrText>
      </w:r>
      <w:r w:rsidRPr="005C3FE9">
        <w:rPr>
          <w:lang w:val="en-GB"/>
        </w:rPr>
        <w:fldChar w:fldCharType="separate"/>
      </w:r>
      <w:r w:rsidR="004319C3" w:rsidRPr="004319C3">
        <w:rPr>
          <w:noProof/>
          <w:lang w:val="en-GB"/>
        </w:rPr>
        <w:t>[36]</w:t>
      </w:r>
      <w:r w:rsidRPr="005C3FE9">
        <w:rPr>
          <w:lang w:val="en-GB"/>
        </w:rPr>
        <w:fldChar w:fldCharType="end"/>
      </w:r>
      <w:r w:rsidRPr="005C3FE9">
        <w:rPr>
          <w:lang w:val="en-GB"/>
        </w:rPr>
        <w:t xml:space="preserve">. </w:t>
      </w:r>
      <w:r w:rsidR="0074668E" w:rsidRPr="005C3FE9">
        <w:rPr>
          <w:lang w:val="en-GB"/>
        </w:rPr>
        <w:t>It</w:t>
      </w:r>
      <w:r w:rsidRPr="005C3FE9">
        <w:rPr>
          <w:lang w:val="en-GB"/>
        </w:rPr>
        <w:t xml:space="preserve"> allows to </w:t>
      </w:r>
      <w:r w:rsidR="0000103B">
        <w:rPr>
          <w:lang w:val="en-GB"/>
        </w:rPr>
        <w:t>use</w:t>
      </w:r>
      <w:r w:rsidR="0000103B" w:rsidRPr="005C3FE9">
        <w:rPr>
          <w:lang w:val="en-GB"/>
        </w:rPr>
        <w:t xml:space="preserve"> </w:t>
      </w:r>
      <w:r w:rsidRPr="005C3FE9">
        <w:rPr>
          <w:lang w:val="en-GB"/>
        </w:rPr>
        <w:t>a single-objective function, transforming the other functions in inequality constraints with its upper (or lower) bounds</w:t>
      </w:r>
      <w:r w:rsidR="00F468C3" w:rsidRPr="005C3FE9">
        <w:rPr>
          <w:lang w:val="en-GB"/>
        </w:rPr>
        <w:t xml:space="preserve"> </w:t>
      </w:r>
      <w:r w:rsidR="00F468C3" w:rsidRPr="005C3FE9">
        <w:rPr>
          <w:lang w:val="en-GB"/>
        </w:rPr>
        <w:fldChar w:fldCharType="begin" w:fldLock="1"/>
      </w:r>
      <w:r w:rsidR="00E77EC7">
        <w:rPr>
          <w:lang w:val="en-GB"/>
        </w:rPr>
        <w:instrText>ADDIN CSL_CITATION {"citationItems":[{"id":"ITEM-1","itemData":{"DOI":"10.1002/9781118341704","ISBN":"9781118341704","abstract":"Sensitivity analysis should be considered a pre-requisite for statistical model building in any scientific discipline where modelling takes place. For a non-expert, choosing the method of analysis for their model is complex, and depends on a number of factors. This book guides the non-expert through their problem in order to enable them to choose and apply the most appropriate method. It offers a review of the state-of-the-art in sensitivity analysis, and is suitable for a wide range of practitioners. It is focussed on the use of SIMLAB a widely distributed freely-available sensitivity analysis software package developed by the authors for solving problems in sensitivity analysis of statistical models. Other key features: Provides an accessible overview of the current most widely used methods for sensitivity analysis. Opens with a detailed worked example to explain the motivation behind the book. Includes a range of examples to help illustrate the concepts discussed. Focuses on implementation of the methods in the software SIMLAB - a freely-available sensitivity analysis software package developed by the authors. Contains a large number of references to sources for further reading. Authored by the leading authorities on sensitivity analysis. © 2013 John Wiley &amp; Sons, Ltd.","author":[{"dropping-particle":"","family":"Rangaiah","given":"Gade Pandu","non-dropping-particle":"","parse-names":false,"suffix":""},{"dropping-particle":"","family":"Bonilla-Petriciolet","given":"Adrián","non-dropping-particle":"","parse-names":false,"suffix":""}],"container-title":"Multi-Objective Optimization in Chemical Engineering: Developments and Applications","editor":[{"dropping-particle":"","family":"Rangaiah","given":"Gade Pandu","non-dropping-particle":"","parse-names":false,"suffix":""},{"dropping-particle":"","family":"Bonilla-Petriciolet","given":"Adrián","non-dropping-particle":"","parse-names":false,"suffix":""}],"id":"ITEM-1","issued":{"date-parts":[["2013","5","3"]]},"publisher":"John Wiley &amp; Sons Ltd","publisher-place":"Oxford, UK","title":"Multi-Objective Optimization in Chemical Engineering","type":"book"},"uris":["http://www.mendeley.com/documents/?uuid=9494af00-cf63-4d02-b9c0-8da0321f55c4","http://www.mendeley.com/documents/?uuid=a855ef84-5e20-4f25-91f3-631bffcf1614"]}],"mendeley":{"formattedCitation":"[37]","plainTextFormattedCitation":"[37]","previouslyFormattedCitation":"[37]"},"properties":{"noteIndex":0},"schema":"https://github.com/citation-style-language/schema/raw/master/csl-citation.json"}</w:instrText>
      </w:r>
      <w:r w:rsidR="00F468C3" w:rsidRPr="005C3FE9">
        <w:rPr>
          <w:lang w:val="en-GB"/>
        </w:rPr>
        <w:fldChar w:fldCharType="separate"/>
      </w:r>
      <w:r w:rsidR="004319C3" w:rsidRPr="004319C3">
        <w:rPr>
          <w:noProof/>
          <w:lang w:val="en-GB"/>
        </w:rPr>
        <w:t>[37]</w:t>
      </w:r>
      <w:r w:rsidR="00F468C3" w:rsidRPr="005C3FE9">
        <w:rPr>
          <w:lang w:val="en-GB"/>
        </w:rPr>
        <w:fldChar w:fldCharType="end"/>
      </w:r>
      <w:r w:rsidRPr="005C3FE9">
        <w:rPr>
          <w:lang w:val="en-GB"/>
        </w:rPr>
        <w:t xml:space="preserve">. In the present </w:t>
      </w:r>
      <w:r w:rsidR="00284316" w:rsidRPr="005C3FE9">
        <w:rPr>
          <w:lang w:val="en-GB"/>
        </w:rPr>
        <w:t>work</w:t>
      </w:r>
      <w:r w:rsidRPr="005C3FE9">
        <w:rPr>
          <w:lang w:val="en-GB"/>
        </w:rPr>
        <w:t xml:space="preserve">, the </w:t>
      </w:r>
      <w:r w:rsidR="00452AF9" w:rsidRPr="005C3FE9">
        <w:rPr>
          <w:lang w:val="en-GB"/>
        </w:rPr>
        <w:t>bi-</w:t>
      </w:r>
      <w:r w:rsidRPr="005C3FE9">
        <w:rPr>
          <w:lang w:val="en-GB"/>
        </w:rPr>
        <w:t>objective</w:t>
      </w:r>
      <w:r w:rsidR="00452AF9" w:rsidRPr="005C3FE9">
        <w:rPr>
          <w:lang w:val="en-GB"/>
        </w:rPr>
        <w:t xml:space="preserve"> optimi</w:t>
      </w:r>
      <w:r w:rsidR="008A0EAC">
        <w:rPr>
          <w:lang w:val="en-GB"/>
        </w:rPr>
        <w:t>s</w:t>
      </w:r>
      <w:r w:rsidR="00452AF9" w:rsidRPr="005C3FE9">
        <w:rPr>
          <w:lang w:val="en-GB"/>
        </w:rPr>
        <w:t>ation</w:t>
      </w:r>
      <w:r w:rsidRPr="005C3FE9">
        <w:rPr>
          <w:lang w:val="en-GB"/>
        </w:rPr>
        <w:t xml:space="preserve"> functions are the</w:t>
      </w:r>
      <w:r w:rsidR="00F468C3" w:rsidRPr="005C3FE9">
        <w:rPr>
          <w:lang w:val="en-GB"/>
        </w:rPr>
        <w:t xml:space="preserve"> maximi</w:t>
      </w:r>
      <w:r w:rsidR="008A0EAC">
        <w:rPr>
          <w:lang w:val="en-GB"/>
        </w:rPr>
        <w:t>s</w:t>
      </w:r>
      <w:r w:rsidR="00F468C3" w:rsidRPr="005C3FE9">
        <w:rPr>
          <w:lang w:val="en-GB"/>
        </w:rPr>
        <w:t>ation of</w:t>
      </w:r>
      <w:r w:rsidRPr="005C3FE9">
        <w:rPr>
          <w:lang w:val="en-GB"/>
        </w:rPr>
        <w:t xml:space="preserve"> </w:t>
      </w:r>
      <m:oMath>
        <m:sSub>
          <m:sSubPr>
            <m:ctrlPr>
              <w:rPr>
                <w:rFonts w:ascii="Cambria Math" w:hAnsi="Cambria Math"/>
                <w:i/>
                <w:lang w:val="en-GB"/>
              </w:rPr>
            </m:ctrlPr>
          </m:sSubPr>
          <m:e>
            <m:r>
              <w:rPr>
                <w:rFonts w:ascii="Cambria Math" w:hAnsi="Cambria Math"/>
                <w:lang w:val="en-GB"/>
              </w:rPr>
              <m:t>RTE</m:t>
            </m:r>
          </m:e>
          <m:sub>
            <m:r>
              <w:rPr>
                <w:rFonts w:ascii="Cambria Math" w:hAnsi="Cambria Math"/>
                <w:lang w:val="en-GB"/>
              </w:rPr>
              <m:t>net</m:t>
            </m:r>
          </m:sub>
        </m:sSub>
      </m:oMath>
      <w:r w:rsidRPr="005C3FE9">
        <w:rPr>
          <w:lang w:val="en-GB"/>
        </w:rPr>
        <w:t xml:space="preserve"> and </w:t>
      </w:r>
      <w:r w:rsidR="00F468C3" w:rsidRPr="005C3FE9">
        <w:rPr>
          <w:lang w:val="en-GB"/>
        </w:rPr>
        <w:t xml:space="preserve">of </w:t>
      </w:r>
      <m:oMath>
        <m:acc>
          <m:accPr>
            <m:chr m:val="̅"/>
            <m:ctrlPr>
              <w:rPr>
                <w:rFonts w:ascii="Cambria Math" w:eastAsia="Calibri" w:hAnsi="Cambria Math"/>
                <w:i/>
                <w:lang w:eastAsia="en-US"/>
              </w:rPr>
            </m:ctrlPr>
          </m:accPr>
          <m:e>
            <m:sSub>
              <m:sSubPr>
                <m:ctrlPr>
                  <w:rPr>
                    <w:rFonts w:ascii="Cambria Math" w:eastAsia="Calibri" w:hAnsi="Cambria Math"/>
                    <w:i/>
                    <w:lang w:eastAsia="en-US"/>
                  </w:rPr>
                </m:ctrlPr>
              </m:sSubPr>
              <m:e>
                <m:r>
                  <w:rPr>
                    <w:rFonts w:ascii="Cambria Math" w:hAnsi="Cambria Math"/>
                  </w:rPr>
                  <m:t>NPD</m:t>
                </m:r>
              </m:e>
              <m:sub>
                <m:r>
                  <w:rPr>
                    <w:rFonts w:ascii="Cambria Math" w:hAnsi="Cambria Math"/>
                  </w:rPr>
                  <m:t>d</m:t>
                </m:r>
              </m:sub>
            </m:sSub>
          </m:e>
        </m:acc>
      </m:oMath>
      <w:r w:rsidR="007D765F" w:rsidRPr="005C3FE9">
        <w:rPr>
          <w:lang w:val="en-GB"/>
        </w:rPr>
        <w:t xml:space="preserve">. </w:t>
      </w:r>
    </w:p>
    <w:p w14:paraId="092D40A8" w14:textId="63E34242" w:rsidR="00740010" w:rsidRPr="005C3FE9" w:rsidRDefault="00B11B24" w:rsidP="00DB0AE1">
      <w:pPr>
        <w:rPr>
          <w:lang w:val="en-GB"/>
        </w:rPr>
      </w:pPr>
      <w:r w:rsidRPr="005C3FE9">
        <w:rPr>
          <w:lang w:val="en-GB"/>
        </w:rPr>
        <w:lastRenderedPageBreak/>
        <w:t xml:space="preserve">Importantly, each single-objective problem entails </w:t>
      </w:r>
      <w:r w:rsidR="00647500" w:rsidRPr="005C3FE9">
        <w:rPr>
          <w:lang w:val="en-GB"/>
        </w:rPr>
        <w:t xml:space="preserve">pursuing </w:t>
      </w:r>
      <w:r w:rsidR="00D85A25" w:rsidRPr="005C3FE9">
        <w:rPr>
          <w:lang w:val="en-GB"/>
        </w:rPr>
        <w:t>the objective function (maximi</w:t>
      </w:r>
      <w:r w:rsidR="008A0EAC">
        <w:rPr>
          <w:lang w:val="en-GB"/>
        </w:rPr>
        <w:t>s</w:t>
      </w:r>
      <w:r w:rsidR="00D85A25" w:rsidRPr="005C3FE9">
        <w:rPr>
          <w:lang w:val="en-GB"/>
        </w:rPr>
        <w:t xml:space="preserve">ation) of </w:t>
      </w:r>
      <w:r w:rsidRPr="005C3FE9">
        <w:rPr>
          <w:lang w:val="en-GB"/>
        </w:rPr>
        <w:t xml:space="preserve">one </w:t>
      </w:r>
      <w:r w:rsidR="00D85A25" w:rsidRPr="005C3FE9">
        <w:rPr>
          <w:lang w:val="en-GB"/>
        </w:rPr>
        <w:t>quantity</w:t>
      </w:r>
      <w:r w:rsidRPr="005C3FE9">
        <w:rPr>
          <w:lang w:val="en-GB"/>
        </w:rPr>
        <w:t xml:space="preserve"> (</w:t>
      </w:r>
      <m:oMath>
        <m:sSub>
          <m:sSubPr>
            <m:ctrlPr>
              <w:rPr>
                <w:rFonts w:ascii="Cambria Math" w:hAnsi="Cambria Math"/>
                <w:i/>
                <w:lang w:val="en-GB"/>
              </w:rPr>
            </m:ctrlPr>
          </m:sSubPr>
          <m:e>
            <m:r>
              <w:rPr>
                <w:rFonts w:ascii="Cambria Math" w:hAnsi="Cambria Math"/>
                <w:lang w:val="en-GB"/>
              </w:rPr>
              <m:t>RTE</m:t>
            </m:r>
          </m:e>
          <m:sub>
            <m:r>
              <w:rPr>
                <w:rFonts w:ascii="Cambria Math" w:hAnsi="Cambria Math"/>
                <w:lang w:val="en-GB"/>
              </w:rPr>
              <m:t>net</m:t>
            </m:r>
          </m:sub>
        </m:sSub>
      </m:oMath>
      <w:r w:rsidRPr="005C3FE9">
        <w:rPr>
          <w:lang w:val="en-GB"/>
        </w:rPr>
        <w:t xml:space="preserve">) </w:t>
      </w:r>
      <w:r w:rsidR="00A22790" w:rsidRPr="005C3FE9">
        <w:rPr>
          <w:lang w:val="en-GB"/>
        </w:rPr>
        <w:t>for a series of</w:t>
      </w:r>
      <w:r w:rsidRPr="005C3FE9">
        <w:rPr>
          <w:lang w:val="en-GB"/>
        </w:rPr>
        <w:t xml:space="preserve"> constrain</w:t>
      </w:r>
      <w:r w:rsidR="00A22790" w:rsidRPr="005C3FE9">
        <w:rPr>
          <w:lang w:val="en-GB"/>
        </w:rPr>
        <w:t>ed</w:t>
      </w:r>
      <w:r w:rsidRPr="005C3FE9">
        <w:rPr>
          <w:lang w:val="en-GB"/>
        </w:rPr>
        <w:t xml:space="preserve"> </w:t>
      </w:r>
      <w:r w:rsidR="00A22790" w:rsidRPr="005C3FE9">
        <w:rPr>
          <w:lang w:val="en-GB"/>
        </w:rPr>
        <w:t xml:space="preserve">values of </w:t>
      </w:r>
      <w:r w:rsidRPr="005C3FE9">
        <w:rPr>
          <w:lang w:val="en-GB"/>
        </w:rPr>
        <w:t xml:space="preserve">the </w:t>
      </w:r>
      <w:r w:rsidR="00284316" w:rsidRPr="005C3FE9">
        <w:rPr>
          <w:lang w:val="en-GB"/>
        </w:rPr>
        <w:t xml:space="preserve">other </w:t>
      </w:r>
      <w:r w:rsidR="00647500" w:rsidRPr="005C3FE9">
        <w:rPr>
          <w:lang w:val="en-GB"/>
        </w:rPr>
        <w:t>quantity</w:t>
      </w:r>
      <w:r w:rsidR="00284316" w:rsidRPr="005C3FE9">
        <w:rPr>
          <w:lang w:val="en-GB"/>
        </w:rPr>
        <w:t xml:space="preserve"> </w:t>
      </w:r>
      <w:r w:rsidRPr="005C3FE9">
        <w:rPr>
          <w:lang w:val="en-GB"/>
        </w:rPr>
        <w:t>(</w:t>
      </w:r>
      <m:oMath>
        <m:acc>
          <m:accPr>
            <m:chr m:val="̅"/>
            <m:ctrlPr>
              <w:rPr>
                <w:rFonts w:ascii="Cambria Math" w:eastAsia="Calibri" w:hAnsi="Cambria Math"/>
                <w:i/>
                <w:lang w:eastAsia="en-US"/>
              </w:rPr>
            </m:ctrlPr>
          </m:accPr>
          <m:e>
            <m:sSub>
              <m:sSubPr>
                <m:ctrlPr>
                  <w:rPr>
                    <w:rFonts w:ascii="Cambria Math" w:eastAsia="Calibri" w:hAnsi="Cambria Math"/>
                    <w:i/>
                    <w:lang w:eastAsia="en-US"/>
                  </w:rPr>
                </m:ctrlPr>
              </m:sSubPr>
              <m:e>
                <m:r>
                  <w:rPr>
                    <w:rFonts w:ascii="Cambria Math" w:hAnsi="Cambria Math"/>
                  </w:rPr>
                  <m:t>NPD</m:t>
                </m:r>
              </m:e>
              <m:sub>
                <m:r>
                  <w:rPr>
                    <w:rFonts w:ascii="Cambria Math" w:hAnsi="Cambria Math"/>
                  </w:rPr>
                  <m:t>d</m:t>
                </m:r>
              </m:sub>
            </m:sSub>
          </m:e>
        </m:acc>
      </m:oMath>
      <w:r w:rsidRPr="005C3FE9">
        <w:rPr>
          <w:lang w:val="en-GB"/>
        </w:rPr>
        <w:t>).</w:t>
      </w:r>
      <w:r w:rsidR="00A22790" w:rsidRPr="005C3FE9">
        <w:rPr>
          <w:lang w:val="en-GB"/>
        </w:rPr>
        <w:t xml:space="preserve"> </w:t>
      </w:r>
      <w:r w:rsidRPr="005C3FE9">
        <w:rPr>
          <w:lang w:val="en-GB"/>
        </w:rPr>
        <w:t xml:space="preserve">Therefore, the problem </w:t>
      </w:r>
      <w:r w:rsidR="002C0FC9" w:rsidRPr="005C3FE9">
        <w:rPr>
          <w:lang w:val="en-GB"/>
        </w:rPr>
        <w:t xml:space="preserve">can </w:t>
      </w:r>
      <w:r w:rsidRPr="005C3FE9">
        <w:rPr>
          <w:lang w:val="en-GB"/>
        </w:rPr>
        <w:t xml:space="preserve">be </w:t>
      </w:r>
      <w:r w:rsidR="00636B3E" w:rsidRPr="005C3FE9">
        <w:rPr>
          <w:lang w:val="en-GB"/>
        </w:rPr>
        <w:t>formali</w:t>
      </w:r>
      <w:r w:rsidR="008A0EAC">
        <w:rPr>
          <w:lang w:val="en-GB"/>
        </w:rPr>
        <w:t>s</w:t>
      </w:r>
      <w:r w:rsidR="00636B3E" w:rsidRPr="005C3FE9">
        <w:rPr>
          <w:lang w:val="en-GB"/>
        </w:rPr>
        <w:t xml:space="preserve">ed </w:t>
      </w:r>
      <w:r w:rsidRPr="005C3FE9">
        <w:rPr>
          <w:lang w:val="en-GB"/>
        </w:rPr>
        <w:t xml:space="preserve">as </w:t>
      </w:r>
      <w:r w:rsidR="00740010" w:rsidRPr="005C3FE9">
        <w:rPr>
          <w:lang w:val="en-GB"/>
        </w:rPr>
        <w:t>follows</w:t>
      </w:r>
      <w:r w:rsidR="001B79B5" w:rsidRPr="005C3FE9">
        <w:rPr>
          <w:lang w:val="en-GB"/>
        </w:rPr>
        <w:t>:</w:t>
      </w:r>
      <w:r w:rsidR="00740010" w:rsidRPr="005C3FE9">
        <w:rPr>
          <w:lang w:val="en-GB"/>
        </w:rPr>
        <w:t xml:space="preserve"> </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4"/>
        <w:gridCol w:w="7787"/>
        <w:gridCol w:w="1177"/>
      </w:tblGrid>
      <w:tr w:rsidR="006F4DDB" w:rsidRPr="005C3FE9" w14:paraId="1AEF390B" w14:textId="77777777" w:rsidTr="00237342">
        <w:trPr>
          <w:trHeight w:val="492"/>
        </w:trPr>
        <w:tc>
          <w:tcPr>
            <w:tcW w:w="437" w:type="pct"/>
          </w:tcPr>
          <w:p w14:paraId="62FE2DD9" w14:textId="77777777" w:rsidR="006F4DDB" w:rsidRPr="005C3FE9" w:rsidRDefault="006F4DDB" w:rsidP="0072101F">
            <w:pPr>
              <w:suppressAutoHyphens/>
              <w:rPr>
                <w:rFonts w:ascii="Times New Roman" w:eastAsia="Times New Roman" w:hAnsi="Times New Roman"/>
                <w:spacing w:val="-3"/>
                <w:lang w:val="en-GB"/>
              </w:rPr>
            </w:pPr>
          </w:p>
        </w:tc>
        <w:tc>
          <w:tcPr>
            <w:tcW w:w="4127" w:type="pct"/>
          </w:tcPr>
          <w:p w14:paraId="4C31CAC7" w14:textId="205C286F" w:rsidR="006F4DDB" w:rsidRPr="005C3FE9" w:rsidRDefault="006F4DDB" w:rsidP="0072101F">
            <w:pPr>
              <w:suppressAutoHyphens/>
              <w:rPr>
                <w:rFonts w:ascii="Times New Roman" w:eastAsia="Times New Roman" w:hAnsi="Times New Roman"/>
                <w:spacing w:val="-3"/>
                <w:lang w:val="en-GB"/>
              </w:rPr>
            </w:pPr>
            <w:r w:rsidRPr="005C3FE9">
              <w:rPr>
                <w:rFonts w:ascii="Times New Roman" w:eastAsia="Times New Roman" w:hAnsi="Times New Roman"/>
                <w:lang w:val="en-GB"/>
              </w:rPr>
              <w:t xml:space="preserve">Objective:                </w:t>
            </w:r>
            <m:oMath>
              <m:r>
                <w:rPr>
                  <w:rFonts w:ascii="Cambria Math" w:hAnsi="Cambria Math"/>
                  <w:lang w:val="en-GB"/>
                </w:rPr>
                <m:t xml:space="preserve">Max </m:t>
              </m:r>
              <m:sSub>
                <m:sSubPr>
                  <m:ctrlPr>
                    <w:rPr>
                      <w:rFonts w:ascii="Cambria Math" w:hAnsi="Cambria Math"/>
                      <w:i/>
                      <w:lang w:val="en-GB"/>
                    </w:rPr>
                  </m:ctrlPr>
                </m:sSubPr>
                <m:e>
                  <m:r>
                    <w:rPr>
                      <w:rFonts w:ascii="Cambria Math" w:hAnsi="Cambria Math"/>
                      <w:lang w:val="en-GB"/>
                    </w:rPr>
                    <m:t>RTE</m:t>
                  </m:r>
                </m:e>
                <m:sub>
                  <m:r>
                    <w:rPr>
                      <w:rFonts w:ascii="Cambria Math" w:hAnsi="Cambria Math"/>
                      <w:lang w:val="en-GB"/>
                    </w:rPr>
                    <m:t>net</m:t>
                  </m:r>
                </m:sub>
              </m:sSub>
              <m:r>
                <w:rPr>
                  <w:rFonts w:ascii="Cambria Math" w:eastAsia="Times New Roman" w:hAnsi="Cambria Math"/>
                  <w:lang w:val="en-GB"/>
                </w:rPr>
                <m:t>(</m:t>
              </m:r>
              <m:r>
                <m:rPr>
                  <m:sty m:val="bi"/>
                </m:rPr>
                <w:rPr>
                  <w:rFonts w:ascii="Cambria Math" w:eastAsia="Times New Roman" w:hAnsi="Cambria Math"/>
                  <w:lang w:val="en-GB"/>
                </w:rPr>
                <m:t>x</m:t>
              </m:r>
              <m:r>
                <w:rPr>
                  <w:rFonts w:ascii="Cambria Math" w:eastAsia="Times New Roman" w:hAnsi="Cambria Math"/>
                  <w:lang w:val="en-GB"/>
                </w:rPr>
                <m:t>)</m:t>
              </m:r>
            </m:oMath>
            <w:r w:rsidRPr="005C3FE9">
              <w:rPr>
                <w:rFonts w:ascii="Times New Roman" w:eastAsia="Times New Roman" w:hAnsi="Times New Roman"/>
                <w:lang w:val="en-GB"/>
              </w:rPr>
              <w:t xml:space="preserve"> </w:t>
            </w:r>
          </w:p>
        </w:tc>
        <w:tc>
          <w:tcPr>
            <w:tcW w:w="437" w:type="pct"/>
          </w:tcPr>
          <w:p w14:paraId="2D3D122E" w14:textId="11FA99BC" w:rsidR="006F4DDB" w:rsidRPr="005C3FE9" w:rsidRDefault="006F4DDB" w:rsidP="0072101F">
            <w:pPr>
              <w:suppressAutoHyphens/>
              <w:rPr>
                <w:rFonts w:ascii="Times New Roman" w:eastAsia="Times New Roman" w:hAnsi="Times New Roman"/>
                <w:spacing w:val="-3"/>
                <w:lang w:val="en-GB"/>
              </w:rPr>
            </w:pPr>
            <w:r w:rsidRPr="005C3FE9">
              <w:rPr>
                <w:rFonts w:ascii="Times New Roman" w:eastAsia="Times New Roman" w:hAnsi="Times New Roman"/>
                <w:spacing w:val="-3"/>
                <w:lang w:val="en-GB"/>
              </w:rPr>
              <w:t>(</w:t>
            </w:r>
            <w:r w:rsidR="00FD0C59" w:rsidRPr="005C3FE9">
              <w:rPr>
                <w:rFonts w:ascii="Times New Roman" w:hAnsi="Times New Roman"/>
              </w:rPr>
              <w:t>1</w:t>
            </w:r>
            <w:r w:rsidR="00C87BD3">
              <w:rPr>
                <w:rFonts w:ascii="Times New Roman" w:hAnsi="Times New Roman"/>
              </w:rPr>
              <w:t>3</w:t>
            </w:r>
            <w:r w:rsidRPr="005C3FE9">
              <w:rPr>
                <w:rFonts w:ascii="Times New Roman" w:eastAsia="Times New Roman" w:hAnsi="Times New Roman"/>
                <w:spacing w:val="-3"/>
                <w:lang w:val="en-GB"/>
              </w:rPr>
              <w:t>)</w:t>
            </w:r>
          </w:p>
        </w:tc>
      </w:tr>
      <w:tr w:rsidR="006F4DDB" w:rsidRPr="005C3FE9" w14:paraId="56611BAE" w14:textId="77777777" w:rsidTr="00237342">
        <w:trPr>
          <w:trHeight w:val="492"/>
        </w:trPr>
        <w:tc>
          <w:tcPr>
            <w:tcW w:w="437" w:type="pct"/>
          </w:tcPr>
          <w:p w14:paraId="02D1F046" w14:textId="77777777" w:rsidR="006F4DDB" w:rsidRPr="005C3FE9" w:rsidRDefault="006F4DDB" w:rsidP="0072101F">
            <w:pPr>
              <w:suppressAutoHyphens/>
              <w:rPr>
                <w:rFonts w:ascii="Times New Roman" w:eastAsia="Times New Roman" w:hAnsi="Times New Roman"/>
                <w:spacing w:val="-3"/>
                <w:lang w:val="en-GB"/>
              </w:rPr>
            </w:pPr>
          </w:p>
        </w:tc>
        <w:tc>
          <w:tcPr>
            <w:tcW w:w="4127" w:type="pct"/>
          </w:tcPr>
          <w:p w14:paraId="4AFB5212" w14:textId="30E0AA8C" w:rsidR="006F4DDB" w:rsidRPr="005C3FE9" w:rsidRDefault="006F4DDB" w:rsidP="0072101F">
            <w:pPr>
              <w:suppressAutoHyphens/>
              <w:rPr>
                <w:rFonts w:ascii="Times New Roman" w:eastAsia="Times New Roman" w:hAnsi="Times New Roman"/>
                <w:spacing w:val="-3"/>
                <w:lang w:val="en-GB"/>
              </w:rPr>
            </w:pPr>
            <w:r w:rsidRPr="005C3FE9">
              <w:rPr>
                <w:rFonts w:ascii="Times New Roman" w:eastAsia="Times New Roman" w:hAnsi="Times New Roman"/>
                <w:lang w:val="en-US"/>
              </w:rPr>
              <w:t xml:space="preserve">Subject to:               </w:t>
            </w:r>
            <m:oMath>
              <m:acc>
                <m:accPr>
                  <m:chr m:val="̅"/>
                  <m:ctrlPr>
                    <w:rPr>
                      <w:rFonts w:ascii="Cambria Math" w:hAnsi="Cambria Math"/>
                      <w:i/>
                    </w:rPr>
                  </m:ctrlPr>
                </m:accPr>
                <m:e>
                  <m:sSub>
                    <m:sSubPr>
                      <m:ctrlPr>
                        <w:rPr>
                          <w:rFonts w:ascii="Cambria Math" w:hAnsi="Cambria Math"/>
                          <w:i/>
                        </w:rPr>
                      </m:ctrlPr>
                    </m:sSubPr>
                    <m:e>
                      <m:r>
                        <w:rPr>
                          <w:rFonts w:ascii="Cambria Math" w:hAnsi="Cambria Math"/>
                        </w:rPr>
                        <m:t>NPD</m:t>
                      </m:r>
                    </m:e>
                    <m:sub>
                      <m:r>
                        <w:rPr>
                          <w:rFonts w:ascii="Cambria Math" w:hAnsi="Cambria Math"/>
                        </w:rPr>
                        <m:t>d</m:t>
                      </m:r>
                    </m:sub>
                  </m:sSub>
                </m:e>
              </m:acc>
              <m:r>
                <w:rPr>
                  <w:rFonts w:ascii="Cambria Math" w:eastAsia="Times New Roman" w:hAnsi="Cambria Math"/>
                  <w:lang w:val="en-GB"/>
                </w:rPr>
                <m:t>(</m:t>
              </m:r>
              <m:r>
                <m:rPr>
                  <m:sty m:val="bi"/>
                </m:rPr>
                <w:rPr>
                  <w:rFonts w:ascii="Cambria Math" w:eastAsia="Times New Roman" w:hAnsi="Cambria Math"/>
                  <w:lang w:val="en-GB"/>
                </w:rPr>
                <m:t>x</m:t>
              </m:r>
              <m:r>
                <w:rPr>
                  <w:rFonts w:ascii="Cambria Math" w:eastAsia="Times New Roman" w:hAnsi="Cambria Math"/>
                  <w:lang w:val="en-GB"/>
                </w:rPr>
                <m:t>)≥ε</m:t>
              </m:r>
            </m:oMath>
            <w:r w:rsidRPr="005C3FE9">
              <w:rPr>
                <w:rFonts w:ascii="Times New Roman" w:eastAsia="Times New Roman" w:hAnsi="Times New Roman"/>
                <w:lang w:val="en-GB"/>
              </w:rPr>
              <w:t xml:space="preserve"> </w:t>
            </w:r>
          </w:p>
        </w:tc>
        <w:tc>
          <w:tcPr>
            <w:tcW w:w="437" w:type="pct"/>
          </w:tcPr>
          <w:p w14:paraId="26884F90" w14:textId="53A08CE9" w:rsidR="006F4DDB" w:rsidRPr="005C3FE9" w:rsidRDefault="006F4DDB" w:rsidP="0072101F">
            <w:pPr>
              <w:suppressAutoHyphens/>
              <w:rPr>
                <w:rFonts w:ascii="Times New Roman" w:eastAsia="Times New Roman" w:hAnsi="Times New Roman"/>
                <w:spacing w:val="-3"/>
                <w:lang w:val="en-GB"/>
              </w:rPr>
            </w:pPr>
            <w:r w:rsidRPr="005C3FE9">
              <w:rPr>
                <w:rFonts w:ascii="Times New Roman" w:eastAsia="Times New Roman" w:hAnsi="Times New Roman"/>
                <w:spacing w:val="-3"/>
                <w:lang w:val="en-GB"/>
              </w:rPr>
              <w:t>(</w:t>
            </w:r>
            <w:r w:rsidR="00FD0C59" w:rsidRPr="005C3FE9">
              <w:rPr>
                <w:rFonts w:ascii="Times New Roman" w:hAnsi="Times New Roman"/>
              </w:rPr>
              <w:t>1</w:t>
            </w:r>
            <w:r w:rsidR="00C87BD3">
              <w:rPr>
                <w:rFonts w:ascii="Times New Roman" w:hAnsi="Times New Roman"/>
              </w:rPr>
              <w:t>4</w:t>
            </w:r>
            <w:r w:rsidRPr="005C3FE9">
              <w:rPr>
                <w:rFonts w:ascii="Times New Roman" w:eastAsia="Times New Roman" w:hAnsi="Times New Roman"/>
                <w:spacing w:val="-3"/>
                <w:lang w:val="en-GB"/>
              </w:rPr>
              <w:t>)</w:t>
            </w:r>
          </w:p>
        </w:tc>
      </w:tr>
      <w:tr w:rsidR="006F4DDB" w:rsidRPr="005C3FE9" w14:paraId="4D446298" w14:textId="77777777" w:rsidTr="00237342">
        <w:trPr>
          <w:trHeight w:val="492"/>
        </w:trPr>
        <w:tc>
          <w:tcPr>
            <w:tcW w:w="437" w:type="pct"/>
          </w:tcPr>
          <w:p w14:paraId="1A3102E8" w14:textId="77777777" w:rsidR="006F4DDB" w:rsidRPr="005C3FE9" w:rsidRDefault="006F4DDB" w:rsidP="0072101F">
            <w:pPr>
              <w:suppressAutoHyphens/>
              <w:rPr>
                <w:rFonts w:ascii="Times New Roman" w:eastAsia="Times New Roman" w:hAnsi="Times New Roman"/>
                <w:spacing w:val="-3"/>
                <w:lang w:val="en-GB"/>
              </w:rPr>
            </w:pPr>
          </w:p>
        </w:tc>
        <w:tc>
          <w:tcPr>
            <w:tcW w:w="4127" w:type="pct"/>
          </w:tcPr>
          <w:p w14:paraId="65494769" w14:textId="4B0282EC" w:rsidR="006F4DDB" w:rsidRPr="005C3FE9" w:rsidRDefault="006F4DDB" w:rsidP="0072101F">
            <w:pPr>
              <w:suppressAutoHyphens/>
              <w:rPr>
                <w:rFonts w:ascii="Times New Roman" w:eastAsia="Times New Roman" w:hAnsi="Times New Roman"/>
                <w:spacing w:val="-3"/>
                <w:lang w:val="en-GB"/>
              </w:rPr>
            </w:pPr>
            <m:oMath>
              <m:r>
                <w:rPr>
                  <w:rFonts w:ascii="Cambria Math" w:hAnsi="Cambria Math"/>
                  <w:lang w:val="en-GB"/>
                </w:rPr>
                <m:t>g</m:t>
              </m:r>
              <m:d>
                <m:dPr>
                  <m:ctrlPr>
                    <w:rPr>
                      <w:rFonts w:ascii="Cambria Math" w:hAnsi="Cambria Math"/>
                      <w:i/>
                      <w:lang w:val="en-GB"/>
                    </w:rPr>
                  </m:ctrlPr>
                </m:dPr>
                <m:e>
                  <m:r>
                    <m:rPr>
                      <m:sty m:val="bi"/>
                    </m:rPr>
                    <w:rPr>
                      <w:rFonts w:ascii="Cambria Math" w:hAnsi="Cambria Math"/>
                      <w:lang w:val="en-GB"/>
                    </w:rPr>
                    <m:t>x</m:t>
                  </m:r>
                </m:e>
              </m:d>
              <m:r>
                <w:rPr>
                  <w:rFonts w:ascii="Cambria Math" w:hAnsi="Cambria Math"/>
                  <w:lang w:val="en-GB"/>
                </w:rPr>
                <m:t>≤0</m:t>
              </m:r>
            </m:oMath>
            <w:r w:rsidRPr="005C3FE9">
              <w:rPr>
                <w:rFonts w:ascii="Times New Roman" w:eastAsia="Times New Roman" w:hAnsi="Times New Roman"/>
                <w:lang w:val="en-GB"/>
              </w:rPr>
              <w:t xml:space="preserve"> </w:t>
            </w:r>
          </w:p>
        </w:tc>
        <w:tc>
          <w:tcPr>
            <w:tcW w:w="437" w:type="pct"/>
          </w:tcPr>
          <w:p w14:paraId="47456BC6" w14:textId="35D653E9" w:rsidR="006F4DDB" w:rsidRPr="005C3FE9" w:rsidRDefault="006F4DDB" w:rsidP="0072101F">
            <w:pPr>
              <w:suppressAutoHyphens/>
              <w:rPr>
                <w:rFonts w:ascii="Times New Roman" w:eastAsia="Times New Roman" w:hAnsi="Times New Roman"/>
                <w:spacing w:val="-3"/>
                <w:lang w:val="en-GB"/>
              </w:rPr>
            </w:pPr>
            <w:r w:rsidRPr="005C3FE9">
              <w:rPr>
                <w:rFonts w:ascii="Times New Roman" w:eastAsia="Times New Roman" w:hAnsi="Times New Roman"/>
                <w:spacing w:val="-3"/>
                <w:lang w:val="en-GB"/>
              </w:rPr>
              <w:t>(</w:t>
            </w:r>
            <w:r w:rsidR="00FD0C59" w:rsidRPr="005C3FE9">
              <w:rPr>
                <w:rFonts w:ascii="Times New Roman" w:hAnsi="Times New Roman"/>
              </w:rPr>
              <w:t>1</w:t>
            </w:r>
            <w:r w:rsidR="00C87BD3">
              <w:rPr>
                <w:rFonts w:ascii="Times New Roman" w:hAnsi="Times New Roman"/>
              </w:rPr>
              <w:t>5</w:t>
            </w:r>
            <w:r w:rsidRPr="005C3FE9">
              <w:rPr>
                <w:rFonts w:ascii="Times New Roman" w:eastAsia="Times New Roman" w:hAnsi="Times New Roman"/>
                <w:spacing w:val="-3"/>
                <w:lang w:val="en-GB"/>
              </w:rPr>
              <w:t>)</w:t>
            </w:r>
          </w:p>
        </w:tc>
      </w:tr>
      <w:tr w:rsidR="006F4DDB" w:rsidRPr="005C3FE9" w14:paraId="5D0C9D6D" w14:textId="77777777" w:rsidTr="00237342">
        <w:trPr>
          <w:trHeight w:val="492"/>
        </w:trPr>
        <w:tc>
          <w:tcPr>
            <w:tcW w:w="437" w:type="pct"/>
          </w:tcPr>
          <w:p w14:paraId="1CAB0F4E" w14:textId="77777777" w:rsidR="006F4DDB" w:rsidRPr="005C3FE9" w:rsidRDefault="006F4DDB" w:rsidP="0072101F">
            <w:pPr>
              <w:suppressAutoHyphens/>
              <w:rPr>
                <w:rFonts w:ascii="Times New Roman" w:eastAsia="Times New Roman" w:hAnsi="Times New Roman"/>
                <w:spacing w:val="-3"/>
                <w:lang w:val="en-GB"/>
              </w:rPr>
            </w:pPr>
          </w:p>
        </w:tc>
        <w:tc>
          <w:tcPr>
            <w:tcW w:w="4127" w:type="pct"/>
          </w:tcPr>
          <w:p w14:paraId="6976E0ED" w14:textId="690534F2" w:rsidR="006F4DDB" w:rsidRPr="005C3FE9" w:rsidRDefault="006F4DDB" w:rsidP="0072101F">
            <w:pPr>
              <w:suppressAutoHyphens/>
              <w:rPr>
                <w:rFonts w:ascii="Times New Roman" w:eastAsia="Times New Roman" w:hAnsi="Times New Roman"/>
                <w:spacing w:val="-3"/>
                <w:lang w:val="en-GB"/>
              </w:rPr>
            </w:pPr>
            <m:oMath>
              <m:r>
                <w:rPr>
                  <w:rFonts w:ascii="Cambria Math" w:hAnsi="Cambria Math"/>
                  <w:lang w:val="en-GB"/>
                </w:rPr>
                <m:t>h</m:t>
              </m:r>
              <m:d>
                <m:dPr>
                  <m:ctrlPr>
                    <w:rPr>
                      <w:rFonts w:ascii="Cambria Math" w:hAnsi="Cambria Math"/>
                      <w:i/>
                      <w:lang w:val="en-GB"/>
                    </w:rPr>
                  </m:ctrlPr>
                </m:dPr>
                <m:e>
                  <m:r>
                    <m:rPr>
                      <m:sty m:val="bi"/>
                    </m:rPr>
                    <w:rPr>
                      <w:rFonts w:ascii="Cambria Math" w:hAnsi="Cambria Math"/>
                      <w:lang w:val="en-GB"/>
                    </w:rPr>
                    <m:t>x</m:t>
                  </m:r>
                </m:e>
              </m:d>
              <m:r>
                <w:rPr>
                  <w:rFonts w:ascii="Cambria Math" w:hAnsi="Cambria Math"/>
                  <w:lang w:val="en-GB"/>
                </w:rPr>
                <m:t>=0</m:t>
              </m:r>
            </m:oMath>
            <w:r w:rsidRPr="005C3FE9">
              <w:rPr>
                <w:rFonts w:ascii="Times New Roman" w:eastAsia="Times New Roman" w:hAnsi="Times New Roman"/>
                <w:lang w:val="en-GB"/>
              </w:rPr>
              <w:t xml:space="preserve"> </w:t>
            </w:r>
          </w:p>
        </w:tc>
        <w:tc>
          <w:tcPr>
            <w:tcW w:w="437" w:type="pct"/>
          </w:tcPr>
          <w:p w14:paraId="109FC9C7" w14:textId="7FCF4956" w:rsidR="006F4DDB" w:rsidRPr="005C3FE9" w:rsidRDefault="006F4DDB" w:rsidP="0072101F">
            <w:pPr>
              <w:suppressAutoHyphens/>
              <w:rPr>
                <w:rFonts w:ascii="Times New Roman" w:eastAsia="Times New Roman" w:hAnsi="Times New Roman"/>
                <w:spacing w:val="-3"/>
                <w:lang w:val="en-GB"/>
              </w:rPr>
            </w:pPr>
            <w:r w:rsidRPr="005C3FE9">
              <w:rPr>
                <w:rFonts w:ascii="Times New Roman" w:eastAsia="Times New Roman" w:hAnsi="Times New Roman"/>
                <w:spacing w:val="-3"/>
                <w:lang w:val="en-GB"/>
              </w:rPr>
              <w:t>(</w:t>
            </w:r>
            <w:r w:rsidR="00FD0C59" w:rsidRPr="005C3FE9">
              <w:rPr>
                <w:rFonts w:ascii="Times New Roman" w:hAnsi="Times New Roman"/>
              </w:rPr>
              <w:t>1</w:t>
            </w:r>
            <w:r w:rsidR="00C87BD3">
              <w:rPr>
                <w:rFonts w:ascii="Times New Roman" w:hAnsi="Times New Roman"/>
              </w:rPr>
              <w:t>6</w:t>
            </w:r>
            <w:r w:rsidRPr="005C3FE9">
              <w:rPr>
                <w:rFonts w:ascii="Times New Roman" w:eastAsia="Times New Roman" w:hAnsi="Times New Roman"/>
                <w:spacing w:val="-3"/>
                <w:lang w:val="en-GB"/>
              </w:rPr>
              <w:t>)</w:t>
            </w:r>
          </w:p>
        </w:tc>
      </w:tr>
    </w:tbl>
    <w:p w14:paraId="24B4CCF6" w14:textId="2A955E02" w:rsidR="00171E39" w:rsidRPr="005C3FE9" w:rsidRDefault="00740010" w:rsidP="00171E39">
      <w:pPr>
        <w:rPr>
          <w:lang w:val="en-GB"/>
        </w:rPr>
      </w:pPr>
      <w:r w:rsidRPr="005C3FE9">
        <w:rPr>
          <w:lang w:val="en-GB"/>
        </w:rPr>
        <w:t>The</w:t>
      </w:r>
      <w:r w:rsidR="003E5014" w:rsidRPr="005C3FE9">
        <w:rPr>
          <w:lang w:val="en-GB"/>
        </w:rPr>
        <w:t xml:space="preserve"> main </w:t>
      </w:r>
      <w:r w:rsidRPr="005C3FE9">
        <w:rPr>
          <w:lang w:val="en-GB"/>
        </w:rPr>
        <w:t>results of the present optimi</w:t>
      </w:r>
      <w:r w:rsidR="008A0EAC">
        <w:rPr>
          <w:lang w:val="en-GB"/>
        </w:rPr>
        <w:t>s</w:t>
      </w:r>
      <w:r w:rsidRPr="005C3FE9">
        <w:rPr>
          <w:lang w:val="en-GB"/>
        </w:rPr>
        <w:t xml:space="preserve">ation study were expressed in </w:t>
      </w:r>
      <w:r w:rsidR="00924373" w:rsidRPr="005C3FE9">
        <w:rPr>
          <w:lang w:val="en-GB"/>
        </w:rPr>
        <w:t xml:space="preserve">the form </w:t>
      </w:r>
      <w:r w:rsidRPr="005C3FE9">
        <w:rPr>
          <w:lang w:val="en-GB"/>
        </w:rPr>
        <w:t>of Pareto optimal front</w:t>
      </w:r>
      <w:r w:rsidR="00924373" w:rsidRPr="005C3FE9">
        <w:rPr>
          <w:lang w:val="en-GB"/>
        </w:rPr>
        <w:t>s</w:t>
      </w:r>
      <w:r w:rsidRPr="005C3FE9">
        <w:rPr>
          <w:lang w:val="en-GB"/>
        </w:rPr>
        <w:t xml:space="preserve">, </w:t>
      </w:r>
      <w:r w:rsidR="00204582" w:rsidRPr="005C3FE9">
        <w:rPr>
          <w:lang w:val="en-GB"/>
        </w:rPr>
        <w:t xml:space="preserve">each </w:t>
      </w:r>
      <w:r w:rsidRPr="005C3FE9">
        <w:rPr>
          <w:lang w:val="en-GB"/>
        </w:rPr>
        <w:t>consist</w:t>
      </w:r>
      <w:r w:rsidR="00204582" w:rsidRPr="005C3FE9">
        <w:rPr>
          <w:lang w:val="en-GB"/>
        </w:rPr>
        <w:t>ing</w:t>
      </w:r>
      <w:r w:rsidRPr="005C3FE9">
        <w:rPr>
          <w:lang w:val="en-GB"/>
        </w:rPr>
        <w:t xml:space="preserve"> of a curve of best trade-off points between the two chosen objective functions (optimal </w:t>
      </w:r>
      <w:r w:rsidR="00287DF3" w:rsidRPr="005C3FE9">
        <w:rPr>
          <w:lang w:val="en-GB"/>
        </w:rPr>
        <w:t>among the</w:t>
      </w:r>
      <w:r w:rsidRPr="005C3FE9">
        <w:rPr>
          <w:lang w:val="en-GB"/>
        </w:rPr>
        <w:t xml:space="preserve"> </w:t>
      </w:r>
      <w:r w:rsidR="00125A45" w:rsidRPr="005C3FE9">
        <w:rPr>
          <w:iCs/>
          <w:lang w:val="en-GB"/>
        </w:rPr>
        <w:t>feasible</w:t>
      </w:r>
      <w:r w:rsidRPr="005C3FE9">
        <w:rPr>
          <w:lang w:val="en-GB"/>
        </w:rPr>
        <w:t xml:space="preserve"> solutions </w:t>
      </w:r>
      <w:r w:rsidRPr="005C3FE9">
        <w:rPr>
          <w:lang w:val="en-GB"/>
        </w:rPr>
        <w:fldChar w:fldCharType="begin" w:fldLock="1"/>
      </w:r>
      <w:r w:rsidR="00E77EC7">
        <w:rPr>
          <w:lang w:val="en-GB"/>
        </w:rPr>
        <w:instrText>ADDIN CSL_CITATION {"citationItems":[{"id":"ITEM-1","itemData":{"DOI":"10.1016/j.energy.2017.02.174","ISSN":"03605442","abstract":"Multi-objective optimization problems are difficult to solve in that the optimized objectives are usually conflicting with each other. It is usually hard to find an optimal solution that satisfies all objectives from the mathematical point of view. Unlike analytical methods and classical numerical methods, which require strict mathematical calculation or defined initial search values, intelligent optimization algorithms are heuristic algorithms able to find global optimal solutions. In this paper, we make a brief introduction of multi-objective optimization problems and some state-of-the-art intelligent algorithms. In order to get the final optimal solution in the real-world multi-objective optimization problems, trade-off methods including a priori methods, interactive methods, Pareto-dominated methods and new dominance methods are utilized. Moreover, we give a review of multi-objective optimization methods application in the environmental protection fields, for optimization objectives of energy saving, emissions reduction and cost reduction, etc. At last, a whole summary about current difficulties existed in the multi-objective optimization problem is given out, serving as suggestions or guidance for future researches.","author":[{"dropping-particle":"","family":"Cui","given":"Yunfei","non-dropping-particle":"","parse-names":false,"suffix":""},{"dropping-particle":"","family":"Geng","given":"Zhiqiang","non-dropping-particle":"","parse-names":false,"suffix":""},{"dropping-particle":"","family":"Zhu","given":"Qunxiong","non-dropping-particle":"","parse-names":false,"suffix":""},{"dropping-particle":"","family":"Han","given":"Yongming","non-dropping-particle":"","parse-names":false,"suffix":""}],"container-title":"Energy","id":"ITEM-1","issued":{"date-parts":[["2017"]]},"page":"681-704","publisher":"Elsevier Ltd","title":"Review: Multi-objective optimization methods and application in energy saving","type":"article-journal","volume":"125"},"uris":["http://www.mendeley.com/documents/?uuid=90cd5ce1-3e35-4ac5-9bf6-81e757e619b4","http://www.mendeley.com/documents/?uuid=6896dc20-5e58-42e0-8390-69e08b65e22b"]}],"mendeley":{"formattedCitation":"[35]","plainTextFormattedCitation":"[35]","previouslyFormattedCitation":"[35]"},"properties":{"noteIndex":0},"schema":"https://github.com/citation-style-language/schema/raw/master/csl-citation.json"}</w:instrText>
      </w:r>
      <w:r w:rsidRPr="005C3FE9">
        <w:rPr>
          <w:lang w:val="en-GB"/>
        </w:rPr>
        <w:fldChar w:fldCharType="separate"/>
      </w:r>
      <w:r w:rsidR="004319C3" w:rsidRPr="004319C3">
        <w:rPr>
          <w:noProof/>
          <w:lang w:val="en-GB"/>
        </w:rPr>
        <w:t>[35]</w:t>
      </w:r>
      <w:r w:rsidRPr="005C3FE9">
        <w:rPr>
          <w:lang w:val="en-GB"/>
        </w:rPr>
        <w:fldChar w:fldCharType="end"/>
      </w:r>
      <w:r w:rsidRPr="005C3FE9">
        <w:rPr>
          <w:lang w:val="en-GB"/>
        </w:rPr>
        <w:t>). Any point of the Pareto frontier represents an optimal solution that maximi</w:t>
      </w:r>
      <w:r w:rsidR="008A0EAC">
        <w:rPr>
          <w:lang w:val="en-GB"/>
        </w:rPr>
        <w:t>s</w:t>
      </w:r>
      <w:r w:rsidRPr="005C3FE9">
        <w:rPr>
          <w:lang w:val="en-GB"/>
        </w:rPr>
        <w:t xml:space="preserve">es </w:t>
      </w:r>
      <m:oMath>
        <m:sSub>
          <m:sSubPr>
            <m:ctrlPr>
              <w:rPr>
                <w:rFonts w:ascii="Cambria Math" w:eastAsia="Calibri" w:hAnsi="Cambria Math"/>
                <w:i/>
                <w:lang w:val="en-GB" w:eastAsia="en-US"/>
              </w:rPr>
            </m:ctrlPr>
          </m:sSubPr>
          <m:e>
            <m:r>
              <w:rPr>
                <w:rFonts w:ascii="Cambria Math" w:hAnsi="Cambria Math"/>
                <w:lang w:val="en-GB"/>
              </w:rPr>
              <m:t>RTE</m:t>
            </m:r>
          </m:e>
          <m:sub>
            <m:r>
              <w:rPr>
                <w:rFonts w:ascii="Cambria Math" w:hAnsi="Cambria Math"/>
                <w:lang w:val="en-GB"/>
              </w:rPr>
              <m:t>net</m:t>
            </m:r>
          </m:sub>
        </m:sSub>
      </m:oMath>
      <w:r w:rsidRPr="005C3FE9">
        <w:rPr>
          <w:lang w:val="en-GB"/>
        </w:rPr>
        <w:t xml:space="preserve"> under a constraint on the value of</w:t>
      </w:r>
      <w:r w:rsidR="003E5014" w:rsidRPr="005C3FE9">
        <w:rPr>
          <w:lang w:val="en-GB"/>
        </w:rPr>
        <w:t xml:space="preserve"> </w:t>
      </w:r>
      <m:oMath>
        <m:acc>
          <m:accPr>
            <m:chr m:val="̅"/>
            <m:ctrlPr>
              <w:rPr>
                <w:rFonts w:ascii="Cambria Math" w:eastAsia="Calibri" w:hAnsi="Cambria Math"/>
                <w:i/>
                <w:lang w:eastAsia="en-US"/>
              </w:rPr>
            </m:ctrlPr>
          </m:accPr>
          <m:e>
            <m:sSub>
              <m:sSubPr>
                <m:ctrlPr>
                  <w:rPr>
                    <w:rFonts w:ascii="Cambria Math" w:eastAsia="Calibri" w:hAnsi="Cambria Math"/>
                    <w:i/>
                    <w:lang w:eastAsia="en-US"/>
                  </w:rPr>
                </m:ctrlPr>
              </m:sSubPr>
              <m:e>
                <m:r>
                  <w:rPr>
                    <w:rFonts w:ascii="Cambria Math" w:hAnsi="Cambria Math"/>
                  </w:rPr>
                  <m:t>NPD</m:t>
                </m:r>
              </m:e>
              <m:sub>
                <m:r>
                  <w:rPr>
                    <w:rFonts w:ascii="Cambria Math" w:hAnsi="Cambria Math"/>
                  </w:rPr>
                  <m:t>d</m:t>
                </m:r>
              </m:sub>
            </m:sSub>
          </m:e>
        </m:acc>
      </m:oMath>
      <w:r w:rsidR="00885BDD" w:rsidRPr="005C3FE9">
        <w:rPr>
          <w:lang w:val="en-US" w:eastAsia="en-US"/>
        </w:rPr>
        <w:t xml:space="preserve"> and </w:t>
      </w:r>
      <w:r w:rsidR="00885BDD" w:rsidRPr="005C3FE9">
        <w:rPr>
          <w:i/>
          <w:iCs/>
          <w:lang w:val="en-US" w:eastAsia="en-US"/>
        </w:rPr>
        <w:t>vice versa</w:t>
      </w:r>
      <w:r w:rsidRPr="005C3FE9">
        <w:rPr>
          <w:lang w:val="en-GB"/>
        </w:rPr>
        <w:t>.</w:t>
      </w:r>
      <w:r w:rsidR="00171E39" w:rsidRPr="005C3FE9">
        <w:rPr>
          <w:lang w:val="en-GB"/>
        </w:rPr>
        <w:t xml:space="preserve"> </w:t>
      </w:r>
      <w:r w:rsidR="003D51B5" w:rsidRPr="005C3FE9">
        <w:rPr>
          <w:lang w:val="en-GB"/>
        </w:rPr>
        <w:t>The region</w:t>
      </w:r>
      <w:r w:rsidR="00171E39" w:rsidRPr="005C3FE9">
        <w:rPr>
          <w:lang w:val="en-GB"/>
        </w:rPr>
        <w:t xml:space="preserve"> below the Pareto set</w:t>
      </w:r>
      <w:r w:rsidR="003D51B5" w:rsidRPr="005C3FE9">
        <w:rPr>
          <w:lang w:val="en-GB"/>
        </w:rPr>
        <w:t xml:space="preserve"> is that of feasible but non-optimal solutions</w:t>
      </w:r>
      <w:r w:rsidR="00171E39" w:rsidRPr="005C3FE9">
        <w:rPr>
          <w:lang w:val="en-GB"/>
        </w:rPr>
        <w:t xml:space="preserve">, </w:t>
      </w:r>
      <w:r w:rsidR="00FA61E2" w:rsidRPr="005C3FE9">
        <w:rPr>
          <w:lang w:val="en-GB"/>
        </w:rPr>
        <w:t>while</w:t>
      </w:r>
      <w:r w:rsidR="00171E39" w:rsidRPr="005C3FE9">
        <w:rPr>
          <w:lang w:val="en-GB"/>
        </w:rPr>
        <w:t xml:space="preserve"> </w:t>
      </w:r>
      <w:r w:rsidR="003D51B5" w:rsidRPr="005C3FE9">
        <w:rPr>
          <w:lang w:val="en-GB"/>
        </w:rPr>
        <w:t xml:space="preserve">the region above it regards </w:t>
      </w:r>
      <w:r w:rsidR="00171E39" w:rsidRPr="005C3FE9">
        <w:rPr>
          <w:lang w:val="en-GB"/>
        </w:rPr>
        <w:t>unfeasible solutions.</w:t>
      </w:r>
    </w:p>
    <w:p w14:paraId="0848DDE1" w14:textId="4527238D" w:rsidR="00740010" w:rsidRPr="005C3FE9" w:rsidRDefault="00740010" w:rsidP="00DB0AE1">
      <w:pPr>
        <w:rPr>
          <w:lang w:val="en-GB"/>
        </w:rPr>
      </w:pPr>
      <w:r w:rsidRPr="005C3FE9">
        <w:rPr>
          <w:lang w:val="en-GB"/>
        </w:rPr>
        <w:t xml:space="preserve">The decision variables were of two types: operating and design </w:t>
      </w:r>
      <w:r w:rsidR="0020702A" w:rsidRPr="005C3FE9">
        <w:rPr>
          <w:lang w:val="en-GB"/>
        </w:rPr>
        <w:t xml:space="preserve">variables </w:t>
      </w:r>
      <w:r w:rsidRPr="005C3FE9">
        <w:rPr>
          <w:lang w:val="en-GB"/>
        </w:rPr>
        <w:t>(</w:t>
      </w:r>
      <w:r w:rsidR="00DB0AE1" w:rsidRPr="005C3FE9">
        <w:rPr>
          <w:lang w:val="en-GB"/>
        </w:rPr>
        <w:fldChar w:fldCharType="begin"/>
      </w:r>
      <w:r w:rsidR="00DB0AE1" w:rsidRPr="005C3FE9">
        <w:rPr>
          <w:lang w:val="en-GB"/>
        </w:rPr>
        <w:instrText xml:space="preserve"> REF _Ref101281415 \h </w:instrText>
      </w:r>
      <w:r w:rsidR="003D2B89" w:rsidRPr="005C3FE9">
        <w:rPr>
          <w:lang w:val="en-GB"/>
        </w:rPr>
        <w:instrText xml:space="preserve"> \* MERGEFORMAT </w:instrText>
      </w:r>
      <w:r w:rsidR="00DB0AE1" w:rsidRPr="005C3FE9">
        <w:rPr>
          <w:lang w:val="en-GB"/>
        </w:rPr>
      </w:r>
      <w:r w:rsidR="00DB0AE1" w:rsidRPr="005C3FE9">
        <w:rPr>
          <w:lang w:val="en-GB"/>
        </w:rPr>
        <w:fldChar w:fldCharType="separate"/>
      </w:r>
      <w:r w:rsidR="00561965" w:rsidRPr="005C3FE9">
        <w:rPr>
          <w:lang w:val="en-US"/>
        </w:rPr>
        <w:t xml:space="preserve">Table </w:t>
      </w:r>
      <w:r w:rsidR="00561965" w:rsidRPr="005C3FE9">
        <w:rPr>
          <w:noProof/>
          <w:lang w:val="en-US"/>
        </w:rPr>
        <w:t>1</w:t>
      </w:r>
      <w:r w:rsidR="00DB0AE1" w:rsidRPr="005C3FE9">
        <w:rPr>
          <w:lang w:val="en-GB"/>
        </w:rPr>
        <w:fldChar w:fldCharType="end"/>
      </w:r>
      <w:r w:rsidRPr="005C3FE9">
        <w:rPr>
          <w:lang w:val="en-GB"/>
        </w:rPr>
        <w:t xml:space="preserve">). </w:t>
      </w:r>
      <w:r w:rsidR="0082491D" w:rsidRPr="005C3FE9">
        <w:rPr>
          <w:lang w:val="en-GB"/>
        </w:rPr>
        <w:t>The r</w:t>
      </w:r>
      <w:r w:rsidR="0035426B" w:rsidRPr="005C3FE9">
        <w:rPr>
          <w:lang w:val="en-GB"/>
        </w:rPr>
        <w:t>eference value</w:t>
      </w:r>
      <w:r w:rsidR="0082491D" w:rsidRPr="005C3FE9">
        <w:rPr>
          <w:lang w:val="en-GB"/>
        </w:rPr>
        <w:t xml:space="preserve"> of any parameter was</w:t>
      </w:r>
      <w:r w:rsidR="0035426B" w:rsidRPr="005C3FE9">
        <w:rPr>
          <w:lang w:val="en-GB"/>
        </w:rPr>
        <w:t xml:space="preserve"> </w:t>
      </w:r>
      <w:r w:rsidR="00871EA8" w:rsidRPr="005C3FE9">
        <w:rPr>
          <w:lang w:val="en-GB"/>
        </w:rPr>
        <w:t>fixed</w:t>
      </w:r>
      <w:r w:rsidR="0035426B" w:rsidRPr="005C3FE9">
        <w:rPr>
          <w:lang w:val="en-GB"/>
        </w:rPr>
        <w:t xml:space="preserve"> in simulated scenarios where th</w:t>
      </w:r>
      <w:r w:rsidR="0082491D" w:rsidRPr="005C3FE9">
        <w:rPr>
          <w:lang w:val="en-GB"/>
        </w:rPr>
        <w:t>at</w:t>
      </w:r>
      <w:r w:rsidR="0035426B" w:rsidRPr="005C3FE9">
        <w:rPr>
          <w:lang w:val="en-GB"/>
        </w:rPr>
        <w:t xml:space="preserve"> parameter was not considered as a decision variable.</w:t>
      </w:r>
      <w:r w:rsidR="001C06EA" w:rsidRPr="005C3FE9">
        <w:rPr>
          <w:lang w:val="en-GB"/>
        </w:rPr>
        <w:t xml:space="preserve"> In the case of the charge target concentration, the reference value (1</w:t>
      </w:r>
      <w:r w:rsidR="00561965" w:rsidRPr="005C3FE9">
        <w:rPr>
          <w:lang w:val="en-GB"/>
        </w:rPr>
        <w:t>,</w:t>
      </w:r>
      <w:r w:rsidR="001C06EA" w:rsidRPr="005C3FE9">
        <w:rPr>
          <w:lang w:val="en-GB"/>
        </w:rPr>
        <w:t>000 mol m</w:t>
      </w:r>
      <w:r w:rsidR="001C06EA" w:rsidRPr="005C3FE9">
        <w:rPr>
          <w:vertAlign w:val="superscript"/>
          <w:lang w:val="en-GB"/>
        </w:rPr>
        <w:t>-3</w:t>
      </w:r>
      <w:r w:rsidR="001C06EA" w:rsidRPr="005C3FE9">
        <w:rPr>
          <w:lang w:val="en-GB"/>
        </w:rPr>
        <w:t xml:space="preserve">) was taken as upper bound to maintain the simulations in a range of concentrations where the membrane selectivity is not </w:t>
      </w:r>
      <w:r w:rsidR="001F08D8" w:rsidRPr="005C3FE9">
        <w:rPr>
          <w:lang w:val="en-GB"/>
        </w:rPr>
        <w:t>impaired,</w:t>
      </w:r>
      <w:r w:rsidR="003F7ABA" w:rsidRPr="005C3FE9">
        <w:rPr>
          <w:lang w:val="en-GB"/>
        </w:rPr>
        <w:t xml:space="preserve"> and the transport properties can be considered constant</w:t>
      </w:r>
      <w:r w:rsidR="001C06EA" w:rsidRPr="005C3FE9">
        <w:rPr>
          <w:lang w:val="en-GB"/>
        </w:rPr>
        <w:t>.</w:t>
      </w:r>
    </w:p>
    <w:p w14:paraId="52DD27F6" w14:textId="0B162E50" w:rsidR="00DB0AE1" w:rsidRPr="005C3FE9" w:rsidRDefault="00DB0AE1" w:rsidP="00492B64">
      <w:pPr>
        <w:pStyle w:val="Didascalia"/>
        <w:keepNext/>
        <w:spacing w:after="0"/>
        <w:jc w:val="both"/>
      </w:pPr>
      <w:bookmarkStart w:id="10" w:name="_Ref101281415"/>
      <w:r w:rsidRPr="005C3FE9">
        <w:t xml:space="preserve">Table </w:t>
      </w:r>
      <w:r w:rsidRPr="005C3FE9">
        <w:fldChar w:fldCharType="begin"/>
      </w:r>
      <w:r w:rsidRPr="005C3FE9">
        <w:instrText xml:space="preserve"> SEQ Table \* ARABIC </w:instrText>
      </w:r>
      <w:r w:rsidRPr="005C3FE9">
        <w:fldChar w:fldCharType="separate"/>
      </w:r>
      <w:r w:rsidR="007D3E0D">
        <w:rPr>
          <w:noProof/>
        </w:rPr>
        <w:t>1</w:t>
      </w:r>
      <w:r w:rsidRPr="005C3FE9">
        <w:fldChar w:fldCharType="end"/>
      </w:r>
      <w:bookmarkEnd w:id="10"/>
      <w:r w:rsidRPr="005C3FE9">
        <w:t xml:space="preserve">. </w:t>
      </w:r>
      <w:r w:rsidRPr="005C3FE9">
        <w:rPr>
          <w:lang w:val="en-GB"/>
        </w:rPr>
        <w:t>List of the decision variables with their</w:t>
      </w:r>
      <w:r w:rsidR="0035426B" w:rsidRPr="005C3FE9">
        <w:rPr>
          <w:lang w:val="en-GB"/>
        </w:rPr>
        <w:t xml:space="preserve"> reference </w:t>
      </w:r>
      <w:r w:rsidR="00A5343F" w:rsidRPr="005C3FE9">
        <w:rPr>
          <w:lang w:val="en-GB"/>
        </w:rPr>
        <w:t xml:space="preserve">values </w:t>
      </w:r>
      <w:r w:rsidR="0035426B" w:rsidRPr="005C3FE9">
        <w:rPr>
          <w:lang w:val="en-GB"/>
        </w:rPr>
        <w:t>and bound</w:t>
      </w:r>
      <w:r w:rsidR="00A5343F" w:rsidRPr="005C3FE9">
        <w:rPr>
          <w:lang w:val="en-GB"/>
        </w:rPr>
        <w:t>s</w:t>
      </w:r>
      <w:r w:rsidRPr="005C3FE9">
        <w:rPr>
          <w:lang w:val="en-GB"/>
        </w:rPr>
        <w:t>.</w:t>
      </w:r>
    </w:p>
    <w:tbl>
      <w:tblPr>
        <w:tblStyle w:val="Grigliatabella"/>
        <w:tblW w:w="102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2463"/>
        <w:gridCol w:w="1549"/>
        <w:gridCol w:w="1566"/>
        <w:gridCol w:w="1422"/>
      </w:tblGrid>
      <w:tr w:rsidR="000B43A9" w:rsidRPr="005C3FE9" w14:paraId="0428D38D" w14:textId="03785096" w:rsidTr="001256D2">
        <w:trPr>
          <w:trHeight w:val="459"/>
          <w:jc w:val="center"/>
        </w:trPr>
        <w:tc>
          <w:tcPr>
            <w:tcW w:w="3261" w:type="dxa"/>
            <w:tcBorders>
              <w:top w:val="single" w:sz="4" w:space="0" w:color="auto"/>
              <w:bottom w:val="single" w:sz="4" w:space="0" w:color="auto"/>
            </w:tcBorders>
          </w:tcPr>
          <w:p w14:paraId="1E330BB7" w14:textId="77777777" w:rsidR="000B43A9" w:rsidRPr="005C3FE9" w:rsidRDefault="000B43A9" w:rsidP="000E66A1">
            <w:pPr>
              <w:ind w:firstLine="0"/>
              <w:jc w:val="center"/>
              <w:rPr>
                <w:rFonts w:ascii="Times New Roman" w:hAnsi="Times New Roman"/>
                <w:lang w:val="en-GB"/>
              </w:rPr>
            </w:pPr>
            <w:r w:rsidRPr="005C3FE9">
              <w:rPr>
                <w:rFonts w:ascii="Times New Roman" w:hAnsi="Times New Roman"/>
                <w:lang w:val="en-GB"/>
              </w:rPr>
              <w:t>Variable name</w:t>
            </w:r>
          </w:p>
        </w:tc>
        <w:tc>
          <w:tcPr>
            <w:tcW w:w="2463" w:type="dxa"/>
            <w:tcBorders>
              <w:top w:val="single" w:sz="4" w:space="0" w:color="auto"/>
              <w:bottom w:val="single" w:sz="4" w:space="0" w:color="auto"/>
            </w:tcBorders>
          </w:tcPr>
          <w:p w14:paraId="27553E6E" w14:textId="2A639CD8" w:rsidR="000B43A9" w:rsidRPr="005C3FE9" w:rsidRDefault="000B43A9" w:rsidP="000E66A1">
            <w:pPr>
              <w:ind w:firstLine="0"/>
              <w:jc w:val="center"/>
              <w:rPr>
                <w:rFonts w:ascii="Times New Roman" w:hAnsi="Times New Roman"/>
                <w:lang w:val="en-GB"/>
              </w:rPr>
            </w:pPr>
            <w:r w:rsidRPr="005C3FE9">
              <w:rPr>
                <w:rFonts w:ascii="Times New Roman" w:hAnsi="Times New Roman"/>
                <w:lang w:val="en-GB"/>
              </w:rPr>
              <w:t>Symbol, unit</w:t>
            </w:r>
          </w:p>
        </w:tc>
        <w:tc>
          <w:tcPr>
            <w:tcW w:w="1549" w:type="dxa"/>
            <w:tcBorders>
              <w:top w:val="single" w:sz="4" w:space="0" w:color="auto"/>
              <w:bottom w:val="single" w:sz="4" w:space="0" w:color="auto"/>
            </w:tcBorders>
          </w:tcPr>
          <w:p w14:paraId="0C48B85D" w14:textId="7D1C7A05" w:rsidR="000B43A9" w:rsidRPr="005C3FE9" w:rsidRDefault="000B43A9" w:rsidP="000E66A1">
            <w:pPr>
              <w:ind w:firstLine="0"/>
              <w:jc w:val="center"/>
              <w:rPr>
                <w:rFonts w:ascii="Times New Roman" w:hAnsi="Times New Roman"/>
                <w:lang w:val="en-GB"/>
              </w:rPr>
            </w:pPr>
            <w:r w:rsidRPr="005C3FE9">
              <w:rPr>
                <w:rFonts w:ascii="Times New Roman" w:hAnsi="Times New Roman"/>
                <w:lang w:val="en-GB"/>
              </w:rPr>
              <w:t>Lower bound</w:t>
            </w:r>
          </w:p>
        </w:tc>
        <w:tc>
          <w:tcPr>
            <w:tcW w:w="1564" w:type="dxa"/>
            <w:tcBorders>
              <w:top w:val="single" w:sz="4" w:space="0" w:color="auto"/>
              <w:bottom w:val="single" w:sz="4" w:space="0" w:color="auto"/>
            </w:tcBorders>
          </w:tcPr>
          <w:p w14:paraId="5CD57650" w14:textId="0191C51D" w:rsidR="000B43A9" w:rsidRPr="005C3FE9" w:rsidRDefault="000B43A9" w:rsidP="000E66A1">
            <w:pPr>
              <w:ind w:firstLine="0"/>
              <w:jc w:val="center"/>
              <w:rPr>
                <w:rFonts w:ascii="Times New Roman" w:hAnsi="Times New Roman"/>
                <w:lang w:val="en-GB"/>
              </w:rPr>
            </w:pPr>
            <w:r w:rsidRPr="005C3FE9">
              <w:rPr>
                <w:rFonts w:ascii="Times New Roman" w:hAnsi="Times New Roman"/>
                <w:lang w:val="en-GB"/>
              </w:rPr>
              <w:t>Upper bound</w:t>
            </w:r>
          </w:p>
        </w:tc>
        <w:tc>
          <w:tcPr>
            <w:tcW w:w="1422" w:type="dxa"/>
            <w:tcBorders>
              <w:top w:val="single" w:sz="4" w:space="0" w:color="auto"/>
              <w:bottom w:val="single" w:sz="4" w:space="0" w:color="auto"/>
            </w:tcBorders>
          </w:tcPr>
          <w:p w14:paraId="39B846F6" w14:textId="4E499384" w:rsidR="000B43A9" w:rsidRPr="005C3FE9" w:rsidRDefault="005A49F0" w:rsidP="000E66A1">
            <w:pPr>
              <w:ind w:firstLine="0"/>
              <w:jc w:val="center"/>
              <w:rPr>
                <w:rFonts w:ascii="Times New Roman" w:hAnsi="Times New Roman"/>
                <w:lang w:val="en-GB"/>
              </w:rPr>
            </w:pPr>
            <w:r w:rsidRPr="005C3FE9">
              <w:rPr>
                <w:rFonts w:ascii="Times New Roman" w:hAnsi="Times New Roman"/>
                <w:lang w:val="en-GB"/>
              </w:rPr>
              <w:t>Reference</w:t>
            </w:r>
          </w:p>
        </w:tc>
      </w:tr>
      <w:tr w:rsidR="000B43A9" w:rsidRPr="005C3FE9" w14:paraId="7761134F" w14:textId="6D87153E" w:rsidTr="001256D2">
        <w:trPr>
          <w:trHeight w:val="443"/>
          <w:jc w:val="center"/>
        </w:trPr>
        <w:tc>
          <w:tcPr>
            <w:tcW w:w="8839" w:type="dxa"/>
            <w:gridSpan w:val="4"/>
            <w:tcBorders>
              <w:top w:val="single" w:sz="4" w:space="0" w:color="auto"/>
            </w:tcBorders>
            <w:vAlign w:val="center"/>
          </w:tcPr>
          <w:p w14:paraId="1006FE93" w14:textId="77777777"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Operating variables</w:t>
            </w:r>
          </w:p>
        </w:tc>
        <w:tc>
          <w:tcPr>
            <w:tcW w:w="1422" w:type="dxa"/>
            <w:tcBorders>
              <w:top w:val="single" w:sz="4" w:space="0" w:color="auto"/>
            </w:tcBorders>
          </w:tcPr>
          <w:p w14:paraId="7246EF78" w14:textId="77777777" w:rsidR="000B43A9" w:rsidRPr="005C3FE9" w:rsidRDefault="000B43A9" w:rsidP="009379DF">
            <w:pPr>
              <w:ind w:firstLine="0"/>
              <w:jc w:val="center"/>
              <w:rPr>
                <w:rFonts w:ascii="Times New Roman" w:hAnsi="Times New Roman"/>
                <w:lang w:val="en-GB"/>
              </w:rPr>
            </w:pPr>
          </w:p>
        </w:tc>
      </w:tr>
      <w:tr w:rsidR="000B43A9" w:rsidRPr="005C3FE9" w14:paraId="727E11D5" w14:textId="265DC9DA" w:rsidTr="001256D2">
        <w:trPr>
          <w:trHeight w:val="443"/>
          <w:jc w:val="center"/>
        </w:trPr>
        <w:tc>
          <w:tcPr>
            <w:tcW w:w="3261" w:type="dxa"/>
            <w:tcBorders>
              <w:top w:val="single" w:sz="4" w:space="0" w:color="auto"/>
            </w:tcBorders>
          </w:tcPr>
          <w:p w14:paraId="2BD89437" w14:textId="77777777"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charge current density</w:t>
            </w:r>
          </w:p>
        </w:tc>
        <w:tc>
          <w:tcPr>
            <w:tcW w:w="2463" w:type="dxa"/>
            <w:tcBorders>
              <w:top w:val="single" w:sz="4" w:space="0" w:color="auto"/>
            </w:tcBorders>
          </w:tcPr>
          <w:p w14:paraId="2EBADA06" w14:textId="7003EA93" w:rsidR="000B43A9" w:rsidRPr="005C3FE9" w:rsidRDefault="00000000" w:rsidP="000B4360">
            <w:pPr>
              <w:ind w:firstLine="0"/>
              <w:jc w:val="center"/>
              <w:rPr>
                <w:rFonts w:ascii="Times New Roman" w:hAnsi="Times New Roman"/>
                <w:lang w:val="en-GB"/>
              </w:rPr>
            </w:pPr>
            <m:oMath>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c</m:t>
                  </m:r>
                </m:sub>
              </m:sSub>
            </m:oMath>
            <w:r w:rsidR="000B43A9" w:rsidRPr="005C3FE9">
              <w:rPr>
                <w:rFonts w:ascii="Times New Roman" w:hAnsi="Times New Roman"/>
                <w:lang w:val="en-GB"/>
              </w:rPr>
              <w:t>, A m</w:t>
            </w:r>
            <w:r w:rsidR="000B43A9" w:rsidRPr="005C3FE9">
              <w:rPr>
                <w:rFonts w:ascii="Times New Roman" w:hAnsi="Times New Roman"/>
                <w:vertAlign w:val="superscript"/>
                <w:lang w:val="en-GB"/>
              </w:rPr>
              <w:t>-2</w:t>
            </w:r>
          </w:p>
        </w:tc>
        <w:tc>
          <w:tcPr>
            <w:tcW w:w="1549" w:type="dxa"/>
            <w:tcBorders>
              <w:top w:val="single" w:sz="4" w:space="0" w:color="auto"/>
            </w:tcBorders>
          </w:tcPr>
          <w:p w14:paraId="514ADC10" w14:textId="0D25A8E4"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 xml:space="preserve">30 </w:t>
            </w:r>
          </w:p>
        </w:tc>
        <w:tc>
          <w:tcPr>
            <w:tcW w:w="1564" w:type="dxa"/>
            <w:tcBorders>
              <w:top w:val="single" w:sz="4" w:space="0" w:color="auto"/>
            </w:tcBorders>
          </w:tcPr>
          <w:p w14:paraId="3FE94162" w14:textId="6AF36A3E"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500</w:t>
            </w:r>
          </w:p>
        </w:tc>
        <w:tc>
          <w:tcPr>
            <w:tcW w:w="1422" w:type="dxa"/>
            <w:tcBorders>
              <w:top w:val="single" w:sz="4" w:space="0" w:color="auto"/>
            </w:tcBorders>
          </w:tcPr>
          <w:p w14:paraId="77158263" w14:textId="1917B6B2"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100</w:t>
            </w:r>
          </w:p>
        </w:tc>
      </w:tr>
      <w:tr w:rsidR="000B43A9" w:rsidRPr="005C3FE9" w14:paraId="0FA0F88E" w14:textId="0F381A23" w:rsidTr="001256D2">
        <w:trPr>
          <w:trHeight w:val="459"/>
          <w:jc w:val="center"/>
        </w:trPr>
        <w:tc>
          <w:tcPr>
            <w:tcW w:w="3261" w:type="dxa"/>
          </w:tcPr>
          <w:p w14:paraId="697F1249" w14:textId="77777777"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discharge current density</w:t>
            </w:r>
          </w:p>
        </w:tc>
        <w:tc>
          <w:tcPr>
            <w:tcW w:w="2463" w:type="dxa"/>
          </w:tcPr>
          <w:p w14:paraId="4AED68BD" w14:textId="12DE1907" w:rsidR="000B43A9" w:rsidRPr="005C3FE9" w:rsidRDefault="00000000" w:rsidP="000B4360">
            <w:pPr>
              <w:ind w:firstLine="0"/>
              <w:jc w:val="center"/>
              <w:rPr>
                <w:rFonts w:ascii="Times New Roman" w:hAnsi="Times New Roman"/>
                <w:lang w:val="en-GB"/>
              </w:rPr>
            </w:pPr>
            <m:oMath>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d</m:t>
                  </m:r>
                </m:sub>
              </m:sSub>
            </m:oMath>
            <w:r w:rsidR="000B43A9" w:rsidRPr="005C3FE9">
              <w:rPr>
                <w:rFonts w:ascii="Times New Roman" w:hAnsi="Times New Roman"/>
                <w:lang w:val="en-GB"/>
              </w:rPr>
              <w:t>, A m</w:t>
            </w:r>
            <w:r w:rsidR="000B43A9" w:rsidRPr="005C3FE9">
              <w:rPr>
                <w:rFonts w:ascii="Times New Roman" w:hAnsi="Times New Roman"/>
                <w:vertAlign w:val="superscript"/>
                <w:lang w:val="en-GB"/>
              </w:rPr>
              <w:t>-2</w:t>
            </w:r>
          </w:p>
        </w:tc>
        <w:tc>
          <w:tcPr>
            <w:tcW w:w="1549" w:type="dxa"/>
          </w:tcPr>
          <w:p w14:paraId="10D7FBEC" w14:textId="0375E627"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30</w:t>
            </w:r>
          </w:p>
        </w:tc>
        <w:tc>
          <w:tcPr>
            <w:tcW w:w="1564" w:type="dxa"/>
          </w:tcPr>
          <w:p w14:paraId="48E8375E" w14:textId="39319E85"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200</w:t>
            </w:r>
          </w:p>
        </w:tc>
        <w:tc>
          <w:tcPr>
            <w:tcW w:w="1422" w:type="dxa"/>
          </w:tcPr>
          <w:p w14:paraId="764F6217" w14:textId="24B03727"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30</w:t>
            </w:r>
          </w:p>
        </w:tc>
      </w:tr>
      <w:tr w:rsidR="000B43A9" w:rsidRPr="005C3FE9" w14:paraId="272A9B4B" w14:textId="5E730118" w:rsidTr="001256D2">
        <w:trPr>
          <w:trHeight w:val="492"/>
          <w:jc w:val="center"/>
        </w:trPr>
        <w:tc>
          <w:tcPr>
            <w:tcW w:w="3261" w:type="dxa"/>
          </w:tcPr>
          <w:p w14:paraId="2D6C062D" w14:textId="77777777"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lastRenderedPageBreak/>
              <w:t>charge mean flow velocity</w:t>
            </w:r>
          </w:p>
        </w:tc>
        <w:tc>
          <w:tcPr>
            <w:tcW w:w="2463" w:type="dxa"/>
          </w:tcPr>
          <w:p w14:paraId="2435B4BB" w14:textId="3A45582F" w:rsidR="000B43A9" w:rsidRPr="005C3FE9" w:rsidRDefault="00000000" w:rsidP="000B4360">
            <w:pPr>
              <w:ind w:firstLine="0"/>
              <w:jc w:val="center"/>
              <w:rPr>
                <w:rFonts w:ascii="Times New Roman" w:hAnsi="Times New Roman"/>
                <w:lang w:val="en-GB"/>
              </w:rPr>
            </w:pPr>
            <m:oMath>
              <m:sSub>
                <m:sSubPr>
                  <m:ctrlPr>
                    <w:rPr>
                      <w:rFonts w:ascii="Cambria Math" w:hAnsi="Cambria Math"/>
                      <w:i/>
                      <w:lang w:val="en-GB"/>
                    </w:rPr>
                  </m:ctrlPr>
                </m:sSubPr>
                <m:e>
                  <m:r>
                    <w:rPr>
                      <w:rFonts w:ascii="Cambria Math" w:hAnsi="Cambria Math"/>
                      <w:lang w:val="en-GB"/>
                    </w:rPr>
                    <m:t>u</m:t>
                  </m:r>
                </m:e>
                <m:sub>
                  <m:r>
                    <w:rPr>
                      <w:rFonts w:ascii="Cambria Math" w:hAnsi="Cambria Math"/>
                      <w:lang w:val="en-GB"/>
                    </w:rPr>
                    <m:t>ch,sol,c</m:t>
                  </m:r>
                </m:sub>
              </m:sSub>
            </m:oMath>
            <w:r w:rsidR="000B43A9" w:rsidRPr="005C3FE9">
              <w:rPr>
                <w:rFonts w:ascii="Times New Roman" w:hAnsi="Times New Roman"/>
                <w:lang w:val="en-GB"/>
              </w:rPr>
              <w:t>, cm s</w:t>
            </w:r>
            <w:r w:rsidR="000B43A9" w:rsidRPr="005C3FE9">
              <w:rPr>
                <w:rFonts w:ascii="Times New Roman" w:hAnsi="Times New Roman"/>
                <w:vertAlign w:val="superscript"/>
                <w:lang w:val="en-GB"/>
              </w:rPr>
              <w:t>-1</w:t>
            </w:r>
          </w:p>
        </w:tc>
        <w:tc>
          <w:tcPr>
            <w:tcW w:w="1549" w:type="dxa"/>
          </w:tcPr>
          <w:p w14:paraId="3B632F3E" w14:textId="3F54E58F"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0.5</w:t>
            </w:r>
          </w:p>
        </w:tc>
        <w:tc>
          <w:tcPr>
            <w:tcW w:w="1564" w:type="dxa"/>
          </w:tcPr>
          <w:p w14:paraId="67183809" w14:textId="4BB9F365"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5</w:t>
            </w:r>
          </w:p>
        </w:tc>
        <w:tc>
          <w:tcPr>
            <w:tcW w:w="1422" w:type="dxa"/>
          </w:tcPr>
          <w:p w14:paraId="7CFDCF8E" w14:textId="3C877AC8"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1</w:t>
            </w:r>
          </w:p>
        </w:tc>
      </w:tr>
      <w:tr w:rsidR="000B43A9" w:rsidRPr="005C3FE9" w14:paraId="1D37C1B8" w14:textId="3010729F" w:rsidTr="001256D2">
        <w:trPr>
          <w:trHeight w:val="475"/>
          <w:jc w:val="center"/>
        </w:trPr>
        <w:tc>
          <w:tcPr>
            <w:tcW w:w="3261" w:type="dxa"/>
          </w:tcPr>
          <w:p w14:paraId="289466E9" w14:textId="77777777"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discharge mean flow velocity</w:t>
            </w:r>
          </w:p>
        </w:tc>
        <w:tc>
          <w:tcPr>
            <w:tcW w:w="2463" w:type="dxa"/>
          </w:tcPr>
          <w:p w14:paraId="603CCA3D" w14:textId="119AF543" w:rsidR="000B43A9" w:rsidRPr="005C3FE9" w:rsidRDefault="00000000" w:rsidP="000B4360">
            <w:pPr>
              <w:ind w:firstLine="0"/>
              <w:jc w:val="center"/>
              <w:rPr>
                <w:rFonts w:ascii="Times New Roman" w:hAnsi="Times New Roman"/>
                <w:lang w:val="en-GB"/>
              </w:rPr>
            </w:pPr>
            <m:oMath>
              <m:sSub>
                <m:sSubPr>
                  <m:ctrlPr>
                    <w:rPr>
                      <w:rFonts w:ascii="Cambria Math" w:hAnsi="Cambria Math"/>
                      <w:i/>
                      <w:lang w:val="en-GB"/>
                    </w:rPr>
                  </m:ctrlPr>
                </m:sSubPr>
                <m:e>
                  <m:r>
                    <w:rPr>
                      <w:rFonts w:ascii="Cambria Math" w:hAnsi="Cambria Math"/>
                      <w:lang w:val="en-GB"/>
                    </w:rPr>
                    <m:t>u</m:t>
                  </m:r>
                </m:e>
                <m:sub>
                  <m:r>
                    <w:rPr>
                      <w:rFonts w:ascii="Cambria Math" w:hAnsi="Cambria Math"/>
                      <w:lang w:val="en-GB"/>
                    </w:rPr>
                    <m:t>ch,sol,d</m:t>
                  </m:r>
                </m:sub>
              </m:sSub>
            </m:oMath>
            <w:r w:rsidR="000B43A9" w:rsidRPr="005C3FE9">
              <w:rPr>
                <w:rFonts w:ascii="Times New Roman" w:hAnsi="Times New Roman"/>
                <w:lang w:val="en-GB"/>
              </w:rPr>
              <w:t>, cm s</w:t>
            </w:r>
            <w:r w:rsidR="000B43A9" w:rsidRPr="005C3FE9">
              <w:rPr>
                <w:rFonts w:ascii="Times New Roman" w:hAnsi="Times New Roman"/>
                <w:vertAlign w:val="superscript"/>
                <w:lang w:val="en-GB"/>
              </w:rPr>
              <w:t>-1</w:t>
            </w:r>
          </w:p>
        </w:tc>
        <w:tc>
          <w:tcPr>
            <w:tcW w:w="1549" w:type="dxa"/>
          </w:tcPr>
          <w:p w14:paraId="17277EF3" w14:textId="20FD0B02"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0.5</w:t>
            </w:r>
          </w:p>
        </w:tc>
        <w:tc>
          <w:tcPr>
            <w:tcW w:w="1564" w:type="dxa"/>
          </w:tcPr>
          <w:p w14:paraId="613DDC42" w14:textId="1FC2FE91"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5</w:t>
            </w:r>
          </w:p>
        </w:tc>
        <w:tc>
          <w:tcPr>
            <w:tcW w:w="1422" w:type="dxa"/>
          </w:tcPr>
          <w:p w14:paraId="020A174E" w14:textId="44BA02CD"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1</w:t>
            </w:r>
          </w:p>
        </w:tc>
      </w:tr>
      <w:tr w:rsidR="000B43A9" w:rsidRPr="005C3FE9" w14:paraId="7F1506A5" w14:textId="582CC122" w:rsidTr="001256D2">
        <w:trPr>
          <w:trHeight w:val="475"/>
          <w:jc w:val="center"/>
        </w:trPr>
        <w:tc>
          <w:tcPr>
            <w:tcW w:w="3261" w:type="dxa"/>
          </w:tcPr>
          <w:p w14:paraId="7F0F7F57" w14:textId="77777777"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charge target concentration</w:t>
            </w:r>
          </w:p>
        </w:tc>
        <w:tc>
          <w:tcPr>
            <w:tcW w:w="2463" w:type="dxa"/>
          </w:tcPr>
          <w:p w14:paraId="10952219" w14:textId="50A03DDE" w:rsidR="000B43A9" w:rsidRPr="005C3FE9" w:rsidRDefault="00000000" w:rsidP="000B4360">
            <w:pPr>
              <w:ind w:firstLine="0"/>
              <w:jc w:val="center"/>
              <w:rPr>
                <w:rFonts w:ascii="Times New Roman" w:hAnsi="Times New Roman"/>
              </w:rPr>
            </w:pPr>
            <m:oMath>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a</m:t>
                  </m:r>
                  <m:r>
                    <w:rPr>
                      <w:rFonts w:ascii="Cambria Math" w:hAnsi="Cambria Math"/>
                    </w:rPr>
                    <m:t>,</m:t>
                  </m:r>
                  <m:r>
                    <w:rPr>
                      <w:rFonts w:ascii="Cambria Math" w:hAnsi="Cambria Math"/>
                      <w:lang w:val="en-GB"/>
                    </w:rPr>
                    <m:t>HCl</m:t>
                  </m:r>
                  <m:r>
                    <w:rPr>
                      <w:rFonts w:ascii="Cambria Math" w:hAnsi="Cambria Math"/>
                    </w:rPr>
                    <m:t>,</m:t>
                  </m:r>
                  <m:r>
                    <w:rPr>
                      <w:rFonts w:ascii="Cambria Math" w:hAnsi="Cambria Math"/>
                      <w:lang w:val="en-GB"/>
                    </w:rPr>
                    <m:t>target</m:t>
                  </m:r>
                  <m:r>
                    <w:rPr>
                      <w:rFonts w:ascii="Cambria Math" w:hAnsi="Cambria Math"/>
                    </w:rPr>
                    <m:t>,</m:t>
                  </m:r>
                  <m:r>
                    <w:rPr>
                      <w:rFonts w:ascii="Cambria Math" w:hAnsi="Cambria Math"/>
                      <w:lang w:val="en-GB"/>
                    </w:rPr>
                    <m:t>c</m:t>
                  </m:r>
                </m:sub>
              </m:sSub>
            </m:oMath>
            <w:r w:rsidR="000B43A9" w:rsidRPr="005C3FE9">
              <w:rPr>
                <w:rFonts w:ascii="Times New Roman" w:hAnsi="Times New Roman"/>
              </w:rPr>
              <w:t>, mol m</w:t>
            </w:r>
            <w:r w:rsidR="000B43A9" w:rsidRPr="005C3FE9">
              <w:rPr>
                <w:rFonts w:ascii="Times New Roman" w:hAnsi="Times New Roman"/>
                <w:vertAlign w:val="superscript"/>
              </w:rPr>
              <w:t>-3</w:t>
            </w:r>
          </w:p>
        </w:tc>
        <w:tc>
          <w:tcPr>
            <w:tcW w:w="1549" w:type="dxa"/>
          </w:tcPr>
          <w:p w14:paraId="4449C55D" w14:textId="22ABE6A0"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500</w:t>
            </w:r>
          </w:p>
        </w:tc>
        <w:tc>
          <w:tcPr>
            <w:tcW w:w="1564" w:type="dxa"/>
          </w:tcPr>
          <w:p w14:paraId="5D256809" w14:textId="098BB849"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1</w:t>
            </w:r>
            <w:r w:rsidR="00561965" w:rsidRPr="005C3FE9">
              <w:rPr>
                <w:rFonts w:ascii="Times New Roman" w:hAnsi="Times New Roman"/>
                <w:lang w:val="en-GB"/>
              </w:rPr>
              <w:t>,</w:t>
            </w:r>
            <w:r w:rsidRPr="005C3FE9">
              <w:rPr>
                <w:rFonts w:ascii="Times New Roman" w:hAnsi="Times New Roman"/>
                <w:lang w:val="en-GB"/>
              </w:rPr>
              <w:t>000</w:t>
            </w:r>
          </w:p>
        </w:tc>
        <w:tc>
          <w:tcPr>
            <w:tcW w:w="1422" w:type="dxa"/>
          </w:tcPr>
          <w:p w14:paraId="47FA1F3A" w14:textId="502976C0"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1</w:t>
            </w:r>
            <w:r w:rsidR="00561965" w:rsidRPr="005C3FE9">
              <w:rPr>
                <w:rFonts w:ascii="Times New Roman" w:hAnsi="Times New Roman"/>
                <w:lang w:val="en-GB"/>
              </w:rPr>
              <w:t>,</w:t>
            </w:r>
            <w:r w:rsidRPr="005C3FE9">
              <w:rPr>
                <w:rFonts w:ascii="Times New Roman" w:hAnsi="Times New Roman"/>
                <w:lang w:val="en-GB"/>
              </w:rPr>
              <w:t>000</w:t>
            </w:r>
          </w:p>
        </w:tc>
      </w:tr>
      <w:tr w:rsidR="000B43A9" w:rsidRPr="005C3FE9" w14:paraId="42BD3D98" w14:textId="618CD7CC" w:rsidTr="001256D2">
        <w:trPr>
          <w:trHeight w:val="492"/>
          <w:jc w:val="center"/>
        </w:trPr>
        <w:tc>
          <w:tcPr>
            <w:tcW w:w="3261" w:type="dxa"/>
          </w:tcPr>
          <w:p w14:paraId="64ACDEED" w14:textId="37B03BF0"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discharge target concentration</w:t>
            </w:r>
          </w:p>
        </w:tc>
        <w:tc>
          <w:tcPr>
            <w:tcW w:w="2463" w:type="dxa"/>
          </w:tcPr>
          <w:p w14:paraId="56F11505" w14:textId="73E50838" w:rsidR="000B43A9" w:rsidRPr="005C3FE9" w:rsidRDefault="00000000" w:rsidP="000B4360">
            <w:pPr>
              <w:ind w:firstLine="0"/>
              <w:jc w:val="center"/>
              <w:rPr>
                <w:rFonts w:ascii="Times New Roman" w:hAnsi="Times New Roman"/>
              </w:rPr>
            </w:pPr>
            <m:oMath>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a</m:t>
                  </m:r>
                  <m:r>
                    <w:rPr>
                      <w:rFonts w:ascii="Cambria Math" w:hAnsi="Cambria Math"/>
                    </w:rPr>
                    <m:t>,</m:t>
                  </m:r>
                  <m:r>
                    <w:rPr>
                      <w:rFonts w:ascii="Cambria Math" w:hAnsi="Cambria Math"/>
                      <w:lang w:val="en-GB"/>
                    </w:rPr>
                    <m:t>HCl</m:t>
                  </m:r>
                  <m:r>
                    <w:rPr>
                      <w:rFonts w:ascii="Cambria Math" w:hAnsi="Cambria Math"/>
                    </w:rPr>
                    <m:t>.</m:t>
                  </m:r>
                  <m:r>
                    <w:rPr>
                      <w:rFonts w:ascii="Cambria Math" w:hAnsi="Cambria Math"/>
                      <w:lang w:val="en-GB"/>
                    </w:rPr>
                    <m:t>target</m:t>
                  </m:r>
                  <m:r>
                    <w:rPr>
                      <w:rFonts w:ascii="Cambria Math" w:hAnsi="Cambria Math"/>
                    </w:rPr>
                    <m:t>,</m:t>
                  </m:r>
                  <m:r>
                    <w:rPr>
                      <w:rFonts w:ascii="Cambria Math" w:hAnsi="Cambria Math"/>
                      <w:lang w:val="en-GB"/>
                    </w:rPr>
                    <m:t>d</m:t>
                  </m:r>
                </m:sub>
              </m:sSub>
            </m:oMath>
            <w:r w:rsidR="000B43A9" w:rsidRPr="005C3FE9">
              <w:rPr>
                <w:rFonts w:ascii="Times New Roman" w:hAnsi="Times New Roman"/>
              </w:rPr>
              <w:t>, mol m</w:t>
            </w:r>
            <w:r w:rsidR="000B43A9" w:rsidRPr="005C3FE9">
              <w:rPr>
                <w:rFonts w:ascii="Times New Roman" w:hAnsi="Times New Roman"/>
                <w:vertAlign w:val="superscript"/>
              </w:rPr>
              <w:t>-3</w:t>
            </w:r>
          </w:p>
        </w:tc>
        <w:tc>
          <w:tcPr>
            <w:tcW w:w="1549" w:type="dxa"/>
          </w:tcPr>
          <w:p w14:paraId="79C0425F" w14:textId="160AABAC"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50</w:t>
            </w:r>
          </w:p>
        </w:tc>
        <w:tc>
          <w:tcPr>
            <w:tcW w:w="1564" w:type="dxa"/>
          </w:tcPr>
          <w:p w14:paraId="5FBF2362" w14:textId="70464394"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200</w:t>
            </w:r>
          </w:p>
        </w:tc>
        <w:tc>
          <w:tcPr>
            <w:tcW w:w="1422" w:type="dxa"/>
          </w:tcPr>
          <w:p w14:paraId="733FA43E" w14:textId="116891DD"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50</w:t>
            </w:r>
          </w:p>
        </w:tc>
      </w:tr>
      <w:tr w:rsidR="000B43A9" w:rsidRPr="005C3FE9" w14:paraId="5FDADAC0" w14:textId="6B8CD761" w:rsidTr="001256D2">
        <w:trPr>
          <w:trHeight w:val="443"/>
          <w:jc w:val="center"/>
        </w:trPr>
        <w:tc>
          <w:tcPr>
            <w:tcW w:w="8839" w:type="dxa"/>
            <w:gridSpan w:val="4"/>
            <w:tcBorders>
              <w:top w:val="single" w:sz="4" w:space="0" w:color="auto"/>
            </w:tcBorders>
            <w:vAlign w:val="center"/>
          </w:tcPr>
          <w:p w14:paraId="70F0C5A2" w14:textId="77777777"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Design variables</w:t>
            </w:r>
          </w:p>
        </w:tc>
        <w:tc>
          <w:tcPr>
            <w:tcW w:w="1422" w:type="dxa"/>
            <w:tcBorders>
              <w:top w:val="single" w:sz="4" w:space="0" w:color="auto"/>
            </w:tcBorders>
          </w:tcPr>
          <w:p w14:paraId="152FA3FE" w14:textId="77777777" w:rsidR="000B43A9" w:rsidRPr="005C3FE9" w:rsidRDefault="000B43A9" w:rsidP="009379DF">
            <w:pPr>
              <w:ind w:firstLine="0"/>
              <w:jc w:val="center"/>
              <w:rPr>
                <w:rFonts w:ascii="Times New Roman" w:hAnsi="Times New Roman"/>
                <w:lang w:val="en-GB"/>
              </w:rPr>
            </w:pPr>
          </w:p>
        </w:tc>
      </w:tr>
      <w:tr w:rsidR="000B43A9" w:rsidRPr="005C3FE9" w14:paraId="6E2681F7" w14:textId="5FB31592" w:rsidTr="001256D2">
        <w:trPr>
          <w:trHeight w:val="459"/>
          <w:jc w:val="center"/>
        </w:trPr>
        <w:tc>
          <w:tcPr>
            <w:tcW w:w="3261" w:type="dxa"/>
            <w:tcBorders>
              <w:top w:val="single" w:sz="4" w:space="0" w:color="auto"/>
            </w:tcBorders>
          </w:tcPr>
          <w:p w14:paraId="6A06DE2D" w14:textId="112DE737"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spacer length</w:t>
            </w:r>
          </w:p>
        </w:tc>
        <w:tc>
          <w:tcPr>
            <w:tcW w:w="2463" w:type="dxa"/>
            <w:tcBorders>
              <w:top w:val="single" w:sz="4" w:space="0" w:color="auto"/>
            </w:tcBorders>
          </w:tcPr>
          <w:p w14:paraId="248649CD" w14:textId="2EAF7770" w:rsidR="000B43A9" w:rsidRPr="005C3FE9" w:rsidRDefault="000B43A9" w:rsidP="000B4360">
            <w:pPr>
              <w:ind w:firstLine="0"/>
              <w:jc w:val="center"/>
              <w:rPr>
                <w:rFonts w:ascii="Times New Roman" w:hAnsi="Times New Roman"/>
                <w:lang w:val="en-GB"/>
              </w:rPr>
            </w:pPr>
            <m:oMath>
              <m:r>
                <w:rPr>
                  <w:rFonts w:ascii="Cambria Math" w:hAnsi="Cambria Math"/>
                  <w:lang w:val="en-GB"/>
                </w:rPr>
                <m:t>L</m:t>
              </m:r>
            </m:oMath>
            <w:r w:rsidRPr="005C3FE9">
              <w:rPr>
                <w:rFonts w:ascii="Times New Roman" w:hAnsi="Times New Roman"/>
                <w:lang w:val="en-GB"/>
              </w:rPr>
              <w:t>, cm</w:t>
            </w:r>
          </w:p>
        </w:tc>
        <w:tc>
          <w:tcPr>
            <w:tcW w:w="1549" w:type="dxa"/>
            <w:tcBorders>
              <w:top w:val="single" w:sz="4" w:space="0" w:color="auto"/>
            </w:tcBorders>
          </w:tcPr>
          <w:p w14:paraId="4ECA1510" w14:textId="19426DF7"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5</w:t>
            </w:r>
          </w:p>
        </w:tc>
        <w:tc>
          <w:tcPr>
            <w:tcW w:w="1564" w:type="dxa"/>
            <w:tcBorders>
              <w:top w:val="single" w:sz="4" w:space="0" w:color="auto"/>
            </w:tcBorders>
          </w:tcPr>
          <w:p w14:paraId="3996ED9D" w14:textId="3973C7DC"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200</w:t>
            </w:r>
          </w:p>
        </w:tc>
        <w:tc>
          <w:tcPr>
            <w:tcW w:w="1422" w:type="dxa"/>
            <w:tcBorders>
              <w:top w:val="single" w:sz="4" w:space="0" w:color="auto"/>
            </w:tcBorders>
          </w:tcPr>
          <w:p w14:paraId="744F7B1F" w14:textId="56B7DA54" w:rsidR="000B43A9" w:rsidRPr="005C3FE9" w:rsidRDefault="00793B71" w:rsidP="009379DF">
            <w:pPr>
              <w:ind w:firstLine="0"/>
              <w:jc w:val="center"/>
              <w:rPr>
                <w:rFonts w:ascii="Times New Roman" w:hAnsi="Times New Roman"/>
                <w:lang w:val="en-GB"/>
              </w:rPr>
            </w:pPr>
            <w:r w:rsidRPr="005C3FE9">
              <w:rPr>
                <w:rFonts w:ascii="Times New Roman" w:hAnsi="Times New Roman"/>
                <w:lang w:val="en-GB"/>
              </w:rPr>
              <w:t>44</w:t>
            </w:r>
          </w:p>
        </w:tc>
      </w:tr>
      <w:tr w:rsidR="000B43A9" w:rsidRPr="005C3FE9" w14:paraId="607823AE" w14:textId="2833427C" w:rsidTr="001256D2">
        <w:trPr>
          <w:trHeight w:val="443"/>
          <w:jc w:val="center"/>
        </w:trPr>
        <w:tc>
          <w:tcPr>
            <w:tcW w:w="3261" w:type="dxa"/>
            <w:tcBorders>
              <w:bottom w:val="single" w:sz="4" w:space="0" w:color="auto"/>
            </w:tcBorders>
          </w:tcPr>
          <w:p w14:paraId="5654CA14" w14:textId="47548355"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spacer thickness</w:t>
            </w:r>
          </w:p>
        </w:tc>
        <w:tc>
          <w:tcPr>
            <w:tcW w:w="2463" w:type="dxa"/>
            <w:tcBorders>
              <w:bottom w:val="single" w:sz="4" w:space="0" w:color="auto"/>
            </w:tcBorders>
          </w:tcPr>
          <w:p w14:paraId="0DD94A18" w14:textId="5710C935" w:rsidR="000B43A9" w:rsidRPr="005C3FE9" w:rsidRDefault="00000000" w:rsidP="000B4360">
            <w:pPr>
              <w:ind w:firstLine="0"/>
              <w:jc w:val="center"/>
              <w:rPr>
                <w:rFonts w:ascii="Times New Roman" w:hAnsi="Times New Roman"/>
                <w:lang w:val="en-GB"/>
              </w:rPr>
            </w:pPr>
            <m:oMath>
              <m:sSub>
                <m:sSubPr>
                  <m:ctrlPr>
                    <w:rPr>
                      <w:rFonts w:ascii="Cambria Math" w:hAnsi="Cambria Math"/>
                      <w:i/>
                      <w:lang w:val="en-GB"/>
                    </w:rPr>
                  </m:ctrlPr>
                </m:sSubPr>
                <m:e>
                  <m:r>
                    <w:rPr>
                      <w:rFonts w:ascii="Cambria Math" w:hAnsi="Cambria Math"/>
                      <w:lang w:val="en-GB"/>
                    </w:rPr>
                    <m:t>d</m:t>
                  </m:r>
                </m:e>
                <m:sub>
                  <m:r>
                    <w:rPr>
                      <w:rFonts w:ascii="Cambria Math" w:hAnsi="Cambria Math"/>
                      <w:lang w:val="en-GB"/>
                    </w:rPr>
                    <m:t>sol</m:t>
                  </m:r>
                </m:sub>
              </m:sSub>
            </m:oMath>
            <w:r w:rsidR="000B43A9" w:rsidRPr="005C3FE9">
              <w:rPr>
                <w:rFonts w:ascii="Times New Roman" w:hAnsi="Times New Roman"/>
                <w:lang w:val="en-GB"/>
              </w:rPr>
              <w:t>, µm</w:t>
            </w:r>
          </w:p>
        </w:tc>
        <w:tc>
          <w:tcPr>
            <w:tcW w:w="1549" w:type="dxa"/>
            <w:tcBorders>
              <w:bottom w:val="single" w:sz="4" w:space="0" w:color="auto"/>
            </w:tcBorders>
          </w:tcPr>
          <w:p w14:paraId="63FC329D" w14:textId="78A192EE"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50</w:t>
            </w:r>
          </w:p>
        </w:tc>
        <w:tc>
          <w:tcPr>
            <w:tcW w:w="1564" w:type="dxa"/>
            <w:tcBorders>
              <w:bottom w:val="single" w:sz="4" w:space="0" w:color="auto"/>
            </w:tcBorders>
          </w:tcPr>
          <w:p w14:paraId="5D2E9E34" w14:textId="61BD805C" w:rsidR="000B43A9" w:rsidRPr="005C3FE9" w:rsidRDefault="000B43A9" w:rsidP="009379DF">
            <w:pPr>
              <w:ind w:firstLine="0"/>
              <w:jc w:val="center"/>
              <w:rPr>
                <w:rFonts w:ascii="Times New Roman" w:hAnsi="Times New Roman"/>
                <w:lang w:val="en-GB"/>
              </w:rPr>
            </w:pPr>
            <w:r w:rsidRPr="005C3FE9">
              <w:rPr>
                <w:rFonts w:ascii="Times New Roman" w:hAnsi="Times New Roman"/>
                <w:lang w:val="en-GB"/>
              </w:rPr>
              <w:t>1</w:t>
            </w:r>
            <w:r w:rsidR="00561965" w:rsidRPr="005C3FE9">
              <w:rPr>
                <w:rFonts w:ascii="Times New Roman" w:hAnsi="Times New Roman"/>
                <w:lang w:val="en-GB"/>
              </w:rPr>
              <w:t>,</w:t>
            </w:r>
            <w:r w:rsidRPr="005C3FE9">
              <w:rPr>
                <w:rFonts w:ascii="Times New Roman" w:hAnsi="Times New Roman"/>
                <w:lang w:val="en-GB"/>
              </w:rPr>
              <w:t>000</w:t>
            </w:r>
          </w:p>
        </w:tc>
        <w:tc>
          <w:tcPr>
            <w:tcW w:w="1422" w:type="dxa"/>
            <w:tcBorders>
              <w:bottom w:val="single" w:sz="4" w:space="0" w:color="auto"/>
            </w:tcBorders>
          </w:tcPr>
          <w:p w14:paraId="518A4A04" w14:textId="68F0C938" w:rsidR="000B43A9" w:rsidRPr="005C3FE9" w:rsidRDefault="00793B71" w:rsidP="009379DF">
            <w:pPr>
              <w:ind w:firstLine="0"/>
              <w:jc w:val="center"/>
              <w:rPr>
                <w:rFonts w:ascii="Times New Roman" w:hAnsi="Times New Roman"/>
                <w:lang w:val="en-GB"/>
              </w:rPr>
            </w:pPr>
            <w:r w:rsidRPr="005C3FE9">
              <w:rPr>
                <w:rFonts w:ascii="Times New Roman" w:hAnsi="Times New Roman"/>
                <w:lang w:val="en-GB"/>
              </w:rPr>
              <w:t>500</w:t>
            </w:r>
          </w:p>
        </w:tc>
      </w:tr>
    </w:tbl>
    <w:p w14:paraId="4E1DC64A" w14:textId="2EF9AC89" w:rsidR="00740010" w:rsidRPr="005C3FE9" w:rsidRDefault="00186D30" w:rsidP="00740010">
      <w:pPr>
        <w:rPr>
          <w:lang w:val="en-GB"/>
        </w:rPr>
      </w:pPr>
      <w:r w:rsidRPr="005C3FE9">
        <w:rPr>
          <w:lang w:val="en-GB"/>
        </w:rPr>
        <w:t xml:space="preserve">Four </w:t>
      </w:r>
      <w:r w:rsidR="005C034D" w:rsidRPr="005C3FE9">
        <w:rPr>
          <w:lang w:val="en-GB"/>
        </w:rPr>
        <w:t xml:space="preserve">different scenarios </w:t>
      </w:r>
      <w:r w:rsidRPr="005C3FE9">
        <w:rPr>
          <w:lang w:val="en-GB"/>
        </w:rPr>
        <w:t xml:space="preserve">(A to D) </w:t>
      </w:r>
      <w:r w:rsidR="005C034D" w:rsidRPr="005C3FE9">
        <w:rPr>
          <w:lang w:val="en-GB"/>
        </w:rPr>
        <w:t>were investigated</w:t>
      </w:r>
      <w:r w:rsidRPr="005C3FE9">
        <w:rPr>
          <w:lang w:val="en-GB"/>
        </w:rPr>
        <w:t xml:space="preserve"> to evaluate the separate effects of the decision variable</w:t>
      </w:r>
      <w:r w:rsidR="00871EA8" w:rsidRPr="005C3FE9">
        <w:rPr>
          <w:lang w:val="en-GB"/>
        </w:rPr>
        <w:t>s</w:t>
      </w:r>
      <w:r w:rsidRPr="005C3FE9">
        <w:rPr>
          <w:lang w:val="en-GB"/>
        </w:rPr>
        <w:t xml:space="preserve"> on optimal solutions. </w:t>
      </w:r>
      <w:r w:rsidR="00C126EE" w:rsidRPr="005C3FE9">
        <w:rPr>
          <w:rStyle w:val="q4iawc"/>
          <w:lang w:val="en"/>
        </w:rPr>
        <w:t>These scenarios include a</w:t>
      </w:r>
      <w:r w:rsidR="00576E7F">
        <w:rPr>
          <w:rStyle w:val="q4iawc"/>
          <w:lang w:val="en"/>
        </w:rPr>
        <w:t>n initial (t=0)</w:t>
      </w:r>
      <w:r w:rsidR="00C126EE" w:rsidRPr="005C3FE9">
        <w:rPr>
          <w:rStyle w:val="q4iawc"/>
          <w:lang w:val="en"/>
        </w:rPr>
        <w:t xml:space="preserve"> solutions’ volume ratio (i.e., </w:t>
      </w:r>
      <m:oMath>
        <m:sSub>
          <m:sSubPr>
            <m:ctrlPr>
              <w:rPr>
                <w:rFonts w:ascii="Cambria Math" w:hAnsi="Cambria Math"/>
                <w:lang w:val="en-GB"/>
              </w:rPr>
            </m:ctrlPr>
          </m:sSubPr>
          <m:e>
            <m:r>
              <w:rPr>
                <w:rFonts w:ascii="Cambria Math" w:hAnsi="Cambria Math"/>
                <w:lang w:val="en-GB"/>
              </w:rPr>
              <m:t>V</m:t>
            </m:r>
          </m:e>
          <m:sub>
            <m:r>
              <w:rPr>
                <w:rFonts w:ascii="Cambria Math" w:hAnsi="Cambria Math"/>
                <w:lang w:val="en-GB"/>
              </w:rPr>
              <m:t>t,a</m:t>
            </m:r>
          </m:sub>
        </m:sSub>
        <m:r>
          <m:rPr>
            <m:sty m:val="p"/>
          </m:rPr>
          <w:rPr>
            <w:rFonts w:ascii="Cambria Math" w:hAnsi="Cambria Math"/>
            <w:lang w:val="en-GB"/>
          </w:rPr>
          <m:t>:</m:t>
        </m:r>
        <m:sSub>
          <m:sSubPr>
            <m:ctrlPr>
              <w:rPr>
                <w:rFonts w:ascii="Cambria Math" w:hAnsi="Cambria Math"/>
                <w:lang w:val="en-GB"/>
              </w:rPr>
            </m:ctrlPr>
          </m:sSubPr>
          <m:e>
            <m:r>
              <w:rPr>
                <w:rFonts w:ascii="Cambria Math" w:hAnsi="Cambria Math"/>
                <w:lang w:val="en-GB"/>
              </w:rPr>
              <m:t>V</m:t>
            </m:r>
          </m:e>
          <m:sub>
            <m:r>
              <w:rPr>
                <w:rFonts w:ascii="Cambria Math" w:hAnsi="Cambria Math"/>
                <w:lang w:val="en-GB"/>
              </w:rPr>
              <m:t>t,b</m:t>
            </m:r>
          </m:sub>
        </m:sSub>
        <m:r>
          <m:rPr>
            <m:sty m:val="p"/>
          </m:rPr>
          <w:rPr>
            <w:rFonts w:ascii="Cambria Math" w:hAnsi="Cambria Math"/>
            <w:lang w:val="en-GB"/>
          </w:rPr>
          <m:t>:</m:t>
        </m:r>
        <m:sSub>
          <m:sSubPr>
            <m:ctrlPr>
              <w:rPr>
                <w:rFonts w:ascii="Cambria Math" w:hAnsi="Cambria Math"/>
                <w:lang w:val="en-GB"/>
              </w:rPr>
            </m:ctrlPr>
          </m:sSubPr>
          <m:e>
            <m:r>
              <w:rPr>
                <w:rFonts w:ascii="Cambria Math" w:hAnsi="Cambria Math"/>
                <w:lang w:val="en-GB"/>
              </w:rPr>
              <m:t>V</m:t>
            </m:r>
          </m:e>
          <m:sub>
            <m:r>
              <w:rPr>
                <w:rFonts w:ascii="Cambria Math" w:hAnsi="Cambria Math"/>
                <w:lang w:val="en-GB"/>
              </w:rPr>
              <m:t>t,s</m:t>
            </m:r>
          </m:sub>
        </m:sSub>
      </m:oMath>
      <w:r w:rsidR="00C126EE" w:rsidRPr="005C3FE9">
        <w:rPr>
          <w:rStyle w:val="q4iawc"/>
          <w:lang w:val="en"/>
        </w:rPr>
        <w:t>) of 1:1:6 to decrease the NaCl concentration variations in the salt channels a</w:t>
      </w:r>
      <w:proofErr w:type="spellStart"/>
      <w:r w:rsidR="00C126EE" w:rsidRPr="005C3FE9">
        <w:rPr>
          <w:rStyle w:val="q4iawc"/>
          <w:lang w:val="en"/>
        </w:rPr>
        <w:t>nd</w:t>
      </w:r>
      <w:proofErr w:type="spellEnd"/>
      <w:r w:rsidR="00C126EE" w:rsidRPr="005C3FE9">
        <w:rPr>
          <w:rStyle w:val="q4iawc"/>
          <w:lang w:val="en"/>
        </w:rPr>
        <w:t xml:space="preserve"> thus </w:t>
      </w:r>
      <w:r w:rsidR="005C3057" w:rsidRPr="005C3FE9">
        <w:rPr>
          <w:rStyle w:val="q4iawc"/>
          <w:lang w:val="en"/>
        </w:rPr>
        <w:t>prevent the complete depletion</w:t>
      </w:r>
      <w:r w:rsidR="00C126EE" w:rsidRPr="005C3FE9">
        <w:rPr>
          <w:rStyle w:val="q4iawc"/>
          <w:lang w:val="en"/>
        </w:rPr>
        <w:t xml:space="preserve"> of NaCl during battery charging. </w:t>
      </w:r>
      <w:r w:rsidR="00D846B1" w:rsidRPr="005C3FE9">
        <w:rPr>
          <w:lang w:val="en-GB"/>
        </w:rPr>
        <w:t>An</w:t>
      </w:r>
      <w:r w:rsidRPr="005C3FE9">
        <w:rPr>
          <w:lang w:val="en-GB"/>
        </w:rPr>
        <w:t xml:space="preserve"> additional scenario </w:t>
      </w:r>
      <w:r w:rsidR="00D846B1" w:rsidRPr="005C3FE9">
        <w:rPr>
          <w:lang w:val="en-GB"/>
        </w:rPr>
        <w:t xml:space="preserve">(E) </w:t>
      </w:r>
      <w:r w:rsidRPr="005C3FE9">
        <w:rPr>
          <w:lang w:val="en-GB"/>
        </w:rPr>
        <w:t>w</w:t>
      </w:r>
      <w:r w:rsidR="00D846B1" w:rsidRPr="005C3FE9">
        <w:rPr>
          <w:lang w:val="en-GB"/>
        </w:rPr>
        <w:t>as</w:t>
      </w:r>
      <w:r w:rsidRPr="005C3FE9">
        <w:rPr>
          <w:lang w:val="en-GB"/>
        </w:rPr>
        <w:t xml:space="preserve"> simulated by </w:t>
      </w:r>
      <w:r w:rsidR="00AC713F" w:rsidRPr="005C3FE9">
        <w:rPr>
          <w:lang w:val="en-GB"/>
        </w:rPr>
        <w:t>reducing the salt solution volume</w:t>
      </w:r>
      <w:r w:rsidR="00C126EE" w:rsidRPr="005C3FE9">
        <w:rPr>
          <w:lang w:val="en-GB"/>
        </w:rPr>
        <w:t xml:space="preserve">, and thus changing the </w:t>
      </w:r>
      <w:r w:rsidR="00D846B1" w:rsidRPr="005C3FE9">
        <w:rPr>
          <w:lang w:val="en-GB"/>
        </w:rPr>
        <w:t xml:space="preserve">solutions’ </w:t>
      </w:r>
      <w:r w:rsidRPr="005C3FE9">
        <w:rPr>
          <w:lang w:val="en-GB"/>
        </w:rPr>
        <w:t>volume ratio</w:t>
      </w:r>
      <w:r w:rsidR="00C126EE" w:rsidRPr="005C3FE9">
        <w:rPr>
          <w:lang w:val="en-GB"/>
        </w:rPr>
        <w:t xml:space="preserve"> to</w:t>
      </w:r>
      <w:r w:rsidR="00AC713F" w:rsidRPr="005C3FE9">
        <w:rPr>
          <w:lang w:val="en-GB"/>
        </w:rPr>
        <w:t xml:space="preserve"> </w:t>
      </w:r>
      <w:r w:rsidR="00431760" w:rsidRPr="005C3FE9">
        <w:rPr>
          <w:lang w:val="en-GB"/>
        </w:rPr>
        <w:t>1:1:1 instead of 1:1:6</w:t>
      </w:r>
      <w:r w:rsidRPr="005C3FE9">
        <w:rPr>
          <w:lang w:val="en-GB"/>
        </w:rPr>
        <w:t>.</w:t>
      </w:r>
      <w:r w:rsidR="005C034D" w:rsidRPr="005C3FE9">
        <w:rPr>
          <w:lang w:val="en-GB"/>
        </w:rPr>
        <w:t xml:space="preserve"> </w:t>
      </w:r>
      <w:r w:rsidR="00871EA8" w:rsidRPr="005C3FE9">
        <w:rPr>
          <w:lang w:val="en-GB"/>
        </w:rPr>
        <w:t>In th</w:t>
      </w:r>
      <w:r w:rsidR="00D846B1" w:rsidRPr="005C3FE9">
        <w:rPr>
          <w:lang w:val="en-GB"/>
        </w:rPr>
        <w:t xml:space="preserve">is </w:t>
      </w:r>
      <w:r w:rsidR="00871EA8" w:rsidRPr="005C3FE9">
        <w:rPr>
          <w:lang w:val="en-GB"/>
        </w:rPr>
        <w:t xml:space="preserve">case, the </w:t>
      </w:r>
      <w:r w:rsidR="00D93F3F" w:rsidRPr="005C3FE9">
        <w:rPr>
          <w:lang w:val="en-GB"/>
        </w:rPr>
        <w:t>initial NaCl concentration in the salt solution (</w:t>
      </w:r>
      <m:oMath>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t,NaCl,s</m:t>
            </m:r>
          </m:sub>
        </m:sSub>
      </m:oMath>
      <w:r w:rsidR="00D93F3F" w:rsidRPr="005C3FE9">
        <w:rPr>
          <w:lang w:val="en-GB"/>
        </w:rPr>
        <w:t>)</w:t>
      </w:r>
      <w:r w:rsidR="00871EA8" w:rsidRPr="005C3FE9">
        <w:rPr>
          <w:lang w:val="en-GB"/>
        </w:rPr>
        <w:t xml:space="preserve"> was </w:t>
      </w:r>
      <w:proofErr w:type="spellStart"/>
      <w:r w:rsidR="00871EA8" w:rsidRPr="005C3FE9">
        <w:rPr>
          <w:lang w:val="en-GB"/>
        </w:rPr>
        <w:t>increased</w:t>
      </w:r>
      <w:r w:rsidR="001F4721">
        <w:rPr>
          <w:lang w:val="en-GB"/>
        </w:rPr>
        <w:t>from</w:t>
      </w:r>
      <w:proofErr w:type="spellEnd"/>
      <w:r w:rsidR="001F4721">
        <w:rPr>
          <w:lang w:val="en-GB"/>
        </w:rPr>
        <w:t xml:space="preserve"> 500 mol m</w:t>
      </w:r>
      <w:r w:rsidR="001F4721" w:rsidRPr="001F4721">
        <w:rPr>
          <w:vertAlign w:val="superscript"/>
          <w:lang w:val="en-GB"/>
        </w:rPr>
        <w:t>-3</w:t>
      </w:r>
      <w:r w:rsidR="00871EA8" w:rsidRPr="005C3FE9">
        <w:rPr>
          <w:lang w:val="en-GB"/>
        </w:rPr>
        <w:t xml:space="preserve"> to 1</w:t>
      </w:r>
      <w:r w:rsidR="00561965" w:rsidRPr="005C3FE9">
        <w:rPr>
          <w:lang w:val="en-GB"/>
        </w:rPr>
        <w:t>,</w:t>
      </w:r>
      <w:r w:rsidR="00871EA8" w:rsidRPr="005C3FE9">
        <w:rPr>
          <w:lang w:val="en-GB"/>
        </w:rPr>
        <w:t>000</w:t>
      </w:r>
      <w:r w:rsidR="00A21FE4" w:rsidRPr="005C3FE9">
        <w:rPr>
          <w:lang w:val="en-GB"/>
        </w:rPr>
        <w:t xml:space="preserve"> </w:t>
      </w:r>
      <w:r w:rsidR="00871EA8" w:rsidRPr="005C3FE9">
        <w:rPr>
          <w:lang w:val="en-GB"/>
        </w:rPr>
        <w:t>mol m</w:t>
      </w:r>
      <w:r w:rsidR="00871EA8" w:rsidRPr="005C3FE9">
        <w:rPr>
          <w:vertAlign w:val="superscript"/>
          <w:lang w:val="en-GB"/>
        </w:rPr>
        <w:t>-3</w:t>
      </w:r>
      <w:r w:rsidR="00871EA8" w:rsidRPr="005C3FE9">
        <w:rPr>
          <w:lang w:val="en-GB"/>
        </w:rPr>
        <w:t xml:space="preserve"> </w:t>
      </w:r>
      <w:r w:rsidR="00697FC5" w:rsidRPr="005C3FE9">
        <w:rPr>
          <w:lang w:val="en-GB"/>
        </w:rPr>
        <w:t>to guarantee the presence of a sufficient quantity of salt</w:t>
      </w:r>
      <w:r w:rsidR="00D846B1" w:rsidRPr="005C3FE9">
        <w:rPr>
          <w:lang w:val="en-GB"/>
        </w:rPr>
        <w:t xml:space="preserve"> to charge the acid and base solutions</w:t>
      </w:r>
      <w:r w:rsidR="005C034D" w:rsidRPr="005C3FE9">
        <w:rPr>
          <w:lang w:val="en-GB"/>
        </w:rPr>
        <w:t xml:space="preserve">. </w:t>
      </w:r>
      <w:r w:rsidR="00D846B1" w:rsidRPr="005C3FE9">
        <w:rPr>
          <w:lang w:val="en-GB"/>
        </w:rPr>
        <w:t xml:space="preserve">Finally, a scenario of improved membrane properties (scenario F) was simulated </w:t>
      </w:r>
      <w:r w:rsidR="00607016" w:rsidRPr="005C3FE9">
        <w:rPr>
          <w:lang w:val="en-GB"/>
        </w:rPr>
        <w:t xml:space="preserve">to explore the potential </w:t>
      </w:r>
      <w:r w:rsidR="009425A2">
        <w:rPr>
          <w:lang w:val="en-GB"/>
        </w:rPr>
        <w:t>enhancement</w:t>
      </w:r>
      <w:r w:rsidR="009425A2" w:rsidRPr="005C3FE9">
        <w:rPr>
          <w:lang w:val="en-GB"/>
        </w:rPr>
        <w:t xml:space="preserve"> </w:t>
      </w:r>
      <w:r w:rsidR="00607016" w:rsidRPr="005C3FE9">
        <w:rPr>
          <w:lang w:val="en-GB"/>
        </w:rPr>
        <w:t xml:space="preserve">in the battery performance thanks to </w:t>
      </w:r>
      <w:r w:rsidR="009425A2">
        <w:rPr>
          <w:lang w:val="en-GB"/>
        </w:rPr>
        <w:t>a possible future</w:t>
      </w:r>
      <w:r w:rsidR="009425A2" w:rsidRPr="005C3FE9">
        <w:rPr>
          <w:lang w:val="en-GB"/>
        </w:rPr>
        <w:t xml:space="preserve"> </w:t>
      </w:r>
      <w:r w:rsidR="009425A2">
        <w:rPr>
          <w:lang w:val="en-GB"/>
        </w:rPr>
        <w:t>improvement</w:t>
      </w:r>
      <w:r w:rsidR="009425A2" w:rsidRPr="005C3FE9">
        <w:rPr>
          <w:lang w:val="en-GB"/>
        </w:rPr>
        <w:t xml:space="preserve"> </w:t>
      </w:r>
      <w:r w:rsidR="00607016" w:rsidRPr="005C3FE9">
        <w:rPr>
          <w:lang w:val="en-GB"/>
        </w:rPr>
        <w:t xml:space="preserve">of its key elements. </w:t>
      </w:r>
      <w:r w:rsidR="00B3137D" w:rsidRPr="005C3FE9">
        <w:rPr>
          <w:lang w:val="en-GB"/>
        </w:rPr>
        <w:t>The improved membranes were simulated assuming electrical resistance, ion diffusivities and water permeability at 50% of the reference values (pertaining the membranes simulated in all other scenarios)</w:t>
      </w:r>
      <w:r w:rsidR="00F82471">
        <w:rPr>
          <w:lang w:val="en-GB"/>
        </w:rPr>
        <w:t xml:space="preserve"> (see </w:t>
      </w:r>
      <w:r w:rsidR="00F82471">
        <w:rPr>
          <w:lang w:val="en-GB"/>
        </w:rPr>
        <w:fldChar w:fldCharType="begin"/>
      </w:r>
      <w:r w:rsidR="00F82471">
        <w:rPr>
          <w:lang w:val="en-GB"/>
        </w:rPr>
        <w:instrText xml:space="preserve"> REF _Ref101287789 \h </w:instrText>
      </w:r>
      <w:r w:rsidR="00F82471">
        <w:rPr>
          <w:lang w:val="en-GB"/>
        </w:rPr>
      </w:r>
      <w:r w:rsidR="00F82471">
        <w:rPr>
          <w:lang w:val="en-GB"/>
        </w:rPr>
        <w:fldChar w:fldCharType="separate"/>
      </w:r>
      <w:r w:rsidR="00F82471" w:rsidRPr="00F82471">
        <w:rPr>
          <w:lang w:val="en-US"/>
        </w:rPr>
        <w:t xml:space="preserve">Table </w:t>
      </w:r>
      <w:r w:rsidR="00F82471" w:rsidRPr="00F82471">
        <w:rPr>
          <w:noProof/>
          <w:lang w:val="en-US"/>
        </w:rPr>
        <w:t>3</w:t>
      </w:r>
      <w:r w:rsidR="00F82471">
        <w:rPr>
          <w:lang w:val="en-GB"/>
        </w:rPr>
        <w:fldChar w:fldCharType="end"/>
      </w:r>
      <w:r w:rsidR="00F82471">
        <w:rPr>
          <w:lang w:val="en-GB"/>
        </w:rPr>
        <w:t>)</w:t>
      </w:r>
      <w:r w:rsidR="00B3137D" w:rsidRPr="005C3FE9">
        <w:rPr>
          <w:lang w:val="en-GB"/>
        </w:rPr>
        <w:t xml:space="preserve">. </w:t>
      </w:r>
      <w:r w:rsidR="00740010" w:rsidRPr="005C3FE9">
        <w:rPr>
          <w:lang w:val="en-GB"/>
        </w:rPr>
        <w:t xml:space="preserve">The </w:t>
      </w:r>
      <w:r w:rsidR="00697FC5" w:rsidRPr="005C3FE9">
        <w:rPr>
          <w:lang w:val="en-GB"/>
        </w:rPr>
        <w:t xml:space="preserve">six simulated </w:t>
      </w:r>
      <w:r w:rsidR="00740010" w:rsidRPr="005C3FE9">
        <w:rPr>
          <w:lang w:val="en-GB"/>
        </w:rPr>
        <w:t xml:space="preserve">scenarios are </w:t>
      </w:r>
      <w:r w:rsidR="00074DE4" w:rsidRPr="005C3FE9">
        <w:rPr>
          <w:lang w:val="en-GB"/>
        </w:rPr>
        <w:t xml:space="preserve">described </w:t>
      </w:r>
      <w:r w:rsidR="00740010" w:rsidRPr="005C3FE9">
        <w:rPr>
          <w:lang w:val="en-GB"/>
        </w:rPr>
        <w:t xml:space="preserve">in </w:t>
      </w:r>
      <w:r w:rsidR="00740010" w:rsidRPr="005C3FE9">
        <w:rPr>
          <w:lang w:val="en-GB"/>
        </w:rPr>
        <w:fldChar w:fldCharType="begin"/>
      </w:r>
      <w:r w:rsidR="00740010" w:rsidRPr="005C3FE9">
        <w:rPr>
          <w:lang w:val="en-GB"/>
        </w:rPr>
        <w:instrText xml:space="preserve"> REF _Ref55296501 \h </w:instrText>
      </w:r>
      <w:r w:rsidR="00250296" w:rsidRPr="005C3FE9">
        <w:rPr>
          <w:lang w:val="en-GB"/>
        </w:rPr>
        <w:instrText xml:space="preserve"> \* MERGEFORMAT </w:instrText>
      </w:r>
      <w:r w:rsidR="00740010" w:rsidRPr="005C3FE9">
        <w:rPr>
          <w:lang w:val="en-GB"/>
        </w:rPr>
      </w:r>
      <w:r w:rsidR="00740010" w:rsidRPr="005C3FE9">
        <w:rPr>
          <w:lang w:val="en-GB"/>
        </w:rPr>
        <w:fldChar w:fldCharType="separate"/>
      </w:r>
      <w:r w:rsidR="00561965" w:rsidRPr="005C3FE9">
        <w:rPr>
          <w:lang w:val="en-GB"/>
        </w:rPr>
        <w:t xml:space="preserve">Table </w:t>
      </w:r>
      <w:r w:rsidR="00561965" w:rsidRPr="005C3FE9">
        <w:rPr>
          <w:noProof/>
          <w:lang w:val="en-GB"/>
        </w:rPr>
        <w:t>2</w:t>
      </w:r>
      <w:r w:rsidR="00740010" w:rsidRPr="005C3FE9">
        <w:rPr>
          <w:lang w:val="en-GB"/>
        </w:rPr>
        <w:fldChar w:fldCharType="end"/>
      </w:r>
      <w:r w:rsidR="00740010" w:rsidRPr="005C3FE9">
        <w:rPr>
          <w:lang w:val="en-GB"/>
        </w:rPr>
        <w:t xml:space="preserve">. </w:t>
      </w:r>
    </w:p>
    <w:p w14:paraId="7C44C12C" w14:textId="38D890B4" w:rsidR="0056674A" w:rsidRPr="005C3FE9" w:rsidRDefault="0056674A" w:rsidP="0056674A">
      <w:pPr>
        <w:pStyle w:val="Didascalia"/>
        <w:keepNext/>
        <w:spacing w:after="0"/>
        <w:rPr>
          <w:lang w:val="en-GB"/>
        </w:rPr>
      </w:pPr>
      <w:bookmarkStart w:id="11" w:name="_Ref55296501"/>
      <w:bookmarkStart w:id="12" w:name="_Toc55483366"/>
      <w:bookmarkStart w:id="13" w:name="_Toc56167525"/>
      <w:bookmarkStart w:id="14" w:name="_Toc63327990"/>
      <w:r w:rsidRPr="005C3FE9">
        <w:rPr>
          <w:lang w:val="en-GB"/>
        </w:rPr>
        <w:t xml:space="preserve">Table </w:t>
      </w:r>
      <w:r w:rsidRPr="005C3FE9">
        <w:rPr>
          <w:lang w:val="en-GB"/>
        </w:rPr>
        <w:fldChar w:fldCharType="begin"/>
      </w:r>
      <w:r w:rsidRPr="005C3FE9">
        <w:rPr>
          <w:lang w:val="en-GB"/>
        </w:rPr>
        <w:instrText xml:space="preserve"> SEQ Table \* ARABIC </w:instrText>
      </w:r>
      <w:r w:rsidRPr="005C3FE9">
        <w:rPr>
          <w:lang w:val="en-GB"/>
        </w:rPr>
        <w:fldChar w:fldCharType="separate"/>
      </w:r>
      <w:r w:rsidRPr="005C3FE9">
        <w:rPr>
          <w:noProof/>
          <w:lang w:val="en-GB"/>
        </w:rPr>
        <w:t>2</w:t>
      </w:r>
      <w:r w:rsidRPr="005C3FE9">
        <w:rPr>
          <w:lang w:val="en-GB"/>
        </w:rPr>
        <w:fldChar w:fldCharType="end"/>
      </w:r>
      <w:bookmarkEnd w:id="11"/>
      <w:r w:rsidRPr="005C3FE9">
        <w:rPr>
          <w:lang w:val="en-GB"/>
        </w:rPr>
        <w:t>. List of the optimi</w:t>
      </w:r>
      <w:r w:rsidR="008A0EAC">
        <w:rPr>
          <w:lang w:val="en-GB"/>
        </w:rPr>
        <w:t>s</w:t>
      </w:r>
      <w:r w:rsidRPr="005C3FE9">
        <w:rPr>
          <w:lang w:val="en-GB"/>
        </w:rPr>
        <w:t>ation scenarios.</w:t>
      </w:r>
      <w:bookmarkEnd w:id="12"/>
      <w:bookmarkEnd w:id="13"/>
      <w:bookmarkEnd w:id="14"/>
    </w:p>
    <w:tbl>
      <w:tblPr>
        <w:tblStyle w:val="Grigliatabella"/>
        <w:tblW w:w="9497" w:type="dxa"/>
        <w:jc w:val="center"/>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90"/>
        <w:gridCol w:w="4680"/>
        <w:gridCol w:w="1080"/>
        <w:gridCol w:w="1510"/>
        <w:gridCol w:w="1237"/>
      </w:tblGrid>
      <w:tr w:rsidR="00576E7F" w:rsidRPr="005C3FE9" w14:paraId="1F42ABA3" w14:textId="77777777" w:rsidTr="00576E7F">
        <w:trPr>
          <w:trHeight w:val="672"/>
          <w:jc w:val="center"/>
        </w:trPr>
        <w:tc>
          <w:tcPr>
            <w:tcW w:w="990" w:type="dxa"/>
            <w:tcBorders>
              <w:top w:val="single" w:sz="4" w:space="0" w:color="auto"/>
              <w:bottom w:val="single" w:sz="4" w:space="0" w:color="auto"/>
            </w:tcBorders>
            <w:vAlign w:val="center"/>
          </w:tcPr>
          <w:p w14:paraId="20260620" w14:textId="1292F4FE" w:rsidR="00576E7F" w:rsidRPr="005C3FE9" w:rsidRDefault="00576E7F" w:rsidP="00576E7F">
            <w:pPr>
              <w:spacing w:line="276" w:lineRule="auto"/>
              <w:ind w:firstLine="0"/>
              <w:jc w:val="center"/>
              <w:rPr>
                <w:rFonts w:ascii="Times New Roman" w:hAnsi="Times New Roman"/>
                <w:sz w:val="20"/>
                <w:szCs w:val="20"/>
                <w:lang w:val="en-GB"/>
              </w:rPr>
            </w:pPr>
            <w:r w:rsidRPr="005C3FE9">
              <w:rPr>
                <w:rFonts w:ascii="Times New Roman" w:hAnsi="Times New Roman"/>
                <w:sz w:val="20"/>
                <w:szCs w:val="20"/>
                <w:lang w:val="en-GB"/>
              </w:rPr>
              <w:t>Scenario</w:t>
            </w:r>
          </w:p>
        </w:tc>
        <w:tc>
          <w:tcPr>
            <w:tcW w:w="4680" w:type="dxa"/>
            <w:tcBorders>
              <w:top w:val="single" w:sz="4" w:space="0" w:color="auto"/>
              <w:bottom w:val="single" w:sz="4" w:space="0" w:color="auto"/>
            </w:tcBorders>
            <w:vAlign w:val="center"/>
          </w:tcPr>
          <w:p w14:paraId="6DC5AF45" w14:textId="2ACD7F5A" w:rsidR="00576E7F" w:rsidRPr="005C3FE9" w:rsidRDefault="00576E7F" w:rsidP="00576E7F">
            <w:pPr>
              <w:spacing w:line="276" w:lineRule="auto"/>
              <w:ind w:firstLine="0"/>
              <w:jc w:val="center"/>
              <w:rPr>
                <w:rFonts w:ascii="Times New Roman" w:hAnsi="Times New Roman"/>
                <w:sz w:val="20"/>
                <w:szCs w:val="20"/>
                <w:lang w:val="en-GB"/>
              </w:rPr>
            </w:pPr>
            <w:r w:rsidRPr="005C3FE9">
              <w:rPr>
                <w:rFonts w:ascii="Times New Roman" w:hAnsi="Times New Roman"/>
                <w:sz w:val="20"/>
                <w:szCs w:val="20"/>
                <w:lang w:val="en-GB"/>
              </w:rPr>
              <w:t>Decision variables</w:t>
            </w:r>
          </w:p>
        </w:tc>
        <w:tc>
          <w:tcPr>
            <w:tcW w:w="1080" w:type="dxa"/>
            <w:tcBorders>
              <w:top w:val="single" w:sz="4" w:space="0" w:color="auto"/>
              <w:bottom w:val="single" w:sz="4" w:space="0" w:color="auto"/>
            </w:tcBorders>
            <w:vAlign w:val="center"/>
          </w:tcPr>
          <w:p w14:paraId="1D35A732" w14:textId="70574C54" w:rsidR="00576E7F" w:rsidRPr="00576E7F" w:rsidRDefault="00576E7F" w:rsidP="00576E7F">
            <w:pPr>
              <w:spacing w:line="276" w:lineRule="auto"/>
              <w:ind w:firstLine="0"/>
              <w:jc w:val="center"/>
              <w:rPr>
                <w:rFonts w:ascii="Times New Roman" w:hAnsi="Times New Roman"/>
                <w:sz w:val="20"/>
                <w:szCs w:val="20"/>
                <w:lang w:val="en-US"/>
              </w:rPr>
            </w:pPr>
            <w:r w:rsidRPr="00576E7F">
              <w:rPr>
                <w:rFonts w:ascii="Times New Roman" w:hAnsi="Times New Roman"/>
                <w:sz w:val="20"/>
                <w:szCs w:val="20"/>
                <w:lang w:val="en-US"/>
              </w:rPr>
              <w:t xml:space="preserve">Initial </w:t>
            </w:r>
            <m:oMath>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t</m:t>
                  </m:r>
                  <m:r>
                    <w:rPr>
                      <w:rFonts w:ascii="Cambria Math" w:hAnsi="Cambria Math"/>
                      <w:lang w:val="en-US"/>
                    </w:rPr>
                    <m:t>,</m:t>
                  </m:r>
                  <m:r>
                    <w:rPr>
                      <w:rFonts w:ascii="Cambria Math" w:hAnsi="Cambria Math"/>
                      <w:lang w:val="en-GB"/>
                    </w:rPr>
                    <m:t>NaCl</m:t>
                  </m:r>
                  <m:r>
                    <w:rPr>
                      <w:rFonts w:ascii="Cambria Math" w:hAnsi="Cambria Math"/>
                      <w:lang w:val="en-US"/>
                    </w:rPr>
                    <m:t>,</m:t>
                  </m:r>
                  <m:r>
                    <w:rPr>
                      <w:rFonts w:ascii="Cambria Math" w:hAnsi="Cambria Math"/>
                      <w:lang w:val="en-GB"/>
                    </w:rPr>
                    <m:t>s</m:t>
                  </m:r>
                </m:sub>
              </m:sSub>
            </m:oMath>
            <w:r w:rsidRPr="00576E7F">
              <w:rPr>
                <w:rFonts w:ascii="Times New Roman" w:hAnsi="Times New Roman"/>
                <w:sz w:val="20"/>
                <w:szCs w:val="20"/>
                <w:lang w:val="en-US"/>
              </w:rPr>
              <w:t>, mol m</w:t>
            </w:r>
            <w:r w:rsidRPr="00576E7F">
              <w:rPr>
                <w:rFonts w:ascii="Times New Roman" w:hAnsi="Times New Roman"/>
                <w:sz w:val="20"/>
                <w:szCs w:val="20"/>
                <w:vertAlign w:val="superscript"/>
                <w:lang w:val="en-US"/>
              </w:rPr>
              <w:t>-3</w:t>
            </w:r>
          </w:p>
        </w:tc>
        <w:tc>
          <w:tcPr>
            <w:tcW w:w="1510" w:type="dxa"/>
            <w:tcBorders>
              <w:top w:val="single" w:sz="4" w:space="0" w:color="auto"/>
              <w:bottom w:val="single" w:sz="4" w:space="0" w:color="auto"/>
            </w:tcBorders>
            <w:vAlign w:val="center"/>
          </w:tcPr>
          <w:p w14:paraId="72816AA8" w14:textId="1413985D" w:rsidR="00EB0B93" w:rsidRPr="00EB0B93" w:rsidRDefault="00EB0B93" w:rsidP="00576E7F">
            <w:pPr>
              <w:spacing w:line="276" w:lineRule="auto"/>
              <w:ind w:firstLine="0"/>
              <w:jc w:val="center"/>
              <w:rPr>
                <w:rFonts w:ascii="Times New Roman" w:hAnsi="Times New Roman"/>
                <w:sz w:val="20"/>
                <w:szCs w:val="20"/>
                <w:lang w:val="en-GB"/>
              </w:rPr>
            </w:pPr>
            <w:r w:rsidRPr="00EB0B93">
              <w:rPr>
                <w:rFonts w:ascii="Times New Roman" w:hAnsi="Times New Roman"/>
                <w:sz w:val="20"/>
                <w:szCs w:val="20"/>
                <w:lang w:val="en-GB"/>
              </w:rPr>
              <w:t>Initial</w:t>
            </w:r>
          </w:p>
          <w:p w14:paraId="2E5BE2DC" w14:textId="0155A6F1" w:rsidR="00576E7F" w:rsidRPr="005C3FE9" w:rsidRDefault="00000000" w:rsidP="00576E7F">
            <w:pPr>
              <w:spacing w:line="276" w:lineRule="auto"/>
              <w:ind w:firstLine="0"/>
              <w:jc w:val="center"/>
              <w:rPr>
                <w:rFonts w:ascii="Times New Roman" w:hAnsi="Times New Roman"/>
                <w:sz w:val="20"/>
                <w:szCs w:val="20"/>
                <w:lang w:val="en-GB"/>
              </w:rPr>
            </w:pPr>
            <m:oMathPara>
              <m:oMathParaPr>
                <m:jc m:val="left"/>
              </m:oMathParaPr>
              <m:oMath>
                <m:sSub>
                  <m:sSubPr>
                    <m:ctrlPr>
                      <w:rPr>
                        <w:rFonts w:ascii="Cambria Math" w:hAnsi="Cambria Math"/>
                        <w:sz w:val="20"/>
                        <w:szCs w:val="20"/>
                        <w:lang w:val="en-GB"/>
                      </w:rPr>
                    </m:ctrlPr>
                  </m:sSubPr>
                  <m:e>
                    <m:r>
                      <w:rPr>
                        <w:rFonts w:ascii="Cambria Math" w:hAnsi="Cambria Math"/>
                        <w:sz w:val="20"/>
                        <w:szCs w:val="20"/>
                        <w:lang w:val="en-GB"/>
                      </w:rPr>
                      <m:t>V</m:t>
                    </m:r>
                  </m:e>
                  <m:sub>
                    <m:r>
                      <w:rPr>
                        <w:rFonts w:ascii="Cambria Math" w:hAnsi="Cambria Math"/>
                        <w:sz w:val="20"/>
                        <w:szCs w:val="20"/>
                        <w:lang w:val="en-GB"/>
                      </w:rPr>
                      <m:t>t,a</m:t>
                    </m:r>
                  </m:sub>
                </m:sSub>
                <m:r>
                  <m:rPr>
                    <m:sty m:val="p"/>
                  </m:rPr>
                  <w:rPr>
                    <w:rFonts w:ascii="Cambria Math" w:hAnsi="Cambria Math"/>
                    <w:sz w:val="20"/>
                    <w:szCs w:val="20"/>
                    <w:lang w:val="en-GB"/>
                  </w:rPr>
                  <m:t>:</m:t>
                </m:r>
                <m:sSub>
                  <m:sSubPr>
                    <m:ctrlPr>
                      <w:rPr>
                        <w:rFonts w:ascii="Cambria Math" w:hAnsi="Cambria Math"/>
                        <w:sz w:val="20"/>
                        <w:szCs w:val="20"/>
                        <w:lang w:val="en-GB"/>
                      </w:rPr>
                    </m:ctrlPr>
                  </m:sSubPr>
                  <m:e>
                    <m:r>
                      <w:rPr>
                        <w:rFonts w:ascii="Cambria Math" w:hAnsi="Cambria Math"/>
                        <w:sz w:val="20"/>
                        <w:szCs w:val="20"/>
                        <w:lang w:val="en-GB"/>
                      </w:rPr>
                      <m:t>V</m:t>
                    </m:r>
                  </m:e>
                  <m:sub>
                    <m:r>
                      <w:rPr>
                        <w:rFonts w:ascii="Cambria Math" w:hAnsi="Cambria Math"/>
                        <w:sz w:val="20"/>
                        <w:szCs w:val="20"/>
                        <w:lang w:val="en-GB"/>
                      </w:rPr>
                      <m:t>t,b</m:t>
                    </m:r>
                  </m:sub>
                </m:sSub>
                <m:r>
                  <m:rPr>
                    <m:sty m:val="p"/>
                  </m:rPr>
                  <w:rPr>
                    <w:rFonts w:ascii="Cambria Math" w:hAnsi="Cambria Math"/>
                    <w:sz w:val="20"/>
                    <w:szCs w:val="20"/>
                    <w:lang w:val="en-GB"/>
                  </w:rPr>
                  <m:t>:</m:t>
                </m:r>
                <m:sSub>
                  <m:sSubPr>
                    <m:ctrlPr>
                      <w:rPr>
                        <w:rFonts w:ascii="Cambria Math" w:hAnsi="Cambria Math"/>
                        <w:sz w:val="20"/>
                        <w:szCs w:val="20"/>
                        <w:lang w:val="en-GB"/>
                      </w:rPr>
                    </m:ctrlPr>
                  </m:sSubPr>
                  <m:e>
                    <m:r>
                      <w:rPr>
                        <w:rFonts w:ascii="Cambria Math" w:hAnsi="Cambria Math"/>
                        <w:sz w:val="20"/>
                        <w:szCs w:val="20"/>
                        <w:lang w:val="en-GB"/>
                      </w:rPr>
                      <m:t>V</m:t>
                    </m:r>
                  </m:e>
                  <m:sub>
                    <m:r>
                      <w:rPr>
                        <w:rFonts w:ascii="Cambria Math" w:hAnsi="Cambria Math"/>
                        <w:sz w:val="20"/>
                        <w:szCs w:val="20"/>
                        <w:lang w:val="en-GB"/>
                      </w:rPr>
                      <m:t>t,s</m:t>
                    </m:r>
                  </m:sub>
                </m:sSub>
              </m:oMath>
            </m:oMathPara>
          </w:p>
        </w:tc>
        <w:tc>
          <w:tcPr>
            <w:tcW w:w="1237" w:type="dxa"/>
            <w:tcBorders>
              <w:top w:val="single" w:sz="4" w:space="0" w:color="auto"/>
              <w:bottom w:val="single" w:sz="4" w:space="0" w:color="auto"/>
            </w:tcBorders>
            <w:vAlign w:val="center"/>
          </w:tcPr>
          <w:p w14:paraId="161AE685" w14:textId="77777777" w:rsidR="00576E7F" w:rsidRPr="005C3FE9" w:rsidRDefault="00576E7F" w:rsidP="00576E7F">
            <w:pPr>
              <w:spacing w:line="276" w:lineRule="auto"/>
              <w:ind w:firstLine="0"/>
              <w:jc w:val="center"/>
              <w:rPr>
                <w:rFonts w:ascii="Times New Roman" w:hAnsi="Times New Roman"/>
                <w:sz w:val="20"/>
                <w:szCs w:val="20"/>
                <w:lang w:val="en-GB"/>
              </w:rPr>
            </w:pPr>
            <w:r w:rsidRPr="005C3FE9">
              <w:rPr>
                <w:rFonts w:ascii="Times New Roman" w:hAnsi="Times New Roman"/>
                <w:sz w:val="20"/>
                <w:szCs w:val="20"/>
                <w:lang w:val="en-GB"/>
              </w:rPr>
              <w:t>membrane</w:t>
            </w:r>
          </w:p>
          <w:p w14:paraId="210A3291" w14:textId="77777777" w:rsidR="00576E7F" w:rsidRPr="005C3FE9" w:rsidRDefault="00576E7F" w:rsidP="00576E7F">
            <w:pPr>
              <w:spacing w:line="276" w:lineRule="auto"/>
              <w:ind w:firstLine="0"/>
              <w:jc w:val="center"/>
              <w:rPr>
                <w:rFonts w:ascii="Times New Roman" w:hAnsi="Times New Roman"/>
                <w:sz w:val="20"/>
                <w:szCs w:val="20"/>
                <w:lang w:val="en-GB"/>
              </w:rPr>
            </w:pPr>
            <w:r w:rsidRPr="005C3FE9">
              <w:rPr>
                <w:rFonts w:ascii="Times New Roman" w:hAnsi="Times New Roman"/>
                <w:sz w:val="20"/>
                <w:szCs w:val="20"/>
                <w:lang w:val="en-GB"/>
              </w:rPr>
              <w:t>properties</w:t>
            </w:r>
          </w:p>
        </w:tc>
      </w:tr>
      <w:tr w:rsidR="00576E7F" w:rsidRPr="005C3FE9" w14:paraId="05CC115B" w14:textId="77777777" w:rsidTr="00576E7F">
        <w:trPr>
          <w:trHeight w:val="321"/>
          <w:jc w:val="center"/>
        </w:trPr>
        <w:tc>
          <w:tcPr>
            <w:tcW w:w="990" w:type="dxa"/>
            <w:tcBorders>
              <w:top w:val="single" w:sz="4" w:space="0" w:color="auto"/>
            </w:tcBorders>
            <w:vAlign w:val="center"/>
          </w:tcPr>
          <w:p w14:paraId="5BBF4037"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lang w:val="en-GB"/>
              </w:rPr>
              <w:t>A</w:t>
            </w:r>
          </w:p>
        </w:tc>
        <w:tc>
          <w:tcPr>
            <w:tcW w:w="4680" w:type="dxa"/>
            <w:tcBorders>
              <w:top w:val="single" w:sz="4" w:space="0" w:color="auto"/>
            </w:tcBorders>
            <w:vAlign w:val="center"/>
          </w:tcPr>
          <w:p w14:paraId="530F5A11" w14:textId="77777777" w:rsidR="00576E7F" w:rsidRPr="005C3FE9" w:rsidRDefault="00000000" w:rsidP="00FF0628">
            <w:pPr>
              <w:spacing w:line="276" w:lineRule="auto"/>
              <w:ind w:firstLine="0"/>
              <w:jc w:val="center"/>
              <w:rPr>
                <w:rFonts w:ascii="Times New Roman" w:hAnsi="Times New Roman"/>
                <w:sz w:val="20"/>
                <w:szCs w:val="20"/>
                <w:lang w:val="en-GB"/>
              </w:rPr>
            </w:pPr>
            <m:oMath>
              <m:sSub>
                <m:sSubPr>
                  <m:ctrlPr>
                    <w:rPr>
                      <w:rFonts w:ascii="Cambria Math" w:hAnsi="Cambria Math"/>
                      <w:i/>
                      <w:sz w:val="20"/>
                      <w:szCs w:val="20"/>
                      <w:lang w:val="en-GB"/>
                    </w:rPr>
                  </m:ctrlPr>
                </m:sSubPr>
                <m:e>
                  <m:r>
                    <w:rPr>
                      <w:rFonts w:ascii="Cambria Math" w:hAnsi="Cambria Math"/>
                      <w:sz w:val="20"/>
                      <w:szCs w:val="20"/>
                      <w:lang w:val="en-GB"/>
                    </w:rPr>
                    <m:t>i</m:t>
                  </m:r>
                </m:e>
                <m:sub>
                  <m:r>
                    <w:rPr>
                      <w:rFonts w:ascii="Cambria Math" w:hAnsi="Cambria Math"/>
                      <w:sz w:val="20"/>
                      <w:szCs w:val="20"/>
                      <w:lang w:val="en-GB"/>
                    </w:rPr>
                    <m:t>c</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i</m:t>
                  </m:r>
                </m:e>
                <m:sub>
                  <m:r>
                    <w:rPr>
                      <w:rFonts w:ascii="Cambria Math" w:hAnsi="Cambria Math"/>
                      <w:sz w:val="20"/>
                      <w:szCs w:val="20"/>
                      <w:lang w:val="en-GB"/>
                    </w:rPr>
                    <m:t>d</m:t>
                  </m:r>
                </m:sub>
              </m:sSub>
            </m:oMath>
          </w:p>
        </w:tc>
        <w:tc>
          <w:tcPr>
            <w:tcW w:w="1080" w:type="dxa"/>
            <w:tcBorders>
              <w:top w:val="single" w:sz="4" w:space="0" w:color="auto"/>
            </w:tcBorders>
            <w:vAlign w:val="center"/>
          </w:tcPr>
          <w:p w14:paraId="6CA4F379"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rPr>
              <w:t>250</w:t>
            </w:r>
          </w:p>
        </w:tc>
        <w:tc>
          <w:tcPr>
            <w:tcW w:w="1510" w:type="dxa"/>
            <w:tcBorders>
              <w:top w:val="single" w:sz="4" w:space="0" w:color="auto"/>
            </w:tcBorders>
            <w:vAlign w:val="center"/>
          </w:tcPr>
          <w:p w14:paraId="0F1D68CA"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lang w:val="en-GB"/>
              </w:rPr>
              <w:t>1:1:6</w:t>
            </w:r>
          </w:p>
        </w:tc>
        <w:tc>
          <w:tcPr>
            <w:tcW w:w="1237" w:type="dxa"/>
            <w:tcBorders>
              <w:top w:val="single" w:sz="4" w:space="0" w:color="auto"/>
            </w:tcBorders>
            <w:vAlign w:val="center"/>
          </w:tcPr>
          <w:p w14:paraId="7649BC5C"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lang w:val="en-GB"/>
              </w:rPr>
              <w:t>reference</w:t>
            </w:r>
          </w:p>
        </w:tc>
      </w:tr>
      <w:tr w:rsidR="00576E7F" w:rsidRPr="005C3FE9" w14:paraId="76A2423E" w14:textId="77777777" w:rsidTr="00576E7F">
        <w:trPr>
          <w:trHeight w:val="341"/>
          <w:jc w:val="center"/>
        </w:trPr>
        <w:tc>
          <w:tcPr>
            <w:tcW w:w="990" w:type="dxa"/>
            <w:vAlign w:val="center"/>
          </w:tcPr>
          <w:p w14:paraId="00C29453"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lang w:val="en-GB"/>
              </w:rPr>
              <w:t>B</w:t>
            </w:r>
          </w:p>
        </w:tc>
        <w:tc>
          <w:tcPr>
            <w:tcW w:w="4680" w:type="dxa"/>
            <w:vAlign w:val="center"/>
          </w:tcPr>
          <w:p w14:paraId="43C0D379" w14:textId="77777777" w:rsidR="00576E7F" w:rsidRPr="005C3FE9" w:rsidRDefault="00000000" w:rsidP="00FF0628">
            <w:pPr>
              <w:spacing w:line="276" w:lineRule="auto"/>
              <w:ind w:firstLine="0"/>
              <w:jc w:val="center"/>
              <w:rPr>
                <w:rFonts w:ascii="Times New Roman" w:hAnsi="Times New Roman"/>
                <w:sz w:val="20"/>
                <w:szCs w:val="20"/>
                <w:lang w:val="en-GB"/>
              </w:rPr>
            </w:pPr>
            <m:oMath>
              <m:sSub>
                <m:sSubPr>
                  <m:ctrlPr>
                    <w:rPr>
                      <w:rFonts w:ascii="Cambria Math" w:hAnsi="Cambria Math"/>
                      <w:i/>
                      <w:sz w:val="20"/>
                      <w:szCs w:val="20"/>
                      <w:lang w:val="en-GB"/>
                    </w:rPr>
                  </m:ctrlPr>
                </m:sSubPr>
                <m:e>
                  <m:r>
                    <w:rPr>
                      <w:rFonts w:ascii="Cambria Math" w:hAnsi="Cambria Math"/>
                      <w:sz w:val="20"/>
                      <w:szCs w:val="20"/>
                      <w:lang w:val="en-GB"/>
                    </w:rPr>
                    <m:t>i</m:t>
                  </m:r>
                </m:e>
                <m:sub>
                  <m:r>
                    <w:rPr>
                      <w:rFonts w:ascii="Cambria Math" w:hAnsi="Cambria Math"/>
                      <w:sz w:val="20"/>
                      <w:szCs w:val="20"/>
                      <w:lang w:val="en-GB"/>
                    </w:rPr>
                    <m:t>c</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i</m:t>
                  </m:r>
                </m:e>
                <m:sub>
                  <m:r>
                    <w:rPr>
                      <w:rFonts w:ascii="Cambria Math" w:hAnsi="Cambria Math"/>
                      <w:sz w:val="20"/>
                      <w:szCs w:val="20"/>
                      <w:lang w:val="en-GB"/>
                    </w:rPr>
                    <m:t>d</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u</m:t>
                  </m:r>
                </m:e>
                <m:sub>
                  <m:r>
                    <w:rPr>
                      <w:rFonts w:ascii="Cambria Math" w:hAnsi="Cambria Math"/>
                      <w:sz w:val="20"/>
                      <w:szCs w:val="20"/>
                      <w:lang w:val="en-GB"/>
                    </w:rPr>
                    <m:t>ch,c</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u</m:t>
                  </m:r>
                </m:e>
                <m:sub>
                  <m:r>
                    <w:rPr>
                      <w:rFonts w:ascii="Cambria Math" w:hAnsi="Cambria Math"/>
                      <w:sz w:val="20"/>
                      <w:szCs w:val="20"/>
                      <w:lang w:val="en-GB"/>
                    </w:rPr>
                    <m:t>ch,d</m:t>
                  </m:r>
                </m:sub>
              </m:sSub>
            </m:oMath>
          </w:p>
        </w:tc>
        <w:tc>
          <w:tcPr>
            <w:tcW w:w="1080" w:type="dxa"/>
            <w:vAlign w:val="center"/>
          </w:tcPr>
          <w:p w14:paraId="096E0E2A"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rPr>
              <w:t>250</w:t>
            </w:r>
          </w:p>
        </w:tc>
        <w:tc>
          <w:tcPr>
            <w:tcW w:w="1510" w:type="dxa"/>
            <w:vAlign w:val="center"/>
          </w:tcPr>
          <w:p w14:paraId="5E220F6A"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lang w:val="en-GB"/>
              </w:rPr>
              <w:t>1:1:6</w:t>
            </w:r>
          </w:p>
        </w:tc>
        <w:tc>
          <w:tcPr>
            <w:tcW w:w="1237" w:type="dxa"/>
            <w:vAlign w:val="center"/>
          </w:tcPr>
          <w:p w14:paraId="5BB62B26"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lang w:val="en-GB"/>
              </w:rPr>
              <w:t>reference</w:t>
            </w:r>
          </w:p>
        </w:tc>
      </w:tr>
      <w:tr w:rsidR="00576E7F" w:rsidRPr="005C3FE9" w14:paraId="049C615F" w14:textId="77777777" w:rsidTr="00576E7F">
        <w:trPr>
          <w:trHeight w:val="361"/>
          <w:jc w:val="center"/>
        </w:trPr>
        <w:tc>
          <w:tcPr>
            <w:tcW w:w="990" w:type="dxa"/>
            <w:vAlign w:val="center"/>
          </w:tcPr>
          <w:p w14:paraId="49D444E0"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lang w:val="en-GB"/>
              </w:rPr>
              <w:lastRenderedPageBreak/>
              <w:t>C</w:t>
            </w:r>
          </w:p>
        </w:tc>
        <w:tc>
          <w:tcPr>
            <w:tcW w:w="4680" w:type="dxa"/>
            <w:vAlign w:val="center"/>
          </w:tcPr>
          <w:p w14:paraId="6F63250E" w14:textId="77777777" w:rsidR="00576E7F" w:rsidRPr="005C3FE9" w:rsidRDefault="00000000" w:rsidP="00FF0628">
            <w:pPr>
              <w:spacing w:line="276" w:lineRule="auto"/>
              <w:ind w:firstLine="0"/>
              <w:jc w:val="center"/>
              <w:rPr>
                <w:rFonts w:ascii="Times New Roman" w:hAnsi="Times New Roman"/>
                <w:sz w:val="20"/>
                <w:szCs w:val="20"/>
                <w:lang w:val="en-GB"/>
              </w:rPr>
            </w:pPr>
            <m:oMath>
              <m:sSub>
                <m:sSubPr>
                  <m:ctrlPr>
                    <w:rPr>
                      <w:rFonts w:ascii="Cambria Math" w:hAnsi="Cambria Math"/>
                      <w:i/>
                      <w:sz w:val="20"/>
                      <w:szCs w:val="20"/>
                      <w:lang w:val="en-GB"/>
                    </w:rPr>
                  </m:ctrlPr>
                </m:sSubPr>
                <m:e>
                  <m:r>
                    <w:rPr>
                      <w:rFonts w:ascii="Cambria Math" w:hAnsi="Cambria Math"/>
                      <w:sz w:val="20"/>
                      <w:szCs w:val="20"/>
                      <w:lang w:val="en-GB"/>
                    </w:rPr>
                    <m:t>i</m:t>
                  </m:r>
                </m:e>
                <m:sub>
                  <m:r>
                    <w:rPr>
                      <w:rFonts w:ascii="Cambria Math" w:hAnsi="Cambria Math"/>
                      <w:sz w:val="20"/>
                      <w:szCs w:val="20"/>
                      <w:lang w:val="en-GB"/>
                    </w:rPr>
                    <m:t>c</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i</m:t>
                  </m:r>
                </m:e>
                <m:sub>
                  <m:r>
                    <w:rPr>
                      <w:rFonts w:ascii="Cambria Math" w:hAnsi="Cambria Math"/>
                      <w:sz w:val="20"/>
                      <w:szCs w:val="20"/>
                      <w:lang w:val="en-GB"/>
                    </w:rPr>
                    <m:t>d</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u</m:t>
                  </m:r>
                </m:e>
                <m:sub>
                  <m:r>
                    <w:rPr>
                      <w:rFonts w:ascii="Cambria Math" w:hAnsi="Cambria Math"/>
                      <w:sz w:val="20"/>
                      <w:szCs w:val="20"/>
                      <w:lang w:val="en-GB"/>
                    </w:rPr>
                    <m:t>ch,c</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u</m:t>
                  </m:r>
                </m:e>
                <m:sub>
                  <m:r>
                    <w:rPr>
                      <w:rFonts w:ascii="Cambria Math" w:hAnsi="Cambria Math"/>
                      <w:sz w:val="20"/>
                      <w:szCs w:val="20"/>
                      <w:lang w:val="en-GB"/>
                    </w:rPr>
                    <m:t>ch,d</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C</m:t>
                  </m:r>
                </m:e>
                <m:sub>
                  <m:r>
                    <w:rPr>
                      <w:rFonts w:ascii="Cambria Math" w:hAnsi="Cambria Math"/>
                      <w:sz w:val="20"/>
                      <w:szCs w:val="20"/>
                      <w:lang w:val="en-GB"/>
                    </w:rPr>
                    <m:t>a,HCl,target,c</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C</m:t>
                  </m:r>
                </m:e>
                <m:sub>
                  <m:r>
                    <w:rPr>
                      <w:rFonts w:ascii="Cambria Math" w:hAnsi="Cambria Math"/>
                      <w:sz w:val="20"/>
                      <w:szCs w:val="20"/>
                      <w:lang w:val="en-GB"/>
                    </w:rPr>
                    <m:t>a,HCl,target,d</m:t>
                  </m:r>
                </m:sub>
              </m:sSub>
            </m:oMath>
          </w:p>
        </w:tc>
        <w:tc>
          <w:tcPr>
            <w:tcW w:w="1080" w:type="dxa"/>
            <w:vAlign w:val="center"/>
          </w:tcPr>
          <w:p w14:paraId="6F30ED87"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rPr>
              <w:t>250</w:t>
            </w:r>
          </w:p>
        </w:tc>
        <w:tc>
          <w:tcPr>
            <w:tcW w:w="1510" w:type="dxa"/>
            <w:vAlign w:val="center"/>
          </w:tcPr>
          <w:p w14:paraId="43153F7E"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lang w:val="en-GB"/>
              </w:rPr>
              <w:t>1:1:6</w:t>
            </w:r>
          </w:p>
        </w:tc>
        <w:tc>
          <w:tcPr>
            <w:tcW w:w="1237" w:type="dxa"/>
            <w:vAlign w:val="center"/>
          </w:tcPr>
          <w:p w14:paraId="21318A89"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lang w:val="en-GB"/>
              </w:rPr>
              <w:t>reference</w:t>
            </w:r>
          </w:p>
        </w:tc>
      </w:tr>
      <w:tr w:rsidR="00576E7F" w:rsidRPr="005C3FE9" w14:paraId="52686B58" w14:textId="77777777" w:rsidTr="00576E7F">
        <w:trPr>
          <w:trHeight w:val="351"/>
          <w:jc w:val="center"/>
        </w:trPr>
        <w:tc>
          <w:tcPr>
            <w:tcW w:w="990" w:type="dxa"/>
            <w:vAlign w:val="center"/>
          </w:tcPr>
          <w:p w14:paraId="7E502471"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lang w:val="en-GB"/>
              </w:rPr>
              <w:t>D</w:t>
            </w:r>
          </w:p>
        </w:tc>
        <w:tc>
          <w:tcPr>
            <w:tcW w:w="4680" w:type="dxa"/>
            <w:vAlign w:val="center"/>
          </w:tcPr>
          <w:p w14:paraId="63930653" w14:textId="4C2FF589" w:rsidR="00576E7F" w:rsidRPr="005C3FE9" w:rsidRDefault="00000000" w:rsidP="00FF0628">
            <w:pPr>
              <w:spacing w:line="276" w:lineRule="auto"/>
              <w:ind w:firstLine="0"/>
              <w:jc w:val="center"/>
              <w:rPr>
                <w:rFonts w:ascii="Times New Roman" w:hAnsi="Times New Roman"/>
                <w:sz w:val="20"/>
                <w:szCs w:val="20"/>
                <w:lang w:val="en-GB"/>
              </w:rPr>
            </w:pPr>
            <m:oMath>
              <m:sSub>
                <m:sSubPr>
                  <m:ctrlPr>
                    <w:rPr>
                      <w:rFonts w:ascii="Cambria Math" w:hAnsi="Cambria Math"/>
                      <w:i/>
                      <w:sz w:val="20"/>
                      <w:szCs w:val="20"/>
                      <w:lang w:val="en-GB"/>
                    </w:rPr>
                  </m:ctrlPr>
                </m:sSubPr>
                <m:e>
                  <m:r>
                    <w:rPr>
                      <w:rFonts w:ascii="Cambria Math" w:hAnsi="Cambria Math"/>
                      <w:sz w:val="20"/>
                      <w:szCs w:val="20"/>
                      <w:lang w:val="en-GB"/>
                    </w:rPr>
                    <m:t>i</m:t>
                  </m:r>
                </m:e>
                <m:sub>
                  <m:r>
                    <w:rPr>
                      <w:rFonts w:ascii="Cambria Math" w:hAnsi="Cambria Math"/>
                      <w:sz w:val="20"/>
                      <w:szCs w:val="20"/>
                      <w:lang w:val="en-GB"/>
                    </w:rPr>
                    <m:t>c</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i</m:t>
                  </m:r>
                </m:e>
                <m:sub>
                  <m:r>
                    <w:rPr>
                      <w:rFonts w:ascii="Cambria Math" w:hAnsi="Cambria Math"/>
                      <w:sz w:val="20"/>
                      <w:szCs w:val="20"/>
                      <w:lang w:val="en-GB"/>
                    </w:rPr>
                    <m:t>d</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u</m:t>
                  </m:r>
                </m:e>
                <m:sub>
                  <m:r>
                    <w:rPr>
                      <w:rFonts w:ascii="Cambria Math" w:hAnsi="Cambria Math"/>
                      <w:sz w:val="20"/>
                      <w:szCs w:val="20"/>
                      <w:lang w:val="en-GB"/>
                    </w:rPr>
                    <m:t>ch,c</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u</m:t>
                  </m:r>
                </m:e>
                <m:sub>
                  <m:r>
                    <w:rPr>
                      <w:rFonts w:ascii="Cambria Math" w:hAnsi="Cambria Math"/>
                      <w:sz w:val="20"/>
                      <w:szCs w:val="20"/>
                      <w:lang w:val="en-GB"/>
                    </w:rPr>
                    <m:t>ch,d</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C</m:t>
                  </m:r>
                </m:e>
                <m:sub>
                  <m:r>
                    <w:rPr>
                      <w:rFonts w:ascii="Cambria Math" w:hAnsi="Cambria Math"/>
                      <w:sz w:val="20"/>
                      <w:szCs w:val="20"/>
                      <w:lang w:val="en-GB"/>
                    </w:rPr>
                    <m:t>a,HCl,target,c</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C</m:t>
                  </m:r>
                </m:e>
                <m:sub>
                  <m:r>
                    <w:rPr>
                      <w:rFonts w:ascii="Cambria Math" w:hAnsi="Cambria Math"/>
                      <w:sz w:val="20"/>
                      <w:szCs w:val="20"/>
                      <w:lang w:val="en-GB"/>
                    </w:rPr>
                    <m:t>a,HCl,target,d</m:t>
                  </m:r>
                </m:sub>
              </m:sSub>
            </m:oMath>
            <w:r w:rsidR="00576E7F" w:rsidRPr="005C3FE9">
              <w:rPr>
                <w:rFonts w:ascii="Times New Roman" w:hAnsi="Times New Roman"/>
                <w:sz w:val="20"/>
                <w:szCs w:val="20"/>
                <w:lang w:val="en-GB"/>
              </w:rPr>
              <w:t xml:space="preserve">, </w:t>
            </w:r>
            <m:oMath>
              <m:r>
                <w:rPr>
                  <w:rFonts w:ascii="Cambria Math" w:hAnsi="Cambria Math"/>
                  <w:sz w:val="20"/>
                  <w:szCs w:val="20"/>
                  <w:lang w:val="en-GB"/>
                </w:rPr>
                <m:t>L</m:t>
              </m:r>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d</m:t>
                  </m:r>
                </m:e>
                <m:sub>
                  <m:r>
                    <w:rPr>
                      <w:rFonts w:ascii="Cambria Math" w:hAnsi="Cambria Math"/>
                      <w:sz w:val="20"/>
                      <w:szCs w:val="20"/>
                      <w:lang w:val="en-GB"/>
                    </w:rPr>
                    <m:t>sol</m:t>
                  </m:r>
                </m:sub>
              </m:sSub>
            </m:oMath>
          </w:p>
        </w:tc>
        <w:tc>
          <w:tcPr>
            <w:tcW w:w="1080" w:type="dxa"/>
            <w:vAlign w:val="center"/>
          </w:tcPr>
          <w:p w14:paraId="696F0D6D"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rPr>
              <w:t>250</w:t>
            </w:r>
          </w:p>
        </w:tc>
        <w:tc>
          <w:tcPr>
            <w:tcW w:w="1510" w:type="dxa"/>
            <w:vAlign w:val="center"/>
          </w:tcPr>
          <w:p w14:paraId="6462EC2E"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lang w:val="en-GB"/>
              </w:rPr>
              <w:t>1:1:6</w:t>
            </w:r>
          </w:p>
        </w:tc>
        <w:tc>
          <w:tcPr>
            <w:tcW w:w="1237" w:type="dxa"/>
            <w:vAlign w:val="center"/>
          </w:tcPr>
          <w:p w14:paraId="420B9BE5"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lang w:val="en-GB"/>
              </w:rPr>
              <w:t>reference</w:t>
            </w:r>
          </w:p>
        </w:tc>
      </w:tr>
      <w:tr w:rsidR="00576E7F" w:rsidRPr="005C3FE9" w14:paraId="1C70AD2D" w14:textId="77777777" w:rsidTr="00576E7F">
        <w:trPr>
          <w:trHeight w:val="351"/>
          <w:jc w:val="center"/>
        </w:trPr>
        <w:tc>
          <w:tcPr>
            <w:tcW w:w="990" w:type="dxa"/>
            <w:vAlign w:val="center"/>
          </w:tcPr>
          <w:p w14:paraId="0AEAEFEE"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lang w:val="en-GB"/>
              </w:rPr>
              <w:t>E</w:t>
            </w:r>
          </w:p>
        </w:tc>
        <w:tc>
          <w:tcPr>
            <w:tcW w:w="4680" w:type="dxa"/>
            <w:vAlign w:val="center"/>
          </w:tcPr>
          <w:p w14:paraId="72033295" w14:textId="6F8EC834" w:rsidR="00576E7F" w:rsidRPr="005C3FE9" w:rsidRDefault="00000000" w:rsidP="00FF0628">
            <w:pPr>
              <w:spacing w:line="276" w:lineRule="auto"/>
              <w:ind w:firstLine="0"/>
              <w:jc w:val="center"/>
              <w:rPr>
                <w:rFonts w:ascii="Times New Roman" w:hAnsi="Times New Roman"/>
                <w:sz w:val="20"/>
                <w:szCs w:val="20"/>
                <w:lang w:val="en-GB"/>
              </w:rPr>
            </w:pPr>
            <m:oMath>
              <m:sSub>
                <m:sSubPr>
                  <m:ctrlPr>
                    <w:rPr>
                      <w:rFonts w:ascii="Cambria Math" w:hAnsi="Cambria Math"/>
                      <w:i/>
                      <w:sz w:val="20"/>
                      <w:szCs w:val="20"/>
                      <w:lang w:val="en-GB"/>
                    </w:rPr>
                  </m:ctrlPr>
                </m:sSubPr>
                <m:e>
                  <m:r>
                    <w:rPr>
                      <w:rFonts w:ascii="Cambria Math" w:hAnsi="Cambria Math"/>
                      <w:sz w:val="20"/>
                      <w:szCs w:val="20"/>
                      <w:lang w:val="en-GB"/>
                    </w:rPr>
                    <m:t>i</m:t>
                  </m:r>
                </m:e>
                <m:sub>
                  <m:r>
                    <w:rPr>
                      <w:rFonts w:ascii="Cambria Math" w:hAnsi="Cambria Math"/>
                      <w:sz w:val="20"/>
                      <w:szCs w:val="20"/>
                      <w:lang w:val="en-GB"/>
                    </w:rPr>
                    <m:t>c</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i</m:t>
                  </m:r>
                </m:e>
                <m:sub>
                  <m:r>
                    <w:rPr>
                      <w:rFonts w:ascii="Cambria Math" w:hAnsi="Cambria Math"/>
                      <w:sz w:val="20"/>
                      <w:szCs w:val="20"/>
                      <w:lang w:val="en-GB"/>
                    </w:rPr>
                    <m:t>d</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u</m:t>
                  </m:r>
                </m:e>
                <m:sub>
                  <m:r>
                    <w:rPr>
                      <w:rFonts w:ascii="Cambria Math" w:hAnsi="Cambria Math"/>
                      <w:sz w:val="20"/>
                      <w:szCs w:val="20"/>
                      <w:lang w:val="en-GB"/>
                    </w:rPr>
                    <m:t>ch,c</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u</m:t>
                  </m:r>
                </m:e>
                <m:sub>
                  <m:r>
                    <w:rPr>
                      <w:rFonts w:ascii="Cambria Math" w:hAnsi="Cambria Math"/>
                      <w:sz w:val="20"/>
                      <w:szCs w:val="20"/>
                      <w:lang w:val="en-GB"/>
                    </w:rPr>
                    <m:t>ch,d</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C</m:t>
                  </m:r>
                </m:e>
                <m:sub>
                  <m:r>
                    <w:rPr>
                      <w:rFonts w:ascii="Cambria Math" w:hAnsi="Cambria Math"/>
                      <w:sz w:val="20"/>
                      <w:szCs w:val="20"/>
                      <w:lang w:val="en-GB"/>
                    </w:rPr>
                    <m:t>a,HCl,target,c</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C</m:t>
                  </m:r>
                </m:e>
                <m:sub>
                  <m:r>
                    <w:rPr>
                      <w:rFonts w:ascii="Cambria Math" w:hAnsi="Cambria Math"/>
                      <w:sz w:val="20"/>
                      <w:szCs w:val="20"/>
                      <w:lang w:val="en-GB"/>
                    </w:rPr>
                    <m:t>a,HCl,target,d</m:t>
                  </m:r>
                </m:sub>
              </m:sSub>
            </m:oMath>
            <w:r w:rsidR="00576E7F" w:rsidRPr="005C3FE9">
              <w:rPr>
                <w:rFonts w:ascii="Times New Roman" w:hAnsi="Times New Roman"/>
                <w:sz w:val="20"/>
                <w:szCs w:val="20"/>
                <w:lang w:val="en-GB"/>
              </w:rPr>
              <w:t xml:space="preserve">, </w:t>
            </w:r>
            <m:oMath>
              <m:r>
                <w:rPr>
                  <w:rFonts w:ascii="Cambria Math" w:hAnsi="Cambria Math"/>
                  <w:sz w:val="20"/>
                  <w:szCs w:val="20"/>
                  <w:lang w:val="en-GB"/>
                </w:rPr>
                <m:t>L</m:t>
              </m:r>
            </m:oMath>
            <w:r w:rsidR="00576E7F" w:rsidRPr="005C3FE9">
              <w:rPr>
                <w:rFonts w:ascii="Times New Roman" w:hAnsi="Times New Roman"/>
                <w:sz w:val="20"/>
                <w:szCs w:val="20"/>
                <w:lang w:val="en-GB"/>
              </w:rPr>
              <w:t xml:space="preserve">, </w:t>
            </w:r>
            <m:oMath>
              <m:r>
                <m:rPr>
                  <m:sty m:val="p"/>
                </m:rPr>
                <w:rPr>
                  <w:rFonts w:ascii="Cambria Math" w:hAnsi="Cambria Math"/>
                  <w:sz w:val="20"/>
                  <w:szCs w:val="20"/>
                  <w:lang w:val="en-GB"/>
                </w:rPr>
                <m:t xml:space="preserve"> </m:t>
              </m:r>
              <m:sSub>
                <m:sSubPr>
                  <m:ctrlPr>
                    <w:rPr>
                      <w:rFonts w:ascii="Cambria Math" w:hAnsi="Cambria Math"/>
                      <w:i/>
                      <w:sz w:val="20"/>
                      <w:szCs w:val="20"/>
                      <w:lang w:val="en-GB"/>
                    </w:rPr>
                  </m:ctrlPr>
                </m:sSubPr>
                <m:e>
                  <m:r>
                    <w:rPr>
                      <w:rFonts w:ascii="Cambria Math" w:hAnsi="Cambria Math"/>
                      <w:sz w:val="20"/>
                      <w:szCs w:val="20"/>
                      <w:lang w:val="en-GB"/>
                    </w:rPr>
                    <m:t>d</m:t>
                  </m:r>
                </m:e>
                <m:sub>
                  <m:r>
                    <w:rPr>
                      <w:rFonts w:ascii="Cambria Math" w:hAnsi="Cambria Math"/>
                      <w:sz w:val="20"/>
                      <w:szCs w:val="20"/>
                      <w:lang w:val="en-GB"/>
                    </w:rPr>
                    <m:t>sol</m:t>
                  </m:r>
                </m:sub>
              </m:sSub>
            </m:oMath>
          </w:p>
        </w:tc>
        <w:tc>
          <w:tcPr>
            <w:tcW w:w="1080" w:type="dxa"/>
            <w:vAlign w:val="center"/>
          </w:tcPr>
          <w:p w14:paraId="629442E7"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rPr>
              <w:t>1,000</w:t>
            </w:r>
          </w:p>
        </w:tc>
        <w:tc>
          <w:tcPr>
            <w:tcW w:w="1510" w:type="dxa"/>
            <w:vAlign w:val="center"/>
          </w:tcPr>
          <w:p w14:paraId="6CD794D2"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lang w:val="en-GB"/>
              </w:rPr>
              <w:t>1:1:1</w:t>
            </w:r>
          </w:p>
        </w:tc>
        <w:tc>
          <w:tcPr>
            <w:tcW w:w="1237" w:type="dxa"/>
            <w:vAlign w:val="center"/>
          </w:tcPr>
          <w:p w14:paraId="257534A0"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lang w:val="en-GB"/>
              </w:rPr>
              <w:t>reference</w:t>
            </w:r>
          </w:p>
        </w:tc>
      </w:tr>
      <w:tr w:rsidR="00576E7F" w:rsidRPr="005C3FE9" w14:paraId="49A338BE" w14:textId="77777777" w:rsidTr="00576E7F">
        <w:trPr>
          <w:trHeight w:val="351"/>
          <w:jc w:val="center"/>
        </w:trPr>
        <w:tc>
          <w:tcPr>
            <w:tcW w:w="990" w:type="dxa"/>
            <w:vAlign w:val="center"/>
          </w:tcPr>
          <w:p w14:paraId="29B06307"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lang w:val="en-GB"/>
              </w:rPr>
              <w:t>F</w:t>
            </w:r>
          </w:p>
        </w:tc>
        <w:tc>
          <w:tcPr>
            <w:tcW w:w="4680" w:type="dxa"/>
            <w:vAlign w:val="center"/>
          </w:tcPr>
          <w:p w14:paraId="6ED3C88D" w14:textId="3DEE0F36" w:rsidR="00576E7F" w:rsidRPr="005C3FE9" w:rsidRDefault="00000000" w:rsidP="00FF0628">
            <w:pPr>
              <w:spacing w:line="276" w:lineRule="auto"/>
              <w:ind w:firstLine="0"/>
              <w:jc w:val="center"/>
              <w:rPr>
                <w:rFonts w:ascii="Times New Roman" w:hAnsi="Times New Roman"/>
                <w:sz w:val="20"/>
                <w:szCs w:val="20"/>
                <w:lang w:val="en-GB"/>
              </w:rPr>
            </w:pPr>
            <m:oMath>
              <m:sSub>
                <m:sSubPr>
                  <m:ctrlPr>
                    <w:rPr>
                      <w:rFonts w:ascii="Cambria Math" w:hAnsi="Cambria Math"/>
                      <w:i/>
                      <w:sz w:val="20"/>
                      <w:szCs w:val="20"/>
                      <w:lang w:val="en-GB"/>
                    </w:rPr>
                  </m:ctrlPr>
                </m:sSubPr>
                <m:e>
                  <m:r>
                    <w:rPr>
                      <w:rFonts w:ascii="Cambria Math" w:hAnsi="Cambria Math"/>
                      <w:sz w:val="20"/>
                      <w:szCs w:val="20"/>
                      <w:lang w:val="en-GB"/>
                    </w:rPr>
                    <m:t>i</m:t>
                  </m:r>
                </m:e>
                <m:sub>
                  <m:r>
                    <w:rPr>
                      <w:rFonts w:ascii="Cambria Math" w:hAnsi="Cambria Math"/>
                      <w:sz w:val="20"/>
                      <w:szCs w:val="20"/>
                      <w:lang w:val="en-GB"/>
                    </w:rPr>
                    <m:t>c</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i</m:t>
                  </m:r>
                </m:e>
                <m:sub>
                  <m:r>
                    <w:rPr>
                      <w:rFonts w:ascii="Cambria Math" w:hAnsi="Cambria Math"/>
                      <w:sz w:val="20"/>
                      <w:szCs w:val="20"/>
                      <w:lang w:val="en-GB"/>
                    </w:rPr>
                    <m:t>d</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u</m:t>
                  </m:r>
                </m:e>
                <m:sub>
                  <m:r>
                    <w:rPr>
                      <w:rFonts w:ascii="Cambria Math" w:hAnsi="Cambria Math"/>
                      <w:sz w:val="20"/>
                      <w:szCs w:val="20"/>
                      <w:lang w:val="en-GB"/>
                    </w:rPr>
                    <m:t>ch,c</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u</m:t>
                  </m:r>
                </m:e>
                <m:sub>
                  <m:r>
                    <w:rPr>
                      <w:rFonts w:ascii="Cambria Math" w:hAnsi="Cambria Math"/>
                      <w:sz w:val="20"/>
                      <w:szCs w:val="20"/>
                      <w:lang w:val="en-GB"/>
                    </w:rPr>
                    <m:t>ch,d</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C</m:t>
                  </m:r>
                </m:e>
                <m:sub>
                  <m:r>
                    <w:rPr>
                      <w:rFonts w:ascii="Cambria Math" w:hAnsi="Cambria Math"/>
                      <w:sz w:val="20"/>
                      <w:szCs w:val="20"/>
                      <w:lang w:val="en-GB"/>
                    </w:rPr>
                    <m:t>a,HCl,target,c</m:t>
                  </m:r>
                </m:sub>
              </m:sSub>
            </m:oMath>
            <w:r w:rsidR="00576E7F" w:rsidRPr="005C3FE9">
              <w:rPr>
                <w:rFonts w:ascii="Times New Roman" w:hAnsi="Times New Roman"/>
                <w:sz w:val="20"/>
                <w:szCs w:val="20"/>
                <w:lang w:val="en-GB"/>
              </w:rPr>
              <w:t xml:space="preserve">, </w:t>
            </w:r>
            <m:oMath>
              <m:sSub>
                <m:sSubPr>
                  <m:ctrlPr>
                    <w:rPr>
                      <w:rFonts w:ascii="Cambria Math" w:hAnsi="Cambria Math"/>
                      <w:i/>
                      <w:sz w:val="20"/>
                      <w:szCs w:val="20"/>
                      <w:lang w:val="en-GB"/>
                    </w:rPr>
                  </m:ctrlPr>
                </m:sSubPr>
                <m:e>
                  <m:r>
                    <w:rPr>
                      <w:rFonts w:ascii="Cambria Math" w:hAnsi="Cambria Math"/>
                      <w:sz w:val="20"/>
                      <w:szCs w:val="20"/>
                      <w:lang w:val="en-GB"/>
                    </w:rPr>
                    <m:t>C</m:t>
                  </m:r>
                </m:e>
                <m:sub>
                  <m:r>
                    <w:rPr>
                      <w:rFonts w:ascii="Cambria Math" w:hAnsi="Cambria Math"/>
                      <w:sz w:val="20"/>
                      <w:szCs w:val="20"/>
                      <w:lang w:val="en-GB"/>
                    </w:rPr>
                    <m:t>a,HCl,target,d</m:t>
                  </m:r>
                </m:sub>
              </m:sSub>
            </m:oMath>
            <w:r w:rsidR="00576E7F" w:rsidRPr="005C3FE9">
              <w:rPr>
                <w:rFonts w:ascii="Times New Roman" w:hAnsi="Times New Roman"/>
                <w:sz w:val="20"/>
                <w:szCs w:val="20"/>
                <w:lang w:val="en-GB"/>
              </w:rPr>
              <w:t xml:space="preserve">, </w:t>
            </w:r>
            <m:oMath>
              <m:r>
                <w:rPr>
                  <w:rFonts w:ascii="Cambria Math" w:hAnsi="Cambria Math"/>
                  <w:sz w:val="20"/>
                  <w:szCs w:val="20"/>
                  <w:lang w:val="en-GB"/>
                </w:rPr>
                <m:t>L</m:t>
              </m:r>
            </m:oMath>
            <w:r w:rsidR="00576E7F" w:rsidRPr="005C3FE9">
              <w:rPr>
                <w:rFonts w:ascii="Times New Roman" w:hAnsi="Times New Roman"/>
                <w:sz w:val="20"/>
                <w:szCs w:val="20"/>
                <w:lang w:val="en-GB"/>
              </w:rPr>
              <w:t xml:space="preserve">, </w:t>
            </w:r>
            <m:oMath>
              <m:r>
                <m:rPr>
                  <m:sty m:val="p"/>
                </m:rPr>
                <w:rPr>
                  <w:rFonts w:ascii="Cambria Math" w:hAnsi="Cambria Math"/>
                  <w:sz w:val="20"/>
                  <w:szCs w:val="20"/>
                  <w:lang w:val="en-GB"/>
                </w:rPr>
                <m:t xml:space="preserve"> </m:t>
              </m:r>
              <m:sSub>
                <m:sSubPr>
                  <m:ctrlPr>
                    <w:rPr>
                      <w:rFonts w:ascii="Cambria Math" w:hAnsi="Cambria Math"/>
                      <w:i/>
                      <w:sz w:val="20"/>
                      <w:szCs w:val="20"/>
                      <w:lang w:val="en-GB"/>
                    </w:rPr>
                  </m:ctrlPr>
                </m:sSubPr>
                <m:e>
                  <m:r>
                    <w:rPr>
                      <w:rFonts w:ascii="Cambria Math" w:hAnsi="Cambria Math"/>
                      <w:sz w:val="20"/>
                      <w:szCs w:val="20"/>
                      <w:lang w:val="en-GB"/>
                    </w:rPr>
                    <m:t>d</m:t>
                  </m:r>
                </m:e>
                <m:sub>
                  <m:r>
                    <w:rPr>
                      <w:rFonts w:ascii="Cambria Math" w:hAnsi="Cambria Math"/>
                      <w:sz w:val="20"/>
                      <w:szCs w:val="20"/>
                      <w:lang w:val="en-GB"/>
                    </w:rPr>
                    <m:t>sol</m:t>
                  </m:r>
                </m:sub>
              </m:sSub>
            </m:oMath>
          </w:p>
        </w:tc>
        <w:tc>
          <w:tcPr>
            <w:tcW w:w="1080" w:type="dxa"/>
            <w:vAlign w:val="center"/>
          </w:tcPr>
          <w:p w14:paraId="1A45BB38"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rPr>
              <w:t>250</w:t>
            </w:r>
          </w:p>
        </w:tc>
        <w:tc>
          <w:tcPr>
            <w:tcW w:w="1510" w:type="dxa"/>
            <w:vAlign w:val="center"/>
          </w:tcPr>
          <w:p w14:paraId="002C0626"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lang w:val="en-GB"/>
              </w:rPr>
              <w:t>1:1:6</w:t>
            </w:r>
          </w:p>
        </w:tc>
        <w:tc>
          <w:tcPr>
            <w:tcW w:w="1237" w:type="dxa"/>
            <w:vAlign w:val="center"/>
          </w:tcPr>
          <w:p w14:paraId="33F49920" w14:textId="77777777" w:rsidR="00576E7F" w:rsidRPr="005C3FE9" w:rsidRDefault="00576E7F" w:rsidP="00FF0628">
            <w:pPr>
              <w:spacing w:line="276" w:lineRule="auto"/>
              <w:ind w:firstLine="0"/>
              <w:jc w:val="center"/>
              <w:rPr>
                <w:rFonts w:ascii="Times New Roman" w:hAnsi="Times New Roman"/>
                <w:sz w:val="20"/>
                <w:szCs w:val="20"/>
                <w:lang w:val="en-GB"/>
              </w:rPr>
            </w:pPr>
            <w:r w:rsidRPr="005C3FE9">
              <w:rPr>
                <w:rFonts w:ascii="Times New Roman" w:hAnsi="Times New Roman"/>
                <w:sz w:val="20"/>
                <w:szCs w:val="20"/>
                <w:lang w:val="en-GB"/>
              </w:rPr>
              <w:t>improved</w:t>
            </w:r>
            <w:r w:rsidRPr="005C3FE9">
              <w:rPr>
                <w:rFonts w:ascii="Times New Roman" w:hAnsi="Times New Roman"/>
                <w:sz w:val="20"/>
                <w:szCs w:val="20"/>
                <w:vertAlign w:val="superscript"/>
                <w:lang w:val="en-GB"/>
              </w:rPr>
              <w:t>1</w:t>
            </w:r>
          </w:p>
        </w:tc>
      </w:tr>
    </w:tbl>
    <w:p w14:paraId="15C4AA44" w14:textId="77777777" w:rsidR="0056674A" w:rsidRPr="005C3FE9" w:rsidRDefault="0056674A" w:rsidP="0056674A">
      <w:pPr>
        <w:rPr>
          <w:sz w:val="18"/>
          <w:szCs w:val="18"/>
          <w:lang w:val="en-GB"/>
        </w:rPr>
      </w:pPr>
      <w:r w:rsidRPr="005C3FE9">
        <w:rPr>
          <w:sz w:val="18"/>
          <w:szCs w:val="18"/>
          <w:vertAlign w:val="superscript"/>
          <w:lang w:val="en-GB"/>
        </w:rPr>
        <w:t>1</w:t>
      </w:r>
      <w:r w:rsidRPr="005C3FE9">
        <w:rPr>
          <w:sz w:val="18"/>
          <w:szCs w:val="18"/>
          <w:lang w:val="en-GB"/>
        </w:rPr>
        <w:t xml:space="preserve"> by halving electrical resistances, ion diffusivities and water permeability of the IEMs (see </w:t>
      </w:r>
      <w:r w:rsidRPr="005C3FE9">
        <w:rPr>
          <w:sz w:val="18"/>
          <w:szCs w:val="18"/>
          <w:lang w:val="en-GB"/>
        </w:rPr>
        <w:fldChar w:fldCharType="begin"/>
      </w:r>
      <w:r w:rsidRPr="005C3FE9">
        <w:rPr>
          <w:sz w:val="18"/>
          <w:szCs w:val="18"/>
          <w:lang w:val="en-GB"/>
        </w:rPr>
        <w:instrText xml:space="preserve"> REF _Ref101287789 \h  \* MERGEFORMAT </w:instrText>
      </w:r>
      <w:r w:rsidRPr="005C3FE9">
        <w:rPr>
          <w:sz w:val="18"/>
          <w:szCs w:val="18"/>
          <w:lang w:val="en-GB"/>
        </w:rPr>
      </w:r>
      <w:r w:rsidRPr="005C3FE9">
        <w:rPr>
          <w:sz w:val="18"/>
          <w:szCs w:val="18"/>
          <w:lang w:val="en-GB"/>
        </w:rPr>
        <w:fldChar w:fldCharType="separate"/>
      </w:r>
      <w:r w:rsidRPr="005C3FE9">
        <w:rPr>
          <w:sz w:val="18"/>
          <w:szCs w:val="18"/>
          <w:lang w:val="en-US"/>
        </w:rPr>
        <w:t xml:space="preserve">Table </w:t>
      </w:r>
      <w:r w:rsidRPr="005C3FE9">
        <w:rPr>
          <w:noProof/>
          <w:sz w:val="18"/>
          <w:szCs w:val="18"/>
          <w:lang w:val="en-US"/>
        </w:rPr>
        <w:t>3</w:t>
      </w:r>
      <w:r w:rsidRPr="005C3FE9">
        <w:rPr>
          <w:sz w:val="18"/>
          <w:szCs w:val="18"/>
          <w:lang w:val="en-GB"/>
        </w:rPr>
        <w:fldChar w:fldCharType="end"/>
      </w:r>
      <w:r w:rsidRPr="005C3FE9">
        <w:rPr>
          <w:sz w:val="18"/>
          <w:szCs w:val="18"/>
          <w:lang w:val="en-GB"/>
        </w:rPr>
        <w:t>).</w:t>
      </w:r>
    </w:p>
    <w:p w14:paraId="46F16F60" w14:textId="024ADDE8" w:rsidR="00145FD7" w:rsidRPr="005C3FE9" w:rsidRDefault="00765721" w:rsidP="00145FD7">
      <w:pPr>
        <w:rPr>
          <w:lang w:val="en-GB"/>
        </w:rPr>
      </w:pPr>
      <w:r w:rsidRPr="005C3FE9">
        <w:rPr>
          <w:lang w:val="en-GB"/>
        </w:rPr>
        <w:fldChar w:fldCharType="begin"/>
      </w:r>
      <w:r w:rsidRPr="005C3FE9">
        <w:rPr>
          <w:lang w:val="en-GB"/>
        </w:rPr>
        <w:instrText xml:space="preserve"> REF _Ref101287789 \h </w:instrText>
      </w:r>
      <w:r w:rsidR="003D2B89" w:rsidRPr="005C3FE9">
        <w:rPr>
          <w:lang w:val="en-GB"/>
        </w:rPr>
        <w:instrText xml:space="preserve"> \* MERGEFORMAT </w:instrText>
      </w:r>
      <w:r w:rsidRPr="005C3FE9">
        <w:rPr>
          <w:lang w:val="en-GB"/>
        </w:rPr>
      </w:r>
      <w:r w:rsidRPr="005C3FE9">
        <w:rPr>
          <w:lang w:val="en-GB"/>
        </w:rPr>
        <w:fldChar w:fldCharType="separate"/>
      </w:r>
      <w:r w:rsidR="00561965" w:rsidRPr="005C3FE9">
        <w:rPr>
          <w:lang w:val="en-US"/>
        </w:rPr>
        <w:t xml:space="preserve">Table </w:t>
      </w:r>
      <w:r w:rsidR="00561965" w:rsidRPr="005C3FE9">
        <w:rPr>
          <w:noProof/>
          <w:lang w:val="en-US"/>
        </w:rPr>
        <w:t>3</w:t>
      </w:r>
      <w:r w:rsidRPr="005C3FE9">
        <w:rPr>
          <w:lang w:val="en-GB"/>
        </w:rPr>
        <w:fldChar w:fldCharType="end"/>
      </w:r>
      <w:r w:rsidRPr="005C3FE9">
        <w:rPr>
          <w:lang w:val="en-GB"/>
        </w:rPr>
        <w:t xml:space="preserve"> </w:t>
      </w:r>
      <w:r w:rsidR="00740010" w:rsidRPr="005C3FE9">
        <w:rPr>
          <w:lang w:val="en-GB"/>
        </w:rPr>
        <w:t>reports the</w:t>
      </w:r>
      <w:r w:rsidRPr="005C3FE9">
        <w:rPr>
          <w:lang w:val="en-GB"/>
        </w:rPr>
        <w:t xml:space="preserve"> reference</w:t>
      </w:r>
      <w:r w:rsidR="00740010" w:rsidRPr="005C3FE9">
        <w:rPr>
          <w:lang w:val="en-GB"/>
        </w:rPr>
        <w:t xml:space="preserve"> </w:t>
      </w:r>
      <w:r w:rsidR="00074DE4" w:rsidRPr="005C3FE9">
        <w:rPr>
          <w:lang w:val="en-GB"/>
        </w:rPr>
        <w:t xml:space="preserve">values </w:t>
      </w:r>
      <w:r w:rsidR="00FE67D2" w:rsidRPr="005C3FE9">
        <w:rPr>
          <w:lang w:val="en-GB"/>
        </w:rPr>
        <w:t xml:space="preserve">of the </w:t>
      </w:r>
      <w:r w:rsidR="00E46686" w:rsidRPr="005C3FE9">
        <w:rPr>
          <w:lang w:val="en-GB"/>
        </w:rPr>
        <w:t>membrane properties</w:t>
      </w:r>
      <w:r w:rsidR="00D0301A" w:rsidRPr="005C3FE9">
        <w:rPr>
          <w:lang w:val="en-GB"/>
        </w:rPr>
        <w:t xml:space="preserve">, while </w:t>
      </w:r>
      <w:r w:rsidR="003474E4" w:rsidRPr="005C3FE9">
        <w:rPr>
          <w:lang w:val="en-GB"/>
        </w:rPr>
        <w:fldChar w:fldCharType="begin"/>
      </w:r>
      <w:r w:rsidR="003474E4" w:rsidRPr="005C3FE9">
        <w:rPr>
          <w:lang w:val="en-GB"/>
        </w:rPr>
        <w:instrText xml:space="preserve"> REF _Ref107768790 \h </w:instrText>
      </w:r>
      <w:r w:rsidR="007E0D97" w:rsidRPr="005C3FE9">
        <w:rPr>
          <w:lang w:val="en-GB"/>
        </w:rPr>
        <w:instrText xml:space="preserve"> \* MERGEFORMAT </w:instrText>
      </w:r>
      <w:r w:rsidR="003474E4" w:rsidRPr="005C3FE9">
        <w:rPr>
          <w:lang w:val="en-GB"/>
        </w:rPr>
      </w:r>
      <w:r w:rsidR="003474E4" w:rsidRPr="005C3FE9">
        <w:rPr>
          <w:lang w:val="en-GB"/>
        </w:rPr>
        <w:fldChar w:fldCharType="separate"/>
      </w:r>
      <w:r w:rsidR="00561965" w:rsidRPr="005C3FE9">
        <w:rPr>
          <w:lang w:val="en-US"/>
        </w:rPr>
        <w:t xml:space="preserve">Table </w:t>
      </w:r>
      <w:r w:rsidR="00561965" w:rsidRPr="005C3FE9">
        <w:rPr>
          <w:noProof/>
          <w:lang w:val="en-US"/>
        </w:rPr>
        <w:t>4</w:t>
      </w:r>
      <w:r w:rsidR="003474E4" w:rsidRPr="005C3FE9">
        <w:rPr>
          <w:lang w:val="en-GB"/>
        </w:rPr>
        <w:fldChar w:fldCharType="end"/>
      </w:r>
      <w:r w:rsidR="00D0301A" w:rsidRPr="005C3FE9">
        <w:rPr>
          <w:lang w:val="en-GB"/>
        </w:rPr>
        <w:t xml:space="preserve"> reports the </w:t>
      </w:r>
      <w:r w:rsidR="000D0F75" w:rsidRPr="005C3FE9">
        <w:rPr>
          <w:lang w:val="en-GB"/>
        </w:rPr>
        <w:t>parameters</w:t>
      </w:r>
      <w:r w:rsidR="00D0301A" w:rsidRPr="005C3FE9">
        <w:rPr>
          <w:lang w:val="en-GB"/>
        </w:rPr>
        <w:t xml:space="preserve"> </w:t>
      </w:r>
      <w:r w:rsidR="00924EA5">
        <w:rPr>
          <w:lang w:val="en-GB"/>
        </w:rPr>
        <w:t>adopted</w:t>
      </w:r>
      <w:r w:rsidR="00924EA5" w:rsidRPr="005C3FE9">
        <w:rPr>
          <w:lang w:val="en-GB"/>
        </w:rPr>
        <w:t xml:space="preserve"> </w:t>
      </w:r>
      <w:r w:rsidR="00D0301A" w:rsidRPr="005C3FE9">
        <w:rPr>
          <w:lang w:val="en-GB"/>
        </w:rPr>
        <w:t>for all simulations.</w:t>
      </w:r>
      <w:r w:rsidR="00740010" w:rsidRPr="005C3FE9">
        <w:rPr>
          <w:lang w:val="en-GB"/>
        </w:rPr>
        <w:t xml:space="preserve"> </w:t>
      </w:r>
      <w:r w:rsidR="00145FD7" w:rsidRPr="005C3FE9">
        <w:rPr>
          <w:lang w:val="en-GB"/>
        </w:rPr>
        <w:t>A woven spacer with 90° angled filaments, a pitch</w:t>
      </w:r>
      <w:r w:rsidR="00061C11" w:rsidRPr="005C3FE9">
        <w:rPr>
          <w:lang w:val="en-GB"/>
        </w:rPr>
        <w:t>-</w:t>
      </w:r>
      <w:r w:rsidR="00145FD7" w:rsidRPr="005C3FE9">
        <w:rPr>
          <w:lang w:val="en-GB"/>
        </w:rPr>
        <w:t>to</w:t>
      </w:r>
      <w:r w:rsidR="00061C11" w:rsidRPr="005C3FE9">
        <w:rPr>
          <w:lang w:val="en-GB"/>
        </w:rPr>
        <w:t>-</w:t>
      </w:r>
      <w:r w:rsidR="00145FD7" w:rsidRPr="005C3FE9">
        <w:rPr>
          <w:lang w:val="en-GB"/>
        </w:rPr>
        <w:t xml:space="preserve">height ratio of 2, and a flow attack angle of 45° </w:t>
      </w:r>
      <w:r w:rsidR="00924EA5">
        <w:rPr>
          <w:lang w:val="en-GB"/>
        </w:rPr>
        <w:t>were</w:t>
      </w:r>
      <w:r w:rsidR="00924EA5" w:rsidRPr="005C3FE9">
        <w:rPr>
          <w:lang w:val="en-GB"/>
        </w:rPr>
        <w:t xml:space="preserve"> </w:t>
      </w:r>
      <w:r w:rsidR="00145FD7" w:rsidRPr="005C3FE9">
        <w:rPr>
          <w:lang w:val="en-GB"/>
        </w:rPr>
        <w:t xml:space="preserve">used in the simulations of the AB-FB described in this paper. </w:t>
      </w:r>
    </w:p>
    <w:p w14:paraId="406053D5" w14:textId="3E9578D4" w:rsidR="00B871F6" w:rsidRPr="005C3FE9" w:rsidRDefault="000A7CAE" w:rsidP="00FE67D2">
      <w:pPr>
        <w:rPr>
          <w:lang w:val="en-GB"/>
        </w:rPr>
      </w:pPr>
      <w:r w:rsidRPr="005C3FE9">
        <w:rPr>
          <w:lang w:val="en-GB"/>
        </w:rPr>
        <w:t xml:space="preserve">The AB-FB reference design simulated in this work is the one developed </w:t>
      </w:r>
      <w:r w:rsidR="00FE67D2" w:rsidRPr="005C3FE9">
        <w:rPr>
          <w:lang w:val="en-GB"/>
        </w:rPr>
        <w:t>in the framework</w:t>
      </w:r>
      <w:r w:rsidRPr="005C3FE9">
        <w:rPr>
          <w:lang w:val="en-GB"/>
        </w:rPr>
        <w:t xml:space="preserve"> of the </w:t>
      </w:r>
      <w:r w:rsidR="00FE67D2" w:rsidRPr="005C3FE9">
        <w:rPr>
          <w:lang w:val="en-GB"/>
        </w:rPr>
        <w:t xml:space="preserve">EU-funded </w:t>
      </w:r>
      <w:proofErr w:type="spellStart"/>
      <w:r w:rsidRPr="005C3FE9">
        <w:rPr>
          <w:lang w:val="en-GB"/>
        </w:rPr>
        <w:t>BAoBaB</w:t>
      </w:r>
      <w:proofErr w:type="spellEnd"/>
      <w:r w:rsidRPr="005C3FE9">
        <w:rPr>
          <w:lang w:val="en-GB"/>
        </w:rPr>
        <w:t xml:space="preserve"> project </w:t>
      </w:r>
      <w:r w:rsidRPr="005C3FE9">
        <w:rPr>
          <w:lang w:val="en-GB"/>
        </w:rPr>
        <w:fldChar w:fldCharType="begin" w:fldLock="1"/>
      </w:r>
      <w:r w:rsidR="00E77EC7">
        <w:rPr>
          <w:lang w:val="en-GB"/>
        </w:rPr>
        <w:instrText>ADDIN CSL_CITATION {"citationItems":[{"id":"ITEM-1","itemData":{"DOI":"10.3390/membranes10120409","ISSN":"2077-0375","abstract":"The increasing share of renewables in electric grids nowadays causes a growing daily and seasonal mismatch between electricity generation and demand. In this regard, novel energy storage systems need to be developed, to allow large-scale storage of the excess electricity during low-demand time, and its distribution during peak demand time. Acid–base flow battery (ABFB) is a novel and environmentally friendly technology based on the reversible water dissociation by bipolar membranes, and it stores electricity in the form of chemical energy in acid and base solutions. The technology has already been demonstrated at the laboratory scale, and the experimental testing of the first 1 kW pilot plant is currently ongoing. This work aims to describe the current development and the perspectives of the ABFB technology. In particular, we discuss the main technical challenges related to the development of battery components (membranes, electrolyte solutions, and stack design), as well as simulated scenarios, to demonstrate the technology at the kW–MW scale. Finally, we present an economic analysis for a first 100 kW commercial unit and suggest future directions for further technology scale-up and commercial deployment.","author":[{"dropping-particle":"","family":"Pärnamäe","given":"Ragne","non-dropping-particle":"","parse-names":false,"suffix":""},{"dropping-particle":"","family":"Gurreri","given":"Luigi","non-dropping-particle":"","parse-names":false,"suffix":""},{"dropping-particle":"","family":"Post","given":"Jan","non-dropping-particle":"","parse-names":false,"suffix":""},{"dropping-particle":"","family":"Egmond","given":"Willem Johannes","non-dropping-particle":"van","parse-names":false,"suffix":""},{"dropping-particle":"","family":"Culcasi","given":"Andrea","non-dropping-particle":"","parse-names":false,"suffix":""},{"dropping-particle":"","family":"Saakes","given":"Michel","non-dropping-particle":"","parse-names":false,"suffix":""},{"dropping-particle":"","family":"Cen","given":"Jiajun","non-dropping-particle":"","parse-names":false,"suffix":""},{"dropping-particle":"","family":"Goosen","given":"Emil","non-dropping-particle":"","parse-names":false,"suffix":""},{"dropping-particle":"","family":"Tamburini","given":"Alessandro","non-dropping-particle":"","parse-names":false,"suffix":""},{"dropping-particle":"","family":"Vermaas","given":"David A.","non-dropping-particle":"","parse-names":false,"suffix":""},{"dropping-particle":"","family":"Tedesco","given":"Michele","non-dropping-particle":"","parse-names":false,"suffix":""}],"container-title":"Membranes","id":"ITEM-1","issue":"12","issued":{"date-parts":[["2020","12","10"]]},"page":"409","publisher":"Multidisciplinary Digital Publishing Institute","title":"The Acid–Base Flow Battery: Sustainable Energy Storage via Reversible Water Dissociation with Bipolar Membranes","type":"article-journal","volume":"10"},"uris":["http://www.mendeley.com/documents/?uuid=5e24d4fa-aef2-3817-bec6-dd3e516a2e66"]}],"mendeley":{"formattedCitation":"[32]","plainTextFormattedCitation":"[32]","previouslyFormattedCitation":"[32]"},"properties":{"noteIndex":0},"schema":"https://github.com/citation-style-language/schema/raw/master/csl-citation.json"}</w:instrText>
      </w:r>
      <w:r w:rsidRPr="005C3FE9">
        <w:rPr>
          <w:lang w:val="en-GB"/>
        </w:rPr>
        <w:fldChar w:fldCharType="separate"/>
      </w:r>
      <w:r w:rsidR="004319C3" w:rsidRPr="004319C3">
        <w:rPr>
          <w:noProof/>
          <w:lang w:val="en-GB"/>
        </w:rPr>
        <w:t>[32]</w:t>
      </w:r>
      <w:r w:rsidRPr="005C3FE9">
        <w:rPr>
          <w:lang w:val="en-GB"/>
        </w:rPr>
        <w:fldChar w:fldCharType="end"/>
      </w:r>
      <w:r w:rsidRPr="005C3FE9">
        <w:rPr>
          <w:lang w:val="en-GB"/>
        </w:rPr>
        <w:t>.</w:t>
      </w:r>
    </w:p>
    <w:p w14:paraId="44FDC117" w14:textId="2DE7A74E" w:rsidR="00765721" w:rsidRPr="005C3FE9" w:rsidRDefault="00765721" w:rsidP="009E50BA">
      <w:pPr>
        <w:pStyle w:val="Didascalia"/>
        <w:keepNext/>
        <w:spacing w:after="0"/>
        <w:jc w:val="both"/>
      </w:pPr>
      <w:bookmarkStart w:id="15" w:name="_Ref101287789"/>
      <w:r w:rsidRPr="005C3FE9">
        <w:t xml:space="preserve">Table </w:t>
      </w:r>
      <w:r w:rsidRPr="005C3FE9">
        <w:fldChar w:fldCharType="begin"/>
      </w:r>
      <w:r w:rsidRPr="005C3FE9">
        <w:instrText xml:space="preserve"> SEQ Table \* ARABIC </w:instrText>
      </w:r>
      <w:r w:rsidRPr="005C3FE9">
        <w:fldChar w:fldCharType="separate"/>
      </w:r>
      <w:r w:rsidR="007D3E0D">
        <w:rPr>
          <w:noProof/>
        </w:rPr>
        <w:t>3</w:t>
      </w:r>
      <w:r w:rsidRPr="005C3FE9">
        <w:fldChar w:fldCharType="end"/>
      </w:r>
      <w:bookmarkEnd w:id="15"/>
      <w:r w:rsidRPr="005C3FE9">
        <w:t xml:space="preserve">. Reference </w:t>
      </w:r>
      <w:r w:rsidR="004326BE" w:rsidRPr="005C3FE9">
        <w:t xml:space="preserve">values </w:t>
      </w:r>
      <w:r w:rsidR="00924EA5">
        <w:t>for</w:t>
      </w:r>
      <w:r w:rsidR="00924EA5" w:rsidRPr="005C3FE9">
        <w:t xml:space="preserve"> </w:t>
      </w:r>
      <w:r w:rsidR="000E3E80" w:rsidRPr="005C3FE9">
        <w:t xml:space="preserve">membrane properties </w:t>
      </w:r>
      <w:r w:rsidR="0031712B" w:rsidRPr="005C3FE9">
        <w:rPr>
          <w:spacing w:val="-3"/>
          <w:lang w:val="en-GB"/>
        </w:rPr>
        <w:t>(</w:t>
      </w:r>
      <w:r w:rsidR="00D05711" w:rsidRPr="005C3FE9">
        <w:rPr>
          <w:spacing w:val="-3"/>
          <w:lang w:val="en-GB"/>
        </w:rPr>
        <w:t xml:space="preserve">from </w:t>
      </w:r>
      <w:r w:rsidR="00D05711" w:rsidRPr="005C3FE9">
        <w:rPr>
          <w:lang w:val="en-GB"/>
        </w:rPr>
        <w:fldChar w:fldCharType="begin" w:fldLock="1"/>
      </w:r>
      <w:r w:rsidR="00E77EC7">
        <w:rPr>
          <w:lang w:val="en-GB"/>
        </w:rPr>
        <w:instrText>ADDIN CSL_CITATION {"citationItems":[{"id":"ITEM-1","itemData":{"DOI":"10.3390/membranes10120409","ISSN":"2077-0375","abstract":"The increasing share of renewables in electric grids nowadays causes a growing daily and seasonal mismatch between electricity generation and demand. In this regard, novel energy storage systems need to be developed, to allow large-scale storage of the excess electricity during low-demand time, and its distribution during peak demand time. Acid–base flow battery (ABFB) is a novel and environmentally friendly technology based on the reversible water dissociation by bipolar membranes, and it stores electricity in the form of chemical energy in acid and base solutions. The technology has already been demonstrated at the laboratory scale, and the experimental testing of the first 1 kW pilot plant is currently ongoing. This work aims to describe the current development and the perspectives of the ABFB technology. In particular, we discuss the main technical challenges related to the development of battery components (membranes, electrolyte solutions, and stack design), as well as simulated scenarios, to demonstrate the technology at the kW–MW scale. Finally, we present an economic analysis for a first 100 kW commercial unit and suggest future directions for further technology scale-up and commercial deployment.","author":[{"dropping-particle":"","family":"Pärnamäe","given":"Ragne","non-dropping-particle":"","parse-names":false,"suffix":""},{"dropping-particle":"","family":"Gurreri","given":"Luigi","non-dropping-particle":"","parse-names":false,"suffix":""},{"dropping-particle":"","family":"Post","given":"Jan","non-dropping-particle":"","parse-names":false,"suffix":""},{"dropping-particle":"","family":"Egmond","given":"Willem Johannes","non-dropping-particle":"van","parse-names":false,"suffix":""},{"dropping-particle":"","family":"Culcasi","given":"Andrea","non-dropping-particle":"","parse-names":false,"suffix":""},{"dropping-particle":"","family":"Saakes","given":"Michel","non-dropping-particle":"","parse-names":false,"suffix":""},{"dropping-particle":"","family":"Cen","given":"Jiajun","non-dropping-particle":"","parse-names":false,"suffix":""},{"dropping-particle":"","family":"Goosen","given":"Emil","non-dropping-particle":"","parse-names":false,"suffix":""},{"dropping-particle":"","family":"Tamburini","given":"Alessandro","non-dropping-particle":"","parse-names":false,"suffix":""},{"dropping-particle":"","family":"Vermaas","given":"David A.","non-dropping-particle":"","parse-names":false,"suffix":""},{"dropping-particle":"","family":"Tedesco","given":"Michele","non-dropping-particle":"","parse-names":false,"suffix":""}],"container-title":"Membranes","id":"ITEM-1","issue":"12","issued":{"date-parts":[["2020","12","10"]]},"page":"409","publisher":"Multidisciplinary Digital Publishing Institute","title":"The Acid–Base Flow Battery: Sustainable Energy Storage via Reversible Water Dissociation with Bipolar Membranes","type":"article-journal","volume":"10"},"uris":["http://www.mendeley.com/documents/?uuid=5e24d4fa-aef2-3817-bec6-dd3e516a2e66"]}],"mendeley":{"formattedCitation":"[32]","plainTextFormattedCitation":"[32]","previouslyFormattedCitation":"[32]"},"properties":{"noteIndex":0},"schema":"https://github.com/citation-style-language/schema/raw/master/csl-citation.json"}</w:instrText>
      </w:r>
      <w:r w:rsidR="00D05711" w:rsidRPr="005C3FE9">
        <w:rPr>
          <w:lang w:val="en-GB"/>
        </w:rPr>
        <w:fldChar w:fldCharType="separate"/>
      </w:r>
      <w:r w:rsidR="004319C3" w:rsidRPr="004319C3">
        <w:rPr>
          <w:noProof/>
          <w:lang w:val="en-GB"/>
        </w:rPr>
        <w:t>[32]</w:t>
      </w:r>
      <w:r w:rsidR="00D05711" w:rsidRPr="005C3FE9">
        <w:rPr>
          <w:lang w:val="en-GB"/>
        </w:rPr>
        <w:fldChar w:fldCharType="end"/>
      </w:r>
      <w:r w:rsidR="0031712B" w:rsidRPr="005C3FE9">
        <w:rPr>
          <w:lang w:val="en-GB"/>
        </w:rPr>
        <w:t>)</w:t>
      </w:r>
      <w:r w:rsidRPr="005C3FE9">
        <w:rPr>
          <w:spacing w:val="-3"/>
          <w:lang w:val="en-GB"/>
        </w:rPr>
        <w:t>.</w:t>
      </w:r>
    </w:p>
    <w:tbl>
      <w:tblPr>
        <w:tblW w:w="8870" w:type="dxa"/>
        <w:jc w:val="center"/>
        <w:tblLook w:val="04A0" w:firstRow="1" w:lastRow="0" w:firstColumn="1" w:lastColumn="0" w:noHBand="0" w:noVBand="1"/>
      </w:tblPr>
      <w:tblGrid>
        <w:gridCol w:w="3060"/>
        <w:gridCol w:w="1760"/>
        <w:gridCol w:w="990"/>
        <w:gridCol w:w="1080"/>
        <w:gridCol w:w="990"/>
        <w:gridCol w:w="990"/>
      </w:tblGrid>
      <w:tr w:rsidR="004D7545" w:rsidRPr="005C3FE9" w14:paraId="780FE451" w14:textId="77777777" w:rsidTr="00EB0B93">
        <w:trPr>
          <w:trHeight w:val="335"/>
          <w:jc w:val="center"/>
        </w:trPr>
        <w:tc>
          <w:tcPr>
            <w:tcW w:w="3060" w:type="dxa"/>
            <w:tcBorders>
              <w:top w:val="single" w:sz="4" w:space="0" w:color="auto"/>
            </w:tcBorders>
          </w:tcPr>
          <w:p w14:paraId="3783E82D" w14:textId="77777777" w:rsidR="004D7545" w:rsidRPr="005C3FE9" w:rsidRDefault="004D7545" w:rsidP="00F051CE">
            <w:pPr>
              <w:spacing w:line="360" w:lineRule="auto"/>
              <w:ind w:firstLine="0"/>
              <w:rPr>
                <w:noProof/>
                <w:lang w:val="en-GB"/>
              </w:rPr>
            </w:pPr>
          </w:p>
        </w:tc>
        <w:tc>
          <w:tcPr>
            <w:tcW w:w="1760" w:type="dxa"/>
            <w:tcBorders>
              <w:top w:val="single" w:sz="4" w:space="0" w:color="auto"/>
            </w:tcBorders>
          </w:tcPr>
          <w:p w14:paraId="5A6EE116" w14:textId="77777777" w:rsidR="004D7545" w:rsidRPr="005C3FE9" w:rsidRDefault="004D7545" w:rsidP="00F051CE">
            <w:pPr>
              <w:spacing w:line="360" w:lineRule="auto"/>
              <w:ind w:firstLine="0"/>
              <w:rPr>
                <w:noProof/>
                <w:lang w:val="en-GB"/>
              </w:rPr>
            </w:pPr>
          </w:p>
        </w:tc>
        <w:tc>
          <w:tcPr>
            <w:tcW w:w="990" w:type="dxa"/>
            <w:tcBorders>
              <w:top w:val="single" w:sz="4" w:space="0" w:color="auto"/>
            </w:tcBorders>
          </w:tcPr>
          <w:p w14:paraId="6ABDE18E" w14:textId="06E15E5E" w:rsidR="004D7545" w:rsidRPr="005C3FE9" w:rsidRDefault="004D7545" w:rsidP="009E50BA">
            <w:pPr>
              <w:spacing w:line="360" w:lineRule="auto"/>
              <w:ind w:firstLine="0"/>
              <w:jc w:val="center"/>
              <w:rPr>
                <w:noProof/>
                <w:lang w:val="en-GB"/>
              </w:rPr>
            </w:pPr>
            <w:r w:rsidRPr="005C3FE9">
              <w:rPr>
                <w:noProof/>
                <w:lang w:val="en-GB"/>
              </w:rPr>
              <w:t>AEM</w:t>
            </w:r>
          </w:p>
        </w:tc>
        <w:tc>
          <w:tcPr>
            <w:tcW w:w="1080" w:type="dxa"/>
            <w:tcBorders>
              <w:top w:val="single" w:sz="4" w:space="0" w:color="auto"/>
            </w:tcBorders>
          </w:tcPr>
          <w:p w14:paraId="1182F941" w14:textId="2DB39C47" w:rsidR="004D7545" w:rsidRPr="005C3FE9" w:rsidRDefault="004D7545" w:rsidP="009E50BA">
            <w:pPr>
              <w:spacing w:line="360" w:lineRule="auto"/>
              <w:ind w:firstLine="0"/>
              <w:jc w:val="center"/>
              <w:rPr>
                <w:noProof/>
                <w:lang w:val="en-GB"/>
              </w:rPr>
            </w:pPr>
            <w:r w:rsidRPr="005C3FE9">
              <w:rPr>
                <w:noProof/>
                <w:lang w:val="en-GB"/>
              </w:rPr>
              <w:t>CEM</w:t>
            </w:r>
          </w:p>
        </w:tc>
        <w:tc>
          <w:tcPr>
            <w:tcW w:w="1980" w:type="dxa"/>
            <w:gridSpan w:val="2"/>
            <w:tcBorders>
              <w:top w:val="single" w:sz="4" w:space="0" w:color="auto"/>
            </w:tcBorders>
          </w:tcPr>
          <w:p w14:paraId="68A0DEF8" w14:textId="5C11136C" w:rsidR="004D7545" w:rsidRPr="005C3FE9" w:rsidRDefault="004D7545" w:rsidP="009E50BA">
            <w:pPr>
              <w:spacing w:line="360" w:lineRule="auto"/>
              <w:ind w:firstLine="0"/>
              <w:jc w:val="center"/>
              <w:rPr>
                <w:noProof/>
                <w:lang w:val="en-GB"/>
              </w:rPr>
            </w:pPr>
            <w:r w:rsidRPr="005C3FE9">
              <w:rPr>
                <w:noProof/>
                <w:lang w:val="en-GB"/>
              </w:rPr>
              <w:t>BPM</w:t>
            </w:r>
          </w:p>
        </w:tc>
      </w:tr>
      <w:tr w:rsidR="004D7545" w:rsidRPr="005C3FE9" w14:paraId="14D791B1" w14:textId="77777777" w:rsidTr="00EB0B93">
        <w:trPr>
          <w:trHeight w:val="347"/>
          <w:jc w:val="center"/>
        </w:trPr>
        <w:tc>
          <w:tcPr>
            <w:tcW w:w="3060" w:type="dxa"/>
            <w:tcBorders>
              <w:bottom w:val="single" w:sz="4" w:space="0" w:color="auto"/>
            </w:tcBorders>
          </w:tcPr>
          <w:p w14:paraId="14B6EEF0" w14:textId="77777777" w:rsidR="004D7545" w:rsidRPr="005C3FE9" w:rsidRDefault="004D7545" w:rsidP="00F051CE">
            <w:pPr>
              <w:spacing w:line="360" w:lineRule="auto"/>
              <w:ind w:firstLine="0"/>
              <w:jc w:val="center"/>
              <w:rPr>
                <w:noProof/>
                <w:lang w:val="en-GB"/>
              </w:rPr>
            </w:pPr>
          </w:p>
        </w:tc>
        <w:tc>
          <w:tcPr>
            <w:tcW w:w="1760" w:type="dxa"/>
            <w:tcBorders>
              <w:bottom w:val="single" w:sz="4" w:space="0" w:color="auto"/>
            </w:tcBorders>
          </w:tcPr>
          <w:p w14:paraId="48F93C3D" w14:textId="77777777" w:rsidR="004D7545" w:rsidRPr="005C3FE9" w:rsidRDefault="004D7545" w:rsidP="00F051CE">
            <w:pPr>
              <w:spacing w:line="360" w:lineRule="auto"/>
              <w:ind w:firstLine="0"/>
              <w:jc w:val="center"/>
              <w:rPr>
                <w:noProof/>
                <w:lang w:val="en-GB"/>
              </w:rPr>
            </w:pPr>
          </w:p>
        </w:tc>
        <w:tc>
          <w:tcPr>
            <w:tcW w:w="990" w:type="dxa"/>
            <w:tcBorders>
              <w:bottom w:val="single" w:sz="4" w:space="0" w:color="auto"/>
            </w:tcBorders>
          </w:tcPr>
          <w:p w14:paraId="1C88BBD7" w14:textId="1F7E2236" w:rsidR="004D7545" w:rsidRPr="005C3FE9" w:rsidRDefault="004D7545" w:rsidP="00F051CE">
            <w:pPr>
              <w:spacing w:line="360" w:lineRule="auto"/>
              <w:ind w:firstLine="0"/>
              <w:jc w:val="center"/>
              <w:rPr>
                <w:noProof/>
                <w:lang w:val="en-GB"/>
              </w:rPr>
            </w:pPr>
          </w:p>
        </w:tc>
        <w:tc>
          <w:tcPr>
            <w:tcW w:w="1080" w:type="dxa"/>
            <w:tcBorders>
              <w:bottom w:val="single" w:sz="4" w:space="0" w:color="auto"/>
            </w:tcBorders>
          </w:tcPr>
          <w:p w14:paraId="449AEC1D" w14:textId="03563716" w:rsidR="004D7545" w:rsidRPr="005C3FE9" w:rsidRDefault="004D7545" w:rsidP="00F051CE">
            <w:pPr>
              <w:spacing w:line="360" w:lineRule="auto"/>
              <w:ind w:firstLine="0"/>
              <w:jc w:val="center"/>
              <w:rPr>
                <w:noProof/>
                <w:lang w:val="en-GB"/>
              </w:rPr>
            </w:pPr>
          </w:p>
        </w:tc>
        <w:tc>
          <w:tcPr>
            <w:tcW w:w="990" w:type="dxa"/>
            <w:tcBorders>
              <w:bottom w:val="single" w:sz="4" w:space="0" w:color="auto"/>
            </w:tcBorders>
          </w:tcPr>
          <w:p w14:paraId="0660F98B" w14:textId="77777777" w:rsidR="004D7545" w:rsidRPr="005C3FE9" w:rsidRDefault="004D7545" w:rsidP="00F051CE">
            <w:pPr>
              <w:spacing w:line="360" w:lineRule="auto"/>
              <w:ind w:firstLine="0"/>
              <w:jc w:val="center"/>
              <w:rPr>
                <w:noProof/>
                <w:lang w:val="en-GB"/>
              </w:rPr>
            </w:pPr>
            <w:r w:rsidRPr="005C3FE9">
              <w:rPr>
                <w:noProof/>
                <w:lang w:val="en-GB"/>
              </w:rPr>
              <w:t>AEL</w:t>
            </w:r>
          </w:p>
        </w:tc>
        <w:tc>
          <w:tcPr>
            <w:tcW w:w="990" w:type="dxa"/>
            <w:tcBorders>
              <w:bottom w:val="single" w:sz="4" w:space="0" w:color="auto"/>
            </w:tcBorders>
          </w:tcPr>
          <w:p w14:paraId="5151F747" w14:textId="77777777" w:rsidR="004D7545" w:rsidRPr="005C3FE9" w:rsidRDefault="004D7545" w:rsidP="00F051CE">
            <w:pPr>
              <w:spacing w:line="360" w:lineRule="auto"/>
              <w:ind w:firstLine="0"/>
              <w:jc w:val="center"/>
              <w:rPr>
                <w:noProof/>
                <w:lang w:val="en-GB"/>
              </w:rPr>
            </w:pPr>
            <w:r w:rsidRPr="005C3FE9">
              <w:rPr>
                <w:noProof/>
                <w:lang w:val="en-GB"/>
              </w:rPr>
              <w:t>CEL</w:t>
            </w:r>
          </w:p>
        </w:tc>
      </w:tr>
      <w:tr w:rsidR="004D7545" w:rsidRPr="005C3FE9" w14:paraId="273FAA3D" w14:textId="77777777" w:rsidTr="00EB0B93">
        <w:trPr>
          <w:trHeight w:val="347"/>
          <w:jc w:val="center"/>
        </w:trPr>
        <w:tc>
          <w:tcPr>
            <w:tcW w:w="3060" w:type="dxa"/>
            <w:tcBorders>
              <w:top w:val="single" w:sz="4" w:space="0" w:color="auto"/>
            </w:tcBorders>
          </w:tcPr>
          <w:p w14:paraId="2CFCE50E" w14:textId="77777777" w:rsidR="004D7545" w:rsidRPr="005C3FE9" w:rsidRDefault="004D7545" w:rsidP="00F051CE">
            <w:pPr>
              <w:spacing w:line="360" w:lineRule="auto"/>
              <w:ind w:firstLine="0"/>
              <w:jc w:val="center"/>
              <w:rPr>
                <w:noProof/>
                <w:lang w:val="en-GB"/>
              </w:rPr>
            </w:pPr>
            <w:r w:rsidRPr="005C3FE9">
              <w:rPr>
                <w:noProof/>
                <w:lang w:val="en-GB"/>
              </w:rPr>
              <w:t>Thickness (</w:t>
            </w:r>
            <m:oMath>
              <m:sSub>
                <m:sSubPr>
                  <m:ctrlPr>
                    <w:rPr>
                      <w:rFonts w:ascii="Cambria Math" w:hAnsi="Cambria Math"/>
                      <w:i/>
                      <w:noProof/>
                      <w:lang w:val="en-GB"/>
                    </w:rPr>
                  </m:ctrlPr>
                </m:sSubPr>
                <m:e>
                  <m:r>
                    <w:rPr>
                      <w:rFonts w:ascii="Cambria Math" w:hAnsi="Cambria Math"/>
                      <w:noProof/>
                      <w:lang w:val="en-GB"/>
                    </w:rPr>
                    <m:t>d</m:t>
                  </m:r>
                </m:e>
                <m:sub>
                  <m:r>
                    <w:rPr>
                      <w:rFonts w:ascii="Cambria Math" w:hAnsi="Cambria Math"/>
                      <w:noProof/>
                      <w:lang w:val="en-GB"/>
                    </w:rPr>
                    <m:t>m</m:t>
                  </m:r>
                </m:sub>
              </m:sSub>
            </m:oMath>
            <w:r w:rsidRPr="005C3FE9">
              <w:rPr>
                <w:noProof/>
                <w:lang w:val="en-GB"/>
              </w:rPr>
              <w:t>)</w:t>
            </w:r>
          </w:p>
        </w:tc>
        <w:tc>
          <w:tcPr>
            <w:tcW w:w="1760" w:type="dxa"/>
            <w:tcBorders>
              <w:top w:val="single" w:sz="4" w:space="0" w:color="auto"/>
            </w:tcBorders>
          </w:tcPr>
          <w:p w14:paraId="7CEC14F0" w14:textId="77777777" w:rsidR="004D7545" w:rsidRPr="005C3FE9" w:rsidRDefault="004D7545" w:rsidP="00F051CE">
            <w:pPr>
              <w:spacing w:line="360" w:lineRule="auto"/>
              <w:ind w:firstLine="0"/>
              <w:jc w:val="center"/>
              <w:rPr>
                <w:noProof/>
                <w:lang w:val="en-GB"/>
              </w:rPr>
            </w:pPr>
            <w:r w:rsidRPr="005C3FE9">
              <w:rPr>
                <w:lang w:val="en-GB"/>
              </w:rPr>
              <w:t>µm</w:t>
            </w:r>
          </w:p>
        </w:tc>
        <w:tc>
          <w:tcPr>
            <w:tcW w:w="990" w:type="dxa"/>
            <w:tcBorders>
              <w:top w:val="single" w:sz="4" w:space="0" w:color="auto"/>
            </w:tcBorders>
            <w:vAlign w:val="center"/>
          </w:tcPr>
          <w:p w14:paraId="07EC26A3" w14:textId="77777777" w:rsidR="004D7545" w:rsidRPr="005C3FE9" w:rsidRDefault="004D7545" w:rsidP="0051268E">
            <w:pPr>
              <w:spacing w:line="360" w:lineRule="auto"/>
              <w:ind w:firstLine="0"/>
              <w:jc w:val="center"/>
              <w:rPr>
                <w:noProof/>
                <w:lang w:val="en-GB"/>
              </w:rPr>
            </w:pPr>
            <w:r w:rsidRPr="005C3FE9">
              <w:rPr>
                <w:noProof/>
                <w:lang w:val="en-GB"/>
              </w:rPr>
              <w:t>75</w:t>
            </w:r>
          </w:p>
        </w:tc>
        <w:tc>
          <w:tcPr>
            <w:tcW w:w="1080" w:type="dxa"/>
            <w:tcBorders>
              <w:top w:val="single" w:sz="4" w:space="0" w:color="auto"/>
            </w:tcBorders>
            <w:vAlign w:val="center"/>
          </w:tcPr>
          <w:p w14:paraId="099300FA" w14:textId="77777777" w:rsidR="004D7545" w:rsidRPr="005C3FE9" w:rsidRDefault="004D7545" w:rsidP="0051268E">
            <w:pPr>
              <w:spacing w:line="360" w:lineRule="auto"/>
              <w:ind w:firstLine="0"/>
              <w:jc w:val="center"/>
              <w:rPr>
                <w:noProof/>
                <w:lang w:val="en-GB"/>
              </w:rPr>
            </w:pPr>
            <w:r w:rsidRPr="005C3FE9">
              <w:rPr>
                <w:noProof/>
                <w:lang w:val="en-GB"/>
              </w:rPr>
              <w:t>75</w:t>
            </w:r>
          </w:p>
        </w:tc>
        <w:tc>
          <w:tcPr>
            <w:tcW w:w="990" w:type="dxa"/>
            <w:tcBorders>
              <w:top w:val="single" w:sz="4" w:space="0" w:color="auto"/>
            </w:tcBorders>
            <w:vAlign w:val="center"/>
          </w:tcPr>
          <w:p w14:paraId="67992E6A" w14:textId="77777777" w:rsidR="004D7545" w:rsidRPr="005C3FE9" w:rsidRDefault="004D7545" w:rsidP="0051268E">
            <w:pPr>
              <w:spacing w:line="360" w:lineRule="auto"/>
              <w:ind w:firstLine="0"/>
              <w:jc w:val="center"/>
              <w:rPr>
                <w:noProof/>
                <w:lang w:val="en-GB"/>
              </w:rPr>
            </w:pPr>
            <w:r w:rsidRPr="005C3FE9">
              <w:rPr>
                <w:noProof/>
                <w:lang w:val="en-GB"/>
              </w:rPr>
              <w:t>60</w:t>
            </w:r>
          </w:p>
        </w:tc>
        <w:tc>
          <w:tcPr>
            <w:tcW w:w="990" w:type="dxa"/>
            <w:tcBorders>
              <w:top w:val="single" w:sz="4" w:space="0" w:color="auto"/>
            </w:tcBorders>
            <w:vAlign w:val="center"/>
          </w:tcPr>
          <w:p w14:paraId="7A96902A" w14:textId="77777777" w:rsidR="004D7545" w:rsidRPr="005C3FE9" w:rsidRDefault="004D7545" w:rsidP="0051268E">
            <w:pPr>
              <w:spacing w:line="360" w:lineRule="auto"/>
              <w:ind w:firstLine="0"/>
              <w:jc w:val="center"/>
              <w:rPr>
                <w:noProof/>
                <w:lang w:val="en-GB"/>
              </w:rPr>
            </w:pPr>
            <w:r w:rsidRPr="005C3FE9">
              <w:rPr>
                <w:noProof/>
                <w:lang w:val="en-GB"/>
              </w:rPr>
              <w:t>60</w:t>
            </w:r>
          </w:p>
        </w:tc>
      </w:tr>
      <w:tr w:rsidR="004D7545" w:rsidRPr="005C3FE9" w14:paraId="33A47973" w14:textId="77777777" w:rsidTr="00EB0B93">
        <w:trPr>
          <w:trHeight w:val="347"/>
          <w:jc w:val="center"/>
        </w:trPr>
        <w:tc>
          <w:tcPr>
            <w:tcW w:w="3060" w:type="dxa"/>
          </w:tcPr>
          <w:p w14:paraId="5072B01D" w14:textId="6EB5750E" w:rsidR="004D7545" w:rsidRPr="005C3FE9" w:rsidRDefault="004D7545" w:rsidP="00F051CE">
            <w:pPr>
              <w:spacing w:line="360" w:lineRule="auto"/>
              <w:ind w:firstLine="0"/>
              <w:jc w:val="center"/>
              <w:rPr>
                <w:noProof/>
                <w:lang w:val="en-GB"/>
              </w:rPr>
            </w:pPr>
            <w:r w:rsidRPr="005C3FE9">
              <w:rPr>
                <w:noProof/>
                <w:lang w:val="en-GB"/>
              </w:rPr>
              <w:t>Areal resistance (</w:t>
            </w:r>
            <m:oMath>
              <m:sSub>
                <m:sSubPr>
                  <m:ctrlPr>
                    <w:rPr>
                      <w:rFonts w:ascii="Cambria Math" w:hAnsi="Cambria Math"/>
                      <w:i/>
                      <w:noProof/>
                      <w:lang w:val="en-GB"/>
                    </w:rPr>
                  </m:ctrlPr>
                </m:sSubPr>
                <m:e>
                  <m:r>
                    <w:rPr>
                      <w:rFonts w:ascii="Cambria Math" w:hAnsi="Cambria Math"/>
                      <w:noProof/>
                      <w:lang w:val="en-GB"/>
                    </w:rPr>
                    <m:t>R</m:t>
                  </m:r>
                </m:e>
                <m:sub>
                  <m:r>
                    <w:rPr>
                      <w:rFonts w:ascii="Cambria Math" w:hAnsi="Cambria Math"/>
                      <w:noProof/>
                      <w:lang w:val="en-GB"/>
                    </w:rPr>
                    <m:t>m</m:t>
                  </m:r>
                </m:sub>
              </m:sSub>
            </m:oMath>
            <w:r w:rsidRPr="005C3FE9">
              <w:rPr>
                <w:noProof/>
                <w:lang w:val="en-GB"/>
              </w:rPr>
              <w:t>)</w:t>
            </w:r>
          </w:p>
        </w:tc>
        <w:tc>
          <w:tcPr>
            <w:tcW w:w="1760" w:type="dxa"/>
          </w:tcPr>
          <w:p w14:paraId="5ADB2D16" w14:textId="77777777" w:rsidR="004D7545" w:rsidRPr="005C3FE9" w:rsidRDefault="004D7545" w:rsidP="00F051CE">
            <w:pPr>
              <w:spacing w:line="360" w:lineRule="auto"/>
              <w:ind w:firstLine="0"/>
              <w:jc w:val="center"/>
              <w:rPr>
                <w:noProof/>
                <w:lang w:val="en-GB"/>
              </w:rPr>
            </w:pPr>
            <w:r w:rsidRPr="005C3FE9">
              <w:rPr>
                <w:lang w:val="en-GB"/>
              </w:rPr>
              <w:t>Ω cm</w:t>
            </w:r>
            <w:r w:rsidRPr="005C3FE9">
              <w:rPr>
                <w:vertAlign w:val="superscript"/>
                <w:lang w:val="en-GB"/>
              </w:rPr>
              <w:t>2</w:t>
            </w:r>
          </w:p>
        </w:tc>
        <w:tc>
          <w:tcPr>
            <w:tcW w:w="990" w:type="dxa"/>
            <w:vAlign w:val="center"/>
          </w:tcPr>
          <w:p w14:paraId="255D9C0E" w14:textId="77777777" w:rsidR="004D7545" w:rsidRPr="005C3FE9" w:rsidRDefault="004D7545" w:rsidP="0051268E">
            <w:pPr>
              <w:spacing w:line="360" w:lineRule="auto"/>
              <w:ind w:firstLine="0"/>
              <w:jc w:val="center"/>
              <w:rPr>
                <w:noProof/>
                <w:lang w:val="en-GB"/>
              </w:rPr>
            </w:pPr>
            <w:r w:rsidRPr="005C3FE9">
              <w:rPr>
                <w:noProof/>
                <w:lang w:val="en-GB"/>
              </w:rPr>
              <w:t>4</w:t>
            </w:r>
          </w:p>
        </w:tc>
        <w:tc>
          <w:tcPr>
            <w:tcW w:w="1080" w:type="dxa"/>
            <w:vAlign w:val="center"/>
          </w:tcPr>
          <w:p w14:paraId="1338909E" w14:textId="77777777" w:rsidR="004D7545" w:rsidRPr="005C3FE9" w:rsidRDefault="004D7545" w:rsidP="0051268E">
            <w:pPr>
              <w:spacing w:line="360" w:lineRule="auto"/>
              <w:ind w:firstLine="0"/>
              <w:jc w:val="center"/>
              <w:rPr>
                <w:noProof/>
                <w:lang w:val="en-GB"/>
              </w:rPr>
            </w:pPr>
            <w:r w:rsidRPr="005C3FE9">
              <w:rPr>
                <w:noProof/>
                <w:lang w:val="en-GB"/>
              </w:rPr>
              <w:t>3.5</w:t>
            </w:r>
          </w:p>
        </w:tc>
        <w:tc>
          <w:tcPr>
            <w:tcW w:w="990" w:type="dxa"/>
            <w:vAlign w:val="center"/>
          </w:tcPr>
          <w:p w14:paraId="7C10B478" w14:textId="77777777" w:rsidR="004D7545" w:rsidRPr="005C3FE9" w:rsidRDefault="004D7545" w:rsidP="0051268E">
            <w:pPr>
              <w:spacing w:line="360" w:lineRule="auto"/>
              <w:ind w:firstLine="0"/>
              <w:jc w:val="center"/>
              <w:rPr>
                <w:noProof/>
                <w:lang w:val="en-GB"/>
              </w:rPr>
            </w:pPr>
            <w:r w:rsidRPr="005C3FE9">
              <w:rPr>
                <w:noProof/>
                <w:lang w:val="en-GB"/>
              </w:rPr>
              <w:t>2.5</w:t>
            </w:r>
          </w:p>
        </w:tc>
        <w:tc>
          <w:tcPr>
            <w:tcW w:w="990" w:type="dxa"/>
            <w:vAlign w:val="center"/>
          </w:tcPr>
          <w:p w14:paraId="27E84CD7" w14:textId="77777777" w:rsidR="004D7545" w:rsidRPr="005C3FE9" w:rsidRDefault="004D7545" w:rsidP="0051268E">
            <w:pPr>
              <w:spacing w:line="360" w:lineRule="auto"/>
              <w:ind w:firstLine="0"/>
              <w:jc w:val="center"/>
              <w:rPr>
                <w:noProof/>
                <w:lang w:val="en-GB"/>
              </w:rPr>
            </w:pPr>
            <w:r w:rsidRPr="005C3FE9">
              <w:rPr>
                <w:noProof/>
                <w:lang w:val="en-GB"/>
              </w:rPr>
              <w:t>2.5</w:t>
            </w:r>
          </w:p>
        </w:tc>
      </w:tr>
      <w:tr w:rsidR="004D7545" w:rsidRPr="005C3FE9" w14:paraId="68762494" w14:textId="77777777" w:rsidTr="00EB0B93">
        <w:trPr>
          <w:trHeight w:val="694"/>
          <w:jc w:val="center"/>
        </w:trPr>
        <w:tc>
          <w:tcPr>
            <w:tcW w:w="3060" w:type="dxa"/>
          </w:tcPr>
          <w:p w14:paraId="47D40B11" w14:textId="77777777" w:rsidR="004D7545" w:rsidRPr="005C3FE9" w:rsidRDefault="004D7545" w:rsidP="00F051CE">
            <w:pPr>
              <w:spacing w:line="360" w:lineRule="auto"/>
              <w:ind w:firstLine="0"/>
              <w:jc w:val="center"/>
              <w:rPr>
                <w:noProof/>
                <w:lang w:val="en-GB"/>
              </w:rPr>
            </w:pPr>
            <w:r w:rsidRPr="005C3FE9">
              <w:rPr>
                <w:noProof/>
                <w:lang w:val="en-GB"/>
              </w:rPr>
              <w:t xml:space="preserve">Water </w:t>
            </w:r>
          </w:p>
          <w:p w14:paraId="2CB9604C" w14:textId="77777777" w:rsidR="004D7545" w:rsidRPr="005C3FE9" w:rsidRDefault="004D7545" w:rsidP="00F051CE">
            <w:pPr>
              <w:spacing w:line="360" w:lineRule="auto"/>
              <w:ind w:firstLine="0"/>
              <w:jc w:val="center"/>
              <w:rPr>
                <w:noProof/>
                <w:lang w:val="en-GB"/>
              </w:rPr>
            </w:pPr>
            <w:r w:rsidRPr="005C3FE9">
              <w:rPr>
                <w:noProof/>
                <w:lang w:val="en-GB"/>
              </w:rPr>
              <w:t>permeability (</w:t>
            </w:r>
            <m:oMath>
              <m:sSub>
                <m:sSubPr>
                  <m:ctrlPr>
                    <w:rPr>
                      <w:rFonts w:ascii="Cambria Math" w:hAnsi="Cambria Math"/>
                      <w:i/>
                      <w:noProof/>
                      <w:lang w:val="en-GB"/>
                    </w:rPr>
                  </m:ctrlPr>
                </m:sSubPr>
                <m:e>
                  <m:r>
                    <w:rPr>
                      <w:rFonts w:ascii="Cambria Math" w:hAnsi="Cambria Math"/>
                      <w:noProof/>
                      <w:lang w:val="en-GB"/>
                    </w:rPr>
                    <m:t>L</m:t>
                  </m:r>
                </m:e>
                <m:sub>
                  <m:r>
                    <w:rPr>
                      <w:rFonts w:ascii="Cambria Math" w:hAnsi="Cambria Math"/>
                      <w:noProof/>
                      <w:lang w:val="en-GB"/>
                    </w:rPr>
                    <m:t>p</m:t>
                  </m:r>
                </m:sub>
              </m:sSub>
            </m:oMath>
            <w:r w:rsidRPr="005C3FE9">
              <w:rPr>
                <w:noProof/>
                <w:lang w:val="en-GB"/>
              </w:rPr>
              <w:t>)</w:t>
            </w:r>
          </w:p>
        </w:tc>
        <w:tc>
          <w:tcPr>
            <w:tcW w:w="1760" w:type="dxa"/>
          </w:tcPr>
          <w:p w14:paraId="5EB00445" w14:textId="77777777" w:rsidR="004D7545" w:rsidRPr="005C3FE9" w:rsidRDefault="004D7545" w:rsidP="00F051CE">
            <w:pPr>
              <w:spacing w:line="360" w:lineRule="auto"/>
              <w:ind w:firstLine="0"/>
              <w:jc w:val="center"/>
              <w:rPr>
                <w:lang w:val="en-GB"/>
              </w:rPr>
            </w:pPr>
            <w:r w:rsidRPr="005C3FE9">
              <w:rPr>
                <w:lang w:val="en-GB"/>
              </w:rPr>
              <w:t>ml bar</w:t>
            </w:r>
            <w:r w:rsidRPr="005C3FE9">
              <w:rPr>
                <w:vertAlign w:val="superscript"/>
                <w:lang w:val="en-GB"/>
              </w:rPr>
              <w:t xml:space="preserve">-1 </w:t>
            </w:r>
            <w:r w:rsidRPr="005C3FE9">
              <w:rPr>
                <w:lang w:val="en-GB"/>
              </w:rPr>
              <w:t>h</w:t>
            </w:r>
            <w:r w:rsidRPr="005C3FE9">
              <w:rPr>
                <w:vertAlign w:val="superscript"/>
                <w:lang w:val="en-GB"/>
              </w:rPr>
              <w:t>-1</w:t>
            </w:r>
            <w:r w:rsidRPr="005C3FE9">
              <w:rPr>
                <w:lang w:val="en-GB"/>
              </w:rPr>
              <w:t xml:space="preserve"> m</w:t>
            </w:r>
            <w:r w:rsidRPr="005C3FE9">
              <w:rPr>
                <w:vertAlign w:val="superscript"/>
                <w:lang w:val="en-GB"/>
              </w:rPr>
              <w:t>-2</w:t>
            </w:r>
          </w:p>
        </w:tc>
        <w:tc>
          <w:tcPr>
            <w:tcW w:w="990" w:type="dxa"/>
            <w:vAlign w:val="center"/>
          </w:tcPr>
          <w:p w14:paraId="21A0C1E8" w14:textId="77777777" w:rsidR="004D7545" w:rsidRPr="005C3FE9" w:rsidRDefault="004D7545" w:rsidP="0051268E">
            <w:pPr>
              <w:spacing w:line="360" w:lineRule="auto"/>
              <w:ind w:firstLine="0"/>
              <w:jc w:val="center"/>
              <w:rPr>
                <w:noProof/>
                <w:lang w:val="en-GB"/>
              </w:rPr>
            </w:pPr>
            <w:r w:rsidRPr="005C3FE9">
              <w:rPr>
                <w:noProof/>
                <w:lang w:val="en-GB"/>
              </w:rPr>
              <w:t>8</w:t>
            </w:r>
          </w:p>
        </w:tc>
        <w:tc>
          <w:tcPr>
            <w:tcW w:w="1080" w:type="dxa"/>
            <w:vAlign w:val="center"/>
          </w:tcPr>
          <w:p w14:paraId="2F3B97E8" w14:textId="77777777" w:rsidR="004D7545" w:rsidRPr="005C3FE9" w:rsidRDefault="004D7545" w:rsidP="0051268E">
            <w:pPr>
              <w:spacing w:line="360" w:lineRule="auto"/>
              <w:ind w:firstLine="0"/>
              <w:jc w:val="center"/>
              <w:rPr>
                <w:noProof/>
                <w:lang w:val="en-GB"/>
              </w:rPr>
            </w:pPr>
            <w:r w:rsidRPr="005C3FE9">
              <w:rPr>
                <w:noProof/>
                <w:lang w:val="en-GB"/>
              </w:rPr>
              <w:t>8</w:t>
            </w:r>
          </w:p>
        </w:tc>
        <w:tc>
          <w:tcPr>
            <w:tcW w:w="990" w:type="dxa"/>
            <w:vAlign w:val="center"/>
          </w:tcPr>
          <w:p w14:paraId="1C3F62B8" w14:textId="77777777" w:rsidR="004D7545" w:rsidRPr="005C3FE9" w:rsidRDefault="004D7545" w:rsidP="0051268E">
            <w:pPr>
              <w:spacing w:line="360" w:lineRule="auto"/>
              <w:ind w:firstLine="0"/>
              <w:jc w:val="center"/>
              <w:rPr>
                <w:noProof/>
                <w:lang w:val="en-GB"/>
              </w:rPr>
            </w:pPr>
            <w:r w:rsidRPr="005C3FE9">
              <w:rPr>
                <w:noProof/>
                <w:lang w:val="en-GB"/>
              </w:rPr>
              <w:t>-</w:t>
            </w:r>
          </w:p>
        </w:tc>
        <w:tc>
          <w:tcPr>
            <w:tcW w:w="990" w:type="dxa"/>
            <w:vAlign w:val="center"/>
          </w:tcPr>
          <w:p w14:paraId="46BAF29A" w14:textId="77777777" w:rsidR="004D7545" w:rsidRPr="005C3FE9" w:rsidRDefault="004D7545" w:rsidP="0051268E">
            <w:pPr>
              <w:spacing w:line="360" w:lineRule="auto"/>
              <w:ind w:firstLine="0"/>
              <w:jc w:val="center"/>
              <w:rPr>
                <w:noProof/>
                <w:lang w:val="en-GB"/>
              </w:rPr>
            </w:pPr>
            <w:r w:rsidRPr="005C3FE9">
              <w:rPr>
                <w:noProof/>
                <w:lang w:val="en-GB"/>
              </w:rPr>
              <w:t>-</w:t>
            </w:r>
          </w:p>
        </w:tc>
      </w:tr>
      <w:tr w:rsidR="004D7545" w:rsidRPr="005C3FE9" w14:paraId="6DD7F7F7" w14:textId="77777777" w:rsidTr="00EB0B93">
        <w:trPr>
          <w:trHeight w:val="347"/>
          <w:jc w:val="center"/>
        </w:trPr>
        <w:tc>
          <w:tcPr>
            <w:tcW w:w="3060" w:type="dxa"/>
          </w:tcPr>
          <w:p w14:paraId="17661EAE" w14:textId="77777777" w:rsidR="004D7545" w:rsidRPr="005C3FE9" w:rsidRDefault="004D7545" w:rsidP="00F051CE">
            <w:pPr>
              <w:spacing w:line="360" w:lineRule="auto"/>
              <w:ind w:firstLine="0"/>
              <w:jc w:val="center"/>
              <w:rPr>
                <w:noProof/>
              </w:rPr>
            </w:pPr>
            <w:r w:rsidRPr="005C3FE9">
              <w:rPr>
                <w:noProof/>
              </w:rPr>
              <w:t>H</w:t>
            </w:r>
            <w:r w:rsidRPr="005C3FE9">
              <w:rPr>
                <w:noProof/>
                <w:vertAlign w:val="superscript"/>
              </w:rPr>
              <w:t>+</w:t>
            </w:r>
            <w:r w:rsidRPr="005C3FE9">
              <w:rPr>
                <w:noProof/>
              </w:rPr>
              <w:t xml:space="preserve"> diffusivity (</w:t>
            </w:r>
            <m:oMath>
              <m:sSub>
                <m:sSubPr>
                  <m:ctrlPr>
                    <w:rPr>
                      <w:rFonts w:ascii="Cambria Math" w:hAnsi="Cambria Math"/>
                      <w:i/>
                      <w:noProof/>
                      <w:lang w:val="en-GB"/>
                    </w:rPr>
                  </m:ctrlPr>
                </m:sSubPr>
                <m:e>
                  <m:r>
                    <w:rPr>
                      <w:rFonts w:ascii="Cambria Math" w:hAnsi="Cambria Math"/>
                      <w:noProof/>
                      <w:lang w:val="en-GB"/>
                    </w:rPr>
                    <m:t>D</m:t>
                  </m:r>
                </m:e>
                <m:sub>
                  <m:r>
                    <w:rPr>
                      <w:rFonts w:ascii="Cambria Math" w:hAnsi="Cambria Math"/>
                      <w:noProof/>
                      <w:lang w:val="en-GB"/>
                    </w:rPr>
                    <m:t>H</m:t>
                  </m:r>
                  <m:r>
                    <w:rPr>
                      <w:rFonts w:ascii="Cambria Math" w:hAnsi="Cambria Math"/>
                      <w:noProof/>
                    </w:rPr>
                    <m:t>,</m:t>
                  </m:r>
                  <m:r>
                    <w:rPr>
                      <w:rFonts w:ascii="Cambria Math" w:hAnsi="Cambria Math"/>
                      <w:noProof/>
                      <w:lang w:val="en-GB"/>
                    </w:rPr>
                    <m:t>m</m:t>
                  </m:r>
                </m:sub>
              </m:sSub>
            </m:oMath>
            <w:r w:rsidRPr="005C3FE9">
              <w:rPr>
                <w:noProof/>
              </w:rPr>
              <w:t>)</w:t>
            </w:r>
          </w:p>
        </w:tc>
        <w:tc>
          <w:tcPr>
            <w:tcW w:w="1760" w:type="dxa"/>
          </w:tcPr>
          <w:p w14:paraId="43B3B5AE" w14:textId="77777777" w:rsidR="004D7545" w:rsidRPr="005C3FE9" w:rsidRDefault="004D7545" w:rsidP="00F051CE">
            <w:pPr>
              <w:spacing w:line="360" w:lineRule="auto"/>
              <w:ind w:firstLine="0"/>
              <w:jc w:val="center"/>
              <w:rPr>
                <w:noProof/>
                <w:lang w:val="en-GB"/>
              </w:rPr>
            </w:pPr>
            <w:r w:rsidRPr="005C3FE9">
              <w:rPr>
                <w:noProof/>
                <w:lang w:val="en-GB"/>
              </w:rPr>
              <w:t>m</w:t>
            </w:r>
            <w:r w:rsidRPr="005C3FE9">
              <w:rPr>
                <w:noProof/>
                <w:vertAlign w:val="superscript"/>
                <w:lang w:val="en-GB"/>
              </w:rPr>
              <w:t>2</w:t>
            </w:r>
            <w:r w:rsidRPr="005C3FE9">
              <w:rPr>
                <w:noProof/>
                <w:lang w:val="en-GB"/>
              </w:rPr>
              <w:t xml:space="preserve"> s</w:t>
            </w:r>
            <w:r w:rsidRPr="005C3FE9">
              <w:rPr>
                <w:noProof/>
                <w:vertAlign w:val="superscript"/>
                <w:lang w:val="en-GB"/>
              </w:rPr>
              <w:t>-1</w:t>
            </w:r>
          </w:p>
        </w:tc>
        <w:tc>
          <w:tcPr>
            <w:tcW w:w="990" w:type="dxa"/>
            <w:vAlign w:val="center"/>
          </w:tcPr>
          <w:p w14:paraId="604D9E17" w14:textId="77777777" w:rsidR="004D7545" w:rsidRPr="005C3FE9" w:rsidRDefault="004D7545" w:rsidP="0051268E">
            <w:pPr>
              <w:spacing w:line="360" w:lineRule="auto"/>
              <w:ind w:firstLine="0"/>
              <w:jc w:val="center"/>
              <w:rPr>
                <w:noProof/>
                <w:lang w:val="en-GB"/>
              </w:rPr>
            </w:pPr>
            <w:r w:rsidRPr="005C3FE9">
              <w:rPr>
                <w:spacing w:val="-3"/>
                <w:lang w:val="en-GB"/>
              </w:rPr>
              <w:t>2.0E-11</w:t>
            </w:r>
          </w:p>
        </w:tc>
        <w:tc>
          <w:tcPr>
            <w:tcW w:w="1080" w:type="dxa"/>
            <w:vAlign w:val="center"/>
          </w:tcPr>
          <w:p w14:paraId="1CB6B5F2" w14:textId="77777777" w:rsidR="004D7545" w:rsidRPr="005C3FE9" w:rsidRDefault="004D7545" w:rsidP="0051268E">
            <w:pPr>
              <w:spacing w:line="360" w:lineRule="auto"/>
              <w:ind w:firstLine="0"/>
              <w:jc w:val="center"/>
              <w:rPr>
                <w:noProof/>
                <w:lang w:val="en-GB"/>
              </w:rPr>
            </w:pPr>
            <w:r w:rsidRPr="005C3FE9">
              <w:rPr>
                <w:spacing w:val="-3"/>
                <w:lang w:val="en-GB"/>
              </w:rPr>
              <w:t>0.7E-11</w:t>
            </w:r>
          </w:p>
        </w:tc>
        <w:tc>
          <w:tcPr>
            <w:tcW w:w="990" w:type="dxa"/>
            <w:vAlign w:val="center"/>
          </w:tcPr>
          <w:p w14:paraId="286EB35F" w14:textId="77777777" w:rsidR="004D7545" w:rsidRPr="005C3FE9" w:rsidRDefault="004D7545" w:rsidP="0051268E">
            <w:pPr>
              <w:spacing w:line="360" w:lineRule="auto"/>
              <w:ind w:firstLine="0"/>
              <w:jc w:val="center"/>
              <w:rPr>
                <w:noProof/>
                <w:lang w:val="en-GB"/>
              </w:rPr>
            </w:pPr>
            <w:r w:rsidRPr="005C3FE9">
              <w:rPr>
                <w:spacing w:val="-3"/>
                <w:lang w:val="en-GB"/>
              </w:rPr>
              <w:t>2.0E-11</w:t>
            </w:r>
          </w:p>
        </w:tc>
        <w:tc>
          <w:tcPr>
            <w:tcW w:w="990" w:type="dxa"/>
            <w:vAlign w:val="center"/>
          </w:tcPr>
          <w:p w14:paraId="39E40EAA" w14:textId="77777777" w:rsidR="004D7545" w:rsidRPr="005C3FE9" w:rsidRDefault="004D7545" w:rsidP="0051268E">
            <w:pPr>
              <w:spacing w:line="360" w:lineRule="auto"/>
              <w:ind w:firstLine="0"/>
              <w:jc w:val="center"/>
              <w:rPr>
                <w:noProof/>
                <w:lang w:val="en-GB"/>
              </w:rPr>
            </w:pPr>
            <w:r w:rsidRPr="005C3FE9">
              <w:rPr>
                <w:spacing w:val="-3"/>
                <w:lang w:val="en-GB"/>
              </w:rPr>
              <w:t>0.7E-11</w:t>
            </w:r>
          </w:p>
        </w:tc>
      </w:tr>
      <w:tr w:rsidR="004D7545" w:rsidRPr="005C3FE9" w14:paraId="29540AA0" w14:textId="77777777" w:rsidTr="00EB0B93">
        <w:trPr>
          <w:trHeight w:val="347"/>
          <w:jc w:val="center"/>
        </w:trPr>
        <w:tc>
          <w:tcPr>
            <w:tcW w:w="3060" w:type="dxa"/>
          </w:tcPr>
          <w:p w14:paraId="1150B6B2" w14:textId="77777777" w:rsidR="004D7545" w:rsidRPr="005C3FE9" w:rsidRDefault="004D7545" w:rsidP="00F051CE">
            <w:pPr>
              <w:spacing w:line="360" w:lineRule="auto"/>
              <w:ind w:firstLine="0"/>
              <w:jc w:val="center"/>
              <w:rPr>
                <w:noProof/>
              </w:rPr>
            </w:pPr>
            <w:r w:rsidRPr="005C3FE9">
              <w:rPr>
                <w:noProof/>
              </w:rPr>
              <w:t>Na</w:t>
            </w:r>
            <w:r w:rsidRPr="005C3FE9">
              <w:rPr>
                <w:noProof/>
                <w:vertAlign w:val="superscript"/>
              </w:rPr>
              <w:t>+</w:t>
            </w:r>
            <w:r w:rsidRPr="005C3FE9">
              <w:rPr>
                <w:noProof/>
              </w:rPr>
              <w:t xml:space="preserve"> diffusivity(</w:t>
            </w:r>
            <m:oMath>
              <m:sSub>
                <m:sSubPr>
                  <m:ctrlPr>
                    <w:rPr>
                      <w:rFonts w:ascii="Cambria Math" w:hAnsi="Cambria Math"/>
                      <w:i/>
                      <w:noProof/>
                      <w:lang w:val="en-GB"/>
                    </w:rPr>
                  </m:ctrlPr>
                </m:sSubPr>
                <m:e>
                  <m:r>
                    <w:rPr>
                      <w:rFonts w:ascii="Cambria Math" w:hAnsi="Cambria Math"/>
                      <w:noProof/>
                      <w:lang w:val="en-GB"/>
                    </w:rPr>
                    <m:t>D</m:t>
                  </m:r>
                </m:e>
                <m:sub>
                  <m:r>
                    <w:rPr>
                      <w:rFonts w:ascii="Cambria Math" w:hAnsi="Cambria Math"/>
                      <w:noProof/>
                      <w:lang w:val="en-GB"/>
                    </w:rPr>
                    <m:t>Na</m:t>
                  </m:r>
                  <m:r>
                    <w:rPr>
                      <w:rFonts w:ascii="Cambria Math" w:hAnsi="Cambria Math"/>
                      <w:noProof/>
                    </w:rPr>
                    <m:t>,</m:t>
                  </m:r>
                  <m:r>
                    <w:rPr>
                      <w:rFonts w:ascii="Cambria Math" w:hAnsi="Cambria Math"/>
                      <w:noProof/>
                      <w:lang w:val="en-GB"/>
                    </w:rPr>
                    <m:t>m</m:t>
                  </m:r>
                </m:sub>
              </m:sSub>
            </m:oMath>
            <w:r w:rsidRPr="005C3FE9">
              <w:rPr>
                <w:noProof/>
              </w:rPr>
              <w:t>)</w:t>
            </w:r>
          </w:p>
        </w:tc>
        <w:tc>
          <w:tcPr>
            <w:tcW w:w="1760" w:type="dxa"/>
          </w:tcPr>
          <w:p w14:paraId="607D76CC" w14:textId="77777777" w:rsidR="004D7545" w:rsidRPr="005C3FE9" w:rsidRDefault="004D7545" w:rsidP="00F051CE">
            <w:pPr>
              <w:spacing w:line="360" w:lineRule="auto"/>
              <w:ind w:firstLine="0"/>
              <w:jc w:val="center"/>
              <w:rPr>
                <w:noProof/>
                <w:lang w:val="en-GB"/>
              </w:rPr>
            </w:pPr>
            <w:r w:rsidRPr="005C3FE9">
              <w:rPr>
                <w:noProof/>
                <w:lang w:val="en-GB"/>
              </w:rPr>
              <w:t>m</w:t>
            </w:r>
            <w:r w:rsidRPr="005C3FE9">
              <w:rPr>
                <w:noProof/>
                <w:vertAlign w:val="superscript"/>
                <w:lang w:val="en-GB"/>
              </w:rPr>
              <w:t>2</w:t>
            </w:r>
            <w:r w:rsidRPr="005C3FE9">
              <w:rPr>
                <w:noProof/>
                <w:lang w:val="en-GB"/>
              </w:rPr>
              <w:t xml:space="preserve"> s</w:t>
            </w:r>
            <w:r w:rsidRPr="005C3FE9">
              <w:rPr>
                <w:noProof/>
                <w:vertAlign w:val="superscript"/>
                <w:lang w:val="en-GB"/>
              </w:rPr>
              <w:t>-1</w:t>
            </w:r>
          </w:p>
        </w:tc>
        <w:tc>
          <w:tcPr>
            <w:tcW w:w="990" w:type="dxa"/>
            <w:vAlign w:val="center"/>
          </w:tcPr>
          <w:p w14:paraId="4843496C" w14:textId="77777777" w:rsidR="004D7545" w:rsidRPr="005C3FE9" w:rsidRDefault="004D7545" w:rsidP="0051268E">
            <w:pPr>
              <w:spacing w:line="360" w:lineRule="auto"/>
              <w:ind w:firstLine="0"/>
              <w:jc w:val="center"/>
              <w:rPr>
                <w:noProof/>
                <w:lang w:val="en-GB"/>
              </w:rPr>
            </w:pPr>
            <w:r w:rsidRPr="005C3FE9">
              <w:rPr>
                <w:spacing w:val="-3"/>
                <w:lang w:val="en-GB"/>
              </w:rPr>
              <w:t>1.6E-11</w:t>
            </w:r>
          </w:p>
        </w:tc>
        <w:tc>
          <w:tcPr>
            <w:tcW w:w="1080" w:type="dxa"/>
            <w:vAlign w:val="center"/>
          </w:tcPr>
          <w:p w14:paraId="5864A1DA" w14:textId="77777777" w:rsidR="004D7545" w:rsidRPr="005C3FE9" w:rsidRDefault="004D7545" w:rsidP="0051268E">
            <w:pPr>
              <w:spacing w:line="360" w:lineRule="auto"/>
              <w:ind w:firstLine="0"/>
              <w:jc w:val="center"/>
              <w:rPr>
                <w:noProof/>
                <w:lang w:val="en-GB"/>
              </w:rPr>
            </w:pPr>
            <w:r w:rsidRPr="005C3FE9">
              <w:rPr>
                <w:spacing w:val="-3"/>
                <w:lang w:val="en-GB"/>
              </w:rPr>
              <w:t>0.5E-11</w:t>
            </w:r>
          </w:p>
        </w:tc>
        <w:tc>
          <w:tcPr>
            <w:tcW w:w="990" w:type="dxa"/>
            <w:vAlign w:val="center"/>
          </w:tcPr>
          <w:p w14:paraId="27A21E6F" w14:textId="77777777" w:rsidR="004D7545" w:rsidRPr="005C3FE9" w:rsidRDefault="004D7545" w:rsidP="0051268E">
            <w:pPr>
              <w:spacing w:line="360" w:lineRule="auto"/>
              <w:ind w:firstLine="0"/>
              <w:jc w:val="center"/>
              <w:rPr>
                <w:noProof/>
                <w:lang w:val="en-GB"/>
              </w:rPr>
            </w:pPr>
            <w:r w:rsidRPr="005C3FE9">
              <w:rPr>
                <w:spacing w:val="-3"/>
                <w:lang w:val="en-GB"/>
              </w:rPr>
              <w:t>1.6E-11</w:t>
            </w:r>
          </w:p>
        </w:tc>
        <w:tc>
          <w:tcPr>
            <w:tcW w:w="990" w:type="dxa"/>
            <w:vAlign w:val="center"/>
          </w:tcPr>
          <w:p w14:paraId="117653EE" w14:textId="77777777" w:rsidR="004D7545" w:rsidRPr="005C3FE9" w:rsidRDefault="004D7545" w:rsidP="0051268E">
            <w:pPr>
              <w:spacing w:line="360" w:lineRule="auto"/>
              <w:ind w:firstLine="0"/>
              <w:jc w:val="center"/>
              <w:rPr>
                <w:noProof/>
                <w:lang w:val="en-GB"/>
              </w:rPr>
            </w:pPr>
            <w:r w:rsidRPr="005C3FE9">
              <w:rPr>
                <w:spacing w:val="-3"/>
                <w:lang w:val="en-GB"/>
              </w:rPr>
              <w:t>0.5E-11</w:t>
            </w:r>
          </w:p>
        </w:tc>
      </w:tr>
      <w:tr w:rsidR="004D7545" w:rsidRPr="005C3FE9" w14:paraId="1C335CE6" w14:textId="77777777" w:rsidTr="00EB0B93">
        <w:trPr>
          <w:trHeight w:val="347"/>
          <w:jc w:val="center"/>
        </w:trPr>
        <w:tc>
          <w:tcPr>
            <w:tcW w:w="3060" w:type="dxa"/>
          </w:tcPr>
          <w:p w14:paraId="18286FE6" w14:textId="77777777" w:rsidR="004D7545" w:rsidRPr="005C3FE9" w:rsidRDefault="004D7545" w:rsidP="00F051CE">
            <w:pPr>
              <w:spacing w:line="360" w:lineRule="auto"/>
              <w:ind w:firstLine="0"/>
              <w:jc w:val="center"/>
              <w:rPr>
                <w:noProof/>
              </w:rPr>
            </w:pPr>
            <w:r w:rsidRPr="005C3FE9">
              <w:rPr>
                <w:noProof/>
              </w:rPr>
              <w:t>Cl</w:t>
            </w:r>
            <w:r w:rsidRPr="005C3FE9">
              <w:rPr>
                <w:noProof/>
                <w:vertAlign w:val="superscript"/>
              </w:rPr>
              <w:t>-</w:t>
            </w:r>
            <w:r w:rsidRPr="005C3FE9">
              <w:rPr>
                <w:noProof/>
              </w:rPr>
              <w:t xml:space="preserve"> diffusivity (</w:t>
            </w:r>
            <m:oMath>
              <m:sSub>
                <m:sSubPr>
                  <m:ctrlPr>
                    <w:rPr>
                      <w:rFonts w:ascii="Cambria Math" w:hAnsi="Cambria Math"/>
                      <w:i/>
                      <w:noProof/>
                      <w:lang w:val="en-GB"/>
                    </w:rPr>
                  </m:ctrlPr>
                </m:sSubPr>
                <m:e>
                  <m:r>
                    <w:rPr>
                      <w:rFonts w:ascii="Cambria Math" w:hAnsi="Cambria Math"/>
                      <w:noProof/>
                      <w:lang w:val="en-GB"/>
                    </w:rPr>
                    <m:t>D</m:t>
                  </m:r>
                </m:e>
                <m:sub>
                  <m:r>
                    <w:rPr>
                      <w:rFonts w:ascii="Cambria Math" w:hAnsi="Cambria Math"/>
                      <w:noProof/>
                      <w:lang w:val="en-GB"/>
                    </w:rPr>
                    <m:t>Cl</m:t>
                  </m:r>
                  <m:r>
                    <w:rPr>
                      <w:rFonts w:ascii="Cambria Math" w:hAnsi="Cambria Math"/>
                      <w:noProof/>
                    </w:rPr>
                    <m:t>,</m:t>
                  </m:r>
                  <m:r>
                    <w:rPr>
                      <w:rFonts w:ascii="Cambria Math" w:hAnsi="Cambria Math"/>
                      <w:noProof/>
                      <w:lang w:val="en-GB"/>
                    </w:rPr>
                    <m:t>m</m:t>
                  </m:r>
                </m:sub>
              </m:sSub>
            </m:oMath>
            <w:r w:rsidRPr="005C3FE9">
              <w:rPr>
                <w:noProof/>
              </w:rPr>
              <w:t>)</w:t>
            </w:r>
          </w:p>
        </w:tc>
        <w:tc>
          <w:tcPr>
            <w:tcW w:w="1760" w:type="dxa"/>
          </w:tcPr>
          <w:p w14:paraId="625980E0" w14:textId="77777777" w:rsidR="004D7545" w:rsidRPr="005C3FE9" w:rsidRDefault="004D7545" w:rsidP="00F051CE">
            <w:pPr>
              <w:spacing w:line="360" w:lineRule="auto"/>
              <w:ind w:firstLine="0"/>
              <w:jc w:val="center"/>
              <w:rPr>
                <w:noProof/>
                <w:lang w:val="en-GB"/>
              </w:rPr>
            </w:pPr>
            <w:r w:rsidRPr="005C3FE9">
              <w:rPr>
                <w:noProof/>
                <w:lang w:val="en-GB"/>
              </w:rPr>
              <w:t>m</w:t>
            </w:r>
            <w:r w:rsidRPr="005C3FE9">
              <w:rPr>
                <w:noProof/>
                <w:vertAlign w:val="superscript"/>
                <w:lang w:val="en-GB"/>
              </w:rPr>
              <w:t>2</w:t>
            </w:r>
            <w:r w:rsidRPr="005C3FE9">
              <w:rPr>
                <w:noProof/>
                <w:lang w:val="en-GB"/>
              </w:rPr>
              <w:t xml:space="preserve"> s</w:t>
            </w:r>
            <w:r w:rsidRPr="005C3FE9">
              <w:rPr>
                <w:noProof/>
                <w:vertAlign w:val="superscript"/>
                <w:lang w:val="en-GB"/>
              </w:rPr>
              <w:t>-1</w:t>
            </w:r>
          </w:p>
        </w:tc>
        <w:tc>
          <w:tcPr>
            <w:tcW w:w="990" w:type="dxa"/>
            <w:vAlign w:val="center"/>
          </w:tcPr>
          <w:p w14:paraId="1EB205AB" w14:textId="77777777" w:rsidR="004D7545" w:rsidRPr="005C3FE9" w:rsidRDefault="004D7545" w:rsidP="0051268E">
            <w:pPr>
              <w:spacing w:line="360" w:lineRule="auto"/>
              <w:ind w:firstLine="0"/>
              <w:jc w:val="center"/>
              <w:rPr>
                <w:noProof/>
                <w:lang w:val="en-GB"/>
              </w:rPr>
            </w:pPr>
            <w:r w:rsidRPr="005C3FE9">
              <w:rPr>
                <w:spacing w:val="-3"/>
                <w:lang w:val="en-GB"/>
              </w:rPr>
              <w:t>1.7E-11</w:t>
            </w:r>
          </w:p>
        </w:tc>
        <w:tc>
          <w:tcPr>
            <w:tcW w:w="1080" w:type="dxa"/>
            <w:vAlign w:val="center"/>
          </w:tcPr>
          <w:p w14:paraId="2E902100" w14:textId="77777777" w:rsidR="004D7545" w:rsidRPr="005C3FE9" w:rsidRDefault="004D7545" w:rsidP="0051268E">
            <w:pPr>
              <w:spacing w:line="360" w:lineRule="auto"/>
              <w:ind w:firstLine="0"/>
              <w:jc w:val="center"/>
              <w:rPr>
                <w:noProof/>
                <w:lang w:val="en-GB"/>
              </w:rPr>
            </w:pPr>
            <w:r w:rsidRPr="005C3FE9">
              <w:rPr>
                <w:spacing w:val="-3"/>
                <w:lang w:val="en-GB"/>
              </w:rPr>
              <w:t>0.6E-11</w:t>
            </w:r>
          </w:p>
        </w:tc>
        <w:tc>
          <w:tcPr>
            <w:tcW w:w="990" w:type="dxa"/>
            <w:vAlign w:val="center"/>
          </w:tcPr>
          <w:p w14:paraId="6A4ED976" w14:textId="77777777" w:rsidR="004D7545" w:rsidRPr="005C3FE9" w:rsidRDefault="004D7545" w:rsidP="0051268E">
            <w:pPr>
              <w:spacing w:line="360" w:lineRule="auto"/>
              <w:ind w:firstLine="0"/>
              <w:jc w:val="center"/>
              <w:rPr>
                <w:noProof/>
                <w:lang w:val="en-GB"/>
              </w:rPr>
            </w:pPr>
            <w:r w:rsidRPr="005C3FE9">
              <w:rPr>
                <w:spacing w:val="-3"/>
                <w:lang w:val="en-GB"/>
              </w:rPr>
              <w:t>1.7E-11</w:t>
            </w:r>
          </w:p>
        </w:tc>
        <w:tc>
          <w:tcPr>
            <w:tcW w:w="990" w:type="dxa"/>
            <w:vAlign w:val="center"/>
          </w:tcPr>
          <w:p w14:paraId="6DF96340" w14:textId="77777777" w:rsidR="004D7545" w:rsidRPr="005C3FE9" w:rsidRDefault="004D7545" w:rsidP="0051268E">
            <w:pPr>
              <w:spacing w:line="360" w:lineRule="auto"/>
              <w:ind w:firstLine="0"/>
              <w:jc w:val="center"/>
              <w:rPr>
                <w:noProof/>
                <w:lang w:val="en-GB"/>
              </w:rPr>
            </w:pPr>
            <w:r w:rsidRPr="005C3FE9">
              <w:rPr>
                <w:spacing w:val="-3"/>
                <w:lang w:val="en-GB"/>
              </w:rPr>
              <w:t>0.6E-11</w:t>
            </w:r>
          </w:p>
        </w:tc>
      </w:tr>
      <w:tr w:rsidR="004D7545" w:rsidRPr="005C3FE9" w14:paraId="4F93866F" w14:textId="77777777" w:rsidTr="00EB0B93">
        <w:trPr>
          <w:trHeight w:val="347"/>
          <w:jc w:val="center"/>
        </w:trPr>
        <w:tc>
          <w:tcPr>
            <w:tcW w:w="3060" w:type="dxa"/>
          </w:tcPr>
          <w:p w14:paraId="797FA723" w14:textId="77777777" w:rsidR="004D7545" w:rsidRPr="005C3FE9" w:rsidRDefault="004D7545" w:rsidP="00F051CE">
            <w:pPr>
              <w:spacing w:line="360" w:lineRule="auto"/>
              <w:ind w:firstLine="0"/>
              <w:jc w:val="center"/>
              <w:rPr>
                <w:noProof/>
              </w:rPr>
            </w:pPr>
            <w:r w:rsidRPr="005C3FE9">
              <w:rPr>
                <w:noProof/>
              </w:rPr>
              <w:t>OH</w:t>
            </w:r>
            <w:r w:rsidRPr="005C3FE9">
              <w:rPr>
                <w:noProof/>
                <w:vertAlign w:val="superscript"/>
              </w:rPr>
              <w:t>-</w:t>
            </w:r>
            <w:r w:rsidRPr="005C3FE9">
              <w:rPr>
                <w:noProof/>
              </w:rPr>
              <w:t xml:space="preserve"> diffusivity (</w:t>
            </w:r>
            <m:oMath>
              <m:sSub>
                <m:sSubPr>
                  <m:ctrlPr>
                    <w:rPr>
                      <w:rFonts w:ascii="Cambria Math" w:hAnsi="Cambria Math"/>
                      <w:i/>
                      <w:noProof/>
                      <w:lang w:val="en-GB"/>
                    </w:rPr>
                  </m:ctrlPr>
                </m:sSubPr>
                <m:e>
                  <m:r>
                    <w:rPr>
                      <w:rFonts w:ascii="Cambria Math" w:hAnsi="Cambria Math"/>
                      <w:noProof/>
                      <w:lang w:val="en-GB"/>
                    </w:rPr>
                    <m:t>D</m:t>
                  </m:r>
                </m:e>
                <m:sub>
                  <m:r>
                    <w:rPr>
                      <w:rFonts w:ascii="Cambria Math" w:hAnsi="Cambria Math"/>
                      <w:noProof/>
                      <w:lang w:val="en-GB"/>
                    </w:rPr>
                    <m:t>OH</m:t>
                  </m:r>
                  <m:r>
                    <w:rPr>
                      <w:rFonts w:ascii="Cambria Math" w:hAnsi="Cambria Math"/>
                      <w:noProof/>
                    </w:rPr>
                    <m:t>,</m:t>
                  </m:r>
                  <m:r>
                    <w:rPr>
                      <w:rFonts w:ascii="Cambria Math" w:hAnsi="Cambria Math"/>
                      <w:noProof/>
                      <w:lang w:val="en-GB"/>
                    </w:rPr>
                    <m:t>m</m:t>
                  </m:r>
                </m:sub>
              </m:sSub>
            </m:oMath>
            <w:r w:rsidRPr="005C3FE9">
              <w:rPr>
                <w:noProof/>
              </w:rPr>
              <w:t>)</w:t>
            </w:r>
          </w:p>
        </w:tc>
        <w:tc>
          <w:tcPr>
            <w:tcW w:w="1760" w:type="dxa"/>
          </w:tcPr>
          <w:p w14:paraId="313BE3C6" w14:textId="77777777" w:rsidR="004D7545" w:rsidRPr="005C3FE9" w:rsidRDefault="004D7545" w:rsidP="00F051CE">
            <w:pPr>
              <w:spacing w:line="360" w:lineRule="auto"/>
              <w:ind w:firstLine="0"/>
              <w:jc w:val="center"/>
              <w:rPr>
                <w:noProof/>
                <w:lang w:val="en-GB"/>
              </w:rPr>
            </w:pPr>
            <w:r w:rsidRPr="005C3FE9">
              <w:rPr>
                <w:noProof/>
                <w:lang w:val="en-GB"/>
              </w:rPr>
              <w:t>m</w:t>
            </w:r>
            <w:r w:rsidRPr="005C3FE9">
              <w:rPr>
                <w:noProof/>
                <w:vertAlign w:val="superscript"/>
                <w:lang w:val="en-GB"/>
              </w:rPr>
              <w:t>2</w:t>
            </w:r>
            <w:r w:rsidRPr="005C3FE9">
              <w:rPr>
                <w:noProof/>
                <w:lang w:val="en-GB"/>
              </w:rPr>
              <w:t xml:space="preserve"> s</w:t>
            </w:r>
            <w:r w:rsidRPr="005C3FE9">
              <w:rPr>
                <w:noProof/>
                <w:vertAlign w:val="superscript"/>
                <w:lang w:val="en-GB"/>
              </w:rPr>
              <w:t>-1</w:t>
            </w:r>
          </w:p>
        </w:tc>
        <w:tc>
          <w:tcPr>
            <w:tcW w:w="990" w:type="dxa"/>
            <w:vAlign w:val="center"/>
          </w:tcPr>
          <w:p w14:paraId="619DF8B9" w14:textId="77777777" w:rsidR="004D7545" w:rsidRPr="005C3FE9" w:rsidRDefault="004D7545" w:rsidP="0051268E">
            <w:pPr>
              <w:spacing w:line="360" w:lineRule="auto"/>
              <w:ind w:firstLine="0"/>
              <w:jc w:val="center"/>
              <w:rPr>
                <w:noProof/>
                <w:lang w:val="en-GB"/>
              </w:rPr>
            </w:pPr>
            <w:r w:rsidRPr="005C3FE9">
              <w:rPr>
                <w:spacing w:val="-3"/>
                <w:lang w:val="en-GB"/>
              </w:rPr>
              <w:t>1.9E-11</w:t>
            </w:r>
          </w:p>
        </w:tc>
        <w:tc>
          <w:tcPr>
            <w:tcW w:w="1080" w:type="dxa"/>
            <w:vAlign w:val="center"/>
          </w:tcPr>
          <w:p w14:paraId="045BAA3A" w14:textId="77777777" w:rsidR="004D7545" w:rsidRPr="005C3FE9" w:rsidRDefault="004D7545" w:rsidP="0051268E">
            <w:pPr>
              <w:spacing w:line="360" w:lineRule="auto"/>
              <w:ind w:firstLine="0"/>
              <w:jc w:val="center"/>
              <w:rPr>
                <w:noProof/>
                <w:lang w:val="en-GB"/>
              </w:rPr>
            </w:pPr>
            <w:r w:rsidRPr="005C3FE9">
              <w:rPr>
                <w:spacing w:val="-3"/>
                <w:lang w:val="en-GB"/>
              </w:rPr>
              <w:t>0.6E-11</w:t>
            </w:r>
          </w:p>
        </w:tc>
        <w:tc>
          <w:tcPr>
            <w:tcW w:w="990" w:type="dxa"/>
            <w:vAlign w:val="center"/>
          </w:tcPr>
          <w:p w14:paraId="4B9E1E74" w14:textId="77777777" w:rsidR="004D7545" w:rsidRPr="005C3FE9" w:rsidRDefault="004D7545" w:rsidP="0051268E">
            <w:pPr>
              <w:spacing w:line="360" w:lineRule="auto"/>
              <w:ind w:firstLine="0"/>
              <w:jc w:val="center"/>
              <w:rPr>
                <w:noProof/>
                <w:lang w:val="en-GB"/>
              </w:rPr>
            </w:pPr>
            <w:r w:rsidRPr="005C3FE9">
              <w:rPr>
                <w:spacing w:val="-3"/>
                <w:lang w:val="en-GB"/>
              </w:rPr>
              <w:t>1.9E-10</w:t>
            </w:r>
          </w:p>
        </w:tc>
        <w:tc>
          <w:tcPr>
            <w:tcW w:w="990" w:type="dxa"/>
            <w:vAlign w:val="center"/>
          </w:tcPr>
          <w:p w14:paraId="0C032880" w14:textId="77777777" w:rsidR="004D7545" w:rsidRPr="005C3FE9" w:rsidRDefault="004D7545" w:rsidP="0051268E">
            <w:pPr>
              <w:spacing w:line="360" w:lineRule="auto"/>
              <w:ind w:firstLine="0"/>
              <w:jc w:val="center"/>
              <w:rPr>
                <w:noProof/>
                <w:lang w:val="en-GB"/>
              </w:rPr>
            </w:pPr>
            <w:r w:rsidRPr="005C3FE9">
              <w:rPr>
                <w:spacing w:val="-3"/>
                <w:lang w:val="en-GB"/>
              </w:rPr>
              <w:t>0.6E-11</w:t>
            </w:r>
          </w:p>
        </w:tc>
      </w:tr>
      <w:tr w:rsidR="004D7545" w:rsidRPr="005C3FE9" w14:paraId="2FA8C6D3" w14:textId="77777777" w:rsidTr="00EB0B93">
        <w:trPr>
          <w:trHeight w:val="347"/>
          <w:jc w:val="center"/>
        </w:trPr>
        <w:tc>
          <w:tcPr>
            <w:tcW w:w="3060" w:type="dxa"/>
            <w:tcBorders>
              <w:bottom w:val="single" w:sz="4" w:space="0" w:color="auto"/>
            </w:tcBorders>
          </w:tcPr>
          <w:p w14:paraId="69993F24" w14:textId="77777777" w:rsidR="004D7545" w:rsidRPr="005C3FE9" w:rsidRDefault="004D7545" w:rsidP="00F051CE">
            <w:pPr>
              <w:spacing w:line="360" w:lineRule="auto"/>
              <w:ind w:firstLine="0"/>
              <w:jc w:val="center"/>
              <w:rPr>
                <w:noProof/>
                <w:lang w:val="en-US"/>
              </w:rPr>
            </w:pPr>
            <w:r w:rsidRPr="005C3FE9">
              <w:rPr>
                <w:noProof/>
                <w:lang w:val="en-GB"/>
              </w:rPr>
              <w:t xml:space="preserve">Fixed charge density </w:t>
            </w:r>
            <w:r w:rsidRPr="005C3FE9">
              <w:rPr>
                <w:noProof/>
                <w:lang w:val="en-US"/>
              </w:rPr>
              <w:t>(</w:t>
            </w:r>
            <m:oMath>
              <m:sSub>
                <m:sSubPr>
                  <m:ctrlPr>
                    <w:rPr>
                      <w:rFonts w:ascii="Cambria Math" w:hAnsi="Cambria Math"/>
                      <w:i/>
                      <w:noProof/>
                      <w:lang w:val="en-US"/>
                    </w:rPr>
                  </m:ctrlPr>
                </m:sSubPr>
                <m:e>
                  <m:r>
                    <w:rPr>
                      <w:rFonts w:ascii="Cambria Math" w:hAnsi="Cambria Math"/>
                      <w:noProof/>
                      <w:lang w:val="en-US"/>
                    </w:rPr>
                    <m:t>X</m:t>
                  </m:r>
                </m:e>
                <m:sub>
                  <m:r>
                    <w:rPr>
                      <w:rFonts w:ascii="Cambria Math" w:hAnsi="Cambria Math"/>
                      <w:noProof/>
                      <w:lang w:val="en-US"/>
                    </w:rPr>
                    <m:t>m</m:t>
                  </m:r>
                </m:sub>
              </m:sSub>
            </m:oMath>
            <w:r w:rsidRPr="005C3FE9">
              <w:rPr>
                <w:noProof/>
                <w:lang w:val="en-US"/>
              </w:rPr>
              <w:t>)</w:t>
            </w:r>
          </w:p>
        </w:tc>
        <w:tc>
          <w:tcPr>
            <w:tcW w:w="1760" w:type="dxa"/>
            <w:tcBorders>
              <w:bottom w:val="single" w:sz="4" w:space="0" w:color="auto"/>
            </w:tcBorders>
          </w:tcPr>
          <w:p w14:paraId="37183AB8" w14:textId="77777777" w:rsidR="004D7545" w:rsidRPr="005C3FE9" w:rsidRDefault="004D7545" w:rsidP="00F051CE">
            <w:pPr>
              <w:spacing w:line="360" w:lineRule="auto"/>
              <w:ind w:firstLine="0"/>
              <w:jc w:val="center"/>
              <w:rPr>
                <w:noProof/>
                <w:lang w:val="en-GB"/>
              </w:rPr>
            </w:pPr>
            <w:r w:rsidRPr="005C3FE9">
              <w:rPr>
                <w:noProof/>
                <w:lang w:val="en-GB"/>
              </w:rPr>
              <w:t>mol m</w:t>
            </w:r>
            <w:r w:rsidRPr="005C3FE9">
              <w:rPr>
                <w:noProof/>
                <w:vertAlign w:val="superscript"/>
                <w:lang w:val="en-GB"/>
              </w:rPr>
              <w:t>-3</w:t>
            </w:r>
          </w:p>
        </w:tc>
        <w:tc>
          <w:tcPr>
            <w:tcW w:w="990" w:type="dxa"/>
            <w:tcBorders>
              <w:bottom w:val="single" w:sz="4" w:space="0" w:color="auto"/>
            </w:tcBorders>
            <w:vAlign w:val="center"/>
          </w:tcPr>
          <w:p w14:paraId="37917B3D" w14:textId="77777777" w:rsidR="004D7545" w:rsidRPr="005C3FE9" w:rsidRDefault="004D7545" w:rsidP="0051268E">
            <w:pPr>
              <w:spacing w:line="360" w:lineRule="auto"/>
              <w:ind w:firstLine="0"/>
              <w:jc w:val="center"/>
              <w:rPr>
                <w:noProof/>
                <w:lang w:val="en-GB"/>
              </w:rPr>
            </w:pPr>
            <w:r w:rsidRPr="005C3FE9">
              <w:rPr>
                <w:noProof/>
                <w:lang w:val="en-GB"/>
              </w:rPr>
              <w:t>5,000</w:t>
            </w:r>
          </w:p>
        </w:tc>
        <w:tc>
          <w:tcPr>
            <w:tcW w:w="1080" w:type="dxa"/>
            <w:tcBorders>
              <w:bottom w:val="single" w:sz="4" w:space="0" w:color="auto"/>
            </w:tcBorders>
            <w:vAlign w:val="center"/>
          </w:tcPr>
          <w:p w14:paraId="63319731" w14:textId="77777777" w:rsidR="004D7545" w:rsidRPr="005C3FE9" w:rsidRDefault="004D7545" w:rsidP="0051268E">
            <w:pPr>
              <w:spacing w:line="360" w:lineRule="auto"/>
              <w:ind w:firstLine="0"/>
              <w:jc w:val="center"/>
              <w:rPr>
                <w:noProof/>
                <w:lang w:val="en-GB"/>
              </w:rPr>
            </w:pPr>
            <w:r w:rsidRPr="005C3FE9">
              <w:rPr>
                <w:noProof/>
                <w:lang w:val="en-GB"/>
              </w:rPr>
              <w:t>5,000</w:t>
            </w:r>
          </w:p>
        </w:tc>
        <w:tc>
          <w:tcPr>
            <w:tcW w:w="990" w:type="dxa"/>
            <w:tcBorders>
              <w:bottom w:val="single" w:sz="4" w:space="0" w:color="auto"/>
            </w:tcBorders>
            <w:vAlign w:val="center"/>
          </w:tcPr>
          <w:p w14:paraId="0082304F" w14:textId="77777777" w:rsidR="004D7545" w:rsidRPr="005C3FE9" w:rsidRDefault="004D7545" w:rsidP="0051268E">
            <w:pPr>
              <w:spacing w:line="360" w:lineRule="auto"/>
              <w:ind w:firstLine="0"/>
              <w:jc w:val="center"/>
              <w:rPr>
                <w:noProof/>
                <w:lang w:val="en-GB"/>
              </w:rPr>
            </w:pPr>
            <w:r w:rsidRPr="005C3FE9">
              <w:rPr>
                <w:noProof/>
                <w:lang w:val="en-GB"/>
              </w:rPr>
              <w:t>5,000</w:t>
            </w:r>
          </w:p>
        </w:tc>
        <w:tc>
          <w:tcPr>
            <w:tcW w:w="990" w:type="dxa"/>
            <w:tcBorders>
              <w:bottom w:val="single" w:sz="4" w:space="0" w:color="auto"/>
            </w:tcBorders>
            <w:vAlign w:val="center"/>
          </w:tcPr>
          <w:p w14:paraId="1D8403B1" w14:textId="77777777" w:rsidR="004D7545" w:rsidRPr="005C3FE9" w:rsidRDefault="004D7545" w:rsidP="0051268E">
            <w:pPr>
              <w:spacing w:line="360" w:lineRule="auto"/>
              <w:ind w:firstLine="0"/>
              <w:jc w:val="center"/>
              <w:rPr>
                <w:noProof/>
                <w:lang w:val="en-GB"/>
              </w:rPr>
            </w:pPr>
            <w:r w:rsidRPr="005C3FE9">
              <w:rPr>
                <w:noProof/>
                <w:lang w:val="en-GB"/>
              </w:rPr>
              <w:t>5,000</w:t>
            </w:r>
          </w:p>
        </w:tc>
      </w:tr>
    </w:tbl>
    <w:p w14:paraId="4AC519FF" w14:textId="77777777" w:rsidR="007B61F0" w:rsidRPr="005C3FE9" w:rsidRDefault="007B61F0" w:rsidP="00D0301A">
      <w:pPr>
        <w:pStyle w:val="Didascalia"/>
        <w:keepNext/>
        <w:spacing w:after="0"/>
      </w:pPr>
      <w:bookmarkStart w:id="16" w:name="_Ref107768790"/>
      <w:bookmarkStart w:id="17" w:name="_Ref101280965"/>
    </w:p>
    <w:p w14:paraId="28E6E951" w14:textId="1802ED87" w:rsidR="00D0301A" w:rsidRPr="005C3FE9" w:rsidRDefault="00D0301A" w:rsidP="00D0301A">
      <w:pPr>
        <w:pStyle w:val="Didascalia"/>
        <w:keepNext/>
        <w:spacing w:after="0"/>
      </w:pPr>
      <w:r w:rsidRPr="005C3FE9">
        <w:t xml:space="preserve">Table </w:t>
      </w:r>
      <w:r w:rsidRPr="005C3FE9">
        <w:fldChar w:fldCharType="begin"/>
      </w:r>
      <w:r w:rsidRPr="005C3FE9">
        <w:instrText xml:space="preserve"> SEQ Table \* ARABIC </w:instrText>
      </w:r>
      <w:r w:rsidRPr="005C3FE9">
        <w:fldChar w:fldCharType="separate"/>
      </w:r>
      <w:r w:rsidR="007D3E0D">
        <w:rPr>
          <w:noProof/>
        </w:rPr>
        <w:t>4</w:t>
      </w:r>
      <w:r w:rsidRPr="005C3FE9">
        <w:fldChar w:fldCharType="end"/>
      </w:r>
      <w:bookmarkEnd w:id="16"/>
      <w:r w:rsidRPr="005C3FE9">
        <w:t xml:space="preserve">. </w:t>
      </w:r>
      <w:r w:rsidR="00DF686A" w:rsidRPr="005C3FE9">
        <w:t xml:space="preserve">Fixed </w:t>
      </w:r>
      <w:r w:rsidR="000D0F75" w:rsidRPr="005C3FE9">
        <w:t>parameters</w:t>
      </w:r>
      <w:r w:rsidRPr="005C3FE9">
        <w:rPr>
          <w:spacing w:val="-3"/>
          <w:lang w:val="en-GB"/>
        </w:rPr>
        <w:t>.</w:t>
      </w:r>
    </w:p>
    <w:tbl>
      <w:tblPr>
        <w:tblW w:w="10281" w:type="dxa"/>
        <w:jc w:val="center"/>
        <w:tblLook w:val="04A0" w:firstRow="1" w:lastRow="0" w:firstColumn="1" w:lastColumn="0" w:noHBand="0" w:noVBand="1"/>
      </w:tblPr>
      <w:tblGrid>
        <w:gridCol w:w="6030"/>
        <w:gridCol w:w="1170"/>
        <w:gridCol w:w="900"/>
        <w:gridCol w:w="467"/>
        <w:gridCol w:w="989"/>
        <w:gridCol w:w="725"/>
      </w:tblGrid>
      <w:tr w:rsidR="00D0301A" w:rsidRPr="005C3FE9" w14:paraId="2156E0E7" w14:textId="77777777" w:rsidTr="00A70C1B">
        <w:trPr>
          <w:trHeight w:val="347"/>
          <w:jc w:val="center"/>
        </w:trPr>
        <w:tc>
          <w:tcPr>
            <w:tcW w:w="10281" w:type="dxa"/>
            <w:gridSpan w:val="6"/>
            <w:tcBorders>
              <w:top w:val="single" w:sz="4" w:space="0" w:color="auto"/>
              <w:bottom w:val="single" w:sz="4" w:space="0" w:color="auto"/>
            </w:tcBorders>
          </w:tcPr>
          <w:p w14:paraId="1B3A2980" w14:textId="77777777" w:rsidR="00D0301A" w:rsidRPr="005C3FE9" w:rsidRDefault="00D0301A" w:rsidP="007A4F7D">
            <w:pPr>
              <w:spacing w:line="360" w:lineRule="auto"/>
              <w:ind w:firstLine="0"/>
              <w:jc w:val="center"/>
              <w:rPr>
                <w:noProof/>
                <w:lang w:val="en-GB"/>
              </w:rPr>
            </w:pPr>
            <w:r w:rsidRPr="005C3FE9">
              <w:rPr>
                <w:noProof/>
                <w:lang w:val="en-GB"/>
              </w:rPr>
              <w:t>Geometrical features</w:t>
            </w:r>
          </w:p>
        </w:tc>
      </w:tr>
      <w:tr w:rsidR="00D0301A" w:rsidRPr="005C3FE9" w14:paraId="38F4F71A" w14:textId="77777777" w:rsidTr="00A70C1B">
        <w:trPr>
          <w:trHeight w:val="347"/>
          <w:jc w:val="center"/>
        </w:trPr>
        <w:tc>
          <w:tcPr>
            <w:tcW w:w="6030" w:type="dxa"/>
            <w:vAlign w:val="center"/>
          </w:tcPr>
          <w:p w14:paraId="0E876CA5" w14:textId="70301127" w:rsidR="00D0301A" w:rsidRPr="005C3FE9" w:rsidRDefault="00D0301A" w:rsidP="009E50BA">
            <w:pPr>
              <w:spacing w:line="360" w:lineRule="auto"/>
              <w:ind w:firstLine="0"/>
              <w:jc w:val="center"/>
              <w:rPr>
                <w:noProof/>
                <w:lang w:val="en-GB"/>
              </w:rPr>
            </w:pPr>
            <w:r w:rsidRPr="005C3FE9">
              <w:rPr>
                <w:lang w:val="en-US"/>
              </w:rPr>
              <w:t>Spacer width (</w:t>
            </w:r>
            <m:oMath>
              <m:r>
                <w:rPr>
                  <w:rFonts w:ascii="Cambria Math" w:hAnsi="Cambria Math"/>
                  <w:lang w:val="en-US"/>
                </w:rPr>
                <m:t>b</m:t>
              </m:r>
            </m:oMath>
            <w:r w:rsidRPr="005C3FE9">
              <w:rPr>
                <w:lang w:val="en-US"/>
              </w:rPr>
              <w:t>)</w:t>
            </w:r>
          </w:p>
        </w:tc>
        <w:tc>
          <w:tcPr>
            <w:tcW w:w="1170" w:type="dxa"/>
            <w:vAlign w:val="center"/>
          </w:tcPr>
          <w:p w14:paraId="7C5FA66B" w14:textId="77777777" w:rsidR="00D0301A" w:rsidRPr="005C3FE9" w:rsidRDefault="00D0301A" w:rsidP="009E50BA">
            <w:pPr>
              <w:spacing w:line="360" w:lineRule="auto"/>
              <w:ind w:firstLine="0"/>
              <w:jc w:val="center"/>
              <w:rPr>
                <w:noProof/>
                <w:lang w:val="en-GB"/>
              </w:rPr>
            </w:pPr>
            <w:r w:rsidRPr="005C3FE9">
              <w:rPr>
                <w:lang w:val="en-US"/>
              </w:rPr>
              <w:t>cm</w:t>
            </w:r>
          </w:p>
        </w:tc>
        <w:tc>
          <w:tcPr>
            <w:tcW w:w="900" w:type="dxa"/>
            <w:vAlign w:val="center"/>
          </w:tcPr>
          <w:p w14:paraId="7C8044B6" w14:textId="77777777" w:rsidR="00D0301A" w:rsidRPr="005C3FE9" w:rsidRDefault="00D0301A" w:rsidP="009E50BA">
            <w:pPr>
              <w:spacing w:line="360" w:lineRule="auto"/>
              <w:ind w:firstLine="0"/>
              <w:jc w:val="center"/>
              <w:rPr>
                <w:noProof/>
                <w:lang w:val="en-GB"/>
              </w:rPr>
            </w:pPr>
            <w:r w:rsidRPr="005C3FE9">
              <w:rPr>
                <w:noProof/>
                <w:lang w:val="en-GB"/>
              </w:rPr>
              <w:t>47.6</w:t>
            </w:r>
          </w:p>
        </w:tc>
        <w:tc>
          <w:tcPr>
            <w:tcW w:w="467" w:type="dxa"/>
            <w:vAlign w:val="center"/>
          </w:tcPr>
          <w:p w14:paraId="5FD90568" w14:textId="77777777" w:rsidR="00D0301A" w:rsidRPr="005C3FE9" w:rsidRDefault="00D0301A" w:rsidP="009E50BA">
            <w:pPr>
              <w:spacing w:line="360" w:lineRule="auto"/>
              <w:ind w:firstLine="0"/>
              <w:jc w:val="center"/>
              <w:rPr>
                <w:noProof/>
                <w:lang w:val="en-GB"/>
              </w:rPr>
            </w:pPr>
          </w:p>
        </w:tc>
        <w:tc>
          <w:tcPr>
            <w:tcW w:w="989" w:type="dxa"/>
            <w:vAlign w:val="center"/>
          </w:tcPr>
          <w:p w14:paraId="23B15A66" w14:textId="77777777" w:rsidR="00D0301A" w:rsidRPr="005C3FE9" w:rsidRDefault="00D0301A" w:rsidP="009E50BA">
            <w:pPr>
              <w:spacing w:line="360" w:lineRule="auto"/>
              <w:ind w:firstLine="0"/>
              <w:jc w:val="center"/>
              <w:rPr>
                <w:noProof/>
                <w:lang w:val="en-GB"/>
              </w:rPr>
            </w:pPr>
          </w:p>
        </w:tc>
        <w:tc>
          <w:tcPr>
            <w:tcW w:w="725" w:type="dxa"/>
            <w:vAlign w:val="center"/>
          </w:tcPr>
          <w:p w14:paraId="65E5B8F2" w14:textId="77777777" w:rsidR="00D0301A" w:rsidRPr="005C3FE9" w:rsidRDefault="00D0301A" w:rsidP="009E50BA">
            <w:pPr>
              <w:spacing w:line="360" w:lineRule="auto"/>
              <w:ind w:firstLine="0"/>
              <w:jc w:val="center"/>
              <w:rPr>
                <w:noProof/>
                <w:lang w:val="en-GB"/>
              </w:rPr>
            </w:pPr>
          </w:p>
        </w:tc>
      </w:tr>
      <w:tr w:rsidR="004B17B8" w:rsidRPr="005C3FE9" w14:paraId="5585873A" w14:textId="77777777" w:rsidTr="00A70C1B">
        <w:trPr>
          <w:trHeight w:val="347"/>
          <w:jc w:val="center"/>
        </w:trPr>
        <w:tc>
          <w:tcPr>
            <w:tcW w:w="6030" w:type="dxa"/>
            <w:vAlign w:val="center"/>
          </w:tcPr>
          <w:p w14:paraId="55BCA867" w14:textId="2677F0D0" w:rsidR="004B17B8" w:rsidRPr="005C3FE9" w:rsidRDefault="004B17B8" w:rsidP="009E50BA">
            <w:pPr>
              <w:spacing w:line="360" w:lineRule="auto"/>
              <w:ind w:firstLine="0"/>
              <w:jc w:val="center"/>
              <w:rPr>
                <w:lang w:val="en-US"/>
              </w:rPr>
            </w:pPr>
            <w:r w:rsidRPr="005C3FE9">
              <w:rPr>
                <w:lang w:val="en-US"/>
              </w:rPr>
              <w:t>Spacer type</w:t>
            </w:r>
          </w:p>
        </w:tc>
        <w:tc>
          <w:tcPr>
            <w:tcW w:w="1170" w:type="dxa"/>
            <w:vAlign w:val="center"/>
          </w:tcPr>
          <w:p w14:paraId="41955215" w14:textId="52972BBD" w:rsidR="004B17B8" w:rsidRPr="005C3FE9" w:rsidRDefault="004B17B8" w:rsidP="009E50BA">
            <w:pPr>
              <w:spacing w:line="360" w:lineRule="auto"/>
              <w:ind w:firstLine="0"/>
              <w:jc w:val="center"/>
              <w:rPr>
                <w:lang w:val="en-US"/>
              </w:rPr>
            </w:pPr>
            <w:r w:rsidRPr="005C3FE9">
              <w:rPr>
                <w:lang w:val="en-US"/>
              </w:rPr>
              <w:t>-</w:t>
            </w:r>
          </w:p>
        </w:tc>
        <w:tc>
          <w:tcPr>
            <w:tcW w:w="900" w:type="dxa"/>
            <w:vAlign w:val="center"/>
          </w:tcPr>
          <w:p w14:paraId="187AC13B" w14:textId="07795085" w:rsidR="004B17B8" w:rsidRPr="005C3FE9" w:rsidRDefault="004B17B8" w:rsidP="009E50BA">
            <w:pPr>
              <w:spacing w:line="360" w:lineRule="auto"/>
              <w:ind w:firstLine="0"/>
              <w:jc w:val="center"/>
              <w:rPr>
                <w:noProof/>
                <w:lang w:val="en-GB"/>
              </w:rPr>
            </w:pPr>
            <w:r w:rsidRPr="005C3FE9">
              <w:rPr>
                <w:noProof/>
                <w:lang w:val="en-GB"/>
              </w:rPr>
              <w:t>woven</w:t>
            </w:r>
          </w:p>
        </w:tc>
        <w:tc>
          <w:tcPr>
            <w:tcW w:w="467" w:type="dxa"/>
            <w:vAlign w:val="center"/>
          </w:tcPr>
          <w:p w14:paraId="3853A07E" w14:textId="77777777" w:rsidR="004B17B8" w:rsidRPr="005C3FE9" w:rsidRDefault="004B17B8" w:rsidP="009E50BA">
            <w:pPr>
              <w:spacing w:line="360" w:lineRule="auto"/>
              <w:ind w:firstLine="0"/>
              <w:jc w:val="center"/>
              <w:rPr>
                <w:noProof/>
                <w:lang w:val="en-GB"/>
              </w:rPr>
            </w:pPr>
          </w:p>
        </w:tc>
        <w:tc>
          <w:tcPr>
            <w:tcW w:w="989" w:type="dxa"/>
            <w:vAlign w:val="center"/>
          </w:tcPr>
          <w:p w14:paraId="7B40D41E" w14:textId="77777777" w:rsidR="004B17B8" w:rsidRPr="005C3FE9" w:rsidRDefault="004B17B8" w:rsidP="009E50BA">
            <w:pPr>
              <w:spacing w:line="360" w:lineRule="auto"/>
              <w:ind w:firstLine="0"/>
              <w:jc w:val="center"/>
              <w:rPr>
                <w:noProof/>
                <w:lang w:val="en-GB"/>
              </w:rPr>
            </w:pPr>
          </w:p>
        </w:tc>
        <w:tc>
          <w:tcPr>
            <w:tcW w:w="725" w:type="dxa"/>
            <w:vAlign w:val="center"/>
          </w:tcPr>
          <w:p w14:paraId="011674A5" w14:textId="77777777" w:rsidR="004B17B8" w:rsidRPr="005C3FE9" w:rsidRDefault="004B17B8" w:rsidP="009E50BA">
            <w:pPr>
              <w:spacing w:line="360" w:lineRule="auto"/>
              <w:ind w:firstLine="0"/>
              <w:jc w:val="center"/>
              <w:rPr>
                <w:noProof/>
                <w:lang w:val="en-GB"/>
              </w:rPr>
            </w:pPr>
          </w:p>
        </w:tc>
      </w:tr>
      <w:tr w:rsidR="004B17B8" w:rsidRPr="005C3FE9" w14:paraId="1705C9EF" w14:textId="77777777" w:rsidTr="00A70C1B">
        <w:trPr>
          <w:trHeight w:val="347"/>
          <w:jc w:val="center"/>
        </w:trPr>
        <w:tc>
          <w:tcPr>
            <w:tcW w:w="6030" w:type="dxa"/>
            <w:vAlign w:val="center"/>
          </w:tcPr>
          <w:p w14:paraId="5CD4979A" w14:textId="1A4B7796" w:rsidR="004B17B8" w:rsidRPr="005C3FE9" w:rsidRDefault="004B17B8" w:rsidP="004B17B8">
            <w:pPr>
              <w:spacing w:line="360" w:lineRule="auto"/>
              <w:ind w:firstLine="0"/>
              <w:jc w:val="center"/>
              <w:rPr>
                <w:lang w:val="en-US"/>
              </w:rPr>
            </w:pPr>
            <w:r w:rsidRPr="005C3FE9">
              <w:rPr>
                <w:lang w:val="en-US"/>
              </w:rPr>
              <w:t>Spacer pitch-to-height ratio</w:t>
            </w:r>
          </w:p>
        </w:tc>
        <w:tc>
          <w:tcPr>
            <w:tcW w:w="1170" w:type="dxa"/>
            <w:vAlign w:val="center"/>
          </w:tcPr>
          <w:p w14:paraId="62C8D4EC" w14:textId="54C5A3A3" w:rsidR="004B17B8" w:rsidRPr="005C3FE9" w:rsidRDefault="004B17B8" w:rsidP="004B17B8">
            <w:pPr>
              <w:spacing w:line="360" w:lineRule="auto"/>
              <w:ind w:firstLine="0"/>
              <w:jc w:val="center"/>
              <w:rPr>
                <w:lang w:val="en-US"/>
              </w:rPr>
            </w:pPr>
            <w:r w:rsidRPr="005C3FE9">
              <w:rPr>
                <w:lang w:val="en-US"/>
              </w:rPr>
              <w:t>-</w:t>
            </w:r>
          </w:p>
        </w:tc>
        <w:tc>
          <w:tcPr>
            <w:tcW w:w="900" w:type="dxa"/>
            <w:vAlign w:val="center"/>
          </w:tcPr>
          <w:p w14:paraId="4D9D43BD" w14:textId="14F858A6" w:rsidR="004B17B8" w:rsidRPr="005C3FE9" w:rsidRDefault="004B17B8" w:rsidP="004B17B8">
            <w:pPr>
              <w:spacing w:line="360" w:lineRule="auto"/>
              <w:ind w:firstLine="0"/>
              <w:jc w:val="center"/>
              <w:rPr>
                <w:noProof/>
                <w:lang w:val="en-GB"/>
              </w:rPr>
            </w:pPr>
            <w:r w:rsidRPr="005C3FE9">
              <w:rPr>
                <w:noProof/>
                <w:lang w:val="en-GB"/>
              </w:rPr>
              <w:t>2</w:t>
            </w:r>
          </w:p>
        </w:tc>
        <w:tc>
          <w:tcPr>
            <w:tcW w:w="467" w:type="dxa"/>
            <w:vAlign w:val="center"/>
          </w:tcPr>
          <w:p w14:paraId="253C99FB" w14:textId="77777777" w:rsidR="004B17B8" w:rsidRPr="005C3FE9" w:rsidRDefault="004B17B8" w:rsidP="004B17B8">
            <w:pPr>
              <w:spacing w:line="360" w:lineRule="auto"/>
              <w:ind w:firstLine="0"/>
              <w:jc w:val="center"/>
              <w:rPr>
                <w:noProof/>
                <w:lang w:val="en-GB"/>
              </w:rPr>
            </w:pPr>
          </w:p>
        </w:tc>
        <w:tc>
          <w:tcPr>
            <w:tcW w:w="989" w:type="dxa"/>
            <w:vAlign w:val="center"/>
          </w:tcPr>
          <w:p w14:paraId="20EBF060" w14:textId="77777777" w:rsidR="004B17B8" w:rsidRPr="005C3FE9" w:rsidRDefault="004B17B8" w:rsidP="004B17B8">
            <w:pPr>
              <w:spacing w:line="360" w:lineRule="auto"/>
              <w:ind w:firstLine="0"/>
              <w:jc w:val="center"/>
              <w:rPr>
                <w:noProof/>
                <w:lang w:val="en-GB"/>
              </w:rPr>
            </w:pPr>
          </w:p>
        </w:tc>
        <w:tc>
          <w:tcPr>
            <w:tcW w:w="725" w:type="dxa"/>
            <w:vAlign w:val="center"/>
          </w:tcPr>
          <w:p w14:paraId="16716393" w14:textId="77777777" w:rsidR="004B17B8" w:rsidRPr="005C3FE9" w:rsidRDefault="004B17B8" w:rsidP="004B17B8">
            <w:pPr>
              <w:spacing w:line="360" w:lineRule="auto"/>
              <w:ind w:firstLine="0"/>
              <w:jc w:val="center"/>
              <w:rPr>
                <w:noProof/>
                <w:lang w:val="en-GB"/>
              </w:rPr>
            </w:pPr>
          </w:p>
        </w:tc>
      </w:tr>
      <w:tr w:rsidR="004B17B8" w:rsidRPr="005C3FE9" w14:paraId="59399105" w14:textId="77777777" w:rsidTr="00A70C1B">
        <w:trPr>
          <w:trHeight w:val="347"/>
          <w:jc w:val="center"/>
        </w:trPr>
        <w:tc>
          <w:tcPr>
            <w:tcW w:w="6030" w:type="dxa"/>
            <w:vAlign w:val="center"/>
          </w:tcPr>
          <w:p w14:paraId="754DC433" w14:textId="166DA08A" w:rsidR="004B17B8" w:rsidRPr="005C3FE9" w:rsidRDefault="004B17B8" w:rsidP="004B17B8">
            <w:pPr>
              <w:spacing w:line="360" w:lineRule="auto"/>
              <w:ind w:firstLine="0"/>
              <w:jc w:val="center"/>
              <w:rPr>
                <w:lang w:val="en-US"/>
              </w:rPr>
            </w:pPr>
            <w:r w:rsidRPr="005C3FE9">
              <w:rPr>
                <w:lang w:val="en-US"/>
              </w:rPr>
              <w:lastRenderedPageBreak/>
              <w:t>Spacer flow attack angle</w:t>
            </w:r>
          </w:p>
        </w:tc>
        <w:tc>
          <w:tcPr>
            <w:tcW w:w="1170" w:type="dxa"/>
            <w:vAlign w:val="center"/>
          </w:tcPr>
          <w:p w14:paraId="436CD582" w14:textId="06B48582" w:rsidR="004B17B8" w:rsidRPr="005C3FE9" w:rsidRDefault="004B17B8" w:rsidP="004B17B8">
            <w:pPr>
              <w:spacing w:line="360" w:lineRule="auto"/>
              <w:ind w:firstLine="0"/>
              <w:jc w:val="center"/>
              <w:rPr>
                <w:lang w:val="en-US"/>
              </w:rPr>
            </w:pPr>
            <w:r w:rsidRPr="005C3FE9">
              <w:rPr>
                <w:lang w:val="en-US"/>
              </w:rPr>
              <w:t>-</w:t>
            </w:r>
          </w:p>
        </w:tc>
        <w:tc>
          <w:tcPr>
            <w:tcW w:w="900" w:type="dxa"/>
            <w:vAlign w:val="center"/>
          </w:tcPr>
          <w:p w14:paraId="4147B52B" w14:textId="5672889E" w:rsidR="004B17B8" w:rsidRPr="005C3FE9" w:rsidRDefault="004B17B8" w:rsidP="004B17B8">
            <w:pPr>
              <w:spacing w:line="360" w:lineRule="auto"/>
              <w:ind w:firstLine="0"/>
              <w:jc w:val="center"/>
              <w:rPr>
                <w:noProof/>
                <w:lang w:val="en-GB"/>
              </w:rPr>
            </w:pPr>
            <w:r w:rsidRPr="005C3FE9">
              <w:rPr>
                <w:noProof/>
                <w:lang w:val="en-GB"/>
              </w:rPr>
              <w:t>45°</w:t>
            </w:r>
          </w:p>
        </w:tc>
        <w:tc>
          <w:tcPr>
            <w:tcW w:w="467" w:type="dxa"/>
            <w:vAlign w:val="center"/>
          </w:tcPr>
          <w:p w14:paraId="76FDFD66" w14:textId="77777777" w:rsidR="004B17B8" w:rsidRPr="005C3FE9" w:rsidRDefault="004B17B8" w:rsidP="004B17B8">
            <w:pPr>
              <w:spacing w:line="360" w:lineRule="auto"/>
              <w:ind w:firstLine="0"/>
              <w:jc w:val="center"/>
              <w:rPr>
                <w:noProof/>
                <w:lang w:val="en-GB"/>
              </w:rPr>
            </w:pPr>
          </w:p>
        </w:tc>
        <w:tc>
          <w:tcPr>
            <w:tcW w:w="989" w:type="dxa"/>
            <w:vAlign w:val="center"/>
          </w:tcPr>
          <w:p w14:paraId="08EF168A" w14:textId="77777777" w:rsidR="004B17B8" w:rsidRPr="005C3FE9" w:rsidRDefault="004B17B8" w:rsidP="004B17B8">
            <w:pPr>
              <w:spacing w:line="360" w:lineRule="auto"/>
              <w:ind w:firstLine="0"/>
              <w:jc w:val="center"/>
              <w:rPr>
                <w:noProof/>
                <w:lang w:val="en-GB"/>
              </w:rPr>
            </w:pPr>
          </w:p>
        </w:tc>
        <w:tc>
          <w:tcPr>
            <w:tcW w:w="725" w:type="dxa"/>
            <w:vAlign w:val="center"/>
          </w:tcPr>
          <w:p w14:paraId="57404F93" w14:textId="77777777" w:rsidR="004B17B8" w:rsidRPr="005C3FE9" w:rsidRDefault="004B17B8" w:rsidP="004B17B8">
            <w:pPr>
              <w:spacing w:line="360" w:lineRule="auto"/>
              <w:ind w:firstLine="0"/>
              <w:jc w:val="center"/>
              <w:rPr>
                <w:noProof/>
                <w:lang w:val="en-GB"/>
              </w:rPr>
            </w:pPr>
          </w:p>
        </w:tc>
      </w:tr>
      <w:tr w:rsidR="00D0301A" w:rsidRPr="005C3FE9" w14:paraId="58D612AE" w14:textId="77777777" w:rsidTr="00A70C1B">
        <w:trPr>
          <w:trHeight w:val="347"/>
          <w:jc w:val="center"/>
        </w:trPr>
        <w:tc>
          <w:tcPr>
            <w:tcW w:w="6030" w:type="dxa"/>
            <w:vAlign w:val="center"/>
          </w:tcPr>
          <w:p w14:paraId="75155329" w14:textId="4A04E6BD" w:rsidR="00D0301A" w:rsidRPr="005C3FE9" w:rsidRDefault="00D0301A" w:rsidP="009E50BA">
            <w:pPr>
              <w:spacing w:line="360" w:lineRule="auto"/>
              <w:ind w:firstLine="0"/>
              <w:jc w:val="center"/>
              <w:rPr>
                <w:noProof/>
                <w:lang w:val="en-GB"/>
              </w:rPr>
            </w:pPr>
            <w:r w:rsidRPr="005C3FE9">
              <w:rPr>
                <w:lang w:val="en-US"/>
              </w:rPr>
              <w:t xml:space="preserve">N° spacer holes </w:t>
            </w:r>
            <w:r w:rsidR="007B61F0" w:rsidRPr="005C3FE9">
              <w:rPr>
                <w:lang w:val="en-US"/>
              </w:rPr>
              <w:t xml:space="preserve">for manifolds </w:t>
            </w:r>
            <w:r w:rsidRPr="005C3FE9">
              <w:rPr>
                <w:lang w:val="en-US"/>
              </w:rPr>
              <w:t>(</w:t>
            </w:r>
            <m:oMath>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holes</m:t>
                  </m:r>
                </m:sub>
              </m:sSub>
            </m:oMath>
            <w:r w:rsidRPr="005C3FE9">
              <w:rPr>
                <w:lang w:val="en-US"/>
              </w:rPr>
              <w:t>)</w:t>
            </w:r>
          </w:p>
        </w:tc>
        <w:tc>
          <w:tcPr>
            <w:tcW w:w="1170" w:type="dxa"/>
            <w:vAlign w:val="center"/>
          </w:tcPr>
          <w:p w14:paraId="4E244C79" w14:textId="77777777" w:rsidR="00D0301A" w:rsidRPr="005C3FE9" w:rsidRDefault="00D0301A" w:rsidP="009E50BA">
            <w:pPr>
              <w:spacing w:line="360" w:lineRule="auto"/>
              <w:ind w:firstLine="0"/>
              <w:jc w:val="center"/>
              <w:rPr>
                <w:noProof/>
                <w:lang w:val="en-GB"/>
              </w:rPr>
            </w:pPr>
            <w:r w:rsidRPr="005C3FE9">
              <w:rPr>
                <w:lang w:val="en-US"/>
              </w:rPr>
              <w:t>-</w:t>
            </w:r>
          </w:p>
        </w:tc>
        <w:tc>
          <w:tcPr>
            <w:tcW w:w="900" w:type="dxa"/>
            <w:vAlign w:val="center"/>
          </w:tcPr>
          <w:p w14:paraId="61968C1B" w14:textId="77777777" w:rsidR="00D0301A" w:rsidRPr="005C3FE9" w:rsidRDefault="00D0301A" w:rsidP="009E50BA">
            <w:pPr>
              <w:spacing w:line="360" w:lineRule="auto"/>
              <w:ind w:firstLine="0"/>
              <w:jc w:val="center"/>
              <w:rPr>
                <w:noProof/>
                <w:lang w:val="en-GB"/>
              </w:rPr>
            </w:pPr>
            <w:r w:rsidRPr="005C3FE9">
              <w:rPr>
                <w:noProof/>
                <w:lang w:val="en-GB"/>
              </w:rPr>
              <w:t>1</w:t>
            </w:r>
          </w:p>
        </w:tc>
        <w:tc>
          <w:tcPr>
            <w:tcW w:w="467" w:type="dxa"/>
            <w:vAlign w:val="center"/>
          </w:tcPr>
          <w:p w14:paraId="6789D2F4" w14:textId="77777777" w:rsidR="00D0301A" w:rsidRPr="005C3FE9" w:rsidRDefault="00D0301A" w:rsidP="009E50BA">
            <w:pPr>
              <w:spacing w:line="360" w:lineRule="auto"/>
              <w:ind w:firstLine="0"/>
              <w:jc w:val="center"/>
              <w:rPr>
                <w:noProof/>
                <w:lang w:val="en-GB"/>
              </w:rPr>
            </w:pPr>
          </w:p>
        </w:tc>
        <w:tc>
          <w:tcPr>
            <w:tcW w:w="989" w:type="dxa"/>
            <w:vAlign w:val="center"/>
          </w:tcPr>
          <w:p w14:paraId="2D6ED11B" w14:textId="77777777" w:rsidR="00D0301A" w:rsidRPr="005C3FE9" w:rsidRDefault="00D0301A" w:rsidP="009E50BA">
            <w:pPr>
              <w:spacing w:line="360" w:lineRule="auto"/>
              <w:ind w:firstLine="0"/>
              <w:jc w:val="center"/>
              <w:rPr>
                <w:noProof/>
                <w:lang w:val="en-GB"/>
              </w:rPr>
            </w:pPr>
          </w:p>
        </w:tc>
        <w:tc>
          <w:tcPr>
            <w:tcW w:w="725" w:type="dxa"/>
            <w:vAlign w:val="center"/>
          </w:tcPr>
          <w:p w14:paraId="0F58B2F5" w14:textId="77777777" w:rsidR="00D0301A" w:rsidRPr="005C3FE9" w:rsidRDefault="00D0301A" w:rsidP="009E50BA">
            <w:pPr>
              <w:spacing w:line="360" w:lineRule="auto"/>
              <w:ind w:firstLine="0"/>
              <w:jc w:val="center"/>
              <w:rPr>
                <w:noProof/>
                <w:lang w:val="en-GB"/>
              </w:rPr>
            </w:pPr>
          </w:p>
        </w:tc>
      </w:tr>
      <w:tr w:rsidR="00D0301A" w:rsidRPr="005C3FE9" w14:paraId="1ADF5A16" w14:textId="77777777" w:rsidTr="00A70C1B">
        <w:trPr>
          <w:trHeight w:val="347"/>
          <w:jc w:val="center"/>
        </w:trPr>
        <w:tc>
          <w:tcPr>
            <w:tcW w:w="6030" w:type="dxa"/>
            <w:vAlign w:val="center"/>
          </w:tcPr>
          <w:p w14:paraId="27978776" w14:textId="3B5F00C1" w:rsidR="00D0301A" w:rsidRPr="005C3FE9" w:rsidRDefault="00D0301A" w:rsidP="009E50BA">
            <w:pPr>
              <w:spacing w:line="360" w:lineRule="auto"/>
              <w:ind w:firstLine="0"/>
              <w:jc w:val="center"/>
              <w:rPr>
                <w:noProof/>
                <w:lang w:val="en-GB"/>
              </w:rPr>
            </w:pPr>
            <w:r w:rsidRPr="005C3FE9">
              <w:rPr>
                <w:lang w:val="en-US"/>
              </w:rPr>
              <w:t>Spacer hole area</w:t>
            </w:r>
            <w:r w:rsidR="007B61F0" w:rsidRPr="005C3FE9">
              <w:rPr>
                <w:lang w:val="en-US"/>
              </w:rPr>
              <w:t xml:space="preserve"> for manifolds</w:t>
            </w:r>
          </w:p>
        </w:tc>
        <w:tc>
          <w:tcPr>
            <w:tcW w:w="1170" w:type="dxa"/>
            <w:vAlign w:val="center"/>
          </w:tcPr>
          <w:p w14:paraId="7B348312" w14:textId="77777777" w:rsidR="00D0301A" w:rsidRPr="005C3FE9" w:rsidRDefault="00D0301A" w:rsidP="009E50BA">
            <w:pPr>
              <w:spacing w:line="360" w:lineRule="auto"/>
              <w:ind w:firstLine="0"/>
              <w:jc w:val="center"/>
              <w:rPr>
                <w:noProof/>
                <w:lang w:val="en-GB"/>
              </w:rPr>
            </w:pPr>
            <w:r w:rsidRPr="005C3FE9">
              <w:rPr>
                <w:lang w:val="en-US"/>
              </w:rPr>
              <w:t>mm</w:t>
            </w:r>
            <w:r w:rsidRPr="005C3FE9">
              <w:rPr>
                <w:vertAlign w:val="superscript"/>
                <w:lang w:val="en-US"/>
              </w:rPr>
              <w:t>2</w:t>
            </w:r>
          </w:p>
        </w:tc>
        <w:tc>
          <w:tcPr>
            <w:tcW w:w="900" w:type="dxa"/>
            <w:vAlign w:val="center"/>
          </w:tcPr>
          <w:p w14:paraId="28953523" w14:textId="77777777" w:rsidR="00D0301A" w:rsidRPr="005C3FE9" w:rsidRDefault="00D0301A" w:rsidP="009E50BA">
            <w:pPr>
              <w:spacing w:line="360" w:lineRule="auto"/>
              <w:ind w:firstLine="0"/>
              <w:jc w:val="center"/>
              <w:rPr>
                <w:noProof/>
                <w:lang w:val="en-GB"/>
              </w:rPr>
            </w:pPr>
            <w:r w:rsidRPr="005C3FE9">
              <w:rPr>
                <w:noProof/>
                <w:lang w:val="en-GB"/>
              </w:rPr>
              <w:t>400</w:t>
            </w:r>
          </w:p>
        </w:tc>
        <w:tc>
          <w:tcPr>
            <w:tcW w:w="467" w:type="dxa"/>
            <w:vAlign w:val="center"/>
          </w:tcPr>
          <w:p w14:paraId="7F245342" w14:textId="77777777" w:rsidR="00D0301A" w:rsidRPr="005C3FE9" w:rsidRDefault="00D0301A" w:rsidP="009E50BA">
            <w:pPr>
              <w:spacing w:line="360" w:lineRule="auto"/>
              <w:ind w:firstLine="0"/>
              <w:jc w:val="center"/>
              <w:rPr>
                <w:noProof/>
                <w:lang w:val="en-GB"/>
              </w:rPr>
            </w:pPr>
          </w:p>
        </w:tc>
        <w:tc>
          <w:tcPr>
            <w:tcW w:w="989" w:type="dxa"/>
            <w:vAlign w:val="center"/>
          </w:tcPr>
          <w:p w14:paraId="2F9AF91F" w14:textId="77777777" w:rsidR="00D0301A" w:rsidRPr="005C3FE9" w:rsidRDefault="00D0301A" w:rsidP="009E50BA">
            <w:pPr>
              <w:spacing w:line="360" w:lineRule="auto"/>
              <w:ind w:firstLine="0"/>
              <w:jc w:val="center"/>
              <w:rPr>
                <w:noProof/>
                <w:lang w:val="en-GB"/>
              </w:rPr>
            </w:pPr>
          </w:p>
        </w:tc>
        <w:tc>
          <w:tcPr>
            <w:tcW w:w="725" w:type="dxa"/>
            <w:vAlign w:val="center"/>
          </w:tcPr>
          <w:p w14:paraId="6753F4B3" w14:textId="77777777" w:rsidR="00D0301A" w:rsidRPr="005C3FE9" w:rsidRDefault="00D0301A" w:rsidP="009E50BA">
            <w:pPr>
              <w:spacing w:line="360" w:lineRule="auto"/>
              <w:ind w:firstLine="0"/>
              <w:jc w:val="center"/>
              <w:rPr>
                <w:noProof/>
                <w:lang w:val="en-GB"/>
              </w:rPr>
            </w:pPr>
          </w:p>
        </w:tc>
      </w:tr>
      <w:tr w:rsidR="00D0301A" w:rsidRPr="005C3FE9" w14:paraId="7754011F" w14:textId="77777777" w:rsidTr="00A70C1B">
        <w:trPr>
          <w:trHeight w:val="347"/>
          <w:jc w:val="center"/>
        </w:trPr>
        <w:tc>
          <w:tcPr>
            <w:tcW w:w="6030" w:type="dxa"/>
            <w:vAlign w:val="center"/>
          </w:tcPr>
          <w:p w14:paraId="058FB66B" w14:textId="77777777" w:rsidR="00D0301A" w:rsidRPr="005C3FE9" w:rsidRDefault="00D0301A" w:rsidP="009E50BA">
            <w:pPr>
              <w:spacing w:line="360" w:lineRule="auto"/>
              <w:ind w:firstLine="0"/>
              <w:jc w:val="center"/>
              <w:rPr>
                <w:noProof/>
                <w:lang w:val="en-GB"/>
              </w:rPr>
            </w:pPr>
            <w:r w:rsidRPr="005C3FE9">
              <w:rPr>
                <w:lang w:val="en-US"/>
              </w:rPr>
              <w:t>N° triplets (</w:t>
            </w:r>
            <m:oMath>
              <m:r>
                <w:rPr>
                  <w:rFonts w:ascii="Cambria Math" w:hAnsi="Cambria Math"/>
                  <w:lang w:val="en-US"/>
                </w:rPr>
                <m:t>N</m:t>
              </m:r>
            </m:oMath>
            <w:r w:rsidRPr="005C3FE9">
              <w:rPr>
                <w:lang w:val="en-US"/>
              </w:rPr>
              <w:t>)</w:t>
            </w:r>
          </w:p>
        </w:tc>
        <w:tc>
          <w:tcPr>
            <w:tcW w:w="1170" w:type="dxa"/>
            <w:vAlign w:val="center"/>
          </w:tcPr>
          <w:p w14:paraId="7555D1BA" w14:textId="77777777" w:rsidR="00D0301A" w:rsidRPr="005C3FE9" w:rsidRDefault="00D0301A" w:rsidP="009E50BA">
            <w:pPr>
              <w:spacing w:line="360" w:lineRule="auto"/>
              <w:ind w:firstLine="0"/>
              <w:jc w:val="center"/>
              <w:rPr>
                <w:noProof/>
                <w:lang w:val="en-GB"/>
              </w:rPr>
            </w:pPr>
            <w:r w:rsidRPr="005C3FE9">
              <w:rPr>
                <w:lang w:val="en-US"/>
              </w:rPr>
              <w:t>-</w:t>
            </w:r>
          </w:p>
        </w:tc>
        <w:tc>
          <w:tcPr>
            <w:tcW w:w="900" w:type="dxa"/>
            <w:vAlign w:val="center"/>
          </w:tcPr>
          <w:p w14:paraId="785BC8E0" w14:textId="77777777" w:rsidR="00D0301A" w:rsidRPr="005C3FE9" w:rsidRDefault="00D0301A" w:rsidP="009E50BA">
            <w:pPr>
              <w:spacing w:line="360" w:lineRule="auto"/>
              <w:ind w:firstLine="0"/>
              <w:jc w:val="center"/>
              <w:rPr>
                <w:noProof/>
                <w:lang w:val="en-GB"/>
              </w:rPr>
            </w:pPr>
            <w:r w:rsidRPr="005C3FE9">
              <w:rPr>
                <w:noProof/>
                <w:lang w:val="en-GB"/>
              </w:rPr>
              <w:t>10</w:t>
            </w:r>
          </w:p>
        </w:tc>
        <w:tc>
          <w:tcPr>
            <w:tcW w:w="467" w:type="dxa"/>
            <w:vAlign w:val="center"/>
          </w:tcPr>
          <w:p w14:paraId="74362066" w14:textId="77777777" w:rsidR="00D0301A" w:rsidRPr="005C3FE9" w:rsidRDefault="00D0301A" w:rsidP="009E50BA">
            <w:pPr>
              <w:spacing w:line="360" w:lineRule="auto"/>
              <w:ind w:firstLine="0"/>
              <w:jc w:val="center"/>
              <w:rPr>
                <w:noProof/>
                <w:lang w:val="en-GB"/>
              </w:rPr>
            </w:pPr>
          </w:p>
        </w:tc>
        <w:tc>
          <w:tcPr>
            <w:tcW w:w="989" w:type="dxa"/>
            <w:vAlign w:val="center"/>
          </w:tcPr>
          <w:p w14:paraId="5B85DFF7" w14:textId="77777777" w:rsidR="00D0301A" w:rsidRPr="005C3FE9" w:rsidRDefault="00D0301A" w:rsidP="009E50BA">
            <w:pPr>
              <w:spacing w:line="360" w:lineRule="auto"/>
              <w:ind w:firstLine="0"/>
              <w:jc w:val="center"/>
              <w:rPr>
                <w:noProof/>
                <w:lang w:val="en-GB"/>
              </w:rPr>
            </w:pPr>
          </w:p>
        </w:tc>
        <w:tc>
          <w:tcPr>
            <w:tcW w:w="725" w:type="dxa"/>
            <w:vAlign w:val="center"/>
          </w:tcPr>
          <w:p w14:paraId="39EDEAC3" w14:textId="77777777" w:rsidR="00D0301A" w:rsidRPr="005C3FE9" w:rsidRDefault="00D0301A" w:rsidP="009E50BA">
            <w:pPr>
              <w:spacing w:line="360" w:lineRule="auto"/>
              <w:ind w:firstLine="0"/>
              <w:jc w:val="center"/>
              <w:rPr>
                <w:noProof/>
                <w:lang w:val="en-GB"/>
              </w:rPr>
            </w:pPr>
          </w:p>
        </w:tc>
      </w:tr>
      <w:tr w:rsidR="00D0301A" w:rsidRPr="005C3FE9" w14:paraId="00254A1B" w14:textId="77777777" w:rsidTr="00A70C1B">
        <w:trPr>
          <w:trHeight w:val="347"/>
          <w:jc w:val="center"/>
        </w:trPr>
        <w:tc>
          <w:tcPr>
            <w:tcW w:w="10281" w:type="dxa"/>
            <w:gridSpan w:val="6"/>
            <w:tcBorders>
              <w:top w:val="single" w:sz="4" w:space="0" w:color="auto"/>
              <w:bottom w:val="single" w:sz="4" w:space="0" w:color="auto"/>
            </w:tcBorders>
            <w:vAlign w:val="center"/>
          </w:tcPr>
          <w:p w14:paraId="6CBBEAA2" w14:textId="77777777" w:rsidR="00D0301A" w:rsidRPr="005C3FE9" w:rsidRDefault="00D0301A" w:rsidP="009E50BA">
            <w:pPr>
              <w:spacing w:line="360" w:lineRule="auto"/>
              <w:ind w:firstLine="0"/>
              <w:jc w:val="center"/>
              <w:rPr>
                <w:noProof/>
                <w:lang w:val="en-GB"/>
              </w:rPr>
            </w:pPr>
            <w:r w:rsidRPr="005C3FE9">
              <w:rPr>
                <w:noProof/>
                <w:lang w:val="en-GB"/>
              </w:rPr>
              <w:t>Process conditions</w:t>
            </w:r>
          </w:p>
        </w:tc>
      </w:tr>
      <w:tr w:rsidR="00D0301A" w:rsidRPr="005C3FE9" w14:paraId="28F76C45" w14:textId="77777777" w:rsidTr="00A70C1B">
        <w:trPr>
          <w:trHeight w:val="347"/>
          <w:jc w:val="center"/>
        </w:trPr>
        <w:tc>
          <w:tcPr>
            <w:tcW w:w="6030" w:type="dxa"/>
            <w:vAlign w:val="center"/>
          </w:tcPr>
          <w:p w14:paraId="066E92C5" w14:textId="7F3EE6B1" w:rsidR="00D0301A" w:rsidRPr="005C3FE9" w:rsidRDefault="00F82471" w:rsidP="009E50BA">
            <w:pPr>
              <w:spacing w:line="360" w:lineRule="auto"/>
              <w:ind w:firstLine="0"/>
              <w:jc w:val="center"/>
              <w:rPr>
                <w:lang w:val="en-GB"/>
              </w:rPr>
            </w:pPr>
            <w:r>
              <w:rPr>
                <w:lang w:val="en-GB"/>
              </w:rPr>
              <w:t xml:space="preserve">Initial </w:t>
            </w:r>
            <w:r w:rsidR="00D0301A" w:rsidRPr="005C3FE9">
              <w:rPr>
                <w:lang w:val="en-GB"/>
              </w:rPr>
              <w:t>NaCl concentration in the acid solution (</w:t>
            </w:r>
            <m:oMath>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t,HCl,out,a</m:t>
                  </m:r>
                </m:sub>
              </m:sSub>
            </m:oMath>
            <w:r w:rsidR="00D0301A" w:rsidRPr="005C3FE9">
              <w:rPr>
                <w:lang w:val="en-GB"/>
              </w:rPr>
              <w:t>)</w:t>
            </w:r>
          </w:p>
        </w:tc>
        <w:tc>
          <w:tcPr>
            <w:tcW w:w="1170" w:type="dxa"/>
            <w:vAlign w:val="center"/>
          </w:tcPr>
          <w:p w14:paraId="5B01315C" w14:textId="77777777" w:rsidR="00D0301A" w:rsidRPr="005C3FE9" w:rsidRDefault="00D0301A" w:rsidP="009E50BA">
            <w:pPr>
              <w:spacing w:line="360" w:lineRule="auto"/>
              <w:ind w:firstLine="0"/>
              <w:jc w:val="center"/>
              <w:rPr>
                <w:lang w:val="en-GB"/>
              </w:rPr>
            </w:pPr>
            <w:r w:rsidRPr="005C3FE9">
              <w:rPr>
                <w:lang w:val="en-GB"/>
              </w:rPr>
              <w:t>mol m</w:t>
            </w:r>
            <w:r w:rsidRPr="005C3FE9">
              <w:rPr>
                <w:vertAlign w:val="superscript"/>
                <w:lang w:val="en-GB"/>
              </w:rPr>
              <w:t>-3</w:t>
            </w:r>
          </w:p>
        </w:tc>
        <w:tc>
          <w:tcPr>
            <w:tcW w:w="900" w:type="dxa"/>
            <w:vAlign w:val="center"/>
          </w:tcPr>
          <w:p w14:paraId="57CF6D30" w14:textId="77777777" w:rsidR="00D0301A" w:rsidRPr="005C3FE9" w:rsidRDefault="00D0301A" w:rsidP="009E50BA">
            <w:pPr>
              <w:spacing w:line="360" w:lineRule="auto"/>
              <w:ind w:firstLine="0"/>
              <w:jc w:val="center"/>
              <w:rPr>
                <w:noProof/>
                <w:lang w:val="en-GB"/>
              </w:rPr>
            </w:pPr>
            <w:r w:rsidRPr="005C3FE9">
              <w:rPr>
                <w:noProof/>
                <w:lang w:val="en-GB"/>
              </w:rPr>
              <w:t>250</w:t>
            </w:r>
          </w:p>
        </w:tc>
        <w:tc>
          <w:tcPr>
            <w:tcW w:w="467" w:type="dxa"/>
            <w:vAlign w:val="center"/>
          </w:tcPr>
          <w:p w14:paraId="4B9CB150" w14:textId="77777777" w:rsidR="00D0301A" w:rsidRPr="005C3FE9" w:rsidRDefault="00D0301A" w:rsidP="009E50BA">
            <w:pPr>
              <w:spacing w:line="360" w:lineRule="auto"/>
              <w:ind w:firstLine="0"/>
              <w:jc w:val="center"/>
              <w:rPr>
                <w:noProof/>
                <w:lang w:val="en-GB"/>
              </w:rPr>
            </w:pPr>
          </w:p>
        </w:tc>
        <w:tc>
          <w:tcPr>
            <w:tcW w:w="989" w:type="dxa"/>
            <w:vAlign w:val="center"/>
          </w:tcPr>
          <w:p w14:paraId="554B32F6" w14:textId="77777777" w:rsidR="00D0301A" w:rsidRPr="005C3FE9" w:rsidRDefault="00D0301A" w:rsidP="009E50BA">
            <w:pPr>
              <w:spacing w:line="360" w:lineRule="auto"/>
              <w:ind w:firstLine="0"/>
              <w:jc w:val="center"/>
              <w:rPr>
                <w:noProof/>
                <w:lang w:val="en-GB"/>
              </w:rPr>
            </w:pPr>
          </w:p>
        </w:tc>
        <w:tc>
          <w:tcPr>
            <w:tcW w:w="725" w:type="dxa"/>
            <w:vAlign w:val="center"/>
          </w:tcPr>
          <w:p w14:paraId="40EEEC98" w14:textId="77777777" w:rsidR="00D0301A" w:rsidRPr="005C3FE9" w:rsidRDefault="00D0301A" w:rsidP="009E50BA">
            <w:pPr>
              <w:spacing w:line="360" w:lineRule="auto"/>
              <w:ind w:firstLine="0"/>
              <w:jc w:val="center"/>
              <w:rPr>
                <w:noProof/>
                <w:lang w:val="en-GB"/>
              </w:rPr>
            </w:pPr>
          </w:p>
        </w:tc>
      </w:tr>
      <w:tr w:rsidR="00D0301A" w:rsidRPr="005C3FE9" w14:paraId="7FE36FF8" w14:textId="77777777" w:rsidTr="00A70C1B">
        <w:trPr>
          <w:trHeight w:val="347"/>
          <w:jc w:val="center"/>
        </w:trPr>
        <w:tc>
          <w:tcPr>
            <w:tcW w:w="6030" w:type="dxa"/>
            <w:vAlign w:val="center"/>
          </w:tcPr>
          <w:p w14:paraId="37015FDE" w14:textId="6AABD445" w:rsidR="00D0301A" w:rsidRPr="005C3FE9" w:rsidRDefault="00F82471" w:rsidP="009E50BA">
            <w:pPr>
              <w:spacing w:line="360" w:lineRule="auto"/>
              <w:ind w:firstLine="0"/>
              <w:jc w:val="center"/>
              <w:rPr>
                <w:lang w:val="en-GB"/>
              </w:rPr>
            </w:pPr>
            <w:r>
              <w:rPr>
                <w:lang w:val="en-GB"/>
              </w:rPr>
              <w:t>Initial</w:t>
            </w:r>
            <w:r w:rsidRPr="005C3FE9">
              <w:rPr>
                <w:lang w:val="en-GB"/>
              </w:rPr>
              <w:t xml:space="preserve"> </w:t>
            </w:r>
            <w:r>
              <w:rPr>
                <w:lang w:val="en-GB"/>
              </w:rPr>
              <w:t>v</w:t>
            </w:r>
            <w:r w:rsidR="00D0301A" w:rsidRPr="005C3FE9">
              <w:rPr>
                <w:lang w:val="en-GB"/>
              </w:rPr>
              <w:t>olume of the acid solution (</w:t>
            </w:r>
            <m:oMath>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t,a</m:t>
                  </m:r>
                </m:sub>
              </m:sSub>
            </m:oMath>
            <w:r w:rsidR="00D0301A" w:rsidRPr="005C3FE9">
              <w:rPr>
                <w:lang w:val="en-GB"/>
              </w:rPr>
              <w:t>)</w:t>
            </w:r>
          </w:p>
        </w:tc>
        <w:tc>
          <w:tcPr>
            <w:tcW w:w="1170" w:type="dxa"/>
            <w:vAlign w:val="center"/>
          </w:tcPr>
          <w:p w14:paraId="4AC7A875" w14:textId="77777777" w:rsidR="00D0301A" w:rsidRPr="005C3FE9" w:rsidRDefault="00D0301A" w:rsidP="009E50BA">
            <w:pPr>
              <w:spacing w:line="360" w:lineRule="auto"/>
              <w:ind w:firstLine="0"/>
              <w:jc w:val="center"/>
              <w:rPr>
                <w:lang w:val="en-GB"/>
              </w:rPr>
            </w:pPr>
            <w:r w:rsidRPr="005C3FE9">
              <w:rPr>
                <w:lang w:val="en-GB"/>
              </w:rPr>
              <w:t>l</w:t>
            </w:r>
          </w:p>
        </w:tc>
        <w:tc>
          <w:tcPr>
            <w:tcW w:w="900" w:type="dxa"/>
            <w:vAlign w:val="center"/>
          </w:tcPr>
          <w:p w14:paraId="68965E0D" w14:textId="77777777" w:rsidR="00D0301A" w:rsidRPr="005C3FE9" w:rsidRDefault="00D0301A" w:rsidP="009E50BA">
            <w:pPr>
              <w:spacing w:line="360" w:lineRule="auto"/>
              <w:ind w:firstLine="0"/>
              <w:jc w:val="center"/>
              <w:rPr>
                <w:noProof/>
                <w:lang w:val="en-GB"/>
              </w:rPr>
            </w:pPr>
            <w:r w:rsidRPr="005C3FE9">
              <w:rPr>
                <w:noProof/>
                <w:lang w:val="en-GB"/>
              </w:rPr>
              <w:t>10</w:t>
            </w:r>
          </w:p>
        </w:tc>
        <w:tc>
          <w:tcPr>
            <w:tcW w:w="467" w:type="dxa"/>
            <w:vAlign w:val="center"/>
          </w:tcPr>
          <w:p w14:paraId="6BA318D9" w14:textId="77777777" w:rsidR="00D0301A" w:rsidRPr="005C3FE9" w:rsidRDefault="00D0301A" w:rsidP="009E50BA">
            <w:pPr>
              <w:spacing w:line="360" w:lineRule="auto"/>
              <w:ind w:firstLine="0"/>
              <w:jc w:val="center"/>
              <w:rPr>
                <w:noProof/>
                <w:lang w:val="en-GB"/>
              </w:rPr>
            </w:pPr>
          </w:p>
        </w:tc>
        <w:tc>
          <w:tcPr>
            <w:tcW w:w="989" w:type="dxa"/>
            <w:vAlign w:val="center"/>
          </w:tcPr>
          <w:p w14:paraId="6AFD2DE6" w14:textId="77777777" w:rsidR="00D0301A" w:rsidRPr="005C3FE9" w:rsidRDefault="00D0301A" w:rsidP="009E50BA">
            <w:pPr>
              <w:spacing w:line="360" w:lineRule="auto"/>
              <w:ind w:firstLine="0"/>
              <w:jc w:val="center"/>
              <w:rPr>
                <w:noProof/>
                <w:lang w:val="en-GB"/>
              </w:rPr>
            </w:pPr>
          </w:p>
        </w:tc>
        <w:tc>
          <w:tcPr>
            <w:tcW w:w="725" w:type="dxa"/>
            <w:vAlign w:val="center"/>
          </w:tcPr>
          <w:p w14:paraId="0DD6AE25" w14:textId="77777777" w:rsidR="00D0301A" w:rsidRPr="005C3FE9" w:rsidRDefault="00D0301A" w:rsidP="009E50BA">
            <w:pPr>
              <w:spacing w:line="360" w:lineRule="auto"/>
              <w:ind w:firstLine="0"/>
              <w:jc w:val="center"/>
              <w:rPr>
                <w:noProof/>
                <w:lang w:val="en-GB"/>
              </w:rPr>
            </w:pPr>
          </w:p>
        </w:tc>
      </w:tr>
      <w:tr w:rsidR="00D0301A" w:rsidRPr="005C3FE9" w14:paraId="6B5F8B3E" w14:textId="77777777" w:rsidTr="00A70C1B">
        <w:trPr>
          <w:trHeight w:val="347"/>
          <w:jc w:val="center"/>
        </w:trPr>
        <w:tc>
          <w:tcPr>
            <w:tcW w:w="6030" w:type="dxa"/>
            <w:vAlign w:val="center"/>
          </w:tcPr>
          <w:p w14:paraId="197D5590" w14:textId="33B68A03" w:rsidR="00D0301A" w:rsidRPr="005C3FE9" w:rsidRDefault="00F82471" w:rsidP="009E50BA">
            <w:pPr>
              <w:spacing w:line="360" w:lineRule="auto"/>
              <w:ind w:firstLine="0"/>
              <w:jc w:val="center"/>
              <w:rPr>
                <w:lang w:val="en-GB"/>
              </w:rPr>
            </w:pPr>
            <w:r>
              <w:rPr>
                <w:lang w:val="en-GB"/>
              </w:rPr>
              <w:t>Initial</w:t>
            </w:r>
            <w:r w:rsidRPr="005C3FE9">
              <w:rPr>
                <w:lang w:val="en-GB"/>
              </w:rPr>
              <w:t xml:space="preserve"> </w:t>
            </w:r>
            <w:r w:rsidR="00D0301A" w:rsidRPr="005C3FE9">
              <w:rPr>
                <w:lang w:val="en-GB"/>
              </w:rPr>
              <w:t>NaCl concentration in the base solution (</w:t>
            </w:r>
            <m:oMath>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t,NaCl,out,b</m:t>
                  </m:r>
                </m:sub>
              </m:sSub>
            </m:oMath>
            <w:r w:rsidR="00D0301A" w:rsidRPr="005C3FE9">
              <w:rPr>
                <w:lang w:val="en-GB"/>
              </w:rPr>
              <w:t>)</w:t>
            </w:r>
          </w:p>
        </w:tc>
        <w:tc>
          <w:tcPr>
            <w:tcW w:w="1170" w:type="dxa"/>
            <w:vAlign w:val="center"/>
          </w:tcPr>
          <w:p w14:paraId="78483C0B" w14:textId="77777777" w:rsidR="00D0301A" w:rsidRPr="005C3FE9" w:rsidRDefault="00D0301A" w:rsidP="009E50BA">
            <w:pPr>
              <w:spacing w:line="360" w:lineRule="auto"/>
              <w:ind w:firstLine="0"/>
              <w:jc w:val="center"/>
              <w:rPr>
                <w:lang w:val="en-GB"/>
              </w:rPr>
            </w:pPr>
            <w:r w:rsidRPr="005C3FE9">
              <w:rPr>
                <w:lang w:val="en-GB"/>
              </w:rPr>
              <w:t>mol m</w:t>
            </w:r>
            <w:r w:rsidRPr="005C3FE9">
              <w:rPr>
                <w:vertAlign w:val="superscript"/>
                <w:lang w:val="en-GB"/>
              </w:rPr>
              <w:t>-3</w:t>
            </w:r>
          </w:p>
        </w:tc>
        <w:tc>
          <w:tcPr>
            <w:tcW w:w="900" w:type="dxa"/>
            <w:vAlign w:val="center"/>
          </w:tcPr>
          <w:p w14:paraId="06345DD2" w14:textId="77777777" w:rsidR="00D0301A" w:rsidRPr="005C3FE9" w:rsidRDefault="00D0301A" w:rsidP="009E50BA">
            <w:pPr>
              <w:spacing w:line="360" w:lineRule="auto"/>
              <w:ind w:firstLine="0"/>
              <w:jc w:val="center"/>
              <w:rPr>
                <w:noProof/>
                <w:lang w:val="en-GB"/>
              </w:rPr>
            </w:pPr>
            <w:r w:rsidRPr="005C3FE9">
              <w:rPr>
                <w:noProof/>
                <w:lang w:val="en-GB"/>
              </w:rPr>
              <w:t>250</w:t>
            </w:r>
          </w:p>
        </w:tc>
        <w:tc>
          <w:tcPr>
            <w:tcW w:w="467" w:type="dxa"/>
            <w:vAlign w:val="center"/>
          </w:tcPr>
          <w:p w14:paraId="22000374" w14:textId="77777777" w:rsidR="00D0301A" w:rsidRPr="005C3FE9" w:rsidRDefault="00D0301A" w:rsidP="009E50BA">
            <w:pPr>
              <w:spacing w:line="360" w:lineRule="auto"/>
              <w:ind w:firstLine="0"/>
              <w:jc w:val="center"/>
              <w:rPr>
                <w:noProof/>
                <w:lang w:val="en-GB"/>
              </w:rPr>
            </w:pPr>
          </w:p>
        </w:tc>
        <w:tc>
          <w:tcPr>
            <w:tcW w:w="989" w:type="dxa"/>
            <w:vAlign w:val="center"/>
          </w:tcPr>
          <w:p w14:paraId="75913B86" w14:textId="77777777" w:rsidR="00D0301A" w:rsidRPr="005C3FE9" w:rsidRDefault="00D0301A" w:rsidP="009E50BA">
            <w:pPr>
              <w:spacing w:line="360" w:lineRule="auto"/>
              <w:ind w:firstLine="0"/>
              <w:jc w:val="center"/>
              <w:rPr>
                <w:noProof/>
                <w:lang w:val="en-GB"/>
              </w:rPr>
            </w:pPr>
          </w:p>
        </w:tc>
        <w:tc>
          <w:tcPr>
            <w:tcW w:w="725" w:type="dxa"/>
            <w:vAlign w:val="center"/>
          </w:tcPr>
          <w:p w14:paraId="5FA58155" w14:textId="77777777" w:rsidR="00D0301A" w:rsidRPr="005C3FE9" w:rsidRDefault="00D0301A" w:rsidP="009E50BA">
            <w:pPr>
              <w:spacing w:line="360" w:lineRule="auto"/>
              <w:ind w:firstLine="0"/>
              <w:jc w:val="center"/>
              <w:rPr>
                <w:noProof/>
                <w:lang w:val="en-GB"/>
              </w:rPr>
            </w:pPr>
          </w:p>
        </w:tc>
      </w:tr>
      <w:tr w:rsidR="00D0301A" w:rsidRPr="005C3FE9" w14:paraId="02B48D5C" w14:textId="77777777" w:rsidTr="00A70C1B">
        <w:trPr>
          <w:trHeight w:val="347"/>
          <w:jc w:val="center"/>
        </w:trPr>
        <w:tc>
          <w:tcPr>
            <w:tcW w:w="6030" w:type="dxa"/>
            <w:vAlign w:val="center"/>
          </w:tcPr>
          <w:p w14:paraId="4B6DC2E8" w14:textId="25852D55" w:rsidR="00D0301A" w:rsidRPr="005C3FE9" w:rsidRDefault="00F82471" w:rsidP="009E50BA">
            <w:pPr>
              <w:spacing w:line="360" w:lineRule="auto"/>
              <w:ind w:firstLine="0"/>
              <w:jc w:val="center"/>
              <w:rPr>
                <w:lang w:val="en-GB"/>
              </w:rPr>
            </w:pPr>
            <w:r>
              <w:rPr>
                <w:lang w:val="en-GB"/>
              </w:rPr>
              <w:t>Initial</w:t>
            </w:r>
            <w:r w:rsidRPr="005C3FE9">
              <w:rPr>
                <w:lang w:val="en-GB"/>
              </w:rPr>
              <w:t xml:space="preserve"> </w:t>
            </w:r>
            <w:r>
              <w:rPr>
                <w:lang w:val="en-GB"/>
              </w:rPr>
              <w:t>v</w:t>
            </w:r>
            <w:r w:rsidR="00D0301A" w:rsidRPr="005C3FE9">
              <w:rPr>
                <w:lang w:val="en-GB"/>
              </w:rPr>
              <w:t>olume of the base solution (</w:t>
            </w:r>
            <m:oMath>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t,b</m:t>
                  </m:r>
                </m:sub>
              </m:sSub>
            </m:oMath>
            <w:r w:rsidR="00D0301A" w:rsidRPr="005C3FE9">
              <w:rPr>
                <w:lang w:val="en-GB"/>
              </w:rPr>
              <w:t>)</w:t>
            </w:r>
          </w:p>
        </w:tc>
        <w:tc>
          <w:tcPr>
            <w:tcW w:w="1170" w:type="dxa"/>
            <w:vAlign w:val="center"/>
          </w:tcPr>
          <w:p w14:paraId="4CDB2203" w14:textId="77777777" w:rsidR="00D0301A" w:rsidRPr="005C3FE9" w:rsidRDefault="00D0301A" w:rsidP="009E50BA">
            <w:pPr>
              <w:spacing w:line="360" w:lineRule="auto"/>
              <w:ind w:firstLine="0"/>
              <w:jc w:val="center"/>
              <w:rPr>
                <w:lang w:val="en-GB"/>
              </w:rPr>
            </w:pPr>
            <w:r w:rsidRPr="005C3FE9">
              <w:rPr>
                <w:lang w:val="en-GB"/>
              </w:rPr>
              <w:t>l</w:t>
            </w:r>
          </w:p>
        </w:tc>
        <w:tc>
          <w:tcPr>
            <w:tcW w:w="900" w:type="dxa"/>
            <w:vAlign w:val="center"/>
          </w:tcPr>
          <w:p w14:paraId="0DB49DDE" w14:textId="77777777" w:rsidR="00D0301A" w:rsidRPr="005C3FE9" w:rsidRDefault="00D0301A" w:rsidP="009E50BA">
            <w:pPr>
              <w:spacing w:line="360" w:lineRule="auto"/>
              <w:ind w:firstLine="0"/>
              <w:jc w:val="center"/>
              <w:rPr>
                <w:noProof/>
                <w:lang w:val="en-GB"/>
              </w:rPr>
            </w:pPr>
            <w:r w:rsidRPr="005C3FE9">
              <w:rPr>
                <w:noProof/>
                <w:lang w:val="en-GB"/>
              </w:rPr>
              <w:t>10</w:t>
            </w:r>
          </w:p>
        </w:tc>
        <w:tc>
          <w:tcPr>
            <w:tcW w:w="467" w:type="dxa"/>
            <w:vAlign w:val="center"/>
          </w:tcPr>
          <w:p w14:paraId="6518F9C7" w14:textId="77777777" w:rsidR="00D0301A" w:rsidRPr="005C3FE9" w:rsidRDefault="00D0301A" w:rsidP="009E50BA">
            <w:pPr>
              <w:spacing w:line="360" w:lineRule="auto"/>
              <w:ind w:firstLine="0"/>
              <w:jc w:val="center"/>
              <w:rPr>
                <w:noProof/>
                <w:lang w:val="en-GB"/>
              </w:rPr>
            </w:pPr>
          </w:p>
        </w:tc>
        <w:tc>
          <w:tcPr>
            <w:tcW w:w="989" w:type="dxa"/>
            <w:vAlign w:val="center"/>
          </w:tcPr>
          <w:p w14:paraId="0A3346F9" w14:textId="77777777" w:rsidR="00D0301A" w:rsidRPr="005C3FE9" w:rsidRDefault="00D0301A" w:rsidP="009E50BA">
            <w:pPr>
              <w:spacing w:line="360" w:lineRule="auto"/>
              <w:ind w:firstLine="0"/>
              <w:jc w:val="center"/>
              <w:rPr>
                <w:noProof/>
                <w:lang w:val="en-GB"/>
              </w:rPr>
            </w:pPr>
          </w:p>
        </w:tc>
        <w:tc>
          <w:tcPr>
            <w:tcW w:w="725" w:type="dxa"/>
            <w:vAlign w:val="center"/>
          </w:tcPr>
          <w:p w14:paraId="6C3685B6" w14:textId="77777777" w:rsidR="00D0301A" w:rsidRPr="005C3FE9" w:rsidRDefault="00D0301A" w:rsidP="009E50BA">
            <w:pPr>
              <w:spacing w:line="360" w:lineRule="auto"/>
              <w:ind w:firstLine="0"/>
              <w:jc w:val="center"/>
              <w:rPr>
                <w:noProof/>
                <w:lang w:val="en-GB"/>
              </w:rPr>
            </w:pPr>
          </w:p>
        </w:tc>
      </w:tr>
      <w:tr w:rsidR="00D0301A" w:rsidRPr="005C3FE9" w14:paraId="0259D4F4" w14:textId="77777777" w:rsidTr="00A70C1B">
        <w:trPr>
          <w:trHeight w:val="347"/>
          <w:jc w:val="center"/>
        </w:trPr>
        <w:tc>
          <w:tcPr>
            <w:tcW w:w="6030" w:type="dxa"/>
            <w:vAlign w:val="center"/>
          </w:tcPr>
          <w:p w14:paraId="639FA7CF" w14:textId="5FB255DC" w:rsidR="00D0301A" w:rsidRPr="005C3FE9" w:rsidRDefault="00F82471" w:rsidP="009E50BA">
            <w:pPr>
              <w:spacing w:line="360" w:lineRule="auto"/>
              <w:ind w:firstLine="0"/>
              <w:jc w:val="center"/>
              <w:rPr>
                <w:lang w:val="en-US"/>
              </w:rPr>
            </w:pPr>
            <w:r>
              <w:rPr>
                <w:lang w:val="en-GB"/>
              </w:rPr>
              <w:t>Initial</w:t>
            </w:r>
            <w:r w:rsidRPr="005C3FE9">
              <w:rPr>
                <w:lang w:val="en-GB"/>
              </w:rPr>
              <w:t xml:space="preserve"> </w:t>
            </w:r>
            <w:r w:rsidR="00D0301A" w:rsidRPr="005C3FE9">
              <w:rPr>
                <w:lang w:val="en-GB"/>
              </w:rPr>
              <w:t>NaCl concentration in the salt solution (</w:t>
            </w:r>
            <m:oMath>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t,NaCl,out,s</m:t>
                  </m:r>
                </m:sub>
              </m:sSub>
            </m:oMath>
            <w:r w:rsidR="00D0301A" w:rsidRPr="005C3FE9">
              <w:rPr>
                <w:lang w:val="en-GB"/>
              </w:rPr>
              <w:t>)</w:t>
            </w:r>
          </w:p>
        </w:tc>
        <w:tc>
          <w:tcPr>
            <w:tcW w:w="1170" w:type="dxa"/>
            <w:vAlign w:val="center"/>
          </w:tcPr>
          <w:p w14:paraId="7EF5A28A" w14:textId="77777777" w:rsidR="00D0301A" w:rsidRPr="005C3FE9" w:rsidRDefault="00D0301A" w:rsidP="009E50BA">
            <w:pPr>
              <w:spacing w:line="360" w:lineRule="auto"/>
              <w:ind w:firstLine="0"/>
              <w:jc w:val="center"/>
              <w:rPr>
                <w:noProof/>
                <w:lang w:val="en-GB"/>
              </w:rPr>
            </w:pPr>
            <w:r w:rsidRPr="005C3FE9">
              <w:rPr>
                <w:lang w:val="en-GB"/>
              </w:rPr>
              <w:t>mol m</w:t>
            </w:r>
            <w:r w:rsidRPr="005C3FE9">
              <w:rPr>
                <w:vertAlign w:val="superscript"/>
                <w:lang w:val="en-GB"/>
              </w:rPr>
              <w:t>-3</w:t>
            </w:r>
          </w:p>
        </w:tc>
        <w:tc>
          <w:tcPr>
            <w:tcW w:w="900" w:type="dxa"/>
            <w:vAlign w:val="center"/>
          </w:tcPr>
          <w:p w14:paraId="30698005" w14:textId="6C695534" w:rsidR="00D0301A" w:rsidRPr="005C3FE9" w:rsidRDefault="00F82471" w:rsidP="009E50BA">
            <w:pPr>
              <w:spacing w:line="360" w:lineRule="auto"/>
              <w:ind w:firstLine="0"/>
              <w:jc w:val="center"/>
              <w:rPr>
                <w:noProof/>
                <w:lang w:val="en-GB"/>
              </w:rPr>
            </w:pPr>
            <w:r>
              <w:rPr>
                <w:noProof/>
                <w:lang w:val="en-GB"/>
              </w:rPr>
              <w:t>500</w:t>
            </w:r>
          </w:p>
        </w:tc>
        <w:tc>
          <w:tcPr>
            <w:tcW w:w="467" w:type="dxa"/>
            <w:vAlign w:val="center"/>
          </w:tcPr>
          <w:p w14:paraId="5A610B45" w14:textId="77777777" w:rsidR="00D0301A" w:rsidRPr="005C3FE9" w:rsidRDefault="00D0301A" w:rsidP="009E50BA">
            <w:pPr>
              <w:spacing w:line="360" w:lineRule="auto"/>
              <w:ind w:firstLine="0"/>
              <w:jc w:val="center"/>
              <w:rPr>
                <w:noProof/>
                <w:lang w:val="en-GB"/>
              </w:rPr>
            </w:pPr>
          </w:p>
        </w:tc>
        <w:tc>
          <w:tcPr>
            <w:tcW w:w="989" w:type="dxa"/>
            <w:vAlign w:val="center"/>
          </w:tcPr>
          <w:p w14:paraId="57FA2C88" w14:textId="77777777" w:rsidR="00D0301A" w:rsidRPr="005C3FE9" w:rsidRDefault="00D0301A" w:rsidP="009E50BA">
            <w:pPr>
              <w:spacing w:line="360" w:lineRule="auto"/>
              <w:ind w:firstLine="0"/>
              <w:jc w:val="center"/>
              <w:rPr>
                <w:noProof/>
                <w:lang w:val="en-GB"/>
              </w:rPr>
            </w:pPr>
          </w:p>
        </w:tc>
        <w:tc>
          <w:tcPr>
            <w:tcW w:w="725" w:type="dxa"/>
            <w:vAlign w:val="center"/>
          </w:tcPr>
          <w:p w14:paraId="338B4EC6" w14:textId="77777777" w:rsidR="00D0301A" w:rsidRPr="005C3FE9" w:rsidRDefault="00D0301A" w:rsidP="009E50BA">
            <w:pPr>
              <w:spacing w:line="360" w:lineRule="auto"/>
              <w:ind w:firstLine="0"/>
              <w:jc w:val="center"/>
              <w:rPr>
                <w:noProof/>
                <w:lang w:val="en-GB"/>
              </w:rPr>
            </w:pPr>
          </w:p>
        </w:tc>
      </w:tr>
      <w:tr w:rsidR="00D0301A" w:rsidRPr="005C3FE9" w14:paraId="274762E0" w14:textId="77777777" w:rsidTr="00A70C1B">
        <w:trPr>
          <w:trHeight w:val="347"/>
          <w:jc w:val="center"/>
        </w:trPr>
        <w:tc>
          <w:tcPr>
            <w:tcW w:w="6030" w:type="dxa"/>
            <w:tcBorders>
              <w:bottom w:val="single" w:sz="4" w:space="0" w:color="auto"/>
            </w:tcBorders>
            <w:vAlign w:val="center"/>
          </w:tcPr>
          <w:p w14:paraId="708A0038" w14:textId="77777777" w:rsidR="00D0301A" w:rsidRPr="005C3FE9" w:rsidRDefault="00D0301A" w:rsidP="009E50BA">
            <w:pPr>
              <w:spacing w:line="360" w:lineRule="auto"/>
              <w:ind w:firstLine="0"/>
              <w:jc w:val="center"/>
              <w:rPr>
                <w:lang w:val="en-US"/>
              </w:rPr>
            </w:pPr>
            <w:r w:rsidRPr="005C3FE9">
              <w:rPr>
                <w:lang w:val="en-GB"/>
              </w:rPr>
              <w:t>Blank resistance (</w:t>
            </w:r>
            <m:oMath>
              <m:sSub>
                <m:sSubPr>
                  <m:ctrlPr>
                    <w:rPr>
                      <w:rFonts w:ascii="Cambria Math" w:hAnsi="Cambria Math"/>
                      <w:lang w:val="en-GB"/>
                    </w:rPr>
                  </m:ctrlPr>
                </m:sSubPr>
                <m:e>
                  <m:r>
                    <w:rPr>
                      <w:rFonts w:ascii="Cambria Math" w:hAnsi="Cambria Math"/>
                      <w:lang w:val="en-GB"/>
                    </w:rPr>
                    <m:t>R</m:t>
                  </m:r>
                </m:e>
                <m:sub>
                  <m:r>
                    <w:rPr>
                      <w:rFonts w:ascii="Cambria Math" w:hAnsi="Cambria Math"/>
                      <w:lang w:val="en-GB"/>
                    </w:rPr>
                    <m:t>bl</m:t>
                  </m:r>
                </m:sub>
              </m:sSub>
            </m:oMath>
            <w:r w:rsidRPr="005C3FE9">
              <w:rPr>
                <w:lang w:val="en-GB"/>
              </w:rPr>
              <w:t>)</w:t>
            </w:r>
          </w:p>
        </w:tc>
        <w:tc>
          <w:tcPr>
            <w:tcW w:w="1170" w:type="dxa"/>
            <w:tcBorders>
              <w:bottom w:val="single" w:sz="4" w:space="0" w:color="auto"/>
            </w:tcBorders>
            <w:vAlign w:val="center"/>
          </w:tcPr>
          <w:p w14:paraId="79375089" w14:textId="77777777" w:rsidR="00D0301A" w:rsidRPr="005C3FE9" w:rsidRDefault="00D0301A" w:rsidP="009E50BA">
            <w:pPr>
              <w:spacing w:line="360" w:lineRule="auto"/>
              <w:ind w:firstLine="0"/>
              <w:jc w:val="center"/>
              <w:rPr>
                <w:noProof/>
                <w:lang w:val="en-GB"/>
              </w:rPr>
            </w:pPr>
            <w:r w:rsidRPr="005C3FE9">
              <w:rPr>
                <w:lang w:val="en-GB"/>
              </w:rPr>
              <w:t>Ω cm</w:t>
            </w:r>
            <w:r w:rsidRPr="005C3FE9">
              <w:rPr>
                <w:vertAlign w:val="superscript"/>
                <w:lang w:val="en-GB"/>
              </w:rPr>
              <w:t>2</w:t>
            </w:r>
          </w:p>
        </w:tc>
        <w:tc>
          <w:tcPr>
            <w:tcW w:w="900" w:type="dxa"/>
            <w:tcBorders>
              <w:bottom w:val="single" w:sz="4" w:space="0" w:color="auto"/>
            </w:tcBorders>
            <w:vAlign w:val="center"/>
          </w:tcPr>
          <w:p w14:paraId="5A19A30F" w14:textId="77777777" w:rsidR="00D0301A" w:rsidRPr="005C3FE9" w:rsidRDefault="00D0301A" w:rsidP="009E50BA">
            <w:pPr>
              <w:spacing w:line="360" w:lineRule="auto"/>
              <w:ind w:firstLine="0"/>
              <w:jc w:val="center"/>
              <w:rPr>
                <w:noProof/>
                <w:lang w:val="en-GB"/>
              </w:rPr>
            </w:pPr>
            <w:r w:rsidRPr="005C3FE9">
              <w:rPr>
                <w:noProof/>
                <w:lang w:val="en-GB"/>
              </w:rPr>
              <w:t>12</w:t>
            </w:r>
          </w:p>
        </w:tc>
        <w:tc>
          <w:tcPr>
            <w:tcW w:w="467" w:type="dxa"/>
            <w:tcBorders>
              <w:bottom w:val="single" w:sz="4" w:space="0" w:color="auto"/>
            </w:tcBorders>
            <w:vAlign w:val="center"/>
          </w:tcPr>
          <w:p w14:paraId="24916A11" w14:textId="77777777" w:rsidR="00D0301A" w:rsidRPr="005C3FE9" w:rsidRDefault="00D0301A" w:rsidP="009E50BA">
            <w:pPr>
              <w:spacing w:line="360" w:lineRule="auto"/>
              <w:ind w:firstLine="0"/>
              <w:jc w:val="center"/>
              <w:rPr>
                <w:noProof/>
                <w:lang w:val="en-GB"/>
              </w:rPr>
            </w:pPr>
          </w:p>
        </w:tc>
        <w:tc>
          <w:tcPr>
            <w:tcW w:w="989" w:type="dxa"/>
            <w:tcBorders>
              <w:bottom w:val="single" w:sz="4" w:space="0" w:color="auto"/>
            </w:tcBorders>
            <w:vAlign w:val="center"/>
          </w:tcPr>
          <w:p w14:paraId="799ECC10" w14:textId="77777777" w:rsidR="00D0301A" w:rsidRPr="005C3FE9" w:rsidRDefault="00D0301A" w:rsidP="009E50BA">
            <w:pPr>
              <w:spacing w:line="360" w:lineRule="auto"/>
              <w:ind w:firstLine="0"/>
              <w:jc w:val="center"/>
              <w:rPr>
                <w:noProof/>
                <w:lang w:val="en-GB"/>
              </w:rPr>
            </w:pPr>
          </w:p>
        </w:tc>
        <w:tc>
          <w:tcPr>
            <w:tcW w:w="725" w:type="dxa"/>
            <w:tcBorders>
              <w:bottom w:val="single" w:sz="4" w:space="0" w:color="auto"/>
            </w:tcBorders>
            <w:vAlign w:val="center"/>
          </w:tcPr>
          <w:p w14:paraId="5C07835D" w14:textId="77777777" w:rsidR="00D0301A" w:rsidRPr="005C3FE9" w:rsidRDefault="00D0301A" w:rsidP="009E50BA">
            <w:pPr>
              <w:spacing w:line="360" w:lineRule="auto"/>
              <w:ind w:firstLine="0"/>
              <w:jc w:val="center"/>
              <w:rPr>
                <w:noProof/>
                <w:lang w:val="en-GB"/>
              </w:rPr>
            </w:pPr>
          </w:p>
        </w:tc>
      </w:tr>
    </w:tbl>
    <w:p w14:paraId="04C7DCDA" w14:textId="0792A246" w:rsidR="00DD79B8" w:rsidRPr="005C3FE9" w:rsidRDefault="00B370B2" w:rsidP="001F4721">
      <w:pPr>
        <w:pStyle w:val="Titolo1"/>
        <w:numPr>
          <w:ilvl w:val="0"/>
          <w:numId w:val="0"/>
        </w:numPr>
        <w:ind w:left="432" w:hanging="432"/>
      </w:pPr>
      <w:r w:rsidRPr="005C3FE9">
        <w:t>Results</w:t>
      </w:r>
      <w:bookmarkEnd w:id="17"/>
      <w:r w:rsidR="0006701C" w:rsidRPr="005C3FE9">
        <w:t xml:space="preserve"> and discussion</w:t>
      </w:r>
    </w:p>
    <w:p w14:paraId="403301E1" w14:textId="53304306" w:rsidR="003D6BB7" w:rsidRPr="005C3FE9" w:rsidRDefault="003D6BB7" w:rsidP="006D4B6F">
      <w:pPr>
        <w:rPr>
          <w:lang w:val="en-GB" w:eastAsia="en-US"/>
        </w:rPr>
      </w:pPr>
      <w:r w:rsidRPr="005C3FE9">
        <w:rPr>
          <w:lang w:val="en-GB" w:eastAsia="en-US"/>
        </w:rPr>
        <w:t xml:space="preserve">In this section, the </w:t>
      </w:r>
      <w:r w:rsidR="00E672AF" w:rsidRPr="005C3FE9">
        <w:rPr>
          <w:color w:val="000000" w:themeColor="text1"/>
          <w:lang w:val="en-GB" w:eastAsia="en-US"/>
        </w:rPr>
        <w:t xml:space="preserve">bi-objective </w:t>
      </w:r>
      <w:r w:rsidRPr="005C3FE9">
        <w:rPr>
          <w:lang w:val="en-GB" w:eastAsia="en-US"/>
        </w:rPr>
        <w:t>optimi</w:t>
      </w:r>
      <w:r w:rsidR="008A0EAC">
        <w:rPr>
          <w:lang w:val="en-GB" w:eastAsia="en-US"/>
        </w:rPr>
        <w:t>s</w:t>
      </w:r>
      <w:r w:rsidRPr="005C3FE9">
        <w:rPr>
          <w:lang w:val="en-GB" w:eastAsia="en-US"/>
        </w:rPr>
        <w:t xml:space="preserve">ation results are </w:t>
      </w:r>
      <w:r w:rsidR="00E672AF" w:rsidRPr="005C3FE9">
        <w:rPr>
          <w:lang w:val="en-GB" w:eastAsia="en-US"/>
        </w:rPr>
        <w:t xml:space="preserve">presented and </w:t>
      </w:r>
      <w:r w:rsidRPr="005C3FE9">
        <w:rPr>
          <w:lang w:val="en-GB" w:eastAsia="en-US"/>
        </w:rPr>
        <w:t>discussed in detail.</w:t>
      </w:r>
    </w:p>
    <w:p w14:paraId="5E6731C6" w14:textId="1EC1339F" w:rsidR="00A72B74" w:rsidRPr="005C3FE9" w:rsidRDefault="00E672AF" w:rsidP="00A72B74">
      <w:pPr>
        <w:pStyle w:val="Titolo2"/>
        <w:spacing w:before="0"/>
        <w:rPr>
          <w:color w:val="000000" w:themeColor="text1"/>
        </w:rPr>
      </w:pPr>
      <w:r w:rsidRPr="005C3FE9">
        <w:rPr>
          <w:color w:val="000000" w:themeColor="text1"/>
        </w:rPr>
        <w:t>Pareto frontiers</w:t>
      </w:r>
    </w:p>
    <w:p w14:paraId="37ED5611" w14:textId="68DC6D01" w:rsidR="00A72B74" w:rsidRPr="005C3FE9" w:rsidRDefault="00A72B74" w:rsidP="00A72B74">
      <w:pPr>
        <w:rPr>
          <w:color w:val="000000" w:themeColor="text1"/>
          <w:lang w:val="en-GB" w:eastAsia="en-US"/>
        </w:rPr>
      </w:pPr>
      <w:r w:rsidRPr="005C3FE9">
        <w:rPr>
          <w:color w:val="000000" w:themeColor="text1"/>
          <w:lang w:val="en-GB" w:eastAsia="en-US"/>
        </w:rPr>
        <w:t>In this section, the optimi</w:t>
      </w:r>
      <w:r w:rsidR="008A0EAC">
        <w:rPr>
          <w:color w:val="000000" w:themeColor="text1"/>
          <w:lang w:val="en-GB" w:eastAsia="en-US"/>
        </w:rPr>
        <w:t>s</w:t>
      </w:r>
      <w:r w:rsidRPr="005C3FE9">
        <w:rPr>
          <w:color w:val="000000" w:themeColor="text1"/>
          <w:lang w:val="en-GB" w:eastAsia="en-US"/>
        </w:rPr>
        <w:t xml:space="preserve">ation </w:t>
      </w:r>
      <w:r w:rsidR="00FB2304" w:rsidRPr="005C3FE9">
        <w:rPr>
          <w:color w:val="000000" w:themeColor="text1"/>
          <w:lang w:val="en-GB" w:eastAsia="en-US"/>
        </w:rPr>
        <w:t>results are</w:t>
      </w:r>
      <w:r w:rsidRPr="005C3FE9">
        <w:rPr>
          <w:color w:val="000000" w:themeColor="text1"/>
          <w:lang w:val="en-GB" w:eastAsia="en-US"/>
        </w:rPr>
        <w:t xml:space="preserve"> presented. The Pareto frontiers of all the simulated scenarios are reported in</w:t>
      </w:r>
      <w:r w:rsidR="001B5C2F" w:rsidRPr="005C3FE9">
        <w:rPr>
          <w:color w:val="000000" w:themeColor="text1"/>
          <w:lang w:val="en-GB" w:eastAsia="en-US"/>
        </w:rPr>
        <w:t xml:space="preserve"> </w:t>
      </w:r>
      <w:r w:rsidR="001B5C2F" w:rsidRPr="005C3FE9">
        <w:rPr>
          <w:color w:val="000000" w:themeColor="text1"/>
          <w:lang w:val="en-GB" w:eastAsia="en-US"/>
        </w:rPr>
        <w:fldChar w:fldCharType="begin"/>
      </w:r>
      <w:r w:rsidR="001B5C2F" w:rsidRPr="005C3FE9">
        <w:rPr>
          <w:color w:val="000000" w:themeColor="text1"/>
          <w:lang w:val="en-GB" w:eastAsia="en-US"/>
        </w:rPr>
        <w:instrText xml:space="preserve"> REF _Ref55299369 \h </w:instrText>
      </w:r>
      <w:r w:rsidR="005C3FE9">
        <w:rPr>
          <w:color w:val="000000" w:themeColor="text1"/>
          <w:lang w:val="en-GB" w:eastAsia="en-US"/>
        </w:rPr>
        <w:instrText xml:space="preserve"> \* MERGEFORMAT </w:instrText>
      </w:r>
      <w:r w:rsidR="001B5C2F" w:rsidRPr="005C3FE9">
        <w:rPr>
          <w:color w:val="000000" w:themeColor="text1"/>
          <w:lang w:val="en-GB" w:eastAsia="en-US"/>
        </w:rPr>
      </w:r>
      <w:r w:rsidR="001B5C2F" w:rsidRPr="005C3FE9">
        <w:rPr>
          <w:color w:val="000000" w:themeColor="text1"/>
          <w:lang w:val="en-GB" w:eastAsia="en-US"/>
        </w:rPr>
        <w:fldChar w:fldCharType="separate"/>
      </w:r>
      <w:r w:rsidR="00561965" w:rsidRPr="005C3FE9">
        <w:rPr>
          <w:color w:val="000000" w:themeColor="text1"/>
          <w:lang w:val="en-GB"/>
        </w:rPr>
        <w:t xml:space="preserve">Figure </w:t>
      </w:r>
      <w:r w:rsidR="00561965" w:rsidRPr="005C3FE9">
        <w:rPr>
          <w:noProof/>
          <w:color w:val="000000" w:themeColor="text1"/>
          <w:lang w:val="en-GB"/>
        </w:rPr>
        <w:t>3</w:t>
      </w:r>
      <w:r w:rsidR="001B5C2F" w:rsidRPr="005C3FE9">
        <w:rPr>
          <w:color w:val="000000" w:themeColor="text1"/>
          <w:lang w:val="en-GB" w:eastAsia="en-US"/>
        </w:rPr>
        <w:fldChar w:fldCharType="end"/>
      </w:r>
      <w:r w:rsidRPr="005C3FE9">
        <w:rPr>
          <w:color w:val="000000" w:themeColor="text1"/>
          <w:lang w:val="en-GB" w:eastAsia="en-US"/>
        </w:rPr>
        <w:t xml:space="preserve">, which provides a clear picture of the battery potential and of the significance of the decision and scenario variables. All curves are monotonically </w:t>
      </w:r>
      <w:r w:rsidR="001F4721">
        <w:rPr>
          <w:color w:val="000000" w:themeColor="text1"/>
          <w:lang w:val="en-GB" w:eastAsia="en-US"/>
        </w:rPr>
        <w:t>decreasing</w:t>
      </w:r>
      <w:r w:rsidRPr="005C3FE9">
        <w:rPr>
          <w:color w:val="000000" w:themeColor="text1"/>
          <w:lang w:val="en-GB" w:eastAsia="en-US"/>
        </w:rPr>
        <w:t xml:space="preserve"> </w:t>
      </w:r>
      <w:r w:rsidR="00FB2304" w:rsidRPr="005C3FE9">
        <w:rPr>
          <w:color w:val="000000" w:themeColor="text1"/>
          <w:lang w:val="en-GB" w:eastAsia="en-US"/>
        </w:rPr>
        <w:t xml:space="preserve">with </w:t>
      </w:r>
      <w:r w:rsidRPr="005C3FE9">
        <w:rPr>
          <w:color w:val="000000" w:themeColor="text1"/>
          <w:lang w:val="en-GB" w:eastAsia="en-US"/>
        </w:rPr>
        <w:t>concav</w:t>
      </w:r>
      <w:r w:rsidR="00FB2304" w:rsidRPr="005C3FE9">
        <w:rPr>
          <w:color w:val="000000" w:themeColor="text1"/>
          <w:lang w:val="en-GB" w:eastAsia="en-US"/>
        </w:rPr>
        <w:t>ity downwards</w:t>
      </w:r>
      <w:r w:rsidRPr="005C3FE9">
        <w:rPr>
          <w:color w:val="000000" w:themeColor="text1"/>
          <w:lang w:val="en-GB" w:eastAsia="en-US"/>
        </w:rPr>
        <w:t xml:space="preserve">. </w:t>
      </w:r>
    </w:p>
    <w:p w14:paraId="270B9B8D" w14:textId="77777777" w:rsidR="00A72B74" w:rsidRPr="005C3FE9" w:rsidRDefault="00A72B74" w:rsidP="00A72B74">
      <w:pPr>
        <w:keepNext/>
        <w:jc w:val="center"/>
        <w:rPr>
          <w:color w:val="000000" w:themeColor="text1"/>
          <w:lang w:val="en-GB"/>
        </w:rPr>
      </w:pPr>
      <w:r w:rsidRPr="005C3FE9">
        <w:rPr>
          <w:noProof/>
          <w:color w:val="000000" w:themeColor="text1"/>
        </w:rPr>
        <w:lastRenderedPageBreak/>
        <w:drawing>
          <wp:inline distT="0" distB="0" distL="0" distR="0" wp14:anchorId="3A15BAA1" wp14:editId="6EA5837C">
            <wp:extent cx="4105275" cy="3419475"/>
            <wp:effectExtent l="0" t="0" r="9525" b="9525"/>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105275" cy="3419475"/>
                    </a:xfrm>
                    <a:prstGeom prst="rect">
                      <a:avLst/>
                    </a:prstGeom>
                    <a:noFill/>
                    <a:ln>
                      <a:noFill/>
                    </a:ln>
                  </pic:spPr>
                </pic:pic>
              </a:graphicData>
            </a:graphic>
          </wp:inline>
        </w:drawing>
      </w:r>
    </w:p>
    <w:p w14:paraId="035B2DBE" w14:textId="13B95035" w:rsidR="00A72B74" w:rsidRPr="005C3FE9" w:rsidRDefault="00A72B74" w:rsidP="00A72B74">
      <w:pPr>
        <w:pStyle w:val="Didascalia"/>
        <w:jc w:val="both"/>
        <w:rPr>
          <w:color w:val="000000" w:themeColor="text1"/>
          <w:lang w:val="en-GB"/>
        </w:rPr>
      </w:pPr>
      <w:bookmarkStart w:id="18" w:name="_Ref55299369"/>
      <w:bookmarkStart w:id="19" w:name="_Toc55483335"/>
      <w:bookmarkStart w:id="20" w:name="_Toc56167494"/>
      <w:bookmarkStart w:id="21" w:name="_Toc63327958"/>
      <w:r w:rsidRPr="005C3FE9">
        <w:rPr>
          <w:color w:val="000000" w:themeColor="text1"/>
          <w:lang w:val="en-GB"/>
        </w:rPr>
        <w:t xml:space="preserve">Figure </w:t>
      </w:r>
      <w:r w:rsidRPr="005C3FE9">
        <w:rPr>
          <w:color w:val="000000" w:themeColor="text1"/>
          <w:lang w:val="en-GB"/>
        </w:rPr>
        <w:fldChar w:fldCharType="begin"/>
      </w:r>
      <w:r w:rsidRPr="005C3FE9">
        <w:rPr>
          <w:color w:val="000000" w:themeColor="text1"/>
          <w:lang w:val="en-GB"/>
        </w:rPr>
        <w:instrText xml:space="preserve"> SEQ Figure \* ARABIC </w:instrText>
      </w:r>
      <w:r w:rsidRPr="005C3FE9">
        <w:rPr>
          <w:color w:val="000000" w:themeColor="text1"/>
          <w:lang w:val="en-GB"/>
        </w:rPr>
        <w:fldChar w:fldCharType="separate"/>
      </w:r>
      <w:r w:rsidR="00810CF6">
        <w:rPr>
          <w:noProof/>
          <w:color w:val="000000" w:themeColor="text1"/>
          <w:lang w:val="en-GB"/>
        </w:rPr>
        <w:t>3</w:t>
      </w:r>
      <w:r w:rsidRPr="005C3FE9">
        <w:rPr>
          <w:color w:val="000000" w:themeColor="text1"/>
          <w:lang w:val="en-GB"/>
        </w:rPr>
        <w:fldChar w:fldCharType="end"/>
      </w:r>
      <w:bookmarkEnd w:id="18"/>
      <w:r w:rsidRPr="005C3FE9">
        <w:rPr>
          <w:color w:val="000000" w:themeColor="text1"/>
          <w:lang w:val="en-GB"/>
        </w:rPr>
        <w:t xml:space="preserve">. Pareto frontier of net RTE as a function of the </w:t>
      </w:r>
      <w:bookmarkEnd w:id="19"/>
      <w:bookmarkEnd w:id="20"/>
      <w:bookmarkEnd w:id="21"/>
      <m:oMath>
        <m:acc>
          <m:accPr>
            <m:chr m:val="̅"/>
            <m:ctrlPr>
              <w:rPr>
                <w:rFonts w:ascii="Cambria Math" w:eastAsia="Calibri" w:hAnsi="Cambria Math"/>
                <w:i/>
              </w:rPr>
            </m:ctrlPr>
          </m:accPr>
          <m:e>
            <m:sSub>
              <m:sSubPr>
                <m:ctrlPr>
                  <w:rPr>
                    <w:rFonts w:ascii="Cambria Math" w:eastAsia="Calibri" w:hAnsi="Cambria Math"/>
                    <w:i/>
                  </w:rPr>
                </m:ctrlPr>
              </m:sSubPr>
              <m:e>
                <m:r>
                  <w:rPr>
                    <w:rFonts w:ascii="Cambria Math" w:hAnsi="Cambria Math"/>
                  </w:rPr>
                  <m:t>NPD</m:t>
                </m:r>
              </m:e>
              <m:sub>
                <m:r>
                  <w:rPr>
                    <w:rFonts w:ascii="Cambria Math" w:hAnsi="Cambria Math"/>
                  </w:rPr>
                  <m:t>d</m:t>
                </m:r>
              </m:sub>
            </m:sSub>
          </m:e>
        </m:acc>
      </m:oMath>
      <w:r w:rsidR="00846DBD">
        <w:t xml:space="preserve"> </w:t>
      </w:r>
      <w:r w:rsidR="00393223" w:rsidRPr="005C3FE9">
        <w:rPr>
          <w:color w:val="000000" w:themeColor="text1"/>
          <w:lang w:val="en-GB"/>
        </w:rPr>
        <w:t>for all the simulated scenarios</w:t>
      </w:r>
      <w:r w:rsidRPr="005C3FE9">
        <w:rPr>
          <w:color w:val="000000" w:themeColor="text1"/>
          <w:lang w:val="en-GB"/>
        </w:rPr>
        <w:t>.</w:t>
      </w:r>
    </w:p>
    <w:p w14:paraId="6FC20886" w14:textId="54AC4527" w:rsidR="001B5C2F" w:rsidRPr="005C3FE9" w:rsidRDefault="00A72B74" w:rsidP="001B5C2F">
      <w:pPr>
        <w:rPr>
          <w:color w:val="000000" w:themeColor="text1"/>
          <w:lang w:val="en-GB" w:eastAsia="en-US"/>
        </w:rPr>
      </w:pPr>
      <w:r w:rsidRPr="005C3FE9">
        <w:rPr>
          <w:color w:val="000000" w:themeColor="text1"/>
          <w:lang w:val="en-GB" w:eastAsia="en-US"/>
        </w:rPr>
        <w:t xml:space="preserve">The Pareto curve for scenario A (where the charge and discharge current densities are the only decision variables) shows a maximum of </w:t>
      </w:r>
      <w:proofErr w:type="spellStart"/>
      <w:r w:rsidRPr="005C3FE9">
        <w:rPr>
          <w:color w:val="000000" w:themeColor="text1"/>
          <w:lang w:val="en-GB" w:eastAsia="en-US"/>
        </w:rPr>
        <w:t>RTE</w:t>
      </w:r>
      <w:r w:rsidRPr="005C3FE9">
        <w:rPr>
          <w:color w:val="000000" w:themeColor="text1"/>
          <w:vertAlign w:val="subscript"/>
          <w:lang w:val="en-GB" w:eastAsia="en-US"/>
        </w:rPr>
        <w:t>net</w:t>
      </w:r>
      <w:proofErr w:type="spellEnd"/>
      <w:r w:rsidRPr="005C3FE9">
        <w:rPr>
          <w:color w:val="000000" w:themeColor="text1"/>
          <w:lang w:val="en-GB" w:eastAsia="en-US"/>
        </w:rPr>
        <w:t xml:space="preserve"> of 50.6%, which corresponds to the minimum of the constrained </w:t>
      </w:r>
      <m:oMath>
        <m:acc>
          <m:accPr>
            <m:chr m:val="̅"/>
            <m:ctrlPr>
              <w:rPr>
                <w:rFonts w:ascii="Cambria Math" w:eastAsia="Calibri" w:hAnsi="Cambria Math"/>
                <w:i/>
                <w:lang w:eastAsia="en-US"/>
              </w:rPr>
            </m:ctrlPr>
          </m:accPr>
          <m:e>
            <m:sSub>
              <m:sSubPr>
                <m:ctrlPr>
                  <w:rPr>
                    <w:rFonts w:ascii="Cambria Math" w:eastAsia="Calibri" w:hAnsi="Cambria Math"/>
                    <w:i/>
                    <w:lang w:eastAsia="en-US"/>
                  </w:rPr>
                </m:ctrlPr>
              </m:sSubPr>
              <m:e>
                <m:r>
                  <w:rPr>
                    <w:rFonts w:ascii="Cambria Math" w:hAnsi="Cambria Math"/>
                  </w:rPr>
                  <m:t>NPD</m:t>
                </m:r>
              </m:e>
              <m:sub>
                <m:r>
                  <w:rPr>
                    <w:rFonts w:ascii="Cambria Math" w:hAnsi="Cambria Math"/>
                  </w:rPr>
                  <m:t>d</m:t>
                </m:r>
              </m:sub>
            </m:sSub>
          </m:e>
        </m:acc>
      </m:oMath>
      <w:r w:rsidR="00846DBD" w:rsidRPr="00846DBD">
        <w:rPr>
          <w:lang w:val="en-US" w:eastAsia="en-US"/>
        </w:rPr>
        <w:t xml:space="preserve"> </w:t>
      </w:r>
      <w:r w:rsidRPr="005C3FE9">
        <w:rPr>
          <w:color w:val="000000" w:themeColor="text1"/>
          <w:lang w:val="en-GB" w:eastAsia="en-US"/>
        </w:rPr>
        <w:t>equal to 5.78 W m</w:t>
      </w:r>
      <w:r w:rsidRPr="005C3FE9">
        <w:rPr>
          <w:color w:val="000000" w:themeColor="text1"/>
          <w:vertAlign w:val="superscript"/>
          <w:lang w:val="en-GB" w:eastAsia="en-US"/>
        </w:rPr>
        <w:t>-2</w:t>
      </w:r>
      <w:r w:rsidRPr="005C3FE9">
        <w:rPr>
          <w:color w:val="000000" w:themeColor="text1"/>
          <w:lang w:val="en-GB" w:eastAsia="en-US"/>
        </w:rPr>
        <w:t xml:space="preserve">. At the opposite side of the frontier, the maximum value of constrained </w:t>
      </w:r>
      <m:oMath>
        <m:acc>
          <m:accPr>
            <m:chr m:val="̅"/>
            <m:ctrlPr>
              <w:rPr>
                <w:rFonts w:ascii="Cambria Math" w:eastAsia="Calibri" w:hAnsi="Cambria Math"/>
                <w:i/>
                <w:lang w:eastAsia="en-US"/>
              </w:rPr>
            </m:ctrlPr>
          </m:accPr>
          <m:e>
            <m:sSub>
              <m:sSubPr>
                <m:ctrlPr>
                  <w:rPr>
                    <w:rFonts w:ascii="Cambria Math" w:eastAsia="Calibri" w:hAnsi="Cambria Math"/>
                    <w:i/>
                    <w:lang w:eastAsia="en-US"/>
                  </w:rPr>
                </m:ctrlPr>
              </m:sSubPr>
              <m:e>
                <m:r>
                  <w:rPr>
                    <w:rFonts w:ascii="Cambria Math" w:hAnsi="Cambria Math"/>
                  </w:rPr>
                  <m:t>NPD</m:t>
                </m:r>
              </m:e>
              <m:sub>
                <m:r>
                  <w:rPr>
                    <w:rFonts w:ascii="Cambria Math" w:hAnsi="Cambria Math"/>
                  </w:rPr>
                  <m:t>d</m:t>
                </m:r>
              </m:sub>
            </m:sSub>
          </m:e>
        </m:acc>
      </m:oMath>
      <w:r w:rsidRPr="005C3FE9">
        <w:rPr>
          <w:color w:val="000000" w:themeColor="text1"/>
          <w:lang w:val="en-GB" w:eastAsia="en-US"/>
        </w:rPr>
        <w:t>, equal to 13.0 W m</w:t>
      </w:r>
      <w:r w:rsidRPr="005C3FE9">
        <w:rPr>
          <w:color w:val="000000" w:themeColor="text1"/>
          <w:vertAlign w:val="superscript"/>
          <w:lang w:val="en-GB" w:eastAsia="en-US"/>
        </w:rPr>
        <w:t>-2</w:t>
      </w:r>
      <w:r w:rsidRPr="005C3FE9">
        <w:rPr>
          <w:color w:val="000000" w:themeColor="text1"/>
          <w:lang w:val="en-GB" w:eastAsia="en-US"/>
        </w:rPr>
        <w:t xml:space="preserve">, provides an </w:t>
      </w:r>
      <w:proofErr w:type="spellStart"/>
      <w:r w:rsidRPr="005C3FE9">
        <w:rPr>
          <w:color w:val="000000" w:themeColor="text1"/>
          <w:lang w:val="en-GB" w:eastAsia="en-US"/>
        </w:rPr>
        <w:t>RTE</w:t>
      </w:r>
      <w:r w:rsidRPr="005C3FE9">
        <w:rPr>
          <w:color w:val="000000" w:themeColor="text1"/>
          <w:vertAlign w:val="subscript"/>
          <w:lang w:val="en-GB" w:eastAsia="en-US"/>
        </w:rPr>
        <w:t>net</w:t>
      </w:r>
      <w:proofErr w:type="spellEnd"/>
      <w:r w:rsidRPr="005C3FE9">
        <w:rPr>
          <w:color w:val="000000" w:themeColor="text1"/>
          <w:lang w:val="en-GB" w:eastAsia="en-US"/>
        </w:rPr>
        <w:t xml:space="preserve"> of 40.6%. Along with the two decision variables from scenario A (charge and discharge current densities), scenario B includes the mean channel flow velocities in the two battery phases. The resulting Pareto curve is by 3/4 almost overlapped to that of scenario A but extends on the right side towards higher values of </w:t>
      </w:r>
      <m:oMath>
        <m:acc>
          <m:accPr>
            <m:chr m:val="̅"/>
            <m:ctrlPr>
              <w:rPr>
                <w:rFonts w:ascii="Cambria Math" w:eastAsia="Calibri" w:hAnsi="Cambria Math"/>
                <w:i/>
                <w:lang w:eastAsia="en-US"/>
              </w:rPr>
            </m:ctrlPr>
          </m:accPr>
          <m:e>
            <m:sSub>
              <m:sSubPr>
                <m:ctrlPr>
                  <w:rPr>
                    <w:rFonts w:ascii="Cambria Math" w:eastAsia="Calibri" w:hAnsi="Cambria Math"/>
                    <w:i/>
                    <w:lang w:eastAsia="en-US"/>
                  </w:rPr>
                </m:ctrlPr>
              </m:sSubPr>
              <m:e>
                <m:r>
                  <w:rPr>
                    <w:rFonts w:ascii="Cambria Math" w:hAnsi="Cambria Math"/>
                  </w:rPr>
                  <m:t>NPD</m:t>
                </m:r>
              </m:e>
              <m:sub>
                <m:r>
                  <w:rPr>
                    <w:rFonts w:ascii="Cambria Math" w:hAnsi="Cambria Math"/>
                  </w:rPr>
                  <m:t>d</m:t>
                </m:r>
              </m:sub>
            </m:sSub>
          </m:e>
        </m:acc>
      </m:oMath>
      <w:r w:rsidR="00846DBD" w:rsidRPr="005C3FE9">
        <w:rPr>
          <w:color w:val="000000" w:themeColor="text1"/>
          <w:lang w:val="en-GB" w:eastAsia="en-US"/>
        </w:rPr>
        <w:t xml:space="preserve"> </w:t>
      </w:r>
      <w:r w:rsidRPr="005C3FE9">
        <w:rPr>
          <w:color w:val="000000" w:themeColor="text1"/>
          <w:lang w:val="en-GB" w:eastAsia="en-US"/>
        </w:rPr>
        <w:t>(up to 14.5 W m</w:t>
      </w:r>
      <w:r w:rsidRPr="005C3FE9">
        <w:rPr>
          <w:color w:val="000000" w:themeColor="text1"/>
          <w:vertAlign w:val="superscript"/>
          <w:lang w:val="en-GB" w:eastAsia="en-US"/>
        </w:rPr>
        <w:t>-2</w:t>
      </w:r>
      <w:r w:rsidRPr="005C3FE9">
        <w:rPr>
          <w:color w:val="000000" w:themeColor="text1"/>
          <w:lang w:val="en-GB" w:eastAsia="en-US"/>
        </w:rPr>
        <w:t xml:space="preserve">, with an associated </w:t>
      </w:r>
      <w:proofErr w:type="spellStart"/>
      <w:r w:rsidRPr="005C3FE9">
        <w:rPr>
          <w:color w:val="000000" w:themeColor="text1"/>
          <w:lang w:val="en-GB" w:eastAsia="en-US"/>
        </w:rPr>
        <w:t>RTE</w:t>
      </w:r>
      <w:r w:rsidRPr="005C3FE9">
        <w:rPr>
          <w:color w:val="000000" w:themeColor="text1"/>
          <w:vertAlign w:val="subscript"/>
          <w:lang w:val="en-GB" w:eastAsia="en-US"/>
        </w:rPr>
        <w:t>net</w:t>
      </w:r>
      <w:proofErr w:type="spellEnd"/>
      <w:r w:rsidRPr="005C3FE9">
        <w:rPr>
          <w:color w:val="000000" w:themeColor="text1"/>
          <w:lang w:val="en-GB" w:eastAsia="en-US"/>
        </w:rPr>
        <w:t xml:space="preserve"> reduced to 32.1%). In scenario C, the target concentrations of charge and discharge are added as decision variables. The difference in acid concentration between the beginning and the end of discharge could range from a minimum of 300 mol m</w:t>
      </w:r>
      <w:r w:rsidRPr="005C3FE9">
        <w:rPr>
          <w:color w:val="000000" w:themeColor="text1"/>
          <w:vertAlign w:val="superscript"/>
          <w:lang w:val="en-GB" w:eastAsia="en-US"/>
        </w:rPr>
        <w:t>-3</w:t>
      </w:r>
      <w:r w:rsidRPr="005C3FE9">
        <w:rPr>
          <w:color w:val="000000" w:themeColor="text1"/>
          <w:lang w:val="en-GB" w:eastAsia="en-US"/>
        </w:rPr>
        <w:t xml:space="preserve"> </w:t>
      </w:r>
      <w:r w:rsidR="00194CED">
        <w:rPr>
          <w:lang w:val="en-US"/>
        </w:rPr>
        <w:t>(i.e., the difference between the lower bound charge target concentration and the upper bound discharge target concentration)</w:t>
      </w:r>
      <w:r w:rsidR="00194CED">
        <w:rPr>
          <w:color w:val="000000" w:themeColor="text1"/>
          <w:lang w:val="en-GB" w:eastAsia="en-US"/>
        </w:rPr>
        <w:t xml:space="preserve"> </w:t>
      </w:r>
      <w:r w:rsidRPr="005C3FE9">
        <w:rPr>
          <w:color w:val="000000" w:themeColor="text1"/>
          <w:lang w:val="en-GB" w:eastAsia="en-US"/>
        </w:rPr>
        <w:t>to a maximum of 950 mol m</w:t>
      </w:r>
      <w:r w:rsidRPr="005C3FE9">
        <w:rPr>
          <w:color w:val="000000" w:themeColor="text1"/>
          <w:vertAlign w:val="superscript"/>
          <w:lang w:val="en-GB" w:eastAsia="en-US"/>
        </w:rPr>
        <w:t>-3</w:t>
      </w:r>
      <w:r w:rsidR="00194CED">
        <w:rPr>
          <w:color w:val="000000" w:themeColor="text1"/>
          <w:vertAlign w:val="superscript"/>
          <w:lang w:val="en-GB" w:eastAsia="en-US"/>
        </w:rPr>
        <w:t xml:space="preserve"> </w:t>
      </w:r>
      <w:r w:rsidR="00194CED">
        <w:rPr>
          <w:lang w:val="en-US"/>
        </w:rPr>
        <w:t>(i.e., the difference between the upper bound charge target concentration and the lower bound discharge target concentration)</w:t>
      </w:r>
      <w:r w:rsidRPr="005C3FE9">
        <w:rPr>
          <w:color w:val="000000" w:themeColor="text1"/>
          <w:lang w:val="en-GB" w:eastAsia="en-US"/>
        </w:rPr>
        <w:t xml:space="preserve">. The latter value corresponds </w:t>
      </w:r>
      <w:r w:rsidRPr="005C3FE9">
        <w:rPr>
          <w:color w:val="000000" w:themeColor="text1"/>
          <w:lang w:val="en-GB" w:eastAsia="en-US"/>
        </w:rPr>
        <w:lastRenderedPageBreak/>
        <w:t>to that fixed in scenario A and B. Overall, the Pareto frontier C is characteri</w:t>
      </w:r>
      <w:r w:rsidR="008A0EAC">
        <w:rPr>
          <w:color w:val="000000" w:themeColor="text1"/>
          <w:lang w:val="en-GB" w:eastAsia="en-US"/>
        </w:rPr>
        <w:t>s</w:t>
      </w:r>
      <w:r w:rsidRPr="005C3FE9">
        <w:rPr>
          <w:color w:val="000000" w:themeColor="text1"/>
          <w:lang w:val="en-GB" w:eastAsia="en-US"/>
        </w:rPr>
        <w:t xml:space="preserve">ed by a wider range of power density and by higher values of </w:t>
      </w:r>
      <w:proofErr w:type="spellStart"/>
      <w:r w:rsidRPr="005C3FE9">
        <w:rPr>
          <w:color w:val="000000" w:themeColor="text1"/>
          <w:lang w:val="en-GB" w:eastAsia="en-US"/>
        </w:rPr>
        <w:t>RTE</w:t>
      </w:r>
      <w:r w:rsidRPr="005C3FE9">
        <w:rPr>
          <w:color w:val="000000" w:themeColor="text1"/>
          <w:vertAlign w:val="subscript"/>
          <w:lang w:val="en-GB" w:eastAsia="en-US"/>
        </w:rPr>
        <w:t>net</w:t>
      </w:r>
      <w:proofErr w:type="spellEnd"/>
      <w:r w:rsidRPr="005C3FE9">
        <w:rPr>
          <w:color w:val="000000" w:themeColor="text1"/>
          <w:lang w:val="en-GB" w:eastAsia="en-US"/>
        </w:rPr>
        <w:t>. This shows that operating the AB-FB with shorter concentration jumps between 0 and 100% state of charge</w:t>
      </w:r>
      <w:r w:rsidRPr="005C3FE9" w:rsidDel="00D720F0">
        <w:rPr>
          <w:color w:val="000000" w:themeColor="text1"/>
          <w:lang w:val="en-GB" w:eastAsia="en-US"/>
        </w:rPr>
        <w:t xml:space="preserve"> </w:t>
      </w:r>
      <w:r w:rsidRPr="005C3FE9">
        <w:rPr>
          <w:color w:val="000000" w:themeColor="text1"/>
          <w:lang w:val="en-GB" w:eastAsia="en-US"/>
        </w:rPr>
        <w:t xml:space="preserve">can yield significant improvements in the optimal solutions. Moreover, the Pareto frontier of scenario C exhibits a long linear tract apart from the regions very close to the extreme optimal and feasible points. The maximum </w:t>
      </w:r>
      <w:proofErr w:type="spellStart"/>
      <w:r w:rsidRPr="005C3FE9">
        <w:rPr>
          <w:color w:val="000000" w:themeColor="text1"/>
          <w:lang w:val="en-GB" w:eastAsia="en-US"/>
        </w:rPr>
        <w:t>RTE</w:t>
      </w:r>
      <w:r w:rsidRPr="005C3FE9">
        <w:rPr>
          <w:color w:val="000000" w:themeColor="text1"/>
          <w:vertAlign w:val="subscript"/>
          <w:lang w:val="en-GB" w:eastAsia="en-US"/>
        </w:rPr>
        <w:t>net</w:t>
      </w:r>
      <w:proofErr w:type="spellEnd"/>
      <w:r w:rsidRPr="005C3FE9">
        <w:rPr>
          <w:color w:val="000000" w:themeColor="text1"/>
          <w:lang w:val="en-GB" w:eastAsia="en-US"/>
        </w:rPr>
        <w:t xml:space="preserve"> (62.9%) obtained in scenario C is more than 10</w:t>
      </w:r>
      <w:r w:rsidR="00C936D2">
        <w:rPr>
          <w:color w:val="000000" w:themeColor="text1"/>
          <w:lang w:val="en-GB" w:eastAsia="en-US"/>
        </w:rPr>
        <w:t xml:space="preserve"> percentage points</w:t>
      </w:r>
      <w:r w:rsidRPr="005C3FE9">
        <w:rPr>
          <w:color w:val="000000" w:themeColor="text1"/>
          <w:lang w:val="en-GB" w:eastAsia="en-US"/>
        </w:rPr>
        <w:t xml:space="preserve"> higher than that of scenario A and B, but at the expense of a further reduction of the corresponding </w:t>
      </w:r>
      <m:oMath>
        <m:acc>
          <m:accPr>
            <m:chr m:val="̅"/>
            <m:ctrlPr>
              <w:rPr>
                <w:rFonts w:ascii="Cambria Math" w:eastAsia="Calibri" w:hAnsi="Cambria Math"/>
                <w:i/>
                <w:lang w:eastAsia="en-US"/>
              </w:rPr>
            </m:ctrlPr>
          </m:accPr>
          <m:e>
            <m:sSub>
              <m:sSubPr>
                <m:ctrlPr>
                  <w:rPr>
                    <w:rFonts w:ascii="Cambria Math" w:eastAsia="Calibri" w:hAnsi="Cambria Math"/>
                    <w:i/>
                    <w:lang w:eastAsia="en-US"/>
                  </w:rPr>
                </m:ctrlPr>
              </m:sSubPr>
              <m:e>
                <m:r>
                  <w:rPr>
                    <w:rFonts w:ascii="Cambria Math" w:hAnsi="Cambria Math"/>
                  </w:rPr>
                  <m:t>NPD</m:t>
                </m:r>
              </m:e>
              <m:sub>
                <m:r>
                  <w:rPr>
                    <w:rFonts w:ascii="Cambria Math" w:hAnsi="Cambria Math"/>
                  </w:rPr>
                  <m:t>d</m:t>
                </m:r>
              </m:sub>
            </m:sSub>
          </m:e>
        </m:acc>
      </m:oMath>
      <w:r w:rsidR="00846DBD" w:rsidRPr="005C3FE9">
        <w:rPr>
          <w:color w:val="000000" w:themeColor="text1"/>
          <w:lang w:val="en-GB" w:eastAsia="en-US"/>
        </w:rPr>
        <w:t xml:space="preserve"> </w:t>
      </w:r>
      <w:r w:rsidRPr="005C3FE9">
        <w:rPr>
          <w:color w:val="000000" w:themeColor="text1"/>
          <w:lang w:val="en-GB" w:eastAsia="en-US"/>
        </w:rPr>
        <w:t>(dropped to 4.13 W m</w:t>
      </w:r>
      <w:r w:rsidRPr="005C3FE9">
        <w:rPr>
          <w:color w:val="000000" w:themeColor="text1"/>
          <w:vertAlign w:val="superscript"/>
          <w:lang w:val="en-GB" w:eastAsia="en-US"/>
        </w:rPr>
        <w:t>-2</w:t>
      </w:r>
      <w:r w:rsidRPr="005C3FE9">
        <w:rPr>
          <w:color w:val="000000" w:themeColor="text1"/>
          <w:lang w:val="en-GB" w:eastAsia="en-US"/>
        </w:rPr>
        <w:t xml:space="preserve">). Moreover, the concentration at which the maximum </w:t>
      </w:r>
      <w:proofErr w:type="spellStart"/>
      <w:r w:rsidRPr="005C3FE9">
        <w:rPr>
          <w:color w:val="000000" w:themeColor="text1"/>
          <w:lang w:val="en-GB" w:eastAsia="en-US"/>
        </w:rPr>
        <w:t>RTE</w:t>
      </w:r>
      <w:r w:rsidRPr="005C3FE9">
        <w:rPr>
          <w:color w:val="000000" w:themeColor="text1"/>
          <w:vertAlign w:val="subscript"/>
          <w:lang w:val="en-GB" w:eastAsia="en-US"/>
        </w:rPr>
        <w:t>net</w:t>
      </w:r>
      <w:proofErr w:type="spellEnd"/>
      <w:r w:rsidRPr="005C3FE9">
        <w:rPr>
          <w:color w:val="000000" w:themeColor="text1"/>
          <w:lang w:val="en-GB" w:eastAsia="en-US"/>
        </w:rPr>
        <w:t xml:space="preserve"> is found corresponds to 0.6M</w:t>
      </w:r>
      <w:r w:rsidR="00C936D2">
        <w:rPr>
          <w:color w:val="000000" w:themeColor="text1"/>
          <w:lang w:val="en-GB" w:eastAsia="en-US"/>
        </w:rPr>
        <w:t xml:space="preserve"> HCl</w:t>
      </w:r>
      <w:r w:rsidRPr="005C3FE9">
        <w:rPr>
          <w:color w:val="000000" w:themeColor="text1"/>
          <w:lang w:val="en-GB" w:eastAsia="en-US"/>
        </w:rPr>
        <w:t xml:space="preserve">; thus, the effect of a variation of the lower limit of </w:t>
      </w:r>
      <m:oMath>
        <m:sSub>
          <m:sSubPr>
            <m:ctrlPr>
              <w:rPr>
                <w:rFonts w:ascii="Cambria Math" w:hAnsi="Cambria Math"/>
                <w:i/>
                <w:color w:val="000000" w:themeColor="text1"/>
                <w:lang w:val="en-GB"/>
              </w:rPr>
            </m:ctrlPr>
          </m:sSubPr>
          <m:e>
            <m:r>
              <w:rPr>
                <w:rFonts w:ascii="Cambria Math" w:hAnsi="Cambria Math"/>
                <w:color w:val="000000" w:themeColor="text1"/>
                <w:lang w:val="en-GB"/>
              </w:rPr>
              <m:t>C</m:t>
            </m:r>
          </m:e>
          <m:sub>
            <m:r>
              <w:rPr>
                <w:rFonts w:ascii="Cambria Math" w:hAnsi="Cambria Math"/>
                <w:color w:val="000000" w:themeColor="text1"/>
                <w:lang w:val="en-GB"/>
              </w:rPr>
              <m:t>a,HCl,target,c</m:t>
            </m:r>
          </m:sub>
        </m:sSub>
      </m:oMath>
      <w:r w:rsidRPr="005C3FE9">
        <w:rPr>
          <w:color w:val="000000" w:themeColor="text1"/>
          <w:lang w:val="en-GB" w:eastAsia="en-US"/>
        </w:rPr>
        <w:t xml:space="preserve"> is included in another scenario. Specifically, for scenario D, the lower limit of the charge concentration is fixed at 0.5M. Two design features are added in scenario D, namely spacer thickness and length. By comparing scenarios C and D, it can be drawn that when adding the design variables, only minor improvements (up to about 12%</w:t>
      </w:r>
      <w:r w:rsidR="000413E6">
        <w:rPr>
          <w:color w:val="000000" w:themeColor="text1"/>
          <w:lang w:val="en-GB" w:eastAsia="en-US"/>
        </w:rPr>
        <w:t xml:space="preserve"> in relative terms</w:t>
      </w:r>
      <w:r w:rsidRPr="005C3FE9">
        <w:rPr>
          <w:color w:val="000000" w:themeColor="text1"/>
          <w:lang w:val="en-GB" w:eastAsia="en-US"/>
        </w:rPr>
        <w:t xml:space="preserve">) are predicted. Furthermore, the two curves C and D differ only slightly on the left side of the Pareto front. Indeed, scenario D results in a 0.8% increase in RTE (in absolute value). As the </w:t>
      </w:r>
      <m:oMath>
        <m:acc>
          <m:accPr>
            <m:chr m:val="̅"/>
            <m:ctrlPr>
              <w:rPr>
                <w:rFonts w:ascii="Cambria Math" w:eastAsia="Calibri" w:hAnsi="Cambria Math"/>
                <w:i/>
                <w:lang w:eastAsia="en-US"/>
              </w:rPr>
            </m:ctrlPr>
          </m:accPr>
          <m:e>
            <m:sSub>
              <m:sSubPr>
                <m:ctrlPr>
                  <w:rPr>
                    <w:rFonts w:ascii="Cambria Math" w:eastAsia="Calibri" w:hAnsi="Cambria Math"/>
                    <w:i/>
                    <w:lang w:eastAsia="en-US"/>
                  </w:rPr>
                </m:ctrlPr>
              </m:sSubPr>
              <m:e>
                <m:r>
                  <w:rPr>
                    <w:rFonts w:ascii="Cambria Math" w:hAnsi="Cambria Math"/>
                  </w:rPr>
                  <m:t>NPD</m:t>
                </m:r>
              </m:e>
              <m:sub>
                <m:r>
                  <w:rPr>
                    <w:rFonts w:ascii="Cambria Math" w:hAnsi="Cambria Math"/>
                  </w:rPr>
                  <m:t>d</m:t>
                </m:r>
              </m:sub>
            </m:sSub>
          </m:e>
        </m:acc>
      </m:oMath>
      <w:r w:rsidRPr="005C3FE9">
        <w:rPr>
          <w:color w:val="000000" w:themeColor="text1"/>
          <w:lang w:val="en-GB" w:eastAsia="en-US"/>
        </w:rPr>
        <w:t xml:space="preserve"> increases, the difference between the two curves grows. Specifically, the maximum </w:t>
      </w:r>
      <m:oMath>
        <m:acc>
          <m:accPr>
            <m:chr m:val="̅"/>
            <m:ctrlPr>
              <w:rPr>
                <w:rFonts w:ascii="Cambria Math" w:eastAsia="Calibri" w:hAnsi="Cambria Math"/>
                <w:i/>
                <w:lang w:eastAsia="en-US"/>
              </w:rPr>
            </m:ctrlPr>
          </m:accPr>
          <m:e>
            <m:sSub>
              <m:sSubPr>
                <m:ctrlPr>
                  <w:rPr>
                    <w:rFonts w:ascii="Cambria Math" w:eastAsia="Calibri" w:hAnsi="Cambria Math"/>
                    <w:i/>
                    <w:lang w:eastAsia="en-US"/>
                  </w:rPr>
                </m:ctrlPr>
              </m:sSubPr>
              <m:e>
                <m:r>
                  <w:rPr>
                    <w:rFonts w:ascii="Cambria Math" w:hAnsi="Cambria Math"/>
                  </w:rPr>
                  <m:t>NPD</m:t>
                </m:r>
              </m:e>
              <m:sub>
                <m:r>
                  <w:rPr>
                    <w:rFonts w:ascii="Cambria Math" w:hAnsi="Cambria Math"/>
                  </w:rPr>
                  <m:t>d</m:t>
                </m:r>
              </m:sub>
            </m:sSub>
          </m:e>
        </m:acc>
      </m:oMath>
      <w:r w:rsidR="00846DBD" w:rsidRPr="00846DBD">
        <w:rPr>
          <w:lang w:val="en-US" w:eastAsia="en-US"/>
        </w:rPr>
        <w:t xml:space="preserve"> </w:t>
      </w:r>
      <w:r w:rsidRPr="005C3FE9">
        <w:rPr>
          <w:color w:val="000000" w:themeColor="text1"/>
          <w:lang w:val="en-GB" w:eastAsia="en-US"/>
        </w:rPr>
        <w:t>in scenario D is 19.5 W m</w:t>
      </w:r>
      <w:r w:rsidRPr="005C3FE9">
        <w:rPr>
          <w:color w:val="000000" w:themeColor="text1"/>
          <w:vertAlign w:val="superscript"/>
          <w:lang w:val="en-GB" w:eastAsia="en-US"/>
        </w:rPr>
        <w:t>-2</w:t>
      </w:r>
      <w:r w:rsidRPr="005C3FE9">
        <w:rPr>
          <w:color w:val="000000" w:themeColor="text1"/>
          <w:lang w:val="en-GB" w:eastAsia="en-US"/>
        </w:rPr>
        <w:t xml:space="preserve">, thus resulting 15% higher compared to the maximum value for scenario C. Scenario E, devised to investigate the effect of a reduced volume of the salt solution by including all the decision variables, shows similar optimal results compared to scenario D. The most evident difference that distinguishes the two solutions’ volume ratios </w:t>
      </w:r>
      <m:oMath>
        <m:sSub>
          <m:sSubPr>
            <m:ctrlPr>
              <w:rPr>
                <w:rFonts w:ascii="Cambria Math" w:hAnsi="Cambria Math"/>
                <w:color w:val="000000" w:themeColor="text1"/>
                <w:lang w:val="en-GB"/>
              </w:rPr>
            </m:ctrlPr>
          </m:sSubPr>
          <m:e>
            <m:r>
              <w:rPr>
                <w:rFonts w:ascii="Cambria Math" w:hAnsi="Cambria Math"/>
                <w:color w:val="000000" w:themeColor="text1"/>
                <w:lang w:val="en-GB"/>
              </w:rPr>
              <m:t>V</m:t>
            </m:r>
          </m:e>
          <m:sub>
            <m:r>
              <w:rPr>
                <w:rFonts w:ascii="Cambria Math" w:hAnsi="Cambria Math"/>
                <w:color w:val="000000" w:themeColor="text1"/>
                <w:lang w:val="en-GB"/>
              </w:rPr>
              <m:t>t,a</m:t>
            </m:r>
          </m:sub>
        </m:sSub>
        <m:r>
          <m:rPr>
            <m:sty m:val="p"/>
          </m:rPr>
          <w:rPr>
            <w:rFonts w:ascii="Cambria Math" w:hAnsi="Cambria Math"/>
            <w:color w:val="000000" w:themeColor="text1"/>
            <w:lang w:val="en-GB"/>
          </w:rPr>
          <m:t>:</m:t>
        </m:r>
        <m:sSub>
          <m:sSubPr>
            <m:ctrlPr>
              <w:rPr>
                <w:rFonts w:ascii="Cambria Math" w:hAnsi="Cambria Math"/>
                <w:color w:val="000000" w:themeColor="text1"/>
                <w:lang w:val="en-GB"/>
              </w:rPr>
            </m:ctrlPr>
          </m:sSubPr>
          <m:e>
            <m:r>
              <w:rPr>
                <w:rFonts w:ascii="Cambria Math" w:hAnsi="Cambria Math"/>
                <w:color w:val="000000" w:themeColor="text1"/>
                <w:lang w:val="en-GB"/>
              </w:rPr>
              <m:t>V</m:t>
            </m:r>
          </m:e>
          <m:sub>
            <m:r>
              <w:rPr>
                <w:rFonts w:ascii="Cambria Math" w:hAnsi="Cambria Math"/>
                <w:color w:val="000000" w:themeColor="text1"/>
                <w:lang w:val="en-GB"/>
              </w:rPr>
              <m:t>t,b</m:t>
            </m:r>
          </m:sub>
        </m:sSub>
        <m:r>
          <m:rPr>
            <m:sty m:val="p"/>
          </m:rPr>
          <w:rPr>
            <w:rFonts w:ascii="Cambria Math" w:hAnsi="Cambria Math"/>
            <w:color w:val="000000" w:themeColor="text1"/>
            <w:lang w:val="en-GB"/>
          </w:rPr>
          <m:t>:</m:t>
        </m:r>
        <m:sSub>
          <m:sSubPr>
            <m:ctrlPr>
              <w:rPr>
                <w:rFonts w:ascii="Cambria Math" w:hAnsi="Cambria Math"/>
                <w:color w:val="000000" w:themeColor="text1"/>
                <w:lang w:val="en-GB"/>
              </w:rPr>
            </m:ctrlPr>
          </m:sSubPr>
          <m:e>
            <m:r>
              <w:rPr>
                <w:rFonts w:ascii="Cambria Math" w:hAnsi="Cambria Math"/>
                <w:color w:val="000000" w:themeColor="text1"/>
                <w:lang w:val="en-GB"/>
              </w:rPr>
              <m:t>V</m:t>
            </m:r>
          </m:e>
          <m:sub>
            <m:r>
              <w:rPr>
                <w:rFonts w:ascii="Cambria Math" w:hAnsi="Cambria Math"/>
                <w:color w:val="000000" w:themeColor="text1"/>
                <w:lang w:val="en-GB"/>
              </w:rPr>
              <m:t>t,s</m:t>
            </m:r>
          </m:sub>
        </m:sSub>
      </m:oMath>
      <w:r w:rsidRPr="005C3FE9">
        <w:rPr>
          <w:color w:val="000000" w:themeColor="text1"/>
          <w:lang w:val="en-GB" w:eastAsia="en-US"/>
        </w:rPr>
        <w:t xml:space="preserve"> of 1:1:1 (scenario E) and 1:1:6 (scenario D) is that in the former case the Pareto frontier extends to a significantly lower maximum of </w:t>
      </w:r>
      <m:oMath>
        <m:acc>
          <m:accPr>
            <m:chr m:val="̅"/>
            <m:ctrlPr>
              <w:rPr>
                <w:rFonts w:ascii="Cambria Math" w:eastAsia="Calibri" w:hAnsi="Cambria Math"/>
                <w:i/>
                <w:lang w:eastAsia="en-US"/>
              </w:rPr>
            </m:ctrlPr>
          </m:accPr>
          <m:e>
            <m:sSub>
              <m:sSubPr>
                <m:ctrlPr>
                  <w:rPr>
                    <w:rFonts w:ascii="Cambria Math" w:eastAsia="Calibri" w:hAnsi="Cambria Math"/>
                    <w:i/>
                    <w:lang w:eastAsia="en-US"/>
                  </w:rPr>
                </m:ctrlPr>
              </m:sSubPr>
              <m:e>
                <m:r>
                  <w:rPr>
                    <w:rFonts w:ascii="Cambria Math" w:hAnsi="Cambria Math"/>
                  </w:rPr>
                  <m:t>NPD</m:t>
                </m:r>
              </m:e>
              <m:sub>
                <m:r>
                  <w:rPr>
                    <w:rFonts w:ascii="Cambria Math" w:hAnsi="Cambria Math"/>
                  </w:rPr>
                  <m:t>d</m:t>
                </m:r>
              </m:sub>
            </m:sSub>
          </m:e>
        </m:acc>
      </m:oMath>
      <w:r w:rsidR="00846DBD" w:rsidRPr="005C3FE9">
        <w:rPr>
          <w:color w:val="000000" w:themeColor="text1"/>
          <w:lang w:val="en-GB" w:eastAsia="en-US"/>
        </w:rPr>
        <w:t xml:space="preserve"> </w:t>
      </w:r>
      <w:r w:rsidRPr="005C3FE9">
        <w:rPr>
          <w:color w:val="000000" w:themeColor="text1"/>
          <w:lang w:val="en-GB" w:eastAsia="en-US"/>
        </w:rPr>
        <w:t>(13 W m</w:t>
      </w:r>
      <w:r w:rsidRPr="005C3FE9">
        <w:rPr>
          <w:color w:val="000000" w:themeColor="text1"/>
          <w:vertAlign w:val="superscript"/>
          <w:lang w:val="en-GB" w:eastAsia="en-US"/>
        </w:rPr>
        <w:t>-2</w:t>
      </w:r>
      <w:r w:rsidRPr="005C3FE9">
        <w:rPr>
          <w:color w:val="000000" w:themeColor="text1"/>
          <w:lang w:val="en-GB" w:eastAsia="en-US"/>
        </w:rPr>
        <w:t>). Indeed, a convergence failure of the optimi</w:t>
      </w:r>
      <w:r w:rsidR="008A0EAC">
        <w:rPr>
          <w:color w:val="000000" w:themeColor="text1"/>
          <w:lang w:val="en-GB" w:eastAsia="en-US"/>
        </w:rPr>
        <w:t>s</w:t>
      </w:r>
      <w:r w:rsidRPr="005C3FE9">
        <w:rPr>
          <w:color w:val="000000" w:themeColor="text1"/>
          <w:lang w:val="en-GB" w:eastAsia="en-US"/>
        </w:rPr>
        <w:t xml:space="preserve">ation tool occurred at higher constrained values of power density due to an excessive reduction of the outlet NaCl concentration from the stack, particularly at the end of the charge phase. Higher values of initial concentration of salt may avoid this issue but would certainly lead the optimal solutions to lower values of </w:t>
      </w:r>
      <w:proofErr w:type="spellStart"/>
      <w:r w:rsidRPr="005C3FE9">
        <w:rPr>
          <w:color w:val="000000" w:themeColor="text1"/>
          <w:lang w:val="en-GB" w:eastAsia="en-US"/>
        </w:rPr>
        <w:t>RTE</w:t>
      </w:r>
      <w:r w:rsidRPr="005C3FE9">
        <w:rPr>
          <w:color w:val="000000" w:themeColor="text1"/>
          <w:vertAlign w:val="subscript"/>
          <w:lang w:val="en-GB" w:eastAsia="en-US"/>
        </w:rPr>
        <w:t>net</w:t>
      </w:r>
      <w:proofErr w:type="spellEnd"/>
      <w:r w:rsidRPr="005C3FE9">
        <w:rPr>
          <w:color w:val="000000" w:themeColor="text1"/>
          <w:lang w:val="en-GB" w:eastAsia="en-US"/>
        </w:rPr>
        <w:t xml:space="preserve">, as </w:t>
      </w:r>
      <w:r w:rsidRPr="005C3FE9">
        <w:rPr>
          <w:color w:val="000000" w:themeColor="text1"/>
          <w:lang w:val="en-GB" w:eastAsia="en-US"/>
        </w:rPr>
        <w:lastRenderedPageBreak/>
        <w:t xml:space="preserve">also shown by the slope of the Pareto curve E on the side of the maximum power density. Finally, the Pareto frontier obtained with improved membrane properties provides a possible future scenario for the AB-FB technology. Improved membranes (scenario F) may lead to a significantly enhanced performance, as highlighted by a comparison taking scenario D (current membranes) as a baseline. </w:t>
      </w:r>
      <w:r w:rsidR="001B5C2F" w:rsidRPr="005C3FE9">
        <w:rPr>
          <w:color w:val="000000" w:themeColor="text1"/>
          <w:lang w:val="en-GB" w:eastAsia="en-US"/>
        </w:rPr>
        <w:t>I</w:t>
      </w:r>
      <w:r w:rsidRPr="005C3FE9">
        <w:rPr>
          <w:color w:val="000000" w:themeColor="text1"/>
          <w:lang w:val="en-GB" w:eastAsia="en-US"/>
        </w:rPr>
        <w:t xml:space="preserve">t is important to note that the scenario F curve results to be translated upwards and elongated to the right side as </w:t>
      </w:r>
      <m:oMath>
        <m:sSub>
          <m:sSubPr>
            <m:ctrlPr>
              <w:rPr>
                <w:rFonts w:ascii="Cambria Math" w:hAnsi="Cambria Math"/>
                <w:i/>
                <w:color w:val="000000" w:themeColor="text1"/>
                <w:lang w:val="en-GB" w:eastAsia="en-US"/>
              </w:rPr>
            </m:ctrlPr>
          </m:sSubPr>
          <m:e>
            <m:acc>
              <m:accPr>
                <m:chr m:val="̅"/>
                <m:ctrlPr>
                  <w:rPr>
                    <w:rFonts w:ascii="Cambria Math" w:hAnsi="Cambria Math"/>
                    <w:i/>
                    <w:color w:val="000000" w:themeColor="text1"/>
                    <w:lang w:val="en-GB" w:eastAsia="en-US"/>
                  </w:rPr>
                </m:ctrlPr>
              </m:accPr>
              <m:e>
                <m:r>
                  <w:rPr>
                    <w:rFonts w:ascii="Cambria Math" w:hAnsi="Cambria Math"/>
                    <w:color w:val="000000" w:themeColor="text1"/>
                    <w:lang w:val="en-GB" w:eastAsia="en-US"/>
                  </w:rPr>
                  <m:t>NPD</m:t>
                </m:r>
              </m:e>
            </m:acc>
          </m:e>
          <m:sub>
            <m:r>
              <w:rPr>
                <w:rFonts w:ascii="Cambria Math" w:hAnsi="Cambria Math"/>
                <w:color w:val="000000" w:themeColor="text1"/>
                <w:lang w:val="en-GB" w:eastAsia="en-US"/>
              </w:rPr>
              <m:t>d</m:t>
            </m:r>
          </m:sub>
        </m:sSub>
      </m:oMath>
      <w:r w:rsidR="001B5C2F" w:rsidRPr="005C3FE9">
        <w:rPr>
          <w:color w:val="000000" w:themeColor="text1"/>
          <w:lang w:val="en-GB" w:eastAsia="en-US"/>
        </w:rPr>
        <w:t xml:space="preserve"> </w:t>
      </w:r>
      <w:r w:rsidRPr="005C3FE9">
        <w:rPr>
          <w:color w:val="000000" w:themeColor="text1"/>
          <w:lang w:val="en-GB" w:eastAsia="en-US"/>
        </w:rPr>
        <w:t xml:space="preserve">values increase. In particular, higher average values over the Pareto front for both </w:t>
      </w:r>
      <w:proofErr w:type="spellStart"/>
      <w:r w:rsidRPr="005C3FE9">
        <w:rPr>
          <w:color w:val="000000" w:themeColor="text1"/>
          <w:lang w:val="en-GB" w:eastAsia="en-US"/>
        </w:rPr>
        <w:t>RTE</w:t>
      </w:r>
      <w:r w:rsidRPr="005C3FE9">
        <w:rPr>
          <w:color w:val="000000" w:themeColor="text1"/>
          <w:vertAlign w:val="subscript"/>
          <w:lang w:val="en-GB" w:eastAsia="en-US"/>
        </w:rPr>
        <w:t>net</w:t>
      </w:r>
      <w:proofErr w:type="spellEnd"/>
      <w:r w:rsidRPr="005C3FE9">
        <w:rPr>
          <w:color w:val="000000" w:themeColor="text1"/>
          <w:lang w:val="en-GB" w:eastAsia="en-US"/>
        </w:rPr>
        <w:t xml:space="preserve"> and </w:t>
      </w:r>
      <m:oMath>
        <m:sSub>
          <m:sSubPr>
            <m:ctrlPr>
              <w:rPr>
                <w:rFonts w:ascii="Cambria Math" w:hAnsi="Cambria Math"/>
                <w:i/>
                <w:color w:val="000000" w:themeColor="text1"/>
                <w:lang w:val="en-GB" w:eastAsia="en-US"/>
              </w:rPr>
            </m:ctrlPr>
          </m:sSubPr>
          <m:e>
            <m:acc>
              <m:accPr>
                <m:chr m:val="̅"/>
                <m:ctrlPr>
                  <w:rPr>
                    <w:rFonts w:ascii="Cambria Math" w:hAnsi="Cambria Math"/>
                    <w:i/>
                    <w:color w:val="000000" w:themeColor="text1"/>
                    <w:lang w:val="en-GB" w:eastAsia="en-US"/>
                  </w:rPr>
                </m:ctrlPr>
              </m:accPr>
              <m:e>
                <m:r>
                  <w:rPr>
                    <w:rFonts w:ascii="Cambria Math" w:hAnsi="Cambria Math"/>
                    <w:color w:val="000000" w:themeColor="text1"/>
                    <w:lang w:val="en-GB" w:eastAsia="en-US"/>
                  </w:rPr>
                  <m:t>NPD</m:t>
                </m:r>
              </m:e>
            </m:acc>
          </m:e>
          <m:sub>
            <m:r>
              <w:rPr>
                <w:rFonts w:ascii="Cambria Math" w:hAnsi="Cambria Math"/>
                <w:color w:val="000000" w:themeColor="text1"/>
                <w:lang w:val="en-GB" w:eastAsia="en-US"/>
              </w:rPr>
              <m:t>d</m:t>
            </m:r>
          </m:sub>
        </m:sSub>
      </m:oMath>
      <w:r w:rsidRPr="005C3FE9">
        <w:rPr>
          <w:color w:val="000000" w:themeColor="text1"/>
          <w:lang w:val="en-GB" w:eastAsia="en-US"/>
        </w:rPr>
        <w:t xml:space="preserve"> are obtained. Overall, the Pareto frontier F lies almost on a straight line between the point of maximum RTE</w:t>
      </w:r>
      <w:r w:rsidRPr="005C3FE9">
        <w:rPr>
          <w:color w:val="000000" w:themeColor="text1"/>
          <w:vertAlign w:val="subscript"/>
          <w:lang w:val="en-GB" w:eastAsia="en-US"/>
        </w:rPr>
        <w:t>net</w:t>
      </w:r>
      <w:r w:rsidRPr="005C3FE9">
        <w:rPr>
          <w:color w:val="000000" w:themeColor="text1"/>
          <w:lang w:val="en-GB" w:eastAsia="en-US"/>
        </w:rPr>
        <w:t xml:space="preserve"> (4.43 W m</w:t>
      </w:r>
      <w:r w:rsidRPr="005C3FE9">
        <w:rPr>
          <w:color w:val="000000" w:themeColor="text1"/>
          <w:vertAlign w:val="superscript"/>
          <w:lang w:val="en-GB" w:eastAsia="en-US"/>
        </w:rPr>
        <w:t>-2</w:t>
      </w:r>
      <w:r w:rsidRPr="005C3FE9">
        <w:rPr>
          <w:color w:val="000000" w:themeColor="text1"/>
          <w:lang w:val="en-GB" w:eastAsia="en-US"/>
        </w:rPr>
        <w:t xml:space="preserve">, 76.1%) and the point of maximum </w:t>
      </w:r>
      <m:oMath>
        <m:sSub>
          <m:sSubPr>
            <m:ctrlPr>
              <w:rPr>
                <w:rFonts w:ascii="Cambria Math" w:hAnsi="Cambria Math"/>
                <w:i/>
                <w:color w:val="000000" w:themeColor="text1"/>
                <w:lang w:val="en-GB" w:eastAsia="en-US"/>
              </w:rPr>
            </m:ctrlPr>
          </m:sSubPr>
          <m:e>
            <m:acc>
              <m:accPr>
                <m:chr m:val="̅"/>
                <m:ctrlPr>
                  <w:rPr>
                    <w:rFonts w:ascii="Cambria Math" w:hAnsi="Cambria Math"/>
                    <w:i/>
                    <w:color w:val="000000" w:themeColor="text1"/>
                    <w:lang w:val="en-GB" w:eastAsia="en-US"/>
                  </w:rPr>
                </m:ctrlPr>
              </m:accPr>
              <m:e>
                <m:r>
                  <w:rPr>
                    <w:rFonts w:ascii="Cambria Math" w:hAnsi="Cambria Math"/>
                    <w:color w:val="000000" w:themeColor="text1"/>
                    <w:lang w:val="en-GB" w:eastAsia="en-US"/>
                  </w:rPr>
                  <m:t>NPD</m:t>
                </m:r>
              </m:e>
            </m:acc>
          </m:e>
          <m:sub>
            <m:r>
              <w:rPr>
                <w:rFonts w:ascii="Cambria Math" w:hAnsi="Cambria Math"/>
                <w:color w:val="000000" w:themeColor="text1"/>
                <w:lang w:val="en-GB" w:eastAsia="en-US"/>
              </w:rPr>
              <m:t>d</m:t>
            </m:r>
          </m:sub>
        </m:sSub>
      </m:oMath>
      <w:r w:rsidRPr="005C3FE9">
        <w:rPr>
          <w:color w:val="000000" w:themeColor="text1"/>
          <w:lang w:val="en-GB" w:eastAsia="en-US"/>
        </w:rPr>
        <w:t xml:space="preserve"> (23.2 W m</w:t>
      </w:r>
      <w:r w:rsidRPr="005C3FE9">
        <w:rPr>
          <w:color w:val="000000" w:themeColor="text1"/>
          <w:vertAlign w:val="superscript"/>
          <w:lang w:val="en-GB" w:eastAsia="en-US"/>
        </w:rPr>
        <w:t>-2</w:t>
      </w:r>
      <w:r w:rsidRPr="005C3FE9">
        <w:rPr>
          <w:color w:val="000000" w:themeColor="text1"/>
          <w:lang w:val="en-GB" w:eastAsia="en-US"/>
        </w:rPr>
        <w:t>, 59.1%).</w:t>
      </w:r>
    </w:p>
    <w:p w14:paraId="46672DCC" w14:textId="3D433DBA" w:rsidR="00E672AF" w:rsidRPr="005C3FE9" w:rsidRDefault="00E672AF" w:rsidP="001256D2">
      <w:pPr>
        <w:pStyle w:val="Titolo2"/>
        <w:spacing w:before="0"/>
        <w:rPr>
          <w:color w:val="000000" w:themeColor="text1"/>
        </w:rPr>
      </w:pPr>
      <w:r w:rsidRPr="005C3FE9">
        <w:rPr>
          <w:color w:val="000000" w:themeColor="text1"/>
        </w:rPr>
        <w:t>Optimal decision variables</w:t>
      </w:r>
    </w:p>
    <w:p w14:paraId="1B2FE385" w14:textId="26AC9386" w:rsidR="001B5C2F" w:rsidRPr="005C3FE9" w:rsidRDefault="001B5C2F" w:rsidP="001B5C2F">
      <w:pPr>
        <w:rPr>
          <w:color w:val="000000" w:themeColor="text1"/>
          <w:lang w:val="en-GB" w:eastAsia="en-US"/>
        </w:rPr>
      </w:pPr>
      <w:r w:rsidRPr="005C3FE9">
        <w:rPr>
          <w:color w:val="000000" w:themeColor="text1"/>
          <w:lang w:val="en-GB" w:eastAsia="en-US"/>
        </w:rPr>
        <w:t xml:space="preserve">The optimal values predicted for the decision variables are reported in </w:t>
      </w:r>
      <w:r w:rsidRPr="005C3FE9">
        <w:rPr>
          <w:color w:val="000000" w:themeColor="text1"/>
          <w:lang w:val="en-GB" w:eastAsia="en-US"/>
        </w:rPr>
        <w:fldChar w:fldCharType="begin"/>
      </w:r>
      <w:r w:rsidRPr="005C3FE9">
        <w:rPr>
          <w:color w:val="000000" w:themeColor="text1"/>
          <w:lang w:val="en-GB" w:eastAsia="en-US"/>
        </w:rPr>
        <w:instrText xml:space="preserve"> REF _Ref55411601 \h  \* MERGEFORMAT </w:instrText>
      </w:r>
      <w:r w:rsidRPr="005C3FE9">
        <w:rPr>
          <w:color w:val="000000" w:themeColor="text1"/>
          <w:lang w:val="en-GB" w:eastAsia="en-US"/>
        </w:rPr>
      </w:r>
      <w:r w:rsidRPr="005C3FE9">
        <w:rPr>
          <w:color w:val="000000" w:themeColor="text1"/>
          <w:lang w:val="en-GB" w:eastAsia="en-US"/>
        </w:rPr>
        <w:fldChar w:fldCharType="separate"/>
      </w:r>
      <w:r w:rsidR="00561965" w:rsidRPr="005C3FE9">
        <w:rPr>
          <w:color w:val="000000" w:themeColor="text1"/>
          <w:lang w:val="en-GB"/>
        </w:rPr>
        <w:t xml:space="preserve">Figure </w:t>
      </w:r>
      <w:r w:rsidR="00561965" w:rsidRPr="005C3FE9">
        <w:rPr>
          <w:noProof/>
          <w:color w:val="000000" w:themeColor="text1"/>
          <w:lang w:val="en-GB"/>
        </w:rPr>
        <w:t>4</w:t>
      </w:r>
      <w:r w:rsidRPr="005C3FE9">
        <w:rPr>
          <w:color w:val="000000" w:themeColor="text1"/>
          <w:lang w:val="en-GB" w:eastAsia="en-US"/>
        </w:rPr>
        <w:fldChar w:fldCharType="end"/>
      </w:r>
      <w:r w:rsidRPr="005C3FE9">
        <w:rPr>
          <w:color w:val="000000" w:themeColor="text1"/>
          <w:lang w:val="en-GB" w:eastAsia="en-US"/>
        </w:rPr>
        <w:t xml:space="preserve"> as functions of </w:t>
      </w:r>
      <w:bookmarkStart w:id="22" w:name="_Hlk108003633"/>
      <m:oMath>
        <m:sSub>
          <m:sSubPr>
            <m:ctrlPr>
              <w:rPr>
                <w:rFonts w:ascii="Cambria Math" w:hAnsi="Cambria Math"/>
                <w:i/>
                <w:color w:val="000000" w:themeColor="text1"/>
              </w:rPr>
            </m:ctrlPr>
          </m:sSubPr>
          <m:e>
            <m:acc>
              <m:accPr>
                <m:chr m:val="̅"/>
                <m:ctrlPr>
                  <w:rPr>
                    <w:rFonts w:ascii="Cambria Math" w:hAnsi="Cambria Math"/>
                    <w:i/>
                    <w:color w:val="000000" w:themeColor="text1"/>
                  </w:rPr>
                </m:ctrlPr>
              </m:accPr>
              <m:e>
                <m:r>
                  <w:rPr>
                    <w:rFonts w:ascii="Cambria Math" w:hAnsi="Cambria Math"/>
                    <w:color w:val="000000" w:themeColor="text1"/>
                  </w:rPr>
                  <m:t>NPD</m:t>
                </m:r>
              </m:e>
            </m:acc>
          </m:e>
          <m:sub>
            <m:r>
              <w:rPr>
                <w:rFonts w:ascii="Cambria Math" w:hAnsi="Cambria Math"/>
                <w:color w:val="000000" w:themeColor="text1"/>
              </w:rPr>
              <m:t>d</m:t>
            </m:r>
          </m:sub>
        </m:sSub>
      </m:oMath>
      <w:r w:rsidRPr="005C3FE9">
        <w:rPr>
          <w:color w:val="000000" w:themeColor="text1"/>
          <w:lang w:val="en-GB" w:eastAsia="en-US"/>
        </w:rPr>
        <w:t xml:space="preserve"> </w:t>
      </w:r>
      <w:bookmarkEnd w:id="22"/>
      <w:r w:rsidRPr="005C3FE9">
        <w:rPr>
          <w:color w:val="000000" w:themeColor="text1"/>
          <w:lang w:val="en-GB" w:eastAsia="en-US"/>
        </w:rPr>
        <w:t xml:space="preserve">for </w:t>
      </w:r>
      <w:r w:rsidR="00E672AF" w:rsidRPr="005C3FE9">
        <w:rPr>
          <w:color w:val="000000" w:themeColor="text1"/>
          <w:lang w:val="en-GB" w:eastAsia="en-US"/>
        </w:rPr>
        <w:t xml:space="preserve">one selected scenario, which is </w:t>
      </w:r>
      <w:r w:rsidRPr="005C3FE9">
        <w:rPr>
          <w:color w:val="000000" w:themeColor="text1"/>
          <w:lang w:val="en-GB" w:eastAsia="en-US"/>
        </w:rPr>
        <w:t xml:space="preserve">scenario D. Although interpreting the combined effects of eight decision variables is complex, some interesting points for discussion regarding optimal solutions can be drawn. </w:t>
      </w:r>
    </w:p>
    <w:p w14:paraId="17382AC7" w14:textId="2AB6A63E" w:rsidR="001B5C2F" w:rsidRPr="005C3FE9" w:rsidRDefault="000413E6" w:rsidP="001B5C2F">
      <w:pPr>
        <w:keepNext/>
        <w:rPr>
          <w:color w:val="000000" w:themeColor="text1"/>
          <w:lang w:val="en-GB"/>
        </w:rPr>
      </w:pPr>
      <w:r w:rsidRPr="000413E6">
        <w:rPr>
          <w:noProof/>
        </w:rPr>
        <w:lastRenderedPageBreak/>
        <w:drawing>
          <wp:inline distT="0" distB="0" distL="0" distR="0" wp14:anchorId="7F01346F" wp14:editId="4EE40A42">
            <wp:extent cx="6120130" cy="4570095"/>
            <wp:effectExtent l="0" t="0" r="0" b="190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20130" cy="4570095"/>
                    </a:xfrm>
                    <a:prstGeom prst="rect">
                      <a:avLst/>
                    </a:prstGeom>
                    <a:noFill/>
                    <a:ln>
                      <a:noFill/>
                    </a:ln>
                  </pic:spPr>
                </pic:pic>
              </a:graphicData>
            </a:graphic>
          </wp:inline>
        </w:drawing>
      </w:r>
    </w:p>
    <w:p w14:paraId="60CDD661" w14:textId="5F1794DC" w:rsidR="001B5C2F" w:rsidRPr="005C3FE9" w:rsidRDefault="001B5C2F" w:rsidP="001B5C2F">
      <w:pPr>
        <w:pStyle w:val="Didascalia"/>
        <w:jc w:val="both"/>
        <w:rPr>
          <w:color w:val="000000" w:themeColor="text1"/>
          <w:lang w:val="en-GB"/>
        </w:rPr>
      </w:pPr>
      <w:bookmarkStart w:id="23" w:name="_Ref55411601"/>
      <w:bookmarkStart w:id="24" w:name="_Toc55483340"/>
      <w:bookmarkStart w:id="25" w:name="_Toc56167499"/>
      <w:bookmarkStart w:id="26" w:name="_Toc63327963"/>
      <w:r w:rsidRPr="005C3FE9">
        <w:rPr>
          <w:color w:val="000000" w:themeColor="text1"/>
          <w:lang w:val="en-GB"/>
        </w:rPr>
        <w:t xml:space="preserve">Figure </w:t>
      </w:r>
      <w:r w:rsidRPr="005C3FE9">
        <w:rPr>
          <w:color w:val="000000" w:themeColor="text1"/>
          <w:lang w:val="en-GB"/>
        </w:rPr>
        <w:fldChar w:fldCharType="begin"/>
      </w:r>
      <w:r w:rsidRPr="005C3FE9">
        <w:rPr>
          <w:color w:val="000000" w:themeColor="text1"/>
          <w:lang w:val="en-GB"/>
        </w:rPr>
        <w:instrText xml:space="preserve"> SEQ Figure \* ARABIC </w:instrText>
      </w:r>
      <w:r w:rsidRPr="005C3FE9">
        <w:rPr>
          <w:color w:val="000000" w:themeColor="text1"/>
          <w:lang w:val="en-GB"/>
        </w:rPr>
        <w:fldChar w:fldCharType="separate"/>
      </w:r>
      <w:r w:rsidR="00810CF6">
        <w:rPr>
          <w:noProof/>
          <w:color w:val="000000" w:themeColor="text1"/>
          <w:lang w:val="en-GB"/>
        </w:rPr>
        <w:t>4</w:t>
      </w:r>
      <w:r w:rsidRPr="005C3FE9">
        <w:rPr>
          <w:color w:val="000000" w:themeColor="text1"/>
          <w:lang w:val="en-GB"/>
        </w:rPr>
        <w:fldChar w:fldCharType="end"/>
      </w:r>
      <w:bookmarkEnd w:id="23"/>
      <w:r w:rsidRPr="005C3FE9">
        <w:rPr>
          <w:color w:val="000000" w:themeColor="text1"/>
          <w:lang w:val="en-GB"/>
        </w:rPr>
        <w:t xml:space="preserve">. Optimal values of the decision variables as functions of the </w:t>
      </w:r>
      <m:oMath>
        <m:acc>
          <m:accPr>
            <m:chr m:val="̅"/>
            <m:ctrlPr>
              <w:rPr>
                <w:rFonts w:ascii="Cambria Math" w:eastAsia="Calibri" w:hAnsi="Cambria Math"/>
                <w:i/>
              </w:rPr>
            </m:ctrlPr>
          </m:accPr>
          <m:e>
            <m:sSub>
              <m:sSubPr>
                <m:ctrlPr>
                  <w:rPr>
                    <w:rFonts w:ascii="Cambria Math" w:eastAsia="Calibri" w:hAnsi="Cambria Math"/>
                    <w:i/>
                  </w:rPr>
                </m:ctrlPr>
              </m:sSubPr>
              <m:e>
                <m:r>
                  <w:rPr>
                    <w:rFonts w:ascii="Cambria Math" w:hAnsi="Cambria Math"/>
                  </w:rPr>
                  <m:t>NPD</m:t>
                </m:r>
              </m:e>
              <m:sub>
                <m:r>
                  <w:rPr>
                    <w:rFonts w:ascii="Cambria Math" w:hAnsi="Cambria Math"/>
                  </w:rPr>
                  <m:t>d</m:t>
                </m:r>
              </m:sub>
            </m:sSub>
          </m:e>
        </m:acc>
      </m:oMath>
      <w:r w:rsidRPr="005C3FE9">
        <w:rPr>
          <w:color w:val="000000" w:themeColor="text1"/>
          <w:lang w:val="en-GB"/>
        </w:rPr>
        <w:t xml:space="preserve"> for scenario D. a) </w:t>
      </w:r>
      <m:oMath>
        <m:sSub>
          <m:sSubPr>
            <m:ctrlPr>
              <w:rPr>
                <w:rFonts w:ascii="Cambria Math" w:hAnsi="Cambria Math"/>
                <w:color w:val="000000" w:themeColor="text1"/>
                <w:lang w:val="en-GB"/>
              </w:rPr>
            </m:ctrlPr>
          </m:sSubPr>
          <m:e>
            <m:r>
              <w:rPr>
                <w:rFonts w:ascii="Cambria Math" w:hAnsi="Cambria Math"/>
                <w:color w:val="000000" w:themeColor="text1"/>
                <w:lang w:val="en-GB"/>
              </w:rPr>
              <m:t>i</m:t>
            </m:r>
          </m:e>
          <m:sub>
            <m:r>
              <w:rPr>
                <w:rFonts w:ascii="Cambria Math" w:hAnsi="Cambria Math"/>
                <w:color w:val="000000" w:themeColor="text1"/>
                <w:lang w:val="en-GB"/>
              </w:rPr>
              <m:t>c</m:t>
            </m:r>
          </m:sub>
        </m:sSub>
      </m:oMath>
      <w:r w:rsidRPr="005C3FE9">
        <w:rPr>
          <w:color w:val="000000" w:themeColor="text1"/>
          <w:lang w:val="en-GB"/>
        </w:rPr>
        <w:t xml:space="preserve"> and </w:t>
      </w:r>
      <m:oMath>
        <m:sSub>
          <m:sSubPr>
            <m:ctrlPr>
              <w:rPr>
                <w:rFonts w:ascii="Cambria Math" w:hAnsi="Cambria Math"/>
                <w:color w:val="000000" w:themeColor="text1"/>
                <w:lang w:val="en-GB"/>
              </w:rPr>
            </m:ctrlPr>
          </m:sSubPr>
          <m:e>
            <m:r>
              <w:rPr>
                <w:rFonts w:ascii="Cambria Math" w:hAnsi="Cambria Math"/>
                <w:color w:val="000000" w:themeColor="text1"/>
                <w:lang w:val="en-GB"/>
              </w:rPr>
              <m:t>i</m:t>
            </m:r>
          </m:e>
          <m:sub>
            <m:r>
              <w:rPr>
                <w:rFonts w:ascii="Cambria Math" w:hAnsi="Cambria Math"/>
                <w:color w:val="000000" w:themeColor="text1"/>
                <w:lang w:val="en-GB"/>
              </w:rPr>
              <m:t>d</m:t>
            </m:r>
          </m:sub>
        </m:sSub>
      </m:oMath>
      <w:r w:rsidRPr="005C3FE9">
        <w:rPr>
          <w:color w:val="000000" w:themeColor="text1"/>
          <w:lang w:val="en-GB"/>
        </w:rPr>
        <w:t xml:space="preserve">, b) </w:t>
      </w:r>
      <w:r w:rsidRPr="005C3FE9">
        <w:rPr>
          <w:color w:val="000000" w:themeColor="text1"/>
          <w:vertAlign w:val="subscript"/>
          <w:lang w:val="en-GB"/>
        </w:rPr>
        <w:t xml:space="preserve"> </w:t>
      </w:r>
      <m:oMath>
        <m:sSub>
          <m:sSubPr>
            <m:ctrlPr>
              <w:rPr>
                <w:rFonts w:ascii="Cambria Math" w:hAnsi="Cambria Math"/>
                <w:color w:val="000000" w:themeColor="text1"/>
                <w:szCs w:val="18"/>
                <w:lang w:val="en-GB"/>
              </w:rPr>
            </m:ctrlPr>
          </m:sSubPr>
          <m:e>
            <m:r>
              <w:rPr>
                <w:rFonts w:ascii="Cambria Math" w:hAnsi="Cambria Math"/>
                <w:color w:val="000000" w:themeColor="text1"/>
                <w:szCs w:val="18"/>
                <w:lang w:val="en-GB"/>
              </w:rPr>
              <m:t>u</m:t>
            </m:r>
          </m:e>
          <m:sub>
            <m:r>
              <w:rPr>
                <w:rFonts w:ascii="Cambria Math" w:hAnsi="Cambria Math"/>
                <w:color w:val="000000" w:themeColor="text1"/>
                <w:szCs w:val="18"/>
                <w:lang w:val="en-GB"/>
              </w:rPr>
              <m:t>ch,c</m:t>
            </m:r>
          </m:sub>
        </m:sSub>
      </m:oMath>
      <w:r w:rsidRPr="005C3FE9">
        <w:rPr>
          <w:color w:val="000000" w:themeColor="text1"/>
          <w:szCs w:val="18"/>
          <w:lang w:val="en-GB"/>
        </w:rPr>
        <w:t xml:space="preserve"> and </w:t>
      </w:r>
      <m:oMath>
        <m:sSub>
          <m:sSubPr>
            <m:ctrlPr>
              <w:rPr>
                <w:rFonts w:ascii="Cambria Math" w:hAnsi="Cambria Math"/>
                <w:color w:val="000000" w:themeColor="text1"/>
                <w:szCs w:val="18"/>
                <w:lang w:val="en-GB"/>
              </w:rPr>
            </m:ctrlPr>
          </m:sSubPr>
          <m:e>
            <m:r>
              <w:rPr>
                <w:rFonts w:ascii="Cambria Math" w:hAnsi="Cambria Math"/>
                <w:color w:val="000000" w:themeColor="text1"/>
                <w:szCs w:val="18"/>
                <w:lang w:val="en-GB"/>
              </w:rPr>
              <m:t>u</m:t>
            </m:r>
          </m:e>
          <m:sub>
            <m:r>
              <w:rPr>
                <w:rFonts w:ascii="Cambria Math" w:hAnsi="Cambria Math"/>
                <w:color w:val="000000" w:themeColor="text1"/>
                <w:szCs w:val="18"/>
                <w:lang w:val="en-GB"/>
              </w:rPr>
              <m:t>ch,d</m:t>
            </m:r>
          </m:sub>
        </m:sSub>
      </m:oMath>
      <w:r w:rsidRPr="005C3FE9">
        <w:rPr>
          <w:color w:val="000000" w:themeColor="text1"/>
          <w:szCs w:val="18"/>
          <w:lang w:val="en-GB"/>
        </w:rPr>
        <w:t xml:space="preserve">, c) </w:t>
      </w:r>
      <m:oMath>
        <m:sSub>
          <m:sSubPr>
            <m:ctrlPr>
              <w:rPr>
                <w:rFonts w:ascii="Cambria Math" w:hAnsi="Cambria Math"/>
                <w:color w:val="000000" w:themeColor="text1"/>
                <w:szCs w:val="18"/>
                <w:lang w:val="en-GB"/>
              </w:rPr>
            </m:ctrlPr>
          </m:sSubPr>
          <m:e>
            <m:r>
              <w:rPr>
                <w:rFonts w:ascii="Cambria Math" w:hAnsi="Cambria Math"/>
                <w:color w:val="000000" w:themeColor="text1"/>
                <w:szCs w:val="18"/>
                <w:lang w:val="en-GB"/>
              </w:rPr>
              <m:t>C</m:t>
            </m:r>
          </m:e>
          <m:sub>
            <m:r>
              <w:rPr>
                <w:rFonts w:ascii="Cambria Math" w:hAnsi="Cambria Math"/>
                <w:color w:val="000000" w:themeColor="text1"/>
                <w:szCs w:val="18"/>
                <w:lang w:val="en-GB"/>
              </w:rPr>
              <m:t>a,HCltarget,c</m:t>
            </m:r>
          </m:sub>
        </m:sSub>
      </m:oMath>
      <w:r w:rsidRPr="005C3FE9">
        <w:rPr>
          <w:color w:val="000000" w:themeColor="text1"/>
          <w:szCs w:val="18"/>
          <w:lang w:val="en-GB"/>
        </w:rPr>
        <w:t xml:space="preserve"> and </w:t>
      </w:r>
      <m:oMath>
        <m:sSub>
          <m:sSubPr>
            <m:ctrlPr>
              <w:rPr>
                <w:rFonts w:ascii="Cambria Math" w:hAnsi="Cambria Math"/>
                <w:color w:val="000000" w:themeColor="text1"/>
                <w:szCs w:val="18"/>
                <w:lang w:val="en-GB"/>
              </w:rPr>
            </m:ctrlPr>
          </m:sSubPr>
          <m:e>
            <m:r>
              <w:rPr>
                <w:rFonts w:ascii="Cambria Math" w:hAnsi="Cambria Math"/>
                <w:color w:val="000000" w:themeColor="text1"/>
                <w:szCs w:val="18"/>
                <w:lang w:val="en-GB"/>
              </w:rPr>
              <m:t>C</m:t>
            </m:r>
          </m:e>
          <m:sub>
            <m:r>
              <w:rPr>
                <w:rFonts w:ascii="Cambria Math" w:hAnsi="Cambria Math"/>
                <w:color w:val="000000" w:themeColor="text1"/>
                <w:szCs w:val="18"/>
                <w:lang w:val="en-GB"/>
              </w:rPr>
              <m:t>a,HCl,target,d</m:t>
            </m:r>
          </m:sub>
        </m:sSub>
      </m:oMath>
      <w:r w:rsidRPr="005C3FE9">
        <w:rPr>
          <w:color w:val="000000" w:themeColor="text1"/>
          <w:szCs w:val="18"/>
          <w:lang w:val="en-GB"/>
        </w:rPr>
        <w:t xml:space="preserve">, and d) </w:t>
      </w:r>
      <m:oMath>
        <m:r>
          <w:rPr>
            <w:rFonts w:ascii="Cambria Math" w:hAnsi="Cambria Math"/>
            <w:color w:val="000000" w:themeColor="text1"/>
            <w:szCs w:val="18"/>
            <w:lang w:val="en-GB"/>
          </w:rPr>
          <m:t>L</m:t>
        </m:r>
      </m:oMath>
      <w:r w:rsidRPr="005C3FE9">
        <w:rPr>
          <w:color w:val="000000" w:themeColor="text1"/>
          <w:szCs w:val="18"/>
          <w:lang w:val="en-GB"/>
        </w:rPr>
        <w:t xml:space="preserve"> and </w:t>
      </w:r>
      <m:oMath>
        <m:sSub>
          <m:sSubPr>
            <m:ctrlPr>
              <w:rPr>
                <w:rFonts w:ascii="Cambria Math" w:hAnsi="Cambria Math"/>
                <w:i/>
                <w:color w:val="000000" w:themeColor="text1"/>
                <w:szCs w:val="18"/>
                <w:lang w:val="en-GB"/>
              </w:rPr>
            </m:ctrlPr>
          </m:sSubPr>
          <m:e>
            <m:r>
              <w:rPr>
                <w:rFonts w:ascii="Cambria Math" w:hAnsi="Cambria Math"/>
                <w:color w:val="000000" w:themeColor="text1"/>
                <w:szCs w:val="18"/>
                <w:lang w:val="en-GB"/>
              </w:rPr>
              <m:t>d</m:t>
            </m:r>
          </m:e>
          <m:sub>
            <m:r>
              <w:rPr>
                <w:rFonts w:ascii="Cambria Math" w:hAnsi="Cambria Math"/>
                <w:color w:val="000000" w:themeColor="text1"/>
                <w:szCs w:val="18"/>
                <w:lang w:val="en-GB"/>
              </w:rPr>
              <m:t>m</m:t>
            </m:r>
          </m:sub>
        </m:sSub>
      </m:oMath>
      <w:r w:rsidRPr="005C3FE9">
        <w:rPr>
          <w:color w:val="000000" w:themeColor="text1"/>
          <w:szCs w:val="18"/>
          <w:lang w:val="en-GB"/>
        </w:rPr>
        <w:t xml:space="preserve">. </w:t>
      </w:r>
      <w:bookmarkEnd w:id="24"/>
      <w:bookmarkEnd w:id="25"/>
      <w:bookmarkEnd w:id="26"/>
    </w:p>
    <w:p w14:paraId="53A62905" w14:textId="7367966B" w:rsidR="001B5C2F" w:rsidRPr="005C3FE9" w:rsidRDefault="001B5C2F" w:rsidP="008A0EAC">
      <w:pPr>
        <w:rPr>
          <w:color w:val="000000" w:themeColor="text1"/>
          <w:lang w:val="en-GB" w:eastAsia="en-US"/>
        </w:rPr>
      </w:pPr>
      <w:r w:rsidRPr="005C3FE9">
        <w:rPr>
          <w:color w:val="000000" w:themeColor="text1"/>
          <w:lang w:val="en-GB" w:eastAsia="en-US"/>
        </w:rPr>
        <w:t>The predicted values of current densities (</w:t>
      </w:r>
      <w:r w:rsidRPr="005C3FE9">
        <w:rPr>
          <w:color w:val="000000" w:themeColor="text1"/>
          <w:lang w:val="en-GB" w:eastAsia="en-US"/>
        </w:rPr>
        <w:fldChar w:fldCharType="begin"/>
      </w:r>
      <w:r w:rsidRPr="005C3FE9">
        <w:rPr>
          <w:color w:val="000000" w:themeColor="text1"/>
          <w:lang w:val="en-GB" w:eastAsia="en-US"/>
        </w:rPr>
        <w:instrText xml:space="preserve"> REF _Ref55411601 \h  \* MERGEFORMAT </w:instrText>
      </w:r>
      <w:r w:rsidRPr="005C3FE9">
        <w:rPr>
          <w:color w:val="000000" w:themeColor="text1"/>
          <w:lang w:val="en-GB" w:eastAsia="en-US"/>
        </w:rPr>
      </w:r>
      <w:r w:rsidRPr="005C3FE9">
        <w:rPr>
          <w:color w:val="000000" w:themeColor="text1"/>
          <w:lang w:val="en-GB" w:eastAsia="en-US"/>
        </w:rPr>
        <w:fldChar w:fldCharType="separate"/>
      </w:r>
      <w:r w:rsidR="00561965" w:rsidRPr="005C3FE9">
        <w:rPr>
          <w:color w:val="000000" w:themeColor="text1"/>
          <w:lang w:val="en-GB"/>
        </w:rPr>
        <w:t>Figure 4</w:t>
      </w:r>
      <w:r w:rsidRPr="005C3FE9">
        <w:rPr>
          <w:color w:val="000000" w:themeColor="text1"/>
          <w:lang w:val="en-GB" w:eastAsia="en-US"/>
        </w:rPr>
        <w:fldChar w:fldCharType="end"/>
      </w:r>
      <w:r w:rsidRPr="005C3FE9">
        <w:rPr>
          <w:color w:val="000000" w:themeColor="text1"/>
          <w:lang w:val="en-GB" w:eastAsia="en-US"/>
        </w:rPr>
        <w:t xml:space="preserve">a) show an increasing trend with the </w:t>
      </w:r>
      <m:oMath>
        <m:acc>
          <m:accPr>
            <m:chr m:val="̅"/>
            <m:ctrlPr>
              <w:rPr>
                <w:rFonts w:ascii="Cambria Math" w:eastAsia="Calibri" w:hAnsi="Cambria Math"/>
                <w:i/>
                <w:lang w:eastAsia="en-US"/>
              </w:rPr>
            </m:ctrlPr>
          </m:accPr>
          <m:e>
            <m:sSub>
              <m:sSubPr>
                <m:ctrlPr>
                  <w:rPr>
                    <w:rFonts w:ascii="Cambria Math" w:eastAsia="Calibri" w:hAnsi="Cambria Math"/>
                    <w:i/>
                    <w:lang w:eastAsia="en-US"/>
                  </w:rPr>
                </m:ctrlPr>
              </m:sSubPr>
              <m:e>
                <m:r>
                  <w:rPr>
                    <w:rFonts w:ascii="Cambria Math" w:hAnsi="Cambria Math"/>
                  </w:rPr>
                  <m:t>NPD</m:t>
                </m:r>
              </m:e>
              <m:sub>
                <m:r>
                  <w:rPr>
                    <w:rFonts w:ascii="Cambria Math" w:hAnsi="Cambria Math"/>
                  </w:rPr>
                  <m:t>d</m:t>
                </m:r>
              </m:sub>
            </m:sSub>
          </m:e>
        </m:acc>
      </m:oMath>
      <w:r w:rsidRPr="005C3FE9">
        <w:rPr>
          <w:color w:val="000000" w:themeColor="text1"/>
          <w:lang w:val="en-GB" w:eastAsia="en-US"/>
        </w:rPr>
        <w:t>, that means a decreasing trend with the RTE</w:t>
      </w:r>
      <w:r w:rsidRPr="005C3FE9">
        <w:rPr>
          <w:color w:val="000000" w:themeColor="text1"/>
          <w:vertAlign w:val="subscript"/>
          <w:lang w:val="en-GB" w:eastAsia="en-US"/>
        </w:rPr>
        <w:t>net</w:t>
      </w:r>
      <w:r w:rsidRPr="005C3FE9">
        <w:rPr>
          <w:color w:val="000000" w:themeColor="text1"/>
          <w:lang w:val="en-GB" w:eastAsia="en-US"/>
        </w:rPr>
        <w:t xml:space="preserve">. </w:t>
      </w:r>
      <w:r w:rsidR="008A0EAC" w:rsidRPr="008A0EAC">
        <w:rPr>
          <w:color w:val="000000" w:themeColor="text1"/>
          <w:lang w:val="en-GB" w:eastAsia="en-US"/>
        </w:rPr>
        <w:t xml:space="preserve">Indeed, as the </w:t>
      </w:r>
      <m:oMath>
        <m:acc>
          <m:accPr>
            <m:chr m:val="̅"/>
            <m:ctrlPr>
              <w:rPr>
                <w:rFonts w:ascii="Cambria Math" w:eastAsia="Calibri" w:hAnsi="Cambria Math"/>
                <w:i/>
                <w:lang w:eastAsia="en-US"/>
              </w:rPr>
            </m:ctrlPr>
          </m:accPr>
          <m:e>
            <m:sSub>
              <m:sSubPr>
                <m:ctrlPr>
                  <w:rPr>
                    <w:rFonts w:ascii="Cambria Math" w:eastAsia="Calibri" w:hAnsi="Cambria Math"/>
                    <w:i/>
                    <w:lang w:eastAsia="en-US"/>
                  </w:rPr>
                </m:ctrlPr>
              </m:sSubPr>
              <m:e>
                <m:r>
                  <w:rPr>
                    <w:rFonts w:ascii="Cambria Math" w:hAnsi="Cambria Math"/>
                  </w:rPr>
                  <m:t>NPD</m:t>
                </m:r>
              </m:e>
              <m:sub>
                <m:r>
                  <w:rPr>
                    <w:rFonts w:ascii="Cambria Math" w:hAnsi="Cambria Math"/>
                  </w:rPr>
                  <m:t>d</m:t>
                </m:r>
              </m:sub>
            </m:sSub>
          </m:e>
        </m:acc>
      </m:oMath>
      <w:r w:rsidR="008A0EAC" w:rsidRPr="005C3FE9">
        <w:rPr>
          <w:color w:val="000000" w:themeColor="text1"/>
          <w:lang w:val="en-GB" w:eastAsia="en-US"/>
        </w:rPr>
        <w:t xml:space="preserve"> </w:t>
      </w:r>
      <w:r w:rsidR="008A0EAC" w:rsidRPr="008A0EAC">
        <w:rPr>
          <w:color w:val="000000" w:themeColor="text1"/>
          <w:lang w:val="en-GB" w:eastAsia="en-US"/>
        </w:rPr>
        <w:t xml:space="preserve">increases, the </w:t>
      </w:r>
      <w:proofErr w:type="spellStart"/>
      <w:r w:rsidR="008A0EAC" w:rsidRPr="005C3FE9">
        <w:rPr>
          <w:color w:val="000000" w:themeColor="text1"/>
          <w:lang w:val="en-GB" w:eastAsia="en-US"/>
        </w:rPr>
        <w:t>RTE</w:t>
      </w:r>
      <w:r w:rsidR="008A0EAC" w:rsidRPr="005C3FE9">
        <w:rPr>
          <w:color w:val="000000" w:themeColor="text1"/>
          <w:vertAlign w:val="subscript"/>
          <w:lang w:val="en-GB" w:eastAsia="en-US"/>
        </w:rPr>
        <w:t>net</w:t>
      </w:r>
      <w:proofErr w:type="spellEnd"/>
      <w:r w:rsidR="008A0EAC" w:rsidRPr="008A0EAC">
        <w:rPr>
          <w:color w:val="000000" w:themeColor="text1"/>
          <w:lang w:val="en-GB" w:eastAsia="en-US"/>
        </w:rPr>
        <w:t xml:space="preserve"> in the Pareto curves </w:t>
      </w:r>
      <w:r w:rsidR="008A0EAC">
        <w:rPr>
          <w:color w:val="000000" w:themeColor="text1"/>
          <w:lang w:val="en-GB" w:eastAsia="en-US"/>
        </w:rPr>
        <w:t xml:space="preserve">(shown </w:t>
      </w:r>
      <w:r w:rsidR="008A0EAC" w:rsidRPr="008A0EAC">
        <w:rPr>
          <w:color w:val="000000" w:themeColor="text1"/>
          <w:lang w:val="en-GB" w:eastAsia="en-US"/>
        </w:rPr>
        <w:t xml:space="preserve">in </w:t>
      </w:r>
      <w:r w:rsidR="008A0EAC">
        <w:rPr>
          <w:color w:val="000000" w:themeColor="text1"/>
          <w:lang w:val="en-GB" w:eastAsia="en-US"/>
        </w:rPr>
        <w:fldChar w:fldCharType="begin"/>
      </w:r>
      <w:r w:rsidR="008A0EAC">
        <w:rPr>
          <w:color w:val="000000" w:themeColor="text1"/>
          <w:lang w:val="en-GB" w:eastAsia="en-US"/>
        </w:rPr>
        <w:instrText xml:space="preserve"> REF _Ref55299369 \h </w:instrText>
      </w:r>
      <w:r w:rsidR="008A0EAC">
        <w:rPr>
          <w:color w:val="000000" w:themeColor="text1"/>
          <w:lang w:val="en-GB" w:eastAsia="en-US"/>
        </w:rPr>
      </w:r>
      <w:r w:rsidR="008A0EAC">
        <w:rPr>
          <w:color w:val="000000" w:themeColor="text1"/>
          <w:lang w:val="en-GB" w:eastAsia="en-US"/>
        </w:rPr>
        <w:fldChar w:fldCharType="separate"/>
      </w:r>
      <w:r w:rsidR="008A0EAC" w:rsidRPr="005C3FE9">
        <w:rPr>
          <w:color w:val="000000" w:themeColor="text1"/>
          <w:lang w:val="en-GB"/>
        </w:rPr>
        <w:t xml:space="preserve">Figure </w:t>
      </w:r>
      <w:r w:rsidR="008A0EAC">
        <w:rPr>
          <w:noProof/>
          <w:color w:val="000000" w:themeColor="text1"/>
          <w:lang w:val="en-GB"/>
        </w:rPr>
        <w:t>3</w:t>
      </w:r>
      <w:r w:rsidR="008A0EAC">
        <w:rPr>
          <w:color w:val="000000" w:themeColor="text1"/>
          <w:lang w:val="en-GB" w:eastAsia="en-US"/>
        </w:rPr>
        <w:fldChar w:fldCharType="end"/>
      </w:r>
      <w:r w:rsidR="008A0EAC">
        <w:rPr>
          <w:color w:val="000000" w:themeColor="text1"/>
          <w:lang w:val="en-GB" w:eastAsia="en-US"/>
        </w:rPr>
        <w:t xml:space="preserve">) </w:t>
      </w:r>
      <w:r w:rsidR="008A0EAC" w:rsidRPr="008A0EAC">
        <w:rPr>
          <w:color w:val="000000" w:themeColor="text1"/>
          <w:lang w:val="en-GB" w:eastAsia="en-US"/>
        </w:rPr>
        <w:t>shows a monotone decreasing trend.</w:t>
      </w:r>
      <w:r w:rsidR="008A0EAC">
        <w:rPr>
          <w:color w:val="000000" w:themeColor="text1"/>
          <w:lang w:val="en-GB" w:eastAsia="en-US"/>
        </w:rPr>
        <w:t xml:space="preserve"> </w:t>
      </w:r>
      <w:r w:rsidRPr="005C3FE9">
        <w:rPr>
          <w:color w:val="000000" w:themeColor="text1"/>
          <w:lang w:val="en-GB" w:eastAsia="en-US"/>
        </w:rPr>
        <w:t xml:space="preserve">The optimal current densities of charge and discharge </w:t>
      </w:r>
      <w:r w:rsidR="006A13AC">
        <w:rPr>
          <w:color w:val="000000" w:themeColor="text1"/>
          <w:lang w:val="en-GB" w:eastAsia="en-US"/>
        </w:rPr>
        <w:t>were</w:t>
      </w:r>
      <w:r w:rsidRPr="005C3FE9">
        <w:rPr>
          <w:color w:val="000000" w:themeColor="text1"/>
          <w:lang w:val="en-GB" w:eastAsia="en-US"/>
        </w:rPr>
        <w:t xml:space="preserve"> 50</w:t>
      </w:r>
      <w:r w:rsidR="006A13AC">
        <w:rPr>
          <w:color w:val="000000" w:themeColor="text1"/>
          <w:lang w:val="en-GB" w:eastAsia="en-US"/>
        </w:rPr>
        <w:t>–220</w:t>
      </w:r>
      <w:r w:rsidRPr="005C3FE9">
        <w:rPr>
          <w:color w:val="000000" w:themeColor="text1"/>
          <w:lang w:val="en-GB" w:eastAsia="en-US"/>
        </w:rPr>
        <w:t xml:space="preserve"> A m</w:t>
      </w:r>
      <w:r w:rsidRPr="005C3FE9">
        <w:rPr>
          <w:color w:val="000000" w:themeColor="text1"/>
          <w:vertAlign w:val="superscript"/>
          <w:lang w:val="en-GB" w:eastAsia="en-US"/>
        </w:rPr>
        <w:t>-2</w:t>
      </w:r>
      <w:r w:rsidR="006A13AC">
        <w:rPr>
          <w:color w:val="000000" w:themeColor="text1"/>
          <w:lang w:val="en-GB" w:eastAsia="en-US"/>
        </w:rPr>
        <w:t xml:space="preserve"> and</w:t>
      </w:r>
      <w:r w:rsidRPr="005C3FE9">
        <w:rPr>
          <w:color w:val="000000" w:themeColor="text1"/>
          <w:lang w:val="en-GB" w:eastAsia="en-US"/>
        </w:rPr>
        <w:t xml:space="preserve"> </w:t>
      </w:r>
      <w:r w:rsidR="006A13AC">
        <w:rPr>
          <w:color w:val="000000" w:themeColor="text1"/>
          <w:lang w:val="en-GB" w:eastAsia="en-US"/>
        </w:rPr>
        <w:t>30–</w:t>
      </w:r>
      <w:r w:rsidRPr="005C3FE9">
        <w:rPr>
          <w:color w:val="000000" w:themeColor="text1"/>
          <w:lang w:val="en-GB" w:eastAsia="en-US"/>
        </w:rPr>
        <w:t>190 A m</w:t>
      </w:r>
      <w:r w:rsidRPr="005C3FE9">
        <w:rPr>
          <w:color w:val="000000" w:themeColor="text1"/>
          <w:vertAlign w:val="superscript"/>
          <w:lang w:val="en-GB" w:eastAsia="en-US"/>
        </w:rPr>
        <w:t>-2</w:t>
      </w:r>
      <w:r w:rsidRPr="005C3FE9">
        <w:rPr>
          <w:color w:val="000000" w:themeColor="text1"/>
          <w:lang w:val="en-GB" w:eastAsia="en-US"/>
        </w:rPr>
        <w:t xml:space="preserve">, respectively. The minimum values correspond to the lower bounds (see </w:t>
      </w:r>
      <w:r w:rsidRPr="005C3FE9">
        <w:rPr>
          <w:color w:val="000000" w:themeColor="text1"/>
          <w:lang w:val="en-GB" w:eastAsia="en-US"/>
        </w:rPr>
        <w:fldChar w:fldCharType="begin"/>
      </w:r>
      <w:r w:rsidRPr="005C3FE9">
        <w:rPr>
          <w:color w:val="000000" w:themeColor="text1"/>
          <w:lang w:val="en-GB" w:eastAsia="en-US"/>
        </w:rPr>
        <w:instrText xml:space="preserve"> REF _Ref101281415 \h  \* MERGEFORMAT </w:instrText>
      </w:r>
      <w:r w:rsidRPr="005C3FE9">
        <w:rPr>
          <w:color w:val="000000" w:themeColor="text1"/>
          <w:lang w:val="en-GB" w:eastAsia="en-US"/>
        </w:rPr>
      </w:r>
      <w:r w:rsidRPr="005C3FE9">
        <w:rPr>
          <w:color w:val="000000" w:themeColor="text1"/>
          <w:lang w:val="en-GB" w:eastAsia="en-US"/>
        </w:rPr>
        <w:fldChar w:fldCharType="separate"/>
      </w:r>
      <w:r w:rsidR="00561965" w:rsidRPr="005C3FE9">
        <w:rPr>
          <w:color w:val="000000" w:themeColor="text1"/>
          <w:lang w:val="en-US"/>
        </w:rPr>
        <w:t xml:space="preserve">Table </w:t>
      </w:r>
      <w:r w:rsidR="00561965" w:rsidRPr="005C3FE9">
        <w:rPr>
          <w:noProof/>
          <w:color w:val="000000" w:themeColor="text1"/>
          <w:lang w:val="en-US"/>
        </w:rPr>
        <w:t>1</w:t>
      </w:r>
      <w:r w:rsidRPr="005C3FE9">
        <w:rPr>
          <w:color w:val="000000" w:themeColor="text1"/>
          <w:lang w:val="en-GB" w:eastAsia="en-US"/>
        </w:rPr>
        <w:fldChar w:fldCharType="end"/>
      </w:r>
      <w:r w:rsidRPr="005C3FE9">
        <w:rPr>
          <w:color w:val="000000" w:themeColor="text1"/>
          <w:lang w:val="en-GB" w:eastAsia="en-US"/>
        </w:rPr>
        <w:t>), the maximum discharge current density is close to its upper bound (200 A m</w:t>
      </w:r>
      <w:r w:rsidRPr="005C3FE9">
        <w:rPr>
          <w:color w:val="000000" w:themeColor="text1"/>
          <w:vertAlign w:val="superscript"/>
          <w:lang w:val="en-GB" w:eastAsia="en-US"/>
        </w:rPr>
        <w:t>-2</w:t>
      </w:r>
      <w:r w:rsidRPr="005C3FE9">
        <w:rPr>
          <w:color w:val="000000" w:themeColor="text1"/>
          <w:lang w:val="en-GB" w:eastAsia="en-US"/>
        </w:rPr>
        <w:t>), and the maximum discharge current density is far from its upper bound (500 A m</w:t>
      </w:r>
      <w:r w:rsidRPr="005C3FE9">
        <w:rPr>
          <w:color w:val="000000" w:themeColor="text1"/>
          <w:vertAlign w:val="superscript"/>
          <w:lang w:val="en-GB" w:eastAsia="en-US"/>
        </w:rPr>
        <w:t>-2</w:t>
      </w:r>
      <w:r w:rsidRPr="005C3FE9">
        <w:rPr>
          <w:color w:val="000000" w:themeColor="text1"/>
          <w:lang w:val="en-GB" w:eastAsia="en-US"/>
        </w:rPr>
        <w:t xml:space="preserve">). At lower current densities, the resulting voltage efficiency is higher as </w:t>
      </w:r>
      <w:r w:rsidRPr="005C3FE9">
        <w:rPr>
          <w:color w:val="000000" w:themeColor="text1"/>
          <w:lang w:val="en-GB" w:eastAsia="en-US" w:bidi="en-US"/>
        </w:rPr>
        <w:t>the external voltage tends towards the open circuit condition in both charge and discharge phases.</w:t>
      </w:r>
      <w:r w:rsidRPr="005C3FE9">
        <w:rPr>
          <w:color w:val="000000" w:themeColor="text1"/>
          <w:lang w:val="en-GB" w:eastAsia="en-US"/>
        </w:rPr>
        <w:t xml:space="preserve"> On the other </w:t>
      </w:r>
      <w:r w:rsidRPr="005C3FE9">
        <w:rPr>
          <w:color w:val="000000" w:themeColor="text1"/>
          <w:lang w:val="en-GB" w:eastAsia="en-US"/>
        </w:rPr>
        <w:lastRenderedPageBreak/>
        <w:t xml:space="preserve">hand, a higher current density of discharge provides higher values </w:t>
      </w:r>
      <m:oMath>
        <m:sSub>
          <m:sSubPr>
            <m:ctrlPr>
              <w:rPr>
                <w:rFonts w:ascii="Cambria Math" w:hAnsi="Cambria Math"/>
                <w:i/>
                <w:color w:val="000000" w:themeColor="text1"/>
                <w:lang w:val="en-GB"/>
              </w:rPr>
            </m:ctrlPr>
          </m:sSubPr>
          <m:e>
            <m:acc>
              <m:accPr>
                <m:chr m:val="̅"/>
                <m:ctrlPr>
                  <w:rPr>
                    <w:rFonts w:ascii="Cambria Math" w:hAnsi="Cambria Math"/>
                    <w:i/>
                    <w:color w:val="000000" w:themeColor="text1"/>
                    <w:lang w:val="en-GB"/>
                  </w:rPr>
                </m:ctrlPr>
              </m:accPr>
              <m:e>
                <m:r>
                  <w:rPr>
                    <w:rFonts w:ascii="Cambria Math" w:hAnsi="Cambria Math"/>
                    <w:color w:val="000000" w:themeColor="text1"/>
                    <w:lang w:val="en-GB"/>
                  </w:rPr>
                  <m:t>NPD</m:t>
                </m:r>
              </m:e>
            </m:acc>
          </m:e>
          <m:sub>
            <m:r>
              <w:rPr>
                <w:rFonts w:ascii="Cambria Math" w:hAnsi="Cambria Math"/>
                <w:color w:val="000000" w:themeColor="text1"/>
                <w:lang w:val="en-GB"/>
              </w:rPr>
              <m:t>d</m:t>
            </m:r>
          </m:sub>
        </m:sSub>
      </m:oMath>
      <w:r w:rsidRPr="005C3FE9">
        <w:rPr>
          <w:color w:val="000000" w:themeColor="text1"/>
          <w:lang w:val="en-GB"/>
        </w:rPr>
        <w:t>, probably indicating the approaching of the maximum point in the power-current curve. Indeed, previous studies showed values of current densities above 100 A m</w:t>
      </w:r>
      <w:r w:rsidRPr="005C3FE9">
        <w:rPr>
          <w:color w:val="000000" w:themeColor="text1"/>
          <w:vertAlign w:val="superscript"/>
          <w:lang w:val="en-GB"/>
        </w:rPr>
        <w:t>-2</w:t>
      </w:r>
      <w:r w:rsidRPr="005C3FE9">
        <w:rPr>
          <w:color w:val="000000" w:themeColor="text1"/>
          <w:lang w:val="en-GB"/>
        </w:rPr>
        <w:t xml:space="preserve"> at the condition of maximum power density </w:t>
      </w:r>
      <w:r w:rsidRPr="005C3FE9">
        <w:rPr>
          <w:color w:val="000000" w:themeColor="text1"/>
          <w:lang w:val="en-GB" w:eastAsia="en-US"/>
        </w:rPr>
        <w:fldChar w:fldCharType="begin" w:fldLock="1"/>
      </w:r>
      <w:r w:rsidR="00E77EC7">
        <w:rPr>
          <w:color w:val="000000" w:themeColor="text1"/>
          <w:lang w:val="en-GB" w:eastAsia="en-US"/>
        </w:rPr>
        <w:instrText>ADDIN CSL_CITATION {"citationItems":[{"id":"ITEM-1","itemData":{"DOI":"10.3390/en13205510","ISSN":"1996-1073","abstract":"Bipolar Membrane Reverse Electrodialysis (BMRED) can be used to produce electricity exploiting acid-base neutralization, thus representing a valuable route in reusing waste streams. The present work investigates the performance of a lab-scale BMRED module under several operating conditions. By feeding the stack with 1 M HCl and NaOH streams, a maximum power density of ~17 W m−2 was obtained at 100 A m−2 with a 10-triplet stack with a flow velocity of 1 cm s−1, while an energy density of ~10 kWh m−3 acid could be extracted by a complete neutralization. Parasitic currents along feed and drain manifolds significantly affected the performance of the stack when equipped with a higher number of triplets. The apparent permselectivity at 1 M acid and base decreased from 93% with the five-triplet stack to 54% with the 38-triplet stack, which exhibited lower values (~35% less) of power density. An important role may be played also by the presence of NaCl in the acidic and alkaline solutions. With a low number of triplets, the added salt had almost negligible effects. However, with a higher number of triplets it led to a reduction of 23.4–45.7% in power density. The risk of membrane delamination is another aspect that can limit the process performance. However, overall, the present results highlight the high potential of BMRED systems as a productive way of neutralizing waste solutions for energy harvesting.","author":[{"dropping-particle":"","family":"Zaffora","given":"Andrea","non-dropping-particle":"","parse-names":false,"suffix":""},{"dropping-particle":"","family":"Culcasi","given":"Andrea","non-dropping-particle":"","parse-names":false,"suffix":""},{"dropping-particle":"","family":"Gurreri","given":"Luigi","non-dropping-particle":"","parse-names":false,"suffix":""},{"dropping-particle":"","family":"Cosenza","given":"Alessandro","non-dropping-particle":"","parse-names":false,"suffix":""},{"dropping-particle":"","family":"Tamburini","given":"Alessandro","non-dropping-particle":"","parse-names":false,"suffix":""},{"dropping-particle":"","family":"Santamaria","given":"Monica","non-dropping-particle":"","parse-names":false,"suffix":""},{"dropping-particle":"","family":"Micale","given":"Giorgio","non-dropping-particle":"","parse-names":false,"suffix":""}],"container-title":"Energies","id":"ITEM-1","issue":"20","issued":{"date-parts":[["2020","10","21"]]},"page":"5510","publisher":"Multidisciplinary Digital Publishing Institute","title":"Energy Harvesting by Waste Acid/Base Neutralization via Bipolar Membrane Reverse Electrodialysis","type":"article-journal","volume":"13"},"uris":["http://www.mendeley.com/documents/?uuid=10702d0b-5c2e-3516-b155-280c7a4812c4"]}],"mendeley":{"formattedCitation":"[11]","plainTextFormattedCitation":"[11]","previouslyFormattedCitation":"[11]"},"properties":{"noteIndex":0},"schema":"https://github.com/citation-style-language/schema/raw/master/csl-citation.json"}</w:instrText>
      </w:r>
      <w:r w:rsidRPr="005C3FE9">
        <w:rPr>
          <w:color w:val="000000" w:themeColor="text1"/>
          <w:lang w:val="en-GB" w:eastAsia="en-US"/>
        </w:rPr>
        <w:fldChar w:fldCharType="separate"/>
      </w:r>
      <w:r w:rsidR="004319C3" w:rsidRPr="004319C3">
        <w:rPr>
          <w:noProof/>
          <w:color w:val="000000" w:themeColor="text1"/>
          <w:lang w:val="en-GB" w:eastAsia="en-US"/>
        </w:rPr>
        <w:t>[11]</w:t>
      </w:r>
      <w:r w:rsidRPr="005C3FE9">
        <w:rPr>
          <w:color w:val="000000" w:themeColor="text1"/>
          <w:lang w:val="en-GB" w:eastAsia="en-US"/>
        </w:rPr>
        <w:fldChar w:fldCharType="end"/>
      </w:r>
      <w:r w:rsidRPr="005C3FE9">
        <w:rPr>
          <w:color w:val="000000" w:themeColor="text1"/>
          <w:lang w:val="en-GB"/>
        </w:rPr>
        <w:t xml:space="preserve">. Higher </w:t>
      </w:r>
      <w:r w:rsidR="000413E6">
        <w:rPr>
          <w:color w:val="000000" w:themeColor="text1"/>
          <w:lang w:val="en-GB"/>
        </w:rPr>
        <w:t xml:space="preserve">discharge </w:t>
      </w:r>
      <w:r w:rsidRPr="005C3FE9">
        <w:rPr>
          <w:color w:val="000000" w:themeColor="text1"/>
          <w:lang w:val="en-GB"/>
        </w:rPr>
        <w:t xml:space="preserve">power densities required also higher current densities in the charge phase to obtain an optimal solution, which lead to higher values of the electromotive force (as indicated by the higher target concentration of charge reported in </w:t>
      </w:r>
      <w:r w:rsidRPr="005C3FE9">
        <w:rPr>
          <w:color w:val="000000" w:themeColor="text1"/>
          <w:lang w:val="en-GB" w:eastAsia="en-US"/>
        </w:rPr>
        <w:fldChar w:fldCharType="begin"/>
      </w:r>
      <w:r w:rsidRPr="005C3FE9">
        <w:rPr>
          <w:color w:val="000000" w:themeColor="text1"/>
          <w:lang w:val="en-GB" w:eastAsia="en-US"/>
        </w:rPr>
        <w:instrText xml:space="preserve"> REF _Ref55411601 \h  \* MERGEFORMAT </w:instrText>
      </w:r>
      <w:r w:rsidRPr="005C3FE9">
        <w:rPr>
          <w:color w:val="000000" w:themeColor="text1"/>
          <w:lang w:val="en-GB" w:eastAsia="en-US"/>
        </w:rPr>
      </w:r>
      <w:r w:rsidRPr="005C3FE9">
        <w:rPr>
          <w:color w:val="000000" w:themeColor="text1"/>
          <w:lang w:val="en-GB" w:eastAsia="en-US"/>
        </w:rPr>
        <w:fldChar w:fldCharType="separate"/>
      </w:r>
      <w:r w:rsidR="00561965" w:rsidRPr="005C3FE9">
        <w:rPr>
          <w:color w:val="000000" w:themeColor="text1"/>
          <w:lang w:val="en-GB"/>
        </w:rPr>
        <w:t>Figure 4</w:t>
      </w:r>
      <w:r w:rsidRPr="005C3FE9">
        <w:rPr>
          <w:color w:val="000000" w:themeColor="text1"/>
          <w:lang w:val="en-GB" w:eastAsia="en-US"/>
        </w:rPr>
        <w:fldChar w:fldCharType="end"/>
      </w:r>
      <w:r w:rsidRPr="005C3FE9">
        <w:rPr>
          <w:color w:val="000000" w:themeColor="text1"/>
          <w:lang w:val="en-GB" w:eastAsia="en-US"/>
        </w:rPr>
        <w:t>c)</w:t>
      </w:r>
      <w:r w:rsidRPr="005C3FE9">
        <w:rPr>
          <w:color w:val="000000" w:themeColor="text1"/>
          <w:lang w:val="en-GB"/>
        </w:rPr>
        <w:t>.</w:t>
      </w:r>
    </w:p>
    <w:p w14:paraId="2880803B" w14:textId="5FE0CE15" w:rsidR="001B5C2F" w:rsidRPr="005C3FE9" w:rsidRDefault="001B5C2F" w:rsidP="001B5C2F">
      <w:pPr>
        <w:rPr>
          <w:color w:val="000000" w:themeColor="text1"/>
          <w:lang w:val="en-GB" w:eastAsia="en-US"/>
        </w:rPr>
      </w:pPr>
      <w:r w:rsidRPr="005C3FE9">
        <w:rPr>
          <w:color w:val="000000" w:themeColor="text1"/>
          <w:lang w:val="en-GB" w:eastAsia="en-US"/>
        </w:rPr>
        <w:t>The mean flow velocities across the Pareto frontier (</w:t>
      </w:r>
      <w:r w:rsidRPr="005C3FE9">
        <w:rPr>
          <w:color w:val="000000" w:themeColor="text1"/>
          <w:lang w:val="en-GB" w:eastAsia="en-US"/>
        </w:rPr>
        <w:fldChar w:fldCharType="begin"/>
      </w:r>
      <w:r w:rsidRPr="005C3FE9">
        <w:rPr>
          <w:color w:val="000000" w:themeColor="text1"/>
          <w:lang w:val="en-GB" w:eastAsia="en-US"/>
        </w:rPr>
        <w:instrText xml:space="preserve"> REF _Ref55411601 \h  \* MERGEFORMAT </w:instrText>
      </w:r>
      <w:r w:rsidRPr="005C3FE9">
        <w:rPr>
          <w:color w:val="000000" w:themeColor="text1"/>
          <w:lang w:val="en-GB" w:eastAsia="en-US"/>
        </w:rPr>
      </w:r>
      <w:r w:rsidRPr="005C3FE9">
        <w:rPr>
          <w:color w:val="000000" w:themeColor="text1"/>
          <w:lang w:val="en-GB" w:eastAsia="en-US"/>
        </w:rPr>
        <w:fldChar w:fldCharType="separate"/>
      </w:r>
      <w:r w:rsidR="00561965" w:rsidRPr="005C3FE9">
        <w:rPr>
          <w:color w:val="000000" w:themeColor="text1"/>
          <w:lang w:val="en-GB"/>
        </w:rPr>
        <w:t>Figure 4</w:t>
      </w:r>
      <w:r w:rsidRPr="005C3FE9">
        <w:rPr>
          <w:color w:val="000000" w:themeColor="text1"/>
          <w:lang w:val="en-GB" w:eastAsia="en-US"/>
        </w:rPr>
        <w:fldChar w:fldCharType="end"/>
      </w:r>
      <w:r w:rsidRPr="005C3FE9">
        <w:rPr>
          <w:color w:val="000000" w:themeColor="text1"/>
          <w:lang w:val="en-GB" w:eastAsia="en-US"/>
        </w:rPr>
        <w:t>b) span from 0.68 to 1.2 cm s</w:t>
      </w:r>
      <w:r w:rsidRPr="005C3FE9">
        <w:rPr>
          <w:color w:val="000000" w:themeColor="text1"/>
          <w:vertAlign w:val="superscript"/>
          <w:lang w:val="en-GB" w:eastAsia="en-US"/>
        </w:rPr>
        <w:t>-1</w:t>
      </w:r>
      <w:r w:rsidRPr="005C3FE9">
        <w:rPr>
          <w:color w:val="000000" w:themeColor="text1"/>
          <w:lang w:val="en-GB" w:eastAsia="en-US"/>
        </w:rPr>
        <w:t xml:space="preserve"> for the charge and from 0.55 to 1.2 cm s</w:t>
      </w:r>
      <w:r w:rsidRPr="005C3FE9">
        <w:rPr>
          <w:color w:val="000000" w:themeColor="text1"/>
          <w:vertAlign w:val="superscript"/>
          <w:lang w:val="en-GB" w:eastAsia="en-US"/>
        </w:rPr>
        <w:t>-1</w:t>
      </w:r>
      <w:r w:rsidRPr="005C3FE9">
        <w:rPr>
          <w:color w:val="000000" w:themeColor="text1"/>
          <w:lang w:val="en-GB" w:eastAsia="en-US"/>
        </w:rPr>
        <w:t xml:space="preserve"> for the discharge. Therefore, the optimal velocities vary in a range narrower than that allowed by the lower and upper bounds (0.5 and 5 cm s</w:t>
      </w:r>
      <w:r w:rsidRPr="005C3FE9">
        <w:rPr>
          <w:color w:val="000000" w:themeColor="text1"/>
          <w:vertAlign w:val="superscript"/>
          <w:lang w:val="en-GB" w:eastAsia="en-US"/>
        </w:rPr>
        <w:t>-1</w:t>
      </w:r>
      <w:r w:rsidRPr="005C3FE9">
        <w:rPr>
          <w:color w:val="000000" w:themeColor="text1"/>
          <w:lang w:val="en-GB" w:eastAsia="en-US"/>
        </w:rPr>
        <w:t xml:space="preserve">) and cover the lower part of it. The charge and discharge phases exhibit a similar behaviour and an increasing trend of the optimal velocity as a function of </w:t>
      </w:r>
      <m:oMath>
        <m:sSub>
          <m:sSubPr>
            <m:ctrlPr>
              <w:rPr>
                <w:rFonts w:ascii="Cambria Math" w:hAnsi="Cambria Math"/>
                <w:i/>
                <w:color w:val="000000" w:themeColor="text1"/>
                <w:lang w:val="en-GB"/>
              </w:rPr>
            </m:ctrlPr>
          </m:sSubPr>
          <m:e>
            <m:acc>
              <m:accPr>
                <m:chr m:val="̅"/>
                <m:ctrlPr>
                  <w:rPr>
                    <w:rFonts w:ascii="Cambria Math" w:hAnsi="Cambria Math"/>
                    <w:i/>
                    <w:color w:val="000000" w:themeColor="text1"/>
                    <w:lang w:val="en-GB"/>
                  </w:rPr>
                </m:ctrlPr>
              </m:accPr>
              <m:e>
                <m:r>
                  <w:rPr>
                    <w:rFonts w:ascii="Cambria Math" w:hAnsi="Cambria Math"/>
                    <w:color w:val="000000" w:themeColor="text1"/>
                    <w:lang w:val="en-GB"/>
                  </w:rPr>
                  <m:t>NPD</m:t>
                </m:r>
              </m:e>
            </m:acc>
          </m:e>
          <m:sub>
            <m:r>
              <w:rPr>
                <w:rFonts w:ascii="Cambria Math" w:hAnsi="Cambria Math"/>
                <w:color w:val="000000" w:themeColor="text1"/>
                <w:lang w:val="en-GB"/>
              </w:rPr>
              <m:t>d</m:t>
            </m:r>
          </m:sub>
        </m:sSub>
      </m:oMath>
      <w:r w:rsidRPr="005C3FE9">
        <w:rPr>
          <w:color w:val="000000" w:themeColor="text1"/>
          <w:lang w:val="en-GB"/>
        </w:rPr>
        <w:t>, apart from the last tract of the curve (especially for the cha</w:t>
      </w:r>
      <w:proofErr w:type="spellStart"/>
      <w:r w:rsidRPr="005C3FE9">
        <w:rPr>
          <w:color w:val="000000" w:themeColor="text1"/>
          <w:lang w:val="en-GB"/>
        </w:rPr>
        <w:t>rge</w:t>
      </w:r>
      <w:proofErr w:type="spellEnd"/>
      <w:r w:rsidRPr="005C3FE9">
        <w:rPr>
          <w:color w:val="000000" w:themeColor="text1"/>
          <w:lang w:val="en-GB"/>
        </w:rPr>
        <w:t xml:space="preserve"> phase, roughly corresponding to a sudden increase in current density)</w:t>
      </w:r>
      <w:r w:rsidRPr="005C3FE9">
        <w:rPr>
          <w:color w:val="000000" w:themeColor="text1"/>
          <w:lang w:val="en-GB" w:eastAsia="en-US"/>
        </w:rPr>
        <w:t xml:space="preserve">. The flow velocity influences the pumping power consumption in a complex pattern involving the design variables, i.e., the spacer length and thickness. However, calculating the difference between the gross and net RTE in the range of the Pareto curve reveals that the pumping power affects the optimal solutions almost negligibly, e.g., resulting only in a 1% reduction in RTE on average. Other effects of the fluid velocity regard the operating time (and, indirectly, the current efficiency related to non-ideal transport phenomena) and </w:t>
      </w:r>
      <w:r w:rsidR="00765736">
        <w:rPr>
          <w:color w:val="000000" w:themeColor="text1"/>
          <w:lang w:val="en-GB" w:eastAsia="en-US"/>
        </w:rPr>
        <w:t xml:space="preserve">the </w:t>
      </w:r>
      <w:r w:rsidRPr="005C3FE9">
        <w:rPr>
          <w:color w:val="000000" w:themeColor="text1"/>
          <w:lang w:val="en-GB" w:eastAsia="en-US"/>
        </w:rPr>
        <w:t>concentration polari</w:t>
      </w:r>
      <w:r w:rsidR="008A0EAC">
        <w:rPr>
          <w:color w:val="000000" w:themeColor="text1"/>
          <w:lang w:val="en-GB" w:eastAsia="en-US"/>
        </w:rPr>
        <w:t>s</w:t>
      </w:r>
      <w:r w:rsidRPr="005C3FE9">
        <w:rPr>
          <w:color w:val="000000" w:themeColor="text1"/>
          <w:lang w:val="en-GB" w:eastAsia="en-US"/>
        </w:rPr>
        <w:t>ation. However, these features depend also on the other variables of the problem.</w:t>
      </w:r>
    </w:p>
    <w:p w14:paraId="64C421FC" w14:textId="434E9806" w:rsidR="001B5C2F" w:rsidRPr="005C3FE9" w:rsidRDefault="001B5C2F" w:rsidP="001B5C2F">
      <w:pPr>
        <w:rPr>
          <w:color w:val="000000" w:themeColor="text1"/>
          <w:lang w:val="en-GB" w:eastAsia="en-US"/>
        </w:rPr>
      </w:pPr>
      <w:r w:rsidRPr="005C3FE9">
        <w:rPr>
          <w:color w:val="000000" w:themeColor="text1"/>
          <w:lang w:val="en-GB" w:eastAsia="en-US"/>
        </w:rPr>
        <w:t>Concerning the target concentration profiles (</w:t>
      </w:r>
      <w:r w:rsidRPr="005C3FE9">
        <w:rPr>
          <w:color w:val="000000" w:themeColor="text1"/>
          <w:lang w:val="en-GB" w:eastAsia="en-US"/>
        </w:rPr>
        <w:fldChar w:fldCharType="begin"/>
      </w:r>
      <w:r w:rsidRPr="005C3FE9">
        <w:rPr>
          <w:color w:val="000000" w:themeColor="text1"/>
          <w:lang w:val="en-GB" w:eastAsia="en-US"/>
        </w:rPr>
        <w:instrText xml:space="preserve"> REF _Ref55411601 \h  \* MERGEFORMAT </w:instrText>
      </w:r>
      <w:r w:rsidRPr="005C3FE9">
        <w:rPr>
          <w:color w:val="000000" w:themeColor="text1"/>
          <w:lang w:val="en-GB" w:eastAsia="en-US"/>
        </w:rPr>
      </w:r>
      <w:r w:rsidRPr="005C3FE9">
        <w:rPr>
          <w:color w:val="000000" w:themeColor="text1"/>
          <w:lang w:val="en-GB" w:eastAsia="en-US"/>
        </w:rPr>
        <w:fldChar w:fldCharType="separate"/>
      </w:r>
      <w:r w:rsidR="00561965" w:rsidRPr="005C3FE9">
        <w:rPr>
          <w:color w:val="000000" w:themeColor="text1"/>
          <w:lang w:val="en-GB"/>
        </w:rPr>
        <w:t>Figure 4</w:t>
      </w:r>
      <w:r w:rsidRPr="005C3FE9">
        <w:rPr>
          <w:color w:val="000000" w:themeColor="text1"/>
          <w:lang w:val="en-GB" w:eastAsia="en-US"/>
        </w:rPr>
        <w:fldChar w:fldCharType="end"/>
      </w:r>
      <w:r w:rsidRPr="005C3FE9">
        <w:rPr>
          <w:color w:val="000000" w:themeColor="text1"/>
          <w:lang w:val="en-GB" w:eastAsia="en-US"/>
        </w:rPr>
        <w:t xml:space="preserve">c), apart </w:t>
      </w:r>
      <w:r w:rsidR="00925E88">
        <w:rPr>
          <w:color w:val="000000" w:themeColor="text1"/>
          <w:lang w:val="en-GB" w:eastAsia="en-US"/>
        </w:rPr>
        <w:t>from</w:t>
      </w:r>
      <w:r w:rsidR="00925E88" w:rsidRPr="005C3FE9">
        <w:rPr>
          <w:color w:val="000000" w:themeColor="text1"/>
          <w:lang w:val="en-GB" w:eastAsia="en-US"/>
        </w:rPr>
        <w:t xml:space="preserve"> </w:t>
      </w:r>
      <w:r w:rsidRPr="005C3FE9">
        <w:rPr>
          <w:color w:val="000000" w:themeColor="text1"/>
          <w:lang w:val="en-GB" w:eastAsia="en-US"/>
        </w:rPr>
        <w:t xml:space="preserve">a short stretch, the discharge target concentration shows a constant profile against the </w:t>
      </w:r>
      <m:oMath>
        <m:acc>
          <m:accPr>
            <m:chr m:val="̅"/>
            <m:ctrlPr>
              <w:rPr>
                <w:rFonts w:ascii="Cambria Math" w:eastAsia="Calibri" w:hAnsi="Cambria Math"/>
                <w:i/>
                <w:lang w:eastAsia="en-US"/>
              </w:rPr>
            </m:ctrlPr>
          </m:accPr>
          <m:e>
            <m:sSub>
              <m:sSubPr>
                <m:ctrlPr>
                  <w:rPr>
                    <w:rFonts w:ascii="Cambria Math" w:eastAsia="Calibri" w:hAnsi="Cambria Math"/>
                    <w:i/>
                    <w:lang w:eastAsia="en-US"/>
                  </w:rPr>
                </m:ctrlPr>
              </m:sSubPr>
              <m:e>
                <m:r>
                  <w:rPr>
                    <w:rFonts w:ascii="Cambria Math" w:hAnsi="Cambria Math"/>
                  </w:rPr>
                  <m:t>NPD</m:t>
                </m:r>
              </m:e>
              <m:sub>
                <m:r>
                  <w:rPr>
                    <w:rFonts w:ascii="Cambria Math" w:hAnsi="Cambria Math"/>
                  </w:rPr>
                  <m:t>d</m:t>
                </m:r>
              </m:sub>
            </m:sSub>
          </m:e>
        </m:acc>
      </m:oMath>
      <w:r w:rsidR="00846DBD" w:rsidRPr="00846DBD">
        <w:rPr>
          <w:lang w:val="en-US" w:eastAsia="en-US"/>
        </w:rPr>
        <w:t xml:space="preserve"> </w:t>
      </w:r>
      <w:r w:rsidRPr="005C3FE9">
        <w:rPr>
          <w:color w:val="000000" w:themeColor="text1"/>
          <w:lang w:val="en-GB" w:eastAsia="en-US"/>
        </w:rPr>
        <w:t xml:space="preserve">lying on the upper limit of </w:t>
      </w:r>
      <m:oMath>
        <m:sSub>
          <m:sSubPr>
            <m:ctrlPr>
              <w:rPr>
                <w:rFonts w:ascii="Cambria Math" w:hAnsi="Cambria Math"/>
                <w:color w:val="000000" w:themeColor="text1"/>
                <w:szCs w:val="18"/>
                <w:lang w:val="en-GB"/>
              </w:rPr>
            </m:ctrlPr>
          </m:sSubPr>
          <m:e>
            <m:r>
              <m:rPr>
                <m:sty m:val="p"/>
              </m:rPr>
              <w:rPr>
                <w:rFonts w:ascii="Cambria Math" w:hAnsi="Cambria Math"/>
                <w:color w:val="000000" w:themeColor="text1"/>
                <w:szCs w:val="18"/>
                <w:lang w:val="en-GB"/>
              </w:rPr>
              <m:t>C</m:t>
            </m:r>
          </m:e>
          <m:sub>
            <m:r>
              <w:rPr>
                <w:rFonts w:ascii="Cambria Math" w:hAnsi="Cambria Math"/>
                <w:color w:val="000000" w:themeColor="text1"/>
                <w:szCs w:val="18"/>
                <w:lang w:val="en-GB"/>
              </w:rPr>
              <m:t>target,d</m:t>
            </m:r>
          </m:sub>
        </m:sSub>
      </m:oMath>
      <w:r w:rsidRPr="005C3FE9">
        <w:rPr>
          <w:color w:val="000000" w:themeColor="text1"/>
          <w:szCs w:val="18"/>
          <w:lang w:val="en-GB"/>
        </w:rPr>
        <w:t xml:space="preserve"> (200 mol m</w:t>
      </w:r>
      <w:r w:rsidRPr="005C3FE9">
        <w:rPr>
          <w:color w:val="000000" w:themeColor="text1"/>
          <w:szCs w:val="18"/>
          <w:vertAlign w:val="superscript"/>
          <w:lang w:val="en-GB"/>
        </w:rPr>
        <w:t>-3</w:t>
      </w:r>
      <w:r w:rsidRPr="005C3FE9">
        <w:rPr>
          <w:color w:val="000000" w:themeColor="text1"/>
          <w:szCs w:val="18"/>
          <w:lang w:val="en-GB"/>
        </w:rPr>
        <w:t>)</w:t>
      </w:r>
      <w:r w:rsidRPr="005C3FE9">
        <w:rPr>
          <w:color w:val="000000" w:themeColor="text1"/>
          <w:lang w:val="en-GB" w:eastAsia="en-US"/>
        </w:rPr>
        <w:t xml:space="preserve">. In contrast, the optimal </w:t>
      </w:r>
      <m:oMath>
        <m:sSub>
          <m:sSubPr>
            <m:ctrlPr>
              <w:rPr>
                <w:rFonts w:ascii="Cambria Math" w:hAnsi="Cambria Math"/>
                <w:color w:val="000000" w:themeColor="text1"/>
                <w:szCs w:val="18"/>
                <w:lang w:val="en-GB"/>
              </w:rPr>
            </m:ctrlPr>
          </m:sSubPr>
          <m:e>
            <m:r>
              <m:rPr>
                <m:sty m:val="p"/>
              </m:rPr>
              <w:rPr>
                <w:rFonts w:ascii="Cambria Math" w:hAnsi="Cambria Math"/>
                <w:color w:val="000000" w:themeColor="text1"/>
                <w:szCs w:val="18"/>
                <w:lang w:val="en-GB"/>
              </w:rPr>
              <m:t>C</m:t>
            </m:r>
          </m:e>
          <m:sub>
            <m:r>
              <w:rPr>
                <w:rFonts w:ascii="Cambria Math" w:hAnsi="Cambria Math"/>
                <w:color w:val="000000" w:themeColor="text1"/>
                <w:szCs w:val="18"/>
                <w:lang w:val="en-GB"/>
              </w:rPr>
              <m:t>target,c</m:t>
            </m:r>
          </m:sub>
        </m:sSub>
      </m:oMath>
      <w:r w:rsidRPr="005C3FE9">
        <w:rPr>
          <w:color w:val="000000" w:themeColor="text1"/>
          <w:szCs w:val="18"/>
          <w:lang w:val="en-GB"/>
        </w:rPr>
        <w:t xml:space="preserve"> has a great variation</w:t>
      </w:r>
      <w:r w:rsidRPr="005C3FE9">
        <w:rPr>
          <w:color w:val="000000" w:themeColor="text1"/>
          <w:lang w:val="en-GB" w:eastAsia="en-US"/>
        </w:rPr>
        <w:t xml:space="preserve">, covering the whole interval assigned to the decision variable. In particular, </w:t>
      </w:r>
      <m:oMath>
        <m:sSub>
          <m:sSubPr>
            <m:ctrlPr>
              <w:rPr>
                <w:rFonts w:ascii="Cambria Math" w:hAnsi="Cambria Math"/>
                <w:color w:val="000000" w:themeColor="text1"/>
                <w:szCs w:val="18"/>
                <w:lang w:val="en-GB"/>
              </w:rPr>
            </m:ctrlPr>
          </m:sSubPr>
          <m:e>
            <m:r>
              <m:rPr>
                <m:sty m:val="p"/>
              </m:rPr>
              <w:rPr>
                <w:rFonts w:ascii="Cambria Math" w:hAnsi="Cambria Math"/>
                <w:color w:val="000000" w:themeColor="text1"/>
                <w:szCs w:val="18"/>
                <w:lang w:val="en-GB"/>
              </w:rPr>
              <m:t>C</m:t>
            </m:r>
          </m:e>
          <m:sub>
            <m:r>
              <w:rPr>
                <w:rFonts w:ascii="Cambria Math" w:hAnsi="Cambria Math"/>
                <w:color w:val="000000" w:themeColor="text1"/>
                <w:szCs w:val="18"/>
                <w:lang w:val="en-GB"/>
              </w:rPr>
              <m:t>target,c</m:t>
            </m:r>
          </m:sub>
        </m:sSub>
      </m:oMath>
      <w:r w:rsidRPr="005C3FE9">
        <w:rPr>
          <w:color w:val="000000" w:themeColor="text1"/>
          <w:szCs w:val="18"/>
          <w:lang w:val="en-GB"/>
        </w:rPr>
        <w:t xml:space="preserve"> is the lowest (500 mol m</w:t>
      </w:r>
      <w:r w:rsidRPr="005C3FE9">
        <w:rPr>
          <w:color w:val="000000" w:themeColor="text1"/>
          <w:szCs w:val="18"/>
          <w:vertAlign w:val="superscript"/>
          <w:lang w:val="en-GB"/>
        </w:rPr>
        <w:t>-3</w:t>
      </w:r>
      <w:r w:rsidRPr="005C3FE9">
        <w:rPr>
          <w:color w:val="000000" w:themeColor="text1"/>
          <w:szCs w:val="18"/>
          <w:lang w:val="en-GB"/>
        </w:rPr>
        <w:t xml:space="preserve">) at </w:t>
      </w:r>
      <w:r w:rsidR="008A0EAC">
        <w:rPr>
          <w:color w:val="000000" w:themeColor="text1"/>
          <w:szCs w:val="18"/>
          <w:lang w:val="en-GB"/>
        </w:rPr>
        <w:t xml:space="preserve">low </w:t>
      </w:r>
      <m:oMath>
        <m:acc>
          <m:accPr>
            <m:chr m:val="̅"/>
            <m:ctrlPr>
              <w:rPr>
                <w:rFonts w:ascii="Cambria Math" w:eastAsia="Calibri" w:hAnsi="Cambria Math"/>
                <w:i/>
                <w:lang w:eastAsia="en-US"/>
              </w:rPr>
            </m:ctrlPr>
          </m:accPr>
          <m:e>
            <m:sSub>
              <m:sSubPr>
                <m:ctrlPr>
                  <w:rPr>
                    <w:rFonts w:ascii="Cambria Math" w:eastAsia="Calibri" w:hAnsi="Cambria Math"/>
                    <w:i/>
                    <w:lang w:eastAsia="en-US"/>
                  </w:rPr>
                </m:ctrlPr>
              </m:sSubPr>
              <m:e>
                <m:r>
                  <w:rPr>
                    <w:rFonts w:ascii="Cambria Math" w:hAnsi="Cambria Math"/>
                  </w:rPr>
                  <m:t>NPD</m:t>
                </m:r>
              </m:e>
              <m:sub>
                <m:r>
                  <w:rPr>
                    <w:rFonts w:ascii="Cambria Math" w:hAnsi="Cambria Math"/>
                  </w:rPr>
                  <m:t>d</m:t>
                </m:r>
              </m:sub>
            </m:sSub>
          </m:e>
        </m:acc>
      </m:oMath>
      <w:r w:rsidR="008A0EAC">
        <w:rPr>
          <w:color w:val="000000" w:themeColor="text1"/>
          <w:szCs w:val="18"/>
          <w:lang w:val="en-GB"/>
        </w:rPr>
        <w:t xml:space="preserve"> values of 4–7 W m</w:t>
      </w:r>
      <w:r w:rsidR="008A0EAC" w:rsidRPr="008A0EAC">
        <w:rPr>
          <w:color w:val="000000" w:themeColor="text1"/>
          <w:szCs w:val="18"/>
          <w:vertAlign w:val="superscript"/>
          <w:lang w:val="en-GB"/>
        </w:rPr>
        <w:t>-2</w:t>
      </w:r>
      <w:r w:rsidR="008A0EAC">
        <w:rPr>
          <w:color w:val="000000" w:themeColor="text1"/>
          <w:szCs w:val="18"/>
          <w:lang w:val="en-GB"/>
        </w:rPr>
        <w:t xml:space="preserve"> (corresponding to higher </w:t>
      </w:r>
      <w:proofErr w:type="spellStart"/>
      <w:r w:rsidRPr="005C3FE9">
        <w:rPr>
          <w:color w:val="000000" w:themeColor="text1"/>
          <w:szCs w:val="18"/>
          <w:lang w:val="en-GB"/>
        </w:rPr>
        <w:t>RTE</w:t>
      </w:r>
      <w:r w:rsidRPr="005C3FE9">
        <w:rPr>
          <w:color w:val="000000" w:themeColor="text1"/>
          <w:szCs w:val="18"/>
          <w:vertAlign w:val="subscript"/>
          <w:lang w:val="en-GB"/>
        </w:rPr>
        <w:t>net</w:t>
      </w:r>
      <w:proofErr w:type="spellEnd"/>
      <w:r w:rsidRPr="005C3FE9">
        <w:rPr>
          <w:color w:val="000000" w:themeColor="text1"/>
          <w:szCs w:val="18"/>
          <w:lang w:val="en-GB"/>
        </w:rPr>
        <w:t xml:space="preserve"> </w:t>
      </w:r>
      <w:r w:rsidR="008A0EAC">
        <w:rPr>
          <w:color w:val="000000" w:themeColor="text1"/>
          <w:szCs w:val="18"/>
          <w:lang w:val="en-GB"/>
        </w:rPr>
        <w:t xml:space="preserve">values, see </w:t>
      </w:r>
      <w:r w:rsidR="008A0EAC">
        <w:rPr>
          <w:color w:val="000000" w:themeColor="text1"/>
          <w:szCs w:val="18"/>
          <w:lang w:val="en-GB"/>
        </w:rPr>
        <w:fldChar w:fldCharType="begin"/>
      </w:r>
      <w:r w:rsidR="008A0EAC">
        <w:rPr>
          <w:color w:val="000000" w:themeColor="text1"/>
          <w:szCs w:val="18"/>
          <w:lang w:val="en-GB"/>
        </w:rPr>
        <w:instrText xml:space="preserve"> REF _Ref55299369 \h </w:instrText>
      </w:r>
      <w:r w:rsidR="008A0EAC">
        <w:rPr>
          <w:color w:val="000000" w:themeColor="text1"/>
          <w:szCs w:val="18"/>
          <w:lang w:val="en-GB"/>
        </w:rPr>
      </w:r>
      <w:r w:rsidR="008A0EAC">
        <w:rPr>
          <w:color w:val="000000" w:themeColor="text1"/>
          <w:szCs w:val="18"/>
          <w:lang w:val="en-GB"/>
        </w:rPr>
        <w:fldChar w:fldCharType="separate"/>
      </w:r>
      <w:r w:rsidR="008A0EAC" w:rsidRPr="005C3FE9">
        <w:rPr>
          <w:color w:val="000000" w:themeColor="text1"/>
          <w:lang w:val="en-GB"/>
        </w:rPr>
        <w:t xml:space="preserve">Figure </w:t>
      </w:r>
      <w:r w:rsidR="008A0EAC">
        <w:rPr>
          <w:noProof/>
          <w:color w:val="000000" w:themeColor="text1"/>
          <w:lang w:val="en-GB"/>
        </w:rPr>
        <w:t>3</w:t>
      </w:r>
      <w:r w:rsidR="008A0EAC">
        <w:rPr>
          <w:color w:val="000000" w:themeColor="text1"/>
          <w:szCs w:val="18"/>
          <w:lang w:val="en-GB"/>
        </w:rPr>
        <w:fldChar w:fldCharType="end"/>
      </w:r>
      <w:r w:rsidR="008A0EAC">
        <w:rPr>
          <w:color w:val="000000" w:themeColor="text1"/>
          <w:szCs w:val="18"/>
          <w:lang w:val="en-GB"/>
        </w:rPr>
        <w:t>)</w:t>
      </w:r>
      <w:r w:rsidRPr="005C3FE9">
        <w:rPr>
          <w:color w:val="000000" w:themeColor="text1"/>
          <w:szCs w:val="18"/>
          <w:lang w:val="en-GB"/>
        </w:rPr>
        <w:t xml:space="preserve">, and then increases </w:t>
      </w:r>
      <w:r w:rsidRPr="005C3FE9">
        <w:rPr>
          <w:color w:val="000000" w:themeColor="text1"/>
          <w:szCs w:val="18"/>
          <w:lang w:val="en-GB"/>
        </w:rPr>
        <w:lastRenderedPageBreak/>
        <w:t>up to the highest value (1</w:t>
      </w:r>
      <w:r w:rsidR="008A0EAC">
        <w:rPr>
          <w:color w:val="000000" w:themeColor="text1"/>
          <w:szCs w:val="18"/>
          <w:lang w:val="en-GB"/>
        </w:rPr>
        <w:t>,</w:t>
      </w:r>
      <w:r w:rsidRPr="005C3FE9">
        <w:rPr>
          <w:color w:val="000000" w:themeColor="text1"/>
          <w:szCs w:val="18"/>
          <w:lang w:val="en-GB"/>
        </w:rPr>
        <w:t>000 mol m</w:t>
      </w:r>
      <w:r w:rsidRPr="005C3FE9">
        <w:rPr>
          <w:color w:val="000000" w:themeColor="text1"/>
          <w:szCs w:val="18"/>
          <w:vertAlign w:val="superscript"/>
          <w:lang w:val="en-GB"/>
        </w:rPr>
        <w:t>-3</w:t>
      </w:r>
      <w:r w:rsidRPr="005C3FE9">
        <w:rPr>
          <w:color w:val="000000" w:themeColor="text1"/>
          <w:szCs w:val="18"/>
          <w:lang w:val="en-GB"/>
        </w:rPr>
        <w:t xml:space="preserve">) at </w:t>
      </w:r>
      <w:r w:rsidR="008A0EAC">
        <w:rPr>
          <w:color w:val="000000" w:themeColor="text1"/>
          <w:szCs w:val="18"/>
          <w:lang w:val="en-GB"/>
        </w:rPr>
        <w:t>high</w:t>
      </w:r>
      <w:r w:rsidRPr="005C3FE9">
        <w:rPr>
          <w:color w:val="000000" w:themeColor="text1"/>
          <w:szCs w:val="18"/>
          <w:lang w:val="en-GB"/>
        </w:rPr>
        <w:t xml:space="preserve"> </w:t>
      </w:r>
      <m:oMath>
        <m:sSub>
          <m:sSubPr>
            <m:ctrlPr>
              <w:rPr>
                <w:rFonts w:ascii="Cambria Math" w:hAnsi="Cambria Math"/>
                <w:i/>
                <w:color w:val="000000" w:themeColor="text1"/>
                <w:lang w:val="en-GB"/>
              </w:rPr>
            </m:ctrlPr>
          </m:sSubPr>
          <m:e>
            <m:acc>
              <m:accPr>
                <m:chr m:val="̅"/>
                <m:ctrlPr>
                  <w:rPr>
                    <w:rFonts w:ascii="Cambria Math" w:hAnsi="Cambria Math"/>
                    <w:i/>
                    <w:color w:val="000000" w:themeColor="text1"/>
                    <w:lang w:val="en-GB"/>
                  </w:rPr>
                </m:ctrlPr>
              </m:accPr>
              <m:e>
                <m:r>
                  <w:rPr>
                    <w:rFonts w:ascii="Cambria Math" w:hAnsi="Cambria Math"/>
                    <w:color w:val="000000" w:themeColor="text1"/>
                    <w:lang w:val="en-GB"/>
                  </w:rPr>
                  <m:t>NPD</m:t>
                </m:r>
              </m:e>
            </m:acc>
          </m:e>
          <m:sub>
            <m:r>
              <w:rPr>
                <w:rFonts w:ascii="Cambria Math" w:hAnsi="Cambria Math"/>
                <w:color w:val="000000" w:themeColor="text1"/>
                <w:lang w:val="en-GB"/>
              </w:rPr>
              <m:t>d</m:t>
            </m:r>
          </m:sub>
        </m:sSub>
      </m:oMath>
      <w:r w:rsidR="008A0EAC">
        <w:rPr>
          <w:color w:val="000000" w:themeColor="text1"/>
          <w:lang w:val="en-GB"/>
        </w:rPr>
        <w:t xml:space="preserve"> values of 16</w:t>
      </w:r>
      <w:r w:rsidR="008A0EAC">
        <w:rPr>
          <w:color w:val="000000" w:themeColor="text1"/>
          <w:szCs w:val="18"/>
          <w:lang w:val="en-GB"/>
        </w:rPr>
        <w:t>–19.5 W m</w:t>
      </w:r>
      <w:r w:rsidR="008A0EAC" w:rsidRPr="008A0EAC">
        <w:rPr>
          <w:color w:val="000000" w:themeColor="text1"/>
          <w:szCs w:val="18"/>
          <w:vertAlign w:val="superscript"/>
          <w:lang w:val="en-GB"/>
        </w:rPr>
        <w:t>-2</w:t>
      </w:r>
      <w:r w:rsidRPr="005C3FE9">
        <w:rPr>
          <w:color w:val="000000" w:themeColor="text1"/>
          <w:lang w:val="en-GB"/>
        </w:rPr>
        <w:t>. This confirms that the maximi</w:t>
      </w:r>
      <w:r w:rsidR="008A0EAC">
        <w:rPr>
          <w:color w:val="000000" w:themeColor="text1"/>
          <w:lang w:val="en-GB"/>
        </w:rPr>
        <w:t>s</w:t>
      </w:r>
      <w:r w:rsidRPr="005C3FE9">
        <w:rPr>
          <w:color w:val="000000" w:themeColor="text1"/>
          <w:lang w:val="en-GB"/>
        </w:rPr>
        <w:t xml:space="preserve">ation of </w:t>
      </w:r>
      <w:proofErr w:type="spellStart"/>
      <w:r w:rsidRPr="005C3FE9">
        <w:rPr>
          <w:color w:val="000000" w:themeColor="text1"/>
          <w:lang w:val="en-GB"/>
        </w:rPr>
        <w:t>RTE</w:t>
      </w:r>
      <w:r w:rsidRPr="005C3FE9">
        <w:rPr>
          <w:color w:val="000000" w:themeColor="text1"/>
          <w:vertAlign w:val="subscript"/>
          <w:lang w:val="en-GB"/>
        </w:rPr>
        <w:t>net</w:t>
      </w:r>
      <w:proofErr w:type="spellEnd"/>
      <w:r w:rsidR="008A0EAC" w:rsidRPr="008A0EAC">
        <w:rPr>
          <w:color w:val="000000" w:themeColor="text1"/>
          <w:lang w:val="en-GB"/>
        </w:rPr>
        <w:t>,</w:t>
      </w:r>
      <w:r w:rsidRPr="005C3FE9">
        <w:rPr>
          <w:color w:val="000000" w:themeColor="text1"/>
          <w:lang w:val="en-GB"/>
        </w:rPr>
        <w:t xml:space="preserve"> </w:t>
      </w:r>
      <w:r w:rsidR="008A0EAC">
        <w:rPr>
          <w:color w:val="000000" w:themeColor="text1"/>
          <w:lang w:val="en-GB"/>
        </w:rPr>
        <w:t xml:space="preserve">corresponding to the minimum </w:t>
      </w:r>
      <m:oMath>
        <m:sSub>
          <m:sSubPr>
            <m:ctrlPr>
              <w:rPr>
                <w:rFonts w:ascii="Cambria Math" w:hAnsi="Cambria Math"/>
                <w:i/>
                <w:color w:val="000000" w:themeColor="text1"/>
                <w:lang w:val="en-GB"/>
              </w:rPr>
            </m:ctrlPr>
          </m:sSubPr>
          <m:e>
            <m:acc>
              <m:accPr>
                <m:chr m:val="̅"/>
                <m:ctrlPr>
                  <w:rPr>
                    <w:rFonts w:ascii="Cambria Math" w:hAnsi="Cambria Math"/>
                    <w:i/>
                    <w:color w:val="000000" w:themeColor="text1"/>
                    <w:lang w:val="en-GB"/>
                  </w:rPr>
                </m:ctrlPr>
              </m:accPr>
              <m:e>
                <m:r>
                  <w:rPr>
                    <w:rFonts w:ascii="Cambria Math" w:hAnsi="Cambria Math"/>
                    <w:color w:val="000000" w:themeColor="text1"/>
                    <w:lang w:val="en-GB"/>
                  </w:rPr>
                  <m:t>NPD</m:t>
                </m:r>
              </m:e>
            </m:acc>
          </m:e>
          <m:sub>
            <m:r>
              <w:rPr>
                <w:rFonts w:ascii="Cambria Math" w:hAnsi="Cambria Math"/>
                <w:color w:val="000000" w:themeColor="text1"/>
                <w:lang w:val="en-GB"/>
              </w:rPr>
              <m:t>d</m:t>
            </m:r>
          </m:sub>
        </m:sSub>
      </m:oMath>
      <w:r w:rsidR="008A0EAC" w:rsidRPr="008A0EAC">
        <w:rPr>
          <w:color w:val="000000" w:themeColor="text1"/>
          <w:lang w:val="en-GB"/>
        </w:rPr>
        <w:t>,</w:t>
      </w:r>
      <w:r w:rsidR="008A0EAC">
        <w:rPr>
          <w:color w:val="000000" w:themeColor="text1"/>
          <w:lang w:val="en-GB"/>
        </w:rPr>
        <w:t xml:space="preserve"> </w:t>
      </w:r>
      <w:r w:rsidRPr="005C3FE9">
        <w:rPr>
          <w:color w:val="000000" w:themeColor="text1"/>
          <w:lang w:val="en-GB"/>
        </w:rPr>
        <w:t>is achieved by lower</w:t>
      </w:r>
      <w:r w:rsidRPr="005C3FE9">
        <w:rPr>
          <w:color w:val="000000" w:themeColor="text1"/>
          <w:lang w:val="en-GB" w:eastAsia="en-US"/>
        </w:rPr>
        <w:t xml:space="preserve"> concentration jumps between 0 and 100% state of charge.</w:t>
      </w:r>
      <w:r w:rsidRPr="005C3FE9">
        <w:rPr>
          <w:color w:val="000000" w:themeColor="text1"/>
          <w:lang w:val="en-GB"/>
        </w:rPr>
        <w:t xml:space="preserve"> </w:t>
      </w:r>
      <w:r w:rsidR="000C126A">
        <w:rPr>
          <w:color w:val="000000" w:themeColor="text1"/>
          <w:lang w:val="en-GB" w:eastAsia="en-US"/>
        </w:rPr>
        <w:t xml:space="preserve">As demonstrated in </w:t>
      </w:r>
      <w:r w:rsidR="000C126A">
        <w:rPr>
          <w:color w:val="000000" w:themeColor="text1"/>
          <w:lang w:val="en-GB" w:eastAsia="en-US"/>
        </w:rPr>
        <w:fldChar w:fldCharType="begin"/>
      </w:r>
      <w:r w:rsidR="000C126A">
        <w:rPr>
          <w:color w:val="000000" w:themeColor="text1"/>
          <w:lang w:val="en-GB" w:eastAsia="en-US"/>
        </w:rPr>
        <w:instrText xml:space="preserve"> REF _Ref55411601 \h </w:instrText>
      </w:r>
      <w:r w:rsidR="000C126A">
        <w:rPr>
          <w:color w:val="000000" w:themeColor="text1"/>
          <w:lang w:val="en-GB" w:eastAsia="en-US"/>
        </w:rPr>
      </w:r>
      <w:r w:rsidR="000C126A">
        <w:rPr>
          <w:color w:val="000000" w:themeColor="text1"/>
          <w:lang w:val="en-GB" w:eastAsia="en-US"/>
        </w:rPr>
        <w:fldChar w:fldCharType="separate"/>
      </w:r>
      <w:r w:rsidR="000C126A" w:rsidRPr="005C3FE9">
        <w:rPr>
          <w:color w:val="000000" w:themeColor="text1"/>
          <w:lang w:val="en-GB"/>
        </w:rPr>
        <w:t xml:space="preserve">Figure </w:t>
      </w:r>
      <w:r w:rsidR="000C126A" w:rsidRPr="005C3FE9">
        <w:rPr>
          <w:noProof/>
          <w:color w:val="000000" w:themeColor="text1"/>
          <w:lang w:val="en-GB"/>
        </w:rPr>
        <w:t>4</w:t>
      </w:r>
      <w:r w:rsidR="000C126A">
        <w:rPr>
          <w:color w:val="000000" w:themeColor="text1"/>
          <w:lang w:val="en-GB" w:eastAsia="en-US"/>
        </w:rPr>
        <w:fldChar w:fldCharType="end"/>
      </w:r>
      <w:r w:rsidR="000C126A">
        <w:rPr>
          <w:color w:val="000000" w:themeColor="text1"/>
          <w:lang w:val="en-GB" w:eastAsia="en-US"/>
        </w:rPr>
        <w:t>c</w:t>
      </w:r>
      <w:r w:rsidRPr="005C3FE9">
        <w:rPr>
          <w:color w:val="000000" w:themeColor="text1"/>
          <w:lang w:val="en-GB" w:eastAsia="en-US"/>
        </w:rPr>
        <w:t>, higher or lower limits of the charge target concentrations could be beneficial for reaching higher values of the objective functions. However, these may not be of practical interest in the search of the optimal working point, which will require some balance between the two objective functions. Moreover, current ion-exchange membranes cannot be used with high acid and base concentrations due to unsuitable properties of selectivity. On the other hand, too low acid and base concentrations would decrease the electromotive force and thus the obtainable energy density.</w:t>
      </w:r>
    </w:p>
    <w:p w14:paraId="691D115C" w14:textId="1C89E959" w:rsidR="001B5C2F" w:rsidRPr="005C3FE9" w:rsidRDefault="001B5C2F" w:rsidP="008A0EAC">
      <w:pPr>
        <w:rPr>
          <w:color w:val="000000" w:themeColor="text1"/>
          <w:lang w:val="en-GB"/>
        </w:rPr>
      </w:pPr>
      <w:r w:rsidRPr="005C3FE9">
        <w:rPr>
          <w:color w:val="000000" w:themeColor="text1"/>
          <w:lang w:val="en-GB" w:eastAsia="en-US"/>
        </w:rPr>
        <w:t>Finally, spacer length and thickness (</w:t>
      </w:r>
      <w:r w:rsidRPr="005C3FE9">
        <w:rPr>
          <w:color w:val="000000" w:themeColor="text1"/>
          <w:lang w:val="en-GB" w:eastAsia="en-US"/>
        </w:rPr>
        <w:fldChar w:fldCharType="begin"/>
      </w:r>
      <w:r w:rsidRPr="005C3FE9">
        <w:rPr>
          <w:color w:val="000000" w:themeColor="text1"/>
          <w:lang w:val="en-GB" w:eastAsia="en-US"/>
        </w:rPr>
        <w:instrText xml:space="preserve"> REF _Ref55411601 \h  \* MERGEFORMAT </w:instrText>
      </w:r>
      <w:r w:rsidRPr="005C3FE9">
        <w:rPr>
          <w:color w:val="000000" w:themeColor="text1"/>
          <w:lang w:val="en-GB" w:eastAsia="en-US"/>
        </w:rPr>
      </w:r>
      <w:r w:rsidRPr="005C3FE9">
        <w:rPr>
          <w:color w:val="000000" w:themeColor="text1"/>
          <w:lang w:val="en-GB" w:eastAsia="en-US"/>
        </w:rPr>
        <w:fldChar w:fldCharType="separate"/>
      </w:r>
      <w:r w:rsidR="00561965" w:rsidRPr="005C3FE9">
        <w:rPr>
          <w:color w:val="000000" w:themeColor="text1"/>
          <w:lang w:val="en-GB"/>
        </w:rPr>
        <w:t>Figure 4</w:t>
      </w:r>
      <w:r w:rsidRPr="005C3FE9">
        <w:rPr>
          <w:color w:val="000000" w:themeColor="text1"/>
          <w:lang w:val="en-GB" w:eastAsia="en-US"/>
        </w:rPr>
        <w:fldChar w:fldCharType="end"/>
      </w:r>
      <w:r w:rsidRPr="005C3FE9">
        <w:rPr>
          <w:color w:val="000000" w:themeColor="text1"/>
          <w:lang w:val="en-GB" w:eastAsia="en-US"/>
        </w:rPr>
        <w:t xml:space="preserve">d) show both a similar (at least qualitatively) decreasing trend with </w:t>
      </w:r>
      <m:oMath>
        <m:sSub>
          <m:sSubPr>
            <m:ctrlPr>
              <w:rPr>
                <w:rFonts w:ascii="Cambria Math" w:hAnsi="Cambria Math"/>
                <w:i/>
                <w:color w:val="000000" w:themeColor="text1"/>
                <w:lang w:val="en-GB"/>
              </w:rPr>
            </m:ctrlPr>
          </m:sSubPr>
          <m:e>
            <m:acc>
              <m:accPr>
                <m:chr m:val="̅"/>
                <m:ctrlPr>
                  <w:rPr>
                    <w:rFonts w:ascii="Cambria Math" w:hAnsi="Cambria Math"/>
                    <w:i/>
                    <w:color w:val="000000" w:themeColor="text1"/>
                    <w:lang w:val="en-GB"/>
                  </w:rPr>
                </m:ctrlPr>
              </m:accPr>
              <m:e>
                <m:r>
                  <w:rPr>
                    <w:rFonts w:ascii="Cambria Math" w:hAnsi="Cambria Math"/>
                    <w:color w:val="000000" w:themeColor="text1"/>
                    <w:lang w:val="en-GB"/>
                  </w:rPr>
                  <m:t>NPD</m:t>
                </m:r>
              </m:e>
            </m:acc>
          </m:e>
          <m:sub>
            <m:r>
              <w:rPr>
                <w:rFonts w:ascii="Cambria Math" w:hAnsi="Cambria Math"/>
                <w:color w:val="000000" w:themeColor="text1"/>
                <w:lang w:val="en-GB"/>
              </w:rPr>
              <m:t>d</m:t>
            </m:r>
          </m:sub>
        </m:sSub>
      </m:oMath>
      <w:r w:rsidRPr="005C3FE9">
        <w:rPr>
          <w:color w:val="000000" w:themeColor="text1"/>
          <w:lang w:val="en-GB"/>
        </w:rPr>
        <w:t>.</w:t>
      </w:r>
      <w:r w:rsidRPr="005C3FE9">
        <w:rPr>
          <w:color w:val="000000" w:themeColor="text1"/>
          <w:lang w:val="en-GB" w:eastAsia="en-US"/>
        </w:rPr>
        <w:t xml:space="preserve"> The range of the optimal stack lengths is 9</w:t>
      </w:r>
      <w:r w:rsidR="00C75EE6">
        <w:rPr>
          <w:color w:val="000000" w:themeColor="text1"/>
          <w:lang w:val="en-GB" w:eastAsia="en-US"/>
        </w:rPr>
        <w:t>–</w:t>
      </w:r>
      <w:r w:rsidRPr="005C3FE9">
        <w:rPr>
          <w:color w:val="000000" w:themeColor="text1"/>
          <w:lang w:val="en-GB" w:eastAsia="en-US"/>
        </w:rPr>
        <w:t xml:space="preserve">41 cm and is far from the assigned upper limit of 200 cm. This means that long stacks (more than ~40 cm) are not beneficial for </w:t>
      </w:r>
      <w:r w:rsidR="008A0EAC">
        <w:rPr>
          <w:color w:val="000000" w:themeColor="text1"/>
          <w:lang w:val="en-GB" w:eastAsia="en-US"/>
        </w:rPr>
        <w:t>maximising our objective functions</w:t>
      </w:r>
      <w:r w:rsidR="00C75EE6">
        <w:rPr>
          <w:color w:val="000000" w:themeColor="text1"/>
          <w:lang w:val="en-GB"/>
        </w:rPr>
        <w:t xml:space="preserve"> </w:t>
      </w:r>
      <w:r w:rsidR="00C75EE6" w:rsidRPr="00C75EE6">
        <w:rPr>
          <w:color w:val="000000" w:themeColor="text1"/>
          <w:lang w:val="en-GB"/>
        </w:rPr>
        <w:t>because stacks with channels</w:t>
      </w:r>
      <w:r w:rsidR="00441537">
        <w:rPr>
          <w:color w:val="000000" w:themeColor="text1"/>
          <w:lang w:val="en-GB"/>
        </w:rPr>
        <w:t xml:space="preserve"> longer than </w:t>
      </w:r>
      <w:r w:rsidR="00441537" w:rsidRPr="005C3FE9">
        <w:rPr>
          <w:color w:val="000000" w:themeColor="text1"/>
          <w:lang w:val="en-GB" w:eastAsia="en-US"/>
        </w:rPr>
        <w:t>~</w:t>
      </w:r>
      <w:r w:rsidR="00441537">
        <w:rPr>
          <w:color w:val="000000" w:themeColor="text1"/>
          <w:lang w:val="en-GB"/>
        </w:rPr>
        <w:t>40 cm</w:t>
      </w:r>
      <w:r w:rsidR="00C75EE6" w:rsidRPr="00C75EE6">
        <w:rPr>
          <w:color w:val="000000" w:themeColor="text1"/>
          <w:lang w:val="en-GB"/>
        </w:rPr>
        <w:t xml:space="preserve"> would fall outside the Pareto frontier.</w:t>
      </w:r>
      <w:r w:rsidRPr="005C3FE9">
        <w:rPr>
          <w:color w:val="000000" w:themeColor="text1"/>
          <w:lang w:val="en-GB"/>
        </w:rPr>
        <w:t xml:space="preserve"> </w:t>
      </w:r>
      <w:bookmarkStart w:id="27" w:name="_Hlk119173851"/>
      <w:r w:rsidR="008A0EAC" w:rsidRPr="008A0EAC">
        <w:rPr>
          <w:color w:val="000000" w:themeColor="text1"/>
          <w:lang w:val="en-GB"/>
        </w:rPr>
        <w:t xml:space="preserve">Within the optimal range, shorter stacks (9–41 cm) are suitable for optimising </w:t>
      </w:r>
      <m:oMath>
        <m:sSub>
          <m:sSubPr>
            <m:ctrlPr>
              <w:rPr>
                <w:rFonts w:ascii="Cambria Math" w:hAnsi="Cambria Math"/>
                <w:i/>
                <w:color w:val="000000" w:themeColor="text1"/>
                <w:lang w:val="en-GB"/>
              </w:rPr>
            </m:ctrlPr>
          </m:sSubPr>
          <m:e>
            <m:acc>
              <m:accPr>
                <m:chr m:val="̅"/>
                <m:ctrlPr>
                  <w:rPr>
                    <w:rFonts w:ascii="Cambria Math" w:hAnsi="Cambria Math"/>
                    <w:i/>
                    <w:color w:val="000000" w:themeColor="text1"/>
                    <w:lang w:val="en-GB"/>
                  </w:rPr>
                </m:ctrlPr>
              </m:accPr>
              <m:e>
                <m:r>
                  <w:rPr>
                    <w:rFonts w:ascii="Cambria Math" w:hAnsi="Cambria Math"/>
                    <w:color w:val="000000" w:themeColor="text1"/>
                    <w:lang w:val="en-GB"/>
                  </w:rPr>
                  <m:t>NPD</m:t>
                </m:r>
              </m:e>
            </m:acc>
          </m:e>
          <m:sub>
            <m:r>
              <w:rPr>
                <w:rFonts w:ascii="Cambria Math" w:hAnsi="Cambria Math"/>
                <w:color w:val="000000" w:themeColor="text1"/>
                <w:lang w:val="en-GB"/>
              </w:rPr>
              <m:t>d</m:t>
            </m:r>
          </m:sub>
        </m:sSub>
      </m:oMath>
      <w:r w:rsidR="008A0EAC" w:rsidRPr="008A0EAC">
        <w:rPr>
          <w:color w:val="000000" w:themeColor="text1"/>
          <w:lang w:val="en-GB"/>
        </w:rPr>
        <w:t xml:space="preserve"> due to the increase in average electric potential. On the other hand, longer stacks are preferable to maximise </w:t>
      </w:r>
      <w:proofErr w:type="spellStart"/>
      <w:r w:rsidR="008A0EAC" w:rsidRPr="005C3FE9">
        <w:rPr>
          <w:color w:val="000000" w:themeColor="text1"/>
          <w:lang w:val="en-GB" w:eastAsia="en-US"/>
        </w:rPr>
        <w:t>RTE</w:t>
      </w:r>
      <w:r w:rsidR="008A0EAC" w:rsidRPr="005C3FE9">
        <w:rPr>
          <w:color w:val="000000" w:themeColor="text1"/>
          <w:vertAlign w:val="subscript"/>
          <w:lang w:val="en-GB" w:eastAsia="en-US"/>
        </w:rPr>
        <w:t>net</w:t>
      </w:r>
      <w:proofErr w:type="spellEnd"/>
      <w:r w:rsidR="008A0EAC" w:rsidRPr="008A0EAC">
        <w:rPr>
          <w:color w:val="000000" w:themeColor="text1"/>
          <w:lang w:val="en-GB"/>
        </w:rPr>
        <w:t xml:space="preserve"> despite lower </w:t>
      </w:r>
      <m:oMath>
        <m:sSub>
          <m:sSubPr>
            <m:ctrlPr>
              <w:rPr>
                <w:rFonts w:ascii="Cambria Math" w:hAnsi="Cambria Math"/>
                <w:i/>
                <w:color w:val="000000" w:themeColor="text1"/>
                <w:lang w:val="en-GB"/>
              </w:rPr>
            </m:ctrlPr>
          </m:sSubPr>
          <m:e>
            <m:acc>
              <m:accPr>
                <m:chr m:val="̅"/>
                <m:ctrlPr>
                  <w:rPr>
                    <w:rFonts w:ascii="Cambria Math" w:hAnsi="Cambria Math"/>
                    <w:i/>
                    <w:color w:val="000000" w:themeColor="text1"/>
                    <w:lang w:val="en-GB"/>
                  </w:rPr>
                </m:ctrlPr>
              </m:accPr>
              <m:e>
                <m:r>
                  <w:rPr>
                    <w:rFonts w:ascii="Cambria Math" w:hAnsi="Cambria Math"/>
                    <w:color w:val="000000" w:themeColor="text1"/>
                    <w:lang w:val="en-GB"/>
                  </w:rPr>
                  <m:t>NPD</m:t>
                </m:r>
              </m:e>
            </m:acc>
          </m:e>
          <m:sub>
            <m:r>
              <w:rPr>
                <w:rFonts w:ascii="Cambria Math" w:hAnsi="Cambria Math"/>
                <w:color w:val="000000" w:themeColor="text1"/>
                <w:lang w:val="en-GB"/>
              </w:rPr>
              <m:t>d</m:t>
            </m:r>
          </m:sub>
        </m:sSub>
      </m:oMath>
      <w:r w:rsidR="008A0EAC">
        <w:rPr>
          <w:color w:val="000000" w:themeColor="text1"/>
          <w:lang w:val="en-GB"/>
        </w:rPr>
        <w:t xml:space="preserve"> </w:t>
      </w:r>
      <w:r w:rsidR="008A0EAC" w:rsidRPr="008A0EAC">
        <w:rPr>
          <w:color w:val="000000" w:themeColor="text1"/>
          <w:lang w:val="en-GB"/>
        </w:rPr>
        <w:t>values due to the reduction of parasitic currents via manifolds combined with lower electrical resistance.</w:t>
      </w:r>
      <w:bookmarkEnd w:id="27"/>
      <w:r w:rsidR="008A0EAC">
        <w:rPr>
          <w:color w:val="000000" w:themeColor="text1"/>
          <w:lang w:val="en-GB"/>
        </w:rPr>
        <w:t xml:space="preserve"> </w:t>
      </w:r>
      <w:r w:rsidRPr="005C3FE9">
        <w:rPr>
          <w:color w:val="000000" w:themeColor="text1"/>
          <w:lang w:val="en-GB"/>
        </w:rPr>
        <w:t>T</w:t>
      </w:r>
      <w:r w:rsidRPr="005C3FE9">
        <w:rPr>
          <w:color w:val="000000" w:themeColor="text1"/>
          <w:lang w:val="en-GB" w:eastAsia="en-US"/>
        </w:rPr>
        <w:t xml:space="preserve">he optimal spacer thickness decreases from ~280 </w:t>
      </w:r>
      <w:proofErr w:type="spellStart"/>
      <w:r w:rsidRPr="005C3FE9">
        <w:rPr>
          <w:color w:val="000000" w:themeColor="text1"/>
          <w:lang w:val="en-GB" w:eastAsia="en-US"/>
        </w:rPr>
        <w:t>μm</w:t>
      </w:r>
      <w:proofErr w:type="spellEnd"/>
      <w:r w:rsidRPr="005C3FE9">
        <w:rPr>
          <w:color w:val="000000" w:themeColor="text1"/>
          <w:lang w:val="en-GB" w:eastAsia="en-US"/>
        </w:rPr>
        <w:t xml:space="preserve"> to 100 </w:t>
      </w:r>
      <w:proofErr w:type="spellStart"/>
      <w:r w:rsidRPr="005C3FE9">
        <w:rPr>
          <w:color w:val="000000" w:themeColor="text1"/>
          <w:lang w:val="en-GB" w:eastAsia="en-US"/>
        </w:rPr>
        <w:t>μm</w:t>
      </w:r>
      <w:proofErr w:type="spellEnd"/>
      <w:r w:rsidRPr="005C3FE9">
        <w:rPr>
          <w:color w:val="000000" w:themeColor="text1"/>
          <w:lang w:val="en-GB" w:eastAsia="en-US"/>
        </w:rPr>
        <w:t xml:space="preserve">, despite the </w:t>
      </w:r>
      <w:r w:rsidR="008A0EAC">
        <w:rPr>
          <w:color w:val="000000" w:themeColor="text1"/>
          <w:lang w:val="en-GB" w:eastAsia="en-US"/>
        </w:rPr>
        <w:t>range of possible values being</w:t>
      </w:r>
      <w:r w:rsidRPr="005C3FE9">
        <w:rPr>
          <w:color w:val="000000" w:themeColor="text1"/>
          <w:lang w:val="en-GB" w:eastAsia="en-US"/>
        </w:rPr>
        <w:t xml:space="preserve"> significantly higher (i.e., 50</w:t>
      </w:r>
      <w:r w:rsidR="008A0EAC" w:rsidRPr="008A0EAC">
        <w:rPr>
          <w:color w:val="000000" w:themeColor="text1"/>
          <w:lang w:val="en-GB"/>
        </w:rPr>
        <w:t>–</w:t>
      </w:r>
      <w:r w:rsidRPr="005C3FE9">
        <w:rPr>
          <w:color w:val="000000" w:themeColor="text1"/>
          <w:lang w:val="en-GB" w:eastAsia="en-US"/>
        </w:rPr>
        <w:t>1</w:t>
      </w:r>
      <w:r w:rsidR="00561965" w:rsidRPr="005C3FE9">
        <w:rPr>
          <w:color w:val="000000" w:themeColor="text1"/>
          <w:lang w:val="en-GB" w:eastAsia="en-US"/>
        </w:rPr>
        <w:t>,</w:t>
      </w:r>
      <w:r w:rsidRPr="005C3FE9">
        <w:rPr>
          <w:color w:val="000000" w:themeColor="text1"/>
          <w:lang w:val="en-GB" w:eastAsia="en-US"/>
        </w:rPr>
        <w:t xml:space="preserve">000 </w:t>
      </w:r>
      <w:proofErr w:type="spellStart"/>
      <w:r w:rsidRPr="005C3FE9">
        <w:rPr>
          <w:color w:val="000000" w:themeColor="text1"/>
          <w:lang w:val="en-GB" w:eastAsia="en-US"/>
        </w:rPr>
        <w:t>μm</w:t>
      </w:r>
      <w:proofErr w:type="spellEnd"/>
      <w:r w:rsidRPr="005C3FE9">
        <w:rPr>
          <w:color w:val="000000" w:themeColor="text1"/>
          <w:lang w:val="en-GB" w:eastAsia="en-US"/>
        </w:rPr>
        <w:t>). Therefore, thin channels are optimal for the battery performance. Thicker spacers probably contribute to reduce parasitic currents, thus being optimal to maximi</w:t>
      </w:r>
      <w:r w:rsidR="008A0EAC">
        <w:rPr>
          <w:color w:val="000000" w:themeColor="text1"/>
          <w:lang w:val="en-GB" w:eastAsia="en-US"/>
        </w:rPr>
        <w:t>s</w:t>
      </w:r>
      <w:r w:rsidRPr="005C3FE9">
        <w:rPr>
          <w:color w:val="000000" w:themeColor="text1"/>
          <w:lang w:val="en-GB" w:eastAsia="en-US"/>
        </w:rPr>
        <w:t xml:space="preserve">e </w:t>
      </w:r>
      <w:proofErr w:type="spellStart"/>
      <w:r w:rsidRPr="005C3FE9">
        <w:rPr>
          <w:color w:val="000000" w:themeColor="text1"/>
          <w:lang w:val="en-GB" w:eastAsia="en-US"/>
        </w:rPr>
        <w:t>RTE</w:t>
      </w:r>
      <w:r w:rsidRPr="005C3FE9">
        <w:rPr>
          <w:color w:val="000000" w:themeColor="text1"/>
          <w:vertAlign w:val="subscript"/>
          <w:lang w:val="en-GB" w:eastAsia="en-US"/>
        </w:rPr>
        <w:t>net</w:t>
      </w:r>
      <w:proofErr w:type="spellEnd"/>
      <w:r w:rsidR="00F755FB" w:rsidRPr="00F755FB">
        <w:rPr>
          <w:color w:val="000000" w:themeColor="text1"/>
          <w:lang w:val="en-GB" w:eastAsia="en-US"/>
        </w:rPr>
        <w:t xml:space="preserve"> as depicted in </w:t>
      </w:r>
      <w:r w:rsidR="00F755FB">
        <w:rPr>
          <w:color w:val="000000" w:themeColor="text1"/>
          <w:lang w:val="en-GB" w:eastAsia="en-US"/>
        </w:rPr>
        <w:fldChar w:fldCharType="begin"/>
      </w:r>
      <w:r w:rsidR="00F755FB">
        <w:rPr>
          <w:color w:val="000000" w:themeColor="text1"/>
          <w:lang w:val="en-GB" w:eastAsia="en-US"/>
        </w:rPr>
        <w:instrText xml:space="preserve"> REF _Ref55411601 \h </w:instrText>
      </w:r>
      <w:r w:rsidR="00F755FB">
        <w:rPr>
          <w:color w:val="000000" w:themeColor="text1"/>
          <w:lang w:val="en-GB" w:eastAsia="en-US"/>
        </w:rPr>
      </w:r>
      <w:r w:rsidR="00F755FB">
        <w:rPr>
          <w:color w:val="000000" w:themeColor="text1"/>
          <w:lang w:val="en-GB" w:eastAsia="en-US"/>
        </w:rPr>
        <w:fldChar w:fldCharType="separate"/>
      </w:r>
      <w:r w:rsidR="00F755FB" w:rsidRPr="005C3FE9">
        <w:rPr>
          <w:color w:val="000000" w:themeColor="text1"/>
          <w:lang w:val="en-GB"/>
        </w:rPr>
        <w:t xml:space="preserve">Figure </w:t>
      </w:r>
      <w:r w:rsidR="00F755FB" w:rsidRPr="005C3FE9">
        <w:rPr>
          <w:noProof/>
          <w:color w:val="000000" w:themeColor="text1"/>
          <w:lang w:val="en-GB"/>
        </w:rPr>
        <w:t>4</w:t>
      </w:r>
      <w:r w:rsidR="00F755FB">
        <w:rPr>
          <w:color w:val="000000" w:themeColor="text1"/>
          <w:lang w:val="en-GB" w:eastAsia="en-US"/>
        </w:rPr>
        <w:fldChar w:fldCharType="end"/>
      </w:r>
      <w:r w:rsidR="00F755FB">
        <w:rPr>
          <w:color w:val="000000" w:themeColor="text1"/>
          <w:lang w:val="en-GB" w:eastAsia="en-US"/>
        </w:rPr>
        <w:t>d</w:t>
      </w:r>
      <w:r w:rsidRPr="005C3FE9">
        <w:rPr>
          <w:color w:val="000000" w:themeColor="text1"/>
          <w:lang w:val="en-GB" w:eastAsia="en-US"/>
        </w:rPr>
        <w:t>; thinner ones reduce the electrical resistance, resulting optimal to maximi</w:t>
      </w:r>
      <w:r w:rsidR="008A0EAC">
        <w:rPr>
          <w:color w:val="000000" w:themeColor="text1"/>
          <w:lang w:val="en-GB" w:eastAsia="en-US"/>
        </w:rPr>
        <w:t>s</w:t>
      </w:r>
      <w:r w:rsidRPr="005C3FE9">
        <w:rPr>
          <w:color w:val="000000" w:themeColor="text1"/>
          <w:lang w:val="en-GB" w:eastAsia="en-US"/>
        </w:rPr>
        <w:t xml:space="preserve">e </w:t>
      </w:r>
      <m:oMath>
        <m:sSub>
          <m:sSubPr>
            <m:ctrlPr>
              <w:rPr>
                <w:rFonts w:ascii="Cambria Math" w:hAnsi="Cambria Math"/>
                <w:i/>
                <w:color w:val="000000" w:themeColor="text1"/>
                <w:lang w:val="en-GB"/>
              </w:rPr>
            </m:ctrlPr>
          </m:sSubPr>
          <m:e>
            <m:acc>
              <m:accPr>
                <m:chr m:val="̅"/>
                <m:ctrlPr>
                  <w:rPr>
                    <w:rFonts w:ascii="Cambria Math" w:hAnsi="Cambria Math"/>
                    <w:i/>
                    <w:color w:val="000000" w:themeColor="text1"/>
                    <w:lang w:val="en-GB"/>
                  </w:rPr>
                </m:ctrlPr>
              </m:accPr>
              <m:e>
                <m:r>
                  <w:rPr>
                    <w:rFonts w:ascii="Cambria Math" w:hAnsi="Cambria Math"/>
                    <w:color w:val="000000" w:themeColor="text1"/>
                    <w:lang w:val="en-GB"/>
                  </w:rPr>
                  <m:t>NPD</m:t>
                </m:r>
              </m:e>
            </m:acc>
          </m:e>
          <m:sub>
            <m:r>
              <w:rPr>
                <w:rFonts w:ascii="Cambria Math" w:hAnsi="Cambria Math"/>
                <w:color w:val="000000" w:themeColor="text1"/>
                <w:lang w:val="en-GB"/>
              </w:rPr>
              <m:t>d</m:t>
            </m:r>
          </m:sub>
        </m:sSub>
      </m:oMath>
      <w:r w:rsidRPr="005C3FE9">
        <w:rPr>
          <w:color w:val="000000" w:themeColor="text1"/>
          <w:lang w:val="en-GB"/>
        </w:rPr>
        <w:t xml:space="preserve">, which is less affected by pumping power, as mentioned </w:t>
      </w:r>
      <w:r w:rsidR="00223808" w:rsidRPr="005C3FE9">
        <w:rPr>
          <w:color w:val="000000" w:themeColor="text1"/>
          <w:lang w:val="en-GB"/>
        </w:rPr>
        <w:t>above.</w:t>
      </w:r>
    </w:p>
    <w:p w14:paraId="6751C7B6" w14:textId="2082439F" w:rsidR="00CD516E" w:rsidRPr="005C3FE9" w:rsidRDefault="00CD516E" w:rsidP="001256D2">
      <w:pPr>
        <w:pStyle w:val="Titolo2"/>
        <w:spacing w:before="0"/>
        <w:rPr>
          <w:color w:val="000000" w:themeColor="text1"/>
        </w:rPr>
      </w:pPr>
      <w:r w:rsidRPr="005C3FE9">
        <w:rPr>
          <w:color w:val="000000" w:themeColor="text1"/>
        </w:rPr>
        <w:lastRenderedPageBreak/>
        <w:t>Energy density</w:t>
      </w:r>
    </w:p>
    <w:p w14:paraId="1C2728C5" w14:textId="23EBD9DA" w:rsidR="00A72B74" w:rsidRPr="005C3FE9" w:rsidRDefault="00A72B74" w:rsidP="00A72B74">
      <w:pPr>
        <w:rPr>
          <w:color w:val="000000" w:themeColor="text1"/>
          <w:lang w:val="en-GB" w:eastAsia="en-US"/>
        </w:rPr>
      </w:pPr>
      <w:r w:rsidRPr="005C3FE9">
        <w:rPr>
          <w:color w:val="000000" w:themeColor="text1"/>
          <w:lang w:val="en-GB" w:eastAsia="en-US"/>
        </w:rPr>
        <w:fldChar w:fldCharType="begin"/>
      </w:r>
      <w:r w:rsidRPr="005C3FE9">
        <w:rPr>
          <w:color w:val="000000" w:themeColor="text1"/>
          <w:lang w:val="en-GB" w:eastAsia="en-US"/>
        </w:rPr>
        <w:instrText xml:space="preserve"> REF _Ref114569005 \h  \* MERGEFORMAT </w:instrText>
      </w:r>
      <w:r w:rsidRPr="005C3FE9">
        <w:rPr>
          <w:color w:val="000000" w:themeColor="text1"/>
          <w:lang w:val="en-GB" w:eastAsia="en-US"/>
        </w:rPr>
      </w:r>
      <w:r w:rsidRPr="005C3FE9">
        <w:rPr>
          <w:color w:val="000000" w:themeColor="text1"/>
          <w:lang w:val="en-GB" w:eastAsia="en-US"/>
        </w:rPr>
        <w:fldChar w:fldCharType="separate"/>
      </w:r>
      <w:r w:rsidR="00561965" w:rsidRPr="005C3FE9">
        <w:rPr>
          <w:color w:val="000000" w:themeColor="text1"/>
          <w:lang w:val="en-US"/>
        </w:rPr>
        <w:t xml:space="preserve">Figure </w:t>
      </w:r>
      <w:r w:rsidR="00561965" w:rsidRPr="005C3FE9">
        <w:rPr>
          <w:noProof/>
          <w:color w:val="000000" w:themeColor="text1"/>
          <w:lang w:val="en-US"/>
        </w:rPr>
        <w:t>5</w:t>
      </w:r>
      <w:r w:rsidRPr="005C3FE9">
        <w:rPr>
          <w:color w:val="000000" w:themeColor="text1"/>
          <w:lang w:val="en-GB" w:eastAsia="en-US"/>
        </w:rPr>
        <w:fldChar w:fldCharType="end"/>
      </w:r>
      <w:r w:rsidRPr="005C3FE9">
        <w:rPr>
          <w:color w:val="000000" w:themeColor="text1"/>
          <w:lang w:val="en-GB" w:eastAsia="en-US"/>
        </w:rPr>
        <w:t xml:space="preserve"> shows the theoretical and actual energy densities </w:t>
      </w:r>
      <w:r w:rsidR="00C05F8E" w:rsidRPr="005C3FE9">
        <w:rPr>
          <w:color w:val="000000" w:themeColor="text1"/>
          <w:lang w:val="en-GB" w:eastAsia="en-US"/>
        </w:rPr>
        <w:t>at the extreme points of the Pareto frontier</w:t>
      </w:r>
      <w:r w:rsidRPr="005C3FE9">
        <w:rPr>
          <w:color w:val="000000" w:themeColor="text1"/>
          <w:lang w:val="en-GB" w:eastAsia="en-US"/>
        </w:rPr>
        <w:t xml:space="preserve"> of all the simulated scenarios. </w:t>
      </w:r>
    </w:p>
    <w:p w14:paraId="2553C145" w14:textId="0CFBE8F5" w:rsidR="00A72B74" w:rsidRPr="005C3FE9" w:rsidRDefault="001811AE" w:rsidP="00A72B74">
      <w:pPr>
        <w:keepNext/>
        <w:rPr>
          <w:color w:val="000000" w:themeColor="text1"/>
        </w:rPr>
      </w:pPr>
      <w:r w:rsidRPr="001811AE">
        <w:rPr>
          <w:noProof/>
        </w:rPr>
        <w:drawing>
          <wp:inline distT="0" distB="0" distL="0" distR="0" wp14:anchorId="4902340F" wp14:editId="408CED06">
            <wp:extent cx="6120130" cy="3858895"/>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20130" cy="3858895"/>
                    </a:xfrm>
                    <a:prstGeom prst="rect">
                      <a:avLst/>
                    </a:prstGeom>
                    <a:noFill/>
                    <a:ln>
                      <a:noFill/>
                    </a:ln>
                  </pic:spPr>
                </pic:pic>
              </a:graphicData>
            </a:graphic>
          </wp:inline>
        </w:drawing>
      </w:r>
    </w:p>
    <w:p w14:paraId="192A3448" w14:textId="38C11715" w:rsidR="00A72B74" w:rsidRPr="005C3FE9" w:rsidRDefault="00A72B74" w:rsidP="00A72B74">
      <w:pPr>
        <w:pStyle w:val="Didascalia"/>
        <w:jc w:val="both"/>
        <w:rPr>
          <w:color w:val="000000" w:themeColor="text1"/>
          <w:lang w:val="en-GB"/>
        </w:rPr>
      </w:pPr>
      <w:bookmarkStart w:id="28" w:name="_Ref114569005"/>
      <w:r w:rsidRPr="005C3FE9">
        <w:rPr>
          <w:color w:val="000000" w:themeColor="text1"/>
        </w:rPr>
        <w:t xml:space="preserve">Figure </w:t>
      </w:r>
      <w:r w:rsidRPr="005C3FE9">
        <w:rPr>
          <w:color w:val="000000" w:themeColor="text1"/>
        </w:rPr>
        <w:fldChar w:fldCharType="begin"/>
      </w:r>
      <w:r w:rsidRPr="005C3FE9">
        <w:rPr>
          <w:color w:val="000000" w:themeColor="text1"/>
        </w:rPr>
        <w:instrText xml:space="preserve"> SEQ Figure \* ARABIC </w:instrText>
      </w:r>
      <w:r w:rsidRPr="005C3FE9">
        <w:rPr>
          <w:color w:val="000000" w:themeColor="text1"/>
        </w:rPr>
        <w:fldChar w:fldCharType="separate"/>
      </w:r>
      <w:r w:rsidR="00810CF6">
        <w:rPr>
          <w:noProof/>
          <w:color w:val="000000" w:themeColor="text1"/>
        </w:rPr>
        <w:t>5</w:t>
      </w:r>
      <w:r w:rsidRPr="005C3FE9">
        <w:rPr>
          <w:color w:val="000000" w:themeColor="text1"/>
        </w:rPr>
        <w:fldChar w:fldCharType="end"/>
      </w:r>
      <w:bookmarkEnd w:id="28"/>
      <w:r w:rsidRPr="005C3FE9">
        <w:rPr>
          <w:color w:val="000000" w:themeColor="text1"/>
        </w:rPr>
        <w:t>. T</w:t>
      </w:r>
      <w:proofErr w:type="spellStart"/>
      <w:r w:rsidRPr="005C3FE9">
        <w:rPr>
          <w:color w:val="000000" w:themeColor="text1"/>
          <w:lang w:val="en-GB"/>
        </w:rPr>
        <w:t>heoretical</w:t>
      </w:r>
      <w:proofErr w:type="spellEnd"/>
      <w:r w:rsidRPr="005C3FE9">
        <w:rPr>
          <w:color w:val="000000" w:themeColor="text1"/>
          <w:lang w:val="en-GB"/>
        </w:rPr>
        <w:t xml:space="preserve"> and actual energy density at the two extreme points of the Pareto curve representing the single-objective optimal conditions of maximum net RTE and maximum </w:t>
      </w:r>
      <m:oMath>
        <m:acc>
          <m:accPr>
            <m:chr m:val="̅"/>
            <m:ctrlPr>
              <w:rPr>
                <w:rFonts w:ascii="Cambria Math" w:eastAsia="Calibri" w:hAnsi="Cambria Math"/>
                <w:i/>
              </w:rPr>
            </m:ctrlPr>
          </m:accPr>
          <m:e>
            <m:sSub>
              <m:sSubPr>
                <m:ctrlPr>
                  <w:rPr>
                    <w:rFonts w:ascii="Cambria Math" w:eastAsia="Calibri" w:hAnsi="Cambria Math"/>
                    <w:i/>
                  </w:rPr>
                </m:ctrlPr>
              </m:sSubPr>
              <m:e>
                <m:r>
                  <w:rPr>
                    <w:rFonts w:ascii="Cambria Math" w:hAnsi="Cambria Math"/>
                  </w:rPr>
                  <m:t>NPD</m:t>
                </m:r>
              </m:e>
              <m:sub>
                <m:r>
                  <w:rPr>
                    <w:rFonts w:ascii="Cambria Math" w:hAnsi="Cambria Math"/>
                  </w:rPr>
                  <m:t>d</m:t>
                </m:r>
              </m:sub>
            </m:sSub>
          </m:e>
        </m:acc>
      </m:oMath>
      <w:r w:rsidR="00846DBD">
        <w:t xml:space="preserve"> </w:t>
      </w:r>
      <w:r w:rsidRPr="005C3FE9">
        <w:rPr>
          <w:color w:val="000000" w:themeColor="text1"/>
          <w:lang w:val="en-GB"/>
        </w:rPr>
        <w:t xml:space="preserve">in discharge. </w:t>
      </w:r>
    </w:p>
    <w:p w14:paraId="03247B30" w14:textId="326C1162" w:rsidR="00A72B74" w:rsidRPr="005C3FE9" w:rsidRDefault="00A72B74" w:rsidP="00A72B74">
      <w:pPr>
        <w:rPr>
          <w:color w:val="000000" w:themeColor="text1"/>
          <w:sz w:val="18"/>
          <w:szCs w:val="18"/>
          <w:lang w:val="en-GB"/>
        </w:rPr>
      </w:pPr>
      <w:r w:rsidRPr="005C3FE9">
        <w:rPr>
          <w:color w:val="000000" w:themeColor="text1"/>
          <w:lang w:val="en-GB" w:eastAsia="en-US"/>
        </w:rPr>
        <w:t xml:space="preserve">In scenario A the theoretical energy density </w:t>
      </w:r>
      <w:r w:rsidR="00565041">
        <w:rPr>
          <w:color w:val="000000" w:themeColor="text1"/>
          <w:lang w:val="en-GB" w:eastAsia="en-US"/>
        </w:rPr>
        <w:t xml:space="preserve">at the maximum RTE </w:t>
      </w:r>
      <w:r w:rsidRPr="005C3FE9">
        <w:rPr>
          <w:color w:val="000000" w:themeColor="text1"/>
          <w:lang w:val="en-GB" w:eastAsia="en-US"/>
        </w:rPr>
        <w:t>is 20.1 kWh m</w:t>
      </w:r>
      <w:r w:rsidRPr="005C3FE9">
        <w:rPr>
          <w:color w:val="000000" w:themeColor="text1"/>
          <w:vertAlign w:val="superscript"/>
          <w:lang w:val="en-GB" w:eastAsia="en-US"/>
        </w:rPr>
        <w:t>-3</w:t>
      </w:r>
      <w:r w:rsidR="00EB2D2F">
        <w:rPr>
          <w:color w:val="000000" w:themeColor="text1"/>
          <w:vertAlign w:val="superscript"/>
          <w:lang w:val="en-GB" w:eastAsia="en-US"/>
        </w:rPr>
        <w:t>,</w:t>
      </w:r>
      <w:r w:rsidRPr="005C3FE9">
        <w:rPr>
          <w:color w:val="000000" w:themeColor="text1"/>
          <w:lang w:val="en-GB" w:eastAsia="en-US"/>
        </w:rPr>
        <w:t xml:space="preserve"> and this value is always equal across the Pareto set because it depends only on the target concentration of charge (Eq.</w:t>
      </w:r>
      <w:r w:rsidR="00B34B47" w:rsidRPr="005C3FE9">
        <w:rPr>
          <w:color w:val="000000" w:themeColor="text1"/>
          <w:lang w:val="en-GB" w:eastAsia="en-US"/>
        </w:rPr>
        <w:t xml:space="preserve"> (4)</w:t>
      </w:r>
      <w:r w:rsidRPr="005C3FE9">
        <w:rPr>
          <w:color w:val="000000" w:themeColor="text1"/>
          <w:lang w:val="en-GB" w:eastAsia="en-US"/>
        </w:rPr>
        <w:t>), which is fixed at 1 M HCl (together with the discharge target concentration at 0.05 M HCl). The actual energy density is lower due to non-ideal phenomena that occur during the battery discharge operation. It is affected also by the target concentration of the discharge, which is fixed at 50 mol m</w:t>
      </w:r>
      <w:r w:rsidRPr="005C3FE9">
        <w:rPr>
          <w:color w:val="000000" w:themeColor="text1"/>
          <w:vertAlign w:val="superscript"/>
          <w:lang w:val="en-GB" w:eastAsia="en-US"/>
        </w:rPr>
        <w:t>-3</w:t>
      </w:r>
      <w:r w:rsidRPr="005C3FE9">
        <w:rPr>
          <w:color w:val="000000" w:themeColor="text1"/>
          <w:lang w:val="en-GB" w:eastAsia="en-US"/>
        </w:rPr>
        <w:t xml:space="preserve">. In particular, at the maximum net RTE and maximum </w:t>
      </w:r>
      <m:oMath>
        <m:acc>
          <m:accPr>
            <m:chr m:val="̅"/>
            <m:ctrlPr>
              <w:rPr>
                <w:rFonts w:ascii="Cambria Math" w:eastAsia="Calibri" w:hAnsi="Cambria Math"/>
                <w:i/>
                <w:lang w:eastAsia="en-US"/>
              </w:rPr>
            </m:ctrlPr>
          </m:accPr>
          <m:e>
            <m:sSub>
              <m:sSubPr>
                <m:ctrlPr>
                  <w:rPr>
                    <w:rFonts w:ascii="Cambria Math" w:eastAsia="Calibri" w:hAnsi="Cambria Math"/>
                    <w:i/>
                    <w:lang w:eastAsia="en-US"/>
                  </w:rPr>
                </m:ctrlPr>
              </m:sSubPr>
              <m:e>
                <m:r>
                  <w:rPr>
                    <w:rFonts w:ascii="Cambria Math" w:hAnsi="Cambria Math"/>
                  </w:rPr>
                  <m:t>NPD</m:t>
                </m:r>
              </m:e>
              <m:sub>
                <m:r>
                  <w:rPr>
                    <w:rFonts w:ascii="Cambria Math" w:hAnsi="Cambria Math"/>
                  </w:rPr>
                  <m:t>d</m:t>
                </m:r>
              </m:sub>
            </m:sSub>
          </m:e>
        </m:acc>
      </m:oMath>
      <w:r w:rsidRPr="005C3FE9">
        <w:rPr>
          <w:color w:val="000000" w:themeColor="text1"/>
          <w:lang w:val="en-GB" w:eastAsia="en-US"/>
        </w:rPr>
        <w:t>, the discharge efficiency</w:t>
      </w:r>
      <w:r w:rsidR="00A45418">
        <w:rPr>
          <w:color w:val="000000" w:themeColor="text1"/>
          <w:lang w:val="en-GB" w:eastAsia="en-US"/>
        </w:rPr>
        <w:t xml:space="preserve"> (see Eq. 6)</w:t>
      </w:r>
      <w:r w:rsidRPr="005C3FE9">
        <w:rPr>
          <w:color w:val="000000" w:themeColor="text1"/>
          <w:lang w:val="en-GB" w:eastAsia="en-US"/>
        </w:rPr>
        <w:t xml:space="preserve"> in scenario A is 71% and 74%, respectively.</w:t>
      </w:r>
    </w:p>
    <w:p w14:paraId="6BB9172F" w14:textId="77777777" w:rsidR="00C94EF2" w:rsidRDefault="00A72B74" w:rsidP="001B5C2F">
      <w:pPr>
        <w:rPr>
          <w:color w:val="000000" w:themeColor="text1"/>
          <w:lang w:val="en-GB" w:eastAsia="en-US"/>
        </w:rPr>
      </w:pPr>
      <w:r w:rsidRPr="005C3FE9">
        <w:rPr>
          <w:color w:val="000000" w:themeColor="text1"/>
          <w:lang w:val="en-GB" w:eastAsia="en-US"/>
        </w:rPr>
        <w:lastRenderedPageBreak/>
        <w:t xml:space="preserve">In scenario B the theoretical energy density is the same as in scenario A. However, the actual energy density is similar in the two scenarios only when maximising </w:t>
      </w:r>
      <w:proofErr w:type="spellStart"/>
      <w:r w:rsidRPr="005C3FE9">
        <w:rPr>
          <w:color w:val="000000" w:themeColor="text1"/>
          <w:lang w:val="en-GB" w:eastAsia="en-US"/>
        </w:rPr>
        <w:t>RTE</w:t>
      </w:r>
      <w:r w:rsidRPr="005C3FE9">
        <w:rPr>
          <w:color w:val="000000" w:themeColor="text1"/>
          <w:vertAlign w:val="subscript"/>
          <w:lang w:val="en-GB" w:eastAsia="en-US"/>
        </w:rPr>
        <w:t>net</w:t>
      </w:r>
      <w:proofErr w:type="spellEnd"/>
      <w:r w:rsidRPr="005C3FE9">
        <w:rPr>
          <w:color w:val="000000" w:themeColor="text1"/>
          <w:lang w:val="en-GB" w:eastAsia="en-US"/>
        </w:rPr>
        <w:t xml:space="preserve">, while it is significantly reduced in scenario B when maximising the </w:t>
      </w:r>
      <m:oMath>
        <m:acc>
          <m:accPr>
            <m:chr m:val="̅"/>
            <m:ctrlPr>
              <w:rPr>
                <w:rFonts w:ascii="Cambria Math" w:eastAsia="Calibri" w:hAnsi="Cambria Math"/>
                <w:i/>
                <w:lang w:eastAsia="en-US"/>
              </w:rPr>
            </m:ctrlPr>
          </m:accPr>
          <m:e>
            <m:sSub>
              <m:sSubPr>
                <m:ctrlPr>
                  <w:rPr>
                    <w:rFonts w:ascii="Cambria Math" w:eastAsia="Calibri" w:hAnsi="Cambria Math"/>
                    <w:i/>
                    <w:lang w:eastAsia="en-US"/>
                  </w:rPr>
                </m:ctrlPr>
              </m:sSubPr>
              <m:e>
                <m:r>
                  <w:rPr>
                    <w:rFonts w:ascii="Cambria Math" w:hAnsi="Cambria Math"/>
                  </w:rPr>
                  <m:t>NPD</m:t>
                </m:r>
              </m:e>
              <m:sub>
                <m:r>
                  <w:rPr>
                    <w:rFonts w:ascii="Cambria Math" w:hAnsi="Cambria Math"/>
                  </w:rPr>
                  <m:t>d</m:t>
                </m:r>
              </m:sub>
            </m:sSub>
          </m:e>
        </m:acc>
      </m:oMath>
      <w:r w:rsidRPr="005C3FE9">
        <w:rPr>
          <w:color w:val="000000" w:themeColor="text1"/>
          <w:lang w:val="en-GB" w:eastAsia="en-US"/>
        </w:rPr>
        <w:t xml:space="preserve">. These features reflect the similarities (left side) and differences (right side) between the Pareto frontiers of the two scenarios described above. In scenario C, by letting the target concentrations to vary, both the theoretical and actual energy density are affected and vary across the optimal solutions. At the point of maximum </w:t>
      </w:r>
      <w:proofErr w:type="spellStart"/>
      <w:r w:rsidRPr="005C3FE9">
        <w:rPr>
          <w:color w:val="000000" w:themeColor="text1"/>
          <w:lang w:val="en-GB" w:eastAsia="en-US"/>
        </w:rPr>
        <w:t>RTE</w:t>
      </w:r>
      <w:r w:rsidRPr="005C3FE9">
        <w:rPr>
          <w:color w:val="000000" w:themeColor="text1"/>
          <w:vertAlign w:val="subscript"/>
          <w:lang w:val="en-GB" w:eastAsia="en-US"/>
        </w:rPr>
        <w:t>net</w:t>
      </w:r>
      <w:proofErr w:type="spellEnd"/>
      <w:r w:rsidRPr="005C3FE9">
        <w:rPr>
          <w:color w:val="000000" w:themeColor="text1"/>
          <w:lang w:val="en-GB" w:eastAsia="en-US"/>
        </w:rPr>
        <w:t xml:space="preserve">, the theoretical energy density is about 1/3 compared with scenario A and B, indicating that the single objective function on the </w:t>
      </w:r>
      <w:proofErr w:type="spellStart"/>
      <w:r w:rsidRPr="005C3FE9">
        <w:rPr>
          <w:color w:val="000000" w:themeColor="text1"/>
          <w:lang w:val="en-GB" w:eastAsia="en-US"/>
        </w:rPr>
        <w:t>RTE</w:t>
      </w:r>
      <w:r w:rsidRPr="005C3FE9">
        <w:rPr>
          <w:color w:val="000000" w:themeColor="text1"/>
          <w:vertAlign w:val="subscript"/>
          <w:lang w:val="en-GB" w:eastAsia="en-US"/>
        </w:rPr>
        <w:t>net</w:t>
      </w:r>
      <w:proofErr w:type="spellEnd"/>
      <w:r w:rsidRPr="005C3FE9">
        <w:rPr>
          <w:color w:val="000000" w:themeColor="text1"/>
          <w:lang w:val="en-GB" w:eastAsia="en-US"/>
        </w:rPr>
        <w:t xml:space="preserve"> is achieved with a lower optimal target concentration of charge. The actual energy density is lower as well (</w:t>
      </w:r>
      <w:r w:rsidR="007663D0">
        <w:rPr>
          <w:color w:val="000000" w:themeColor="text1"/>
          <w:lang w:val="en-GB" w:eastAsia="en-US"/>
        </w:rPr>
        <w:t>5.68</w:t>
      </w:r>
      <w:r w:rsidRPr="005C3FE9">
        <w:rPr>
          <w:color w:val="000000" w:themeColor="text1"/>
          <w:lang w:val="en-GB" w:eastAsia="en-US"/>
        </w:rPr>
        <w:t xml:space="preserve"> kWh m</w:t>
      </w:r>
      <w:r w:rsidRPr="005C3FE9">
        <w:rPr>
          <w:color w:val="000000" w:themeColor="text1"/>
          <w:vertAlign w:val="superscript"/>
          <w:lang w:val="en-GB" w:eastAsia="en-US"/>
        </w:rPr>
        <w:t>-3</w:t>
      </w:r>
      <w:r w:rsidRPr="005C3FE9">
        <w:rPr>
          <w:color w:val="000000" w:themeColor="text1"/>
          <w:lang w:val="en-GB" w:eastAsia="en-US"/>
        </w:rPr>
        <w:t>)</w:t>
      </w:r>
      <w:r w:rsidR="001D431F">
        <w:rPr>
          <w:color w:val="000000" w:themeColor="text1"/>
          <w:lang w:val="en-GB" w:eastAsia="en-US"/>
        </w:rPr>
        <w:t>,</w:t>
      </w:r>
      <w:r w:rsidRPr="005C3FE9">
        <w:rPr>
          <w:color w:val="000000" w:themeColor="text1"/>
          <w:lang w:val="en-GB" w:eastAsia="en-US"/>
        </w:rPr>
        <w:t xml:space="preserve"> but corresponds to a higher discharge efficiency (7</w:t>
      </w:r>
      <w:r w:rsidR="007663D0">
        <w:rPr>
          <w:color w:val="000000" w:themeColor="text1"/>
          <w:lang w:val="en-GB" w:eastAsia="en-US"/>
        </w:rPr>
        <w:t>8.2</w:t>
      </w:r>
      <w:r w:rsidRPr="005C3FE9">
        <w:rPr>
          <w:color w:val="000000" w:themeColor="text1"/>
          <w:lang w:val="en-GB" w:eastAsia="en-US"/>
        </w:rPr>
        <w:t>%). At the opposite extreme</w:t>
      </w:r>
      <w:r w:rsidR="004F1D9E">
        <w:rPr>
          <w:color w:val="000000" w:themeColor="text1"/>
          <w:lang w:val="en-GB" w:eastAsia="en-US"/>
        </w:rPr>
        <w:t>,</w:t>
      </w:r>
      <w:r w:rsidRPr="005C3FE9">
        <w:rPr>
          <w:color w:val="000000" w:themeColor="text1"/>
          <w:lang w:val="en-GB" w:eastAsia="en-US"/>
        </w:rPr>
        <w:t xml:space="preserve"> optimal point of maximum </w:t>
      </w:r>
      <m:oMath>
        <m:acc>
          <m:accPr>
            <m:chr m:val="̅"/>
            <m:ctrlPr>
              <w:rPr>
                <w:rFonts w:ascii="Cambria Math" w:hAnsi="Cambria Math"/>
                <w:i/>
                <w:color w:val="000000" w:themeColor="text1"/>
              </w:rPr>
            </m:ctrlPr>
          </m:accPr>
          <m:e>
            <m:sSub>
              <m:sSubPr>
                <m:ctrlPr>
                  <w:rPr>
                    <w:rFonts w:ascii="Cambria Math" w:hAnsi="Cambria Math"/>
                    <w:i/>
                    <w:color w:val="000000" w:themeColor="text1"/>
                  </w:rPr>
                </m:ctrlPr>
              </m:sSubPr>
              <m:e>
                <m:r>
                  <w:rPr>
                    <w:rFonts w:ascii="Cambria Math" w:hAnsi="Cambria Math"/>
                    <w:color w:val="000000" w:themeColor="text1"/>
                  </w:rPr>
                  <m:t>NPD</m:t>
                </m:r>
              </m:e>
              <m:sub>
                <m:r>
                  <w:rPr>
                    <w:rFonts w:ascii="Cambria Math" w:hAnsi="Cambria Math"/>
                    <w:color w:val="000000" w:themeColor="text1"/>
                  </w:rPr>
                  <m:t>d</m:t>
                </m:r>
              </m:sub>
            </m:sSub>
          </m:e>
        </m:acc>
      </m:oMath>
      <w:r w:rsidRPr="005C3FE9">
        <w:rPr>
          <w:color w:val="000000" w:themeColor="text1"/>
          <w:lang w:val="en-US"/>
        </w:rPr>
        <w:t>,</w:t>
      </w:r>
      <w:r w:rsidRPr="005C3FE9">
        <w:rPr>
          <w:color w:val="000000" w:themeColor="text1"/>
          <w:lang w:val="en-GB" w:eastAsia="en-US"/>
        </w:rPr>
        <w:t xml:space="preserve"> the theoretical energy density (~17.1 kWh m</w:t>
      </w:r>
      <w:r w:rsidRPr="005C3FE9">
        <w:rPr>
          <w:color w:val="000000" w:themeColor="text1"/>
          <w:vertAlign w:val="superscript"/>
          <w:lang w:val="en-GB" w:eastAsia="en-US"/>
        </w:rPr>
        <w:t>-3</w:t>
      </w:r>
      <w:r w:rsidRPr="005C3FE9">
        <w:rPr>
          <w:color w:val="000000" w:themeColor="text1"/>
          <w:lang w:val="en-GB" w:eastAsia="en-US"/>
        </w:rPr>
        <w:t>) is closer to that of scenario A and B (meaning that the target concentration of charge is close to 1</w:t>
      </w:r>
      <w:r w:rsidR="007663D0">
        <w:rPr>
          <w:color w:val="000000" w:themeColor="text1"/>
          <w:lang w:val="en-GB" w:eastAsia="en-US"/>
        </w:rPr>
        <w:t>,</w:t>
      </w:r>
      <w:r w:rsidRPr="005C3FE9">
        <w:rPr>
          <w:color w:val="000000" w:themeColor="text1"/>
          <w:lang w:val="en-GB" w:eastAsia="en-US"/>
        </w:rPr>
        <w:t>000 mol m</w:t>
      </w:r>
      <w:r w:rsidRPr="005C3FE9">
        <w:rPr>
          <w:color w:val="000000" w:themeColor="text1"/>
          <w:vertAlign w:val="superscript"/>
          <w:lang w:val="en-GB" w:eastAsia="en-US"/>
        </w:rPr>
        <w:t>-3</w:t>
      </w:r>
      <w:r w:rsidRPr="005C3FE9">
        <w:rPr>
          <w:color w:val="000000" w:themeColor="text1"/>
          <w:lang w:val="en-GB" w:eastAsia="en-US"/>
        </w:rPr>
        <w:t xml:space="preserve">), and the associated discharge efficiency is ~55%. In scenario 4, the energy density is practically unaffected by the design variables, at least at the two extreme optimal points. Additionally, comparing scenarios E and D all energy density values are slightly reduced by the higher salt concentration. Furthermore, the main difference found when simulating improved membranes (scenario F) compared to commercial membranes (scenario D) is the higher actual energy density values, especially in the condition of maximum </w:t>
      </w:r>
      <m:oMath>
        <m:sSub>
          <m:sSubPr>
            <m:ctrlPr>
              <w:rPr>
                <w:rFonts w:ascii="Cambria Math" w:hAnsi="Cambria Math"/>
                <w:i/>
                <w:color w:val="000000" w:themeColor="text1"/>
                <w:lang w:val="en-GB" w:eastAsia="en-US"/>
              </w:rPr>
            </m:ctrlPr>
          </m:sSubPr>
          <m:e>
            <m:acc>
              <m:accPr>
                <m:chr m:val="̅"/>
                <m:ctrlPr>
                  <w:rPr>
                    <w:rFonts w:ascii="Cambria Math" w:hAnsi="Cambria Math"/>
                    <w:i/>
                    <w:color w:val="000000" w:themeColor="text1"/>
                    <w:lang w:val="en-GB" w:eastAsia="en-US"/>
                  </w:rPr>
                </m:ctrlPr>
              </m:accPr>
              <m:e>
                <m:r>
                  <w:rPr>
                    <w:rFonts w:ascii="Cambria Math" w:hAnsi="Cambria Math"/>
                    <w:color w:val="000000" w:themeColor="text1"/>
                    <w:lang w:val="en-GB" w:eastAsia="en-US"/>
                  </w:rPr>
                  <m:t>NPD</m:t>
                </m:r>
              </m:e>
            </m:acc>
          </m:e>
          <m:sub>
            <m:r>
              <w:rPr>
                <w:rFonts w:ascii="Cambria Math" w:hAnsi="Cambria Math"/>
                <w:color w:val="000000" w:themeColor="text1"/>
                <w:lang w:val="en-GB" w:eastAsia="en-US"/>
              </w:rPr>
              <m:t>d</m:t>
            </m:r>
          </m:sub>
        </m:sSub>
      </m:oMath>
      <w:r w:rsidRPr="005C3FE9">
        <w:rPr>
          <w:color w:val="000000" w:themeColor="text1"/>
          <w:lang w:val="en-GB" w:eastAsia="en-US"/>
        </w:rPr>
        <w:t xml:space="preserve">. As a result, higher discharge efficiency is obtained, reaching values of 89% at maximum </w:t>
      </w:r>
      <w:proofErr w:type="spellStart"/>
      <w:r w:rsidRPr="005C3FE9">
        <w:rPr>
          <w:color w:val="000000" w:themeColor="text1"/>
          <w:lang w:val="en-GB" w:eastAsia="en-US"/>
        </w:rPr>
        <w:t>RTE</w:t>
      </w:r>
      <w:r w:rsidRPr="005C3FE9">
        <w:rPr>
          <w:color w:val="000000" w:themeColor="text1"/>
          <w:vertAlign w:val="subscript"/>
          <w:lang w:val="en-GB" w:eastAsia="en-US"/>
        </w:rPr>
        <w:t>net</w:t>
      </w:r>
      <w:proofErr w:type="spellEnd"/>
      <w:r w:rsidRPr="005C3FE9">
        <w:rPr>
          <w:color w:val="000000" w:themeColor="text1"/>
          <w:lang w:val="en-GB" w:eastAsia="en-US"/>
        </w:rPr>
        <w:t xml:space="preserve"> and 76% at maximum </w:t>
      </w:r>
      <m:oMath>
        <m:sSub>
          <m:sSubPr>
            <m:ctrlPr>
              <w:rPr>
                <w:rFonts w:ascii="Cambria Math" w:hAnsi="Cambria Math"/>
                <w:i/>
                <w:color w:val="000000" w:themeColor="text1"/>
                <w:lang w:val="en-GB" w:eastAsia="en-US"/>
              </w:rPr>
            </m:ctrlPr>
          </m:sSubPr>
          <m:e>
            <m:acc>
              <m:accPr>
                <m:chr m:val="̅"/>
                <m:ctrlPr>
                  <w:rPr>
                    <w:rFonts w:ascii="Cambria Math" w:hAnsi="Cambria Math"/>
                    <w:i/>
                    <w:color w:val="000000" w:themeColor="text1"/>
                    <w:lang w:val="en-GB" w:eastAsia="en-US"/>
                  </w:rPr>
                </m:ctrlPr>
              </m:accPr>
              <m:e>
                <m:r>
                  <w:rPr>
                    <w:rFonts w:ascii="Cambria Math" w:hAnsi="Cambria Math"/>
                    <w:color w:val="000000" w:themeColor="text1"/>
                    <w:lang w:val="en-GB" w:eastAsia="en-US"/>
                  </w:rPr>
                  <m:t>NPD</m:t>
                </m:r>
              </m:e>
            </m:acc>
          </m:e>
          <m:sub>
            <m:r>
              <w:rPr>
                <w:rFonts w:ascii="Cambria Math" w:hAnsi="Cambria Math"/>
                <w:color w:val="000000" w:themeColor="text1"/>
                <w:lang w:val="en-GB" w:eastAsia="en-US"/>
              </w:rPr>
              <m:t>d</m:t>
            </m:r>
          </m:sub>
        </m:sSub>
      </m:oMath>
      <w:r w:rsidRPr="005C3FE9">
        <w:rPr>
          <w:color w:val="000000" w:themeColor="text1"/>
          <w:lang w:val="en-GB" w:eastAsia="en-US"/>
        </w:rPr>
        <w:t xml:space="preserve">. </w:t>
      </w:r>
      <w:r w:rsidR="0024558A" w:rsidRPr="0024558A">
        <w:rPr>
          <w:color w:val="000000" w:themeColor="text1"/>
          <w:lang w:val="en-GB" w:eastAsia="en-US"/>
        </w:rPr>
        <w:t xml:space="preserve">These results, along with the Pareto curve, demonstrate the significant improvements that can be obtained with reduced electrical resistance and increased permselectivity. Indeed, when compared to the reference scenario, improved membranes increased </w:t>
      </w:r>
      <w:r w:rsidR="0024558A">
        <w:rPr>
          <w:color w:val="000000" w:themeColor="text1"/>
          <w:lang w:val="en-GB" w:eastAsia="en-US"/>
        </w:rPr>
        <w:t xml:space="preserve">the </w:t>
      </w:r>
      <w:proofErr w:type="spellStart"/>
      <w:r w:rsidR="0024558A" w:rsidRPr="005C3FE9">
        <w:rPr>
          <w:color w:val="000000" w:themeColor="text1"/>
          <w:lang w:val="en-GB" w:eastAsia="en-US"/>
        </w:rPr>
        <w:t>RTE</w:t>
      </w:r>
      <w:r w:rsidR="0024558A" w:rsidRPr="005C3FE9">
        <w:rPr>
          <w:color w:val="000000" w:themeColor="text1"/>
          <w:vertAlign w:val="subscript"/>
          <w:lang w:val="en-GB" w:eastAsia="en-US"/>
        </w:rPr>
        <w:t>net</w:t>
      </w:r>
      <w:proofErr w:type="spellEnd"/>
      <w:r w:rsidR="0024558A" w:rsidRPr="0024558A">
        <w:rPr>
          <w:color w:val="000000" w:themeColor="text1"/>
          <w:lang w:val="en-GB" w:eastAsia="en-US"/>
        </w:rPr>
        <w:t xml:space="preserve"> by an average of 13 percentage points and </w:t>
      </w:r>
      <m:oMath>
        <m:sSub>
          <m:sSubPr>
            <m:ctrlPr>
              <w:rPr>
                <w:rFonts w:ascii="Cambria Math" w:hAnsi="Cambria Math"/>
                <w:i/>
                <w:color w:val="000000" w:themeColor="text1"/>
                <w:lang w:val="en-GB" w:eastAsia="en-US"/>
              </w:rPr>
            </m:ctrlPr>
          </m:sSubPr>
          <m:e>
            <m:acc>
              <m:accPr>
                <m:chr m:val="̅"/>
                <m:ctrlPr>
                  <w:rPr>
                    <w:rFonts w:ascii="Cambria Math" w:hAnsi="Cambria Math"/>
                    <w:i/>
                    <w:color w:val="000000" w:themeColor="text1"/>
                    <w:lang w:val="en-GB" w:eastAsia="en-US"/>
                  </w:rPr>
                </m:ctrlPr>
              </m:accPr>
              <m:e>
                <m:r>
                  <w:rPr>
                    <w:rFonts w:ascii="Cambria Math" w:hAnsi="Cambria Math"/>
                    <w:color w:val="000000" w:themeColor="text1"/>
                    <w:lang w:val="en-GB" w:eastAsia="en-US"/>
                  </w:rPr>
                  <m:t>NPD</m:t>
                </m:r>
              </m:e>
            </m:acc>
          </m:e>
          <m:sub>
            <m:r>
              <w:rPr>
                <w:rFonts w:ascii="Cambria Math" w:hAnsi="Cambria Math"/>
                <w:color w:val="000000" w:themeColor="text1"/>
                <w:lang w:val="en-GB" w:eastAsia="en-US"/>
              </w:rPr>
              <m:t>d</m:t>
            </m:r>
          </m:sub>
        </m:sSub>
      </m:oMath>
      <w:r w:rsidR="0024558A">
        <w:rPr>
          <w:color w:val="000000" w:themeColor="text1"/>
          <w:lang w:val="en-GB" w:eastAsia="en-US"/>
        </w:rPr>
        <w:t xml:space="preserve"> </w:t>
      </w:r>
      <w:r w:rsidR="0024558A" w:rsidRPr="0024558A">
        <w:rPr>
          <w:color w:val="000000" w:themeColor="text1"/>
          <w:lang w:val="en-GB" w:eastAsia="en-US"/>
        </w:rPr>
        <w:t>by 2 W m</w:t>
      </w:r>
      <w:r w:rsidR="0024558A" w:rsidRPr="0024558A">
        <w:rPr>
          <w:color w:val="000000" w:themeColor="text1"/>
          <w:vertAlign w:val="superscript"/>
          <w:lang w:val="en-GB" w:eastAsia="en-US"/>
        </w:rPr>
        <w:t>-2</w:t>
      </w:r>
      <w:r w:rsidR="0024558A" w:rsidRPr="0024558A">
        <w:rPr>
          <w:color w:val="000000" w:themeColor="text1"/>
          <w:lang w:val="en-GB" w:eastAsia="en-US"/>
        </w:rPr>
        <w:t xml:space="preserve"> (</w:t>
      </w:r>
      <w:r w:rsidR="0024558A">
        <w:rPr>
          <w:color w:val="000000" w:themeColor="text1"/>
          <w:lang w:val="en-GB" w:eastAsia="en-US"/>
        </w:rPr>
        <w:fldChar w:fldCharType="begin"/>
      </w:r>
      <w:r w:rsidR="0024558A">
        <w:rPr>
          <w:color w:val="000000" w:themeColor="text1"/>
          <w:lang w:val="en-GB" w:eastAsia="en-US"/>
        </w:rPr>
        <w:instrText xml:space="preserve"> REF _Ref55299369 \h </w:instrText>
      </w:r>
      <w:r w:rsidR="0024558A">
        <w:rPr>
          <w:color w:val="000000" w:themeColor="text1"/>
          <w:lang w:val="en-GB" w:eastAsia="en-US"/>
        </w:rPr>
      </w:r>
      <w:r w:rsidR="0024558A">
        <w:rPr>
          <w:color w:val="000000" w:themeColor="text1"/>
          <w:lang w:val="en-GB" w:eastAsia="en-US"/>
        </w:rPr>
        <w:fldChar w:fldCharType="separate"/>
      </w:r>
      <w:r w:rsidR="0024558A" w:rsidRPr="005C3FE9">
        <w:rPr>
          <w:color w:val="000000" w:themeColor="text1"/>
          <w:lang w:val="en-GB"/>
        </w:rPr>
        <w:t xml:space="preserve">Figure </w:t>
      </w:r>
      <w:r w:rsidR="0024558A" w:rsidRPr="005C3FE9">
        <w:rPr>
          <w:noProof/>
          <w:color w:val="000000" w:themeColor="text1"/>
          <w:lang w:val="en-GB"/>
        </w:rPr>
        <w:t>3</w:t>
      </w:r>
      <w:r w:rsidR="0024558A">
        <w:rPr>
          <w:color w:val="000000" w:themeColor="text1"/>
          <w:lang w:val="en-GB" w:eastAsia="en-US"/>
        </w:rPr>
        <w:fldChar w:fldCharType="end"/>
      </w:r>
      <w:r w:rsidR="0024558A" w:rsidRPr="0024558A">
        <w:rPr>
          <w:color w:val="000000" w:themeColor="text1"/>
          <w:lang w:val="en-GB" w:eastAsia="en-US"/>
        </w:rPr>
        <w:t>), while discharge efficiency increased by 16 percentage points on average given by the largest fraction of NED theoretical harvested (</w:t>
      </w:r>
      <w:r w:rsidR="0024558A">
        <w:rPr>
          <w:color w:val="000000" w:themeColor="text1"/>
          <w:lang w:val="en-GB" w:eastAsia="en-US"/>
        </w:rPr>
        <w:fldChar w:fldCharType="begin"/>
      </w:r>
      <w:r w:rsidR="0024558A">
        <w:rPr>
          <w:color w:val="000000" w:themeColor="text1"/>
          <w:lang w:val="en-GB" w:eastAsia="en-US"/>
        </w:rPr>
        <w:instrText xml:space="preserve"> REF _Ref114569005 \h </w:instrText>
      </w:r>
      <w:r w:rsidR="0024558A">
        <w:rPr>
          <w:color w:val="000000" w:themeColor="text1"/>
          <w:lang w:val="en-GB" w:eastAsia="en-US"/>
        </w:rPr>
      </w:r>
      <w:r w:rsidR="0024558A">
        <w:rPr>
          <w:color w:val="000000" w:themeColor="text1"/>
          <w:lang w:val="en-GB" w:eastAsia="en-US"/>
        </w:rPr>
        <w:fldChar w:fldCharType="separate"/>
      </w:r>
      <w:r w:rsidR="0024558A" w:rsidRPr="0024558A">
        <w:rPr>
          <w:color w:val="000000" w:themeColor="text1"/>
          <w:lang w:val="en-US"/>
        </w:rPr>
        <w:t xml:space="preserve">Figure </w:t>
      </w:r>
      <w:r w:rsidR="0024558A" w:rsidRPr="0024558A">
        <w:rPr>
          <w:noProof/>
          <w:color w:val="000000" w:themeColor="text1"/>
          <w:lang w:val="en-US"/>
        </w:rPr>
        <w:t>5</w:t>
      </w:r>
      <w:r w:rsidR="0024558A">
        <w:rPr>
          <w:color w:val="000000" w:themeColor="text1"/>
          <w:lang w:val="en-GB" w:eastAsia="en-US"/>
        </w:rPr>
        <w:fldChar w:fldCharType="end"/>
      </w:r>
      <w:r w:rsidR="0024558A" w:rsidRPr="0024558A">
        <w:rPr>
          <w:color w:val="000000" w:themeColor="text1"/>
          <w:lang w:val="en-GB" w:eastAsia="en-US"/>
        </w:rPr>
        <w:t>).</w:t>
      </w:r>
      <w:r w:rsidRPr="005C3FE9">
        <w:rPr>
          <w:color w:val="000000" w:themeColor="text1"/>
          <w:lang w:val="en-GB" w:eastAsia="en-US"/>
        </w:rPr>
        <w:t xml:space="preserve"> </w:t>
      </w:r>
    </w:p>
    <w:p w14:paraId="7D035F45" w14:textId="2A9B868F" w:rsidR="00C94EF2" w:rsidRDefault="00AF1AB2" w:rsidP="00C94EF2">
      <w:pPr>
        <w:pStyle w:val="Titolo2"/>
        <w:spacing w:before="0"/>
        <w:rPr>
          <w:color w:val="000000" w:themeColor="text1"/>
        </w:rPr>
      </w:pPr>
      <w:r>
        <w:rPr>
          <w:color w:val="000000" w:themeColor="text1"/>
        </w:rPr>
        <w:lastRenderedPageBreak/>
        <w:t>Performance comparison and criticality analysis of commercial batteries</w:t>
      </w:r>
    </w:p>
    <w:p w14:paraId="3BA4D9A3" w14:textId="7D3C7581" w:rsidR="00813E05" w:rsidRDefault="002327C2" w:rsidP="002327C2">
      <w:pPr>
        <w:rPr>
          <w:lang w:val="en-US"/>
        </w:rPr>
      </w:pPr>
      <w:r w:rsidRPr="00373A5A">
        <w:rPr>
          <w:lang w:val="en-US"/>
        </w:rPr>
        <w:t xml:space="preserve">There are several energy storage systems available </w:t>
      </w:r>
      <w:r w:rsidR="003D06E9">
        <w:rPr>
          <w:lang w:val="en-US"/>
        </w:rPr>
        <w:t>i</w:t>
      </w:r>
      <w:r w:rsidRPr="00373A5A">
        <w:rPr>
          <w:lang w:val="en-US"/>
        </w:rPr>
        <w:t xml:space="preserve">n the battery market. </w:t>
      </w:r>
      <w:r>
        <w:rPr>
          <w:lang w:val="en-US"/>
        </w:rPr>
        <w:t>The</w:t>
      </w:r>
      <w:r w:rsidR="00070C07">
        <w:rPr>
          <w:lang w:val="en-US"/>
        </w:rPr>
        <w:t xml:space="preserve"> ranges of</w:t>
      </w:r>
      <w:r>
        <w:rPr>
          <w:lang w:val="en-US"/>
        </w:rPr>
        <w:t xml:space="preserve"> RTE and </w:t>
      </w:r>
      <w:r w:rsidR="00070C07">
        <w:rPr>
          <w:lang w:val="en-US"/>
        </w:rPr>
        <w:t xml:space="preserve">of </w:t>
      </w:r>
      <w:r>
        <w:rPr>
          <w:lang w:val="en-US"/>
        </w:rPr>
        <w:t xml:space="preserve">Power </w:t>
      </w:r>
      <w:r w:rsidR="003D06E9">
        <w:rPr>
          <w:lang w:val="en-US"/>
        </w:rPr>
        <w:t>D</w:t>
      </w:r>
      <w:r>
        <w:rPr>
          <w:lang w:val="en-US"/>
        </w:rPr>
        <w:t>ensity</w:t>
      </w:r>
      <w:r w:rsidR="00813E05">
        <w:rPr>
          <w:lang w:val="en-US"/>
        </w:rPr>
        <w:t xml:space="preserve"> </w:t>
      </w:r>
      <w:r w:rsidR="003D06E9">
        <w:rPr>
          <w:lang w:val="en-US"/>
        </w:rPr>
        <w:t xml:space="preserve">per Unit Volume </w:t>
      </w:r>
      <w:r w:rsidR="00B05520">
        <w:rPr>
          <w:lang w:val="en-US"/>
        </w:rPr>
        <w:t xml:space="preserve">of the battery (PDUV) </w:t>
      </w:r>
      <w:r w:rsidR="00070C07">
        <w:rPr>
          <w:lang w:val="en-US"/>
        </w:rPr>
        <w:t xml:space="preserve">(in the discharge phase) </w:t>
      </w:r>
      <w:r w:rsidR="00813E05">
        <w:rPr>
          <w:lang w:val="en-US"/>
        </w:rPr>
        <w:fldChar w:fldCharType="begin" w:fldLock="1"/>
      </w:r>
      <w:r w:rsidR="00E77EC7">
        <w:rPr>
          <w:lang w:val="en-US"/>
        </w:rPr>
        <w:instrText>ADDIN CSL_CITATION {"citationItems":[{"id":"ITEM-1","itemData":{"DOI":"10.1016/j.enconman.2014.07.063","ISSN":"01968904","abstract":"This paper examines both the potential of and barriers to grid-scale energy storage playing a substantive role in transitioning to an efficient, reliable and cost-effective power system with a high penetration of renewable energy sources. Grid-scale storage is a term that describes a number of different technologies with a wide range of characteristics. This versatility leads to the use of storage to perform a number of grid-services. We first enumerate these services, with an emphasize on those that are best suited to mitigate the effects of uncertainty and variability associated with intermittent, non-dispatchable renewable energy sources. We then provide an overview of the current methods to evaluate grid-integrated storage, summarize key findings, and highlight ongoing challenges to large-scale adoption of grid-scale energy storage. We focus on one particular area that is critical to both the efficient use of energy storage in the power grid and its long-term economic viability: the conflict between the technical benefits of this resource, which can provide both power and energy related grid-services (in some cases simultaneously), and the economic challenges of compensating these services within the current market structures. We then examine recent progress in addressing these issues through regulatory changes and other initiatives designed to mitigate previous market failures. This discussion is followed by some remarks about ongoing regulatory and market design challenges. The paper closes with a summary of the ideas presented and a discussion of critical research needs. © 2014 Elsevier Ltd. All rights reserved.","author":[{"dropping-particle":"","family":"Castillo","given":"Anya","non-dropping-particle":"","parse-names":false,"suffix":""},{"dropping-particle":"","family":"Gayme","given":"Dennice F.","non-dropping-particle":"","parse-names":false,"suffix":""}],"container-title":"Energy Conversion and Management","id":"ITEM-1","issued":{"date-parts":[["2014"]]},"page":"885-894","publisher":"Elsevier Ltd","title":"Grid-scale energy storage applications in renewable energy integration: A survey","type":"article-journal","volume":"87"},"uris":["http://www.mendeley.com/documents/?uuid=9f7f953b-1432-40b7-bd3a-aed09178d21e","http://www.mendeley.com/documents/?uuid=7e40c721-d8ac-4852-bce0-e0056821a915"]}],"mendeley":{"formattedCitation":"[38]","plainTextFormattedCitation":"[38]","previouslyFormattedCitation":"[38]"},"properties":{"noteIndex":0},"schema":"https://github.com/citation-style-language/schema/raw/master/csl-citation.json"}</w:instrText>
      </w:r>
      <w:r w:rsidR="00813E05">
        <w:rPr>
          <w:lang w:val="en-US"/>
        </w:rPr>
        <w:fldChar w:fldCharType="separate"/>
      </w:r>
      <w:r w:rsidR="004319C3" w:rsidRPr="004319C3">
        <w:rPr>
          <w:noProof/>
          <w:lang w:val="en-US"/>
        </w:rPr>
        <w:t>[38]</w:t>
      </w:r>
      <w:r w:rsidR="00813E05">
        <w:rPr>
          <w:lang w:val="en-US"/>
        </w:rPr>
        <w:fldChar w:fldCharType="end"/>
      </w:r>
      <w:r>
        <w:rPr>
          <w:lang w:val="en-US"/>
        </w:rPr>
        <w:t xml:space="preserve"> </w:t>
      </w:r>
      <w:r w:rsidR="00070C07">
        <w:rPr>
          <w:lang w:val="en-US"/>
        </w:rPr>
        <w:t>of</w:t>
      </w:r>
      <w:r>
        <w:rPr>
          <w:lang w:val="en-US"/>
        </w:rPr>
        <w:t xml:space="preserve"> these technologies </w:t>
      </w:r>
      <w:r w:rsidR="003D06E9">
        <w:rPr>
          <w:lang w:val="en-US"/>
        </w:rPr>
        <w:t>taken from the</w:t>
      </w:r>
      <w:r>
        <w:rPr>
          <w:lang w:val="en-US"/>
        </w:rPr>
        <w:t xml:space="preserve"> literature</w:t>
      </w:r>
      <w:r w:rsidR="00644526">
        <w:rPr>
          <w:lang w:val="en-US"/>
        </w:rPr>
        <w:t xml:space="preserve"> </w:t>
      </w:r>
      <w:r w:rsidR="00426706">
        <w:rPr>
          <w:lang w:val="en-US"/>
        </w:rPr>
        <w:fldChar w:fldCharType="begin" w:fldLock="1"/>
      </w:r>
      <w:r w:rsidR="00E77EC7">
        <w:rPr>
          <w:lang w:val="en-US"/>
        </w:rPr>
        <w:instrText>ADDIN CSL_CITATION {"citationItems":[{"id":"ITEM-1","itemData":{"DOI":"10.1016/j.est.2017.11.008","ISSN":"2352152X","abstract":"Energy storage using batteries is accepted as one of the most important and efficient ways of stabilising electricity networks and there are a variety of different battery chemistries that may be used. Lead batteries are very well established both for automotive and industrial applications and have been successfully applied for utility energy storage but there are a range of competing technologies including Li-ion, sodium-sulfur and flow batteries that are used for energy storage. The technology for lead batteries and how they can be better adapted for energy storage applications is described. Lead batteries are capable of long cycle and calendar lives and have been developed in recent years to have much longer cycle lives compared to 20 years ago in conditions where the battery is not routinely returned to a fully charged condition. Li-ion batteries have advantages in terms of energy density and specific energy but this is less important for static installations. The other technical features of Li-ion and other types of battery are discussed in relation to lead batteries. A selection of larger lead battery energy storage installations are analysed and lessons learned identified. Lead is the most efficiently recycled commodity metal and lead batteries are the only battery energy storage system that is almost completely recycled, with over 99% of lead batteries being collected and recycled in Europe and USA. The sustainability of lead batteries is compared with other chemistries.","author":[{"dropping-particle":"","family":"May","given":"Geoffrey J.","non-dropping-particle":"","parse-names":false,"suffix":""},{"dropping-particle":"","family":"Davidson","given":"Alistair","non-dropping-particle":"","parse-names":false,"suffix":""},{"dropping-particle":"","family":"Monahov","given":"Boris","non-dropping-particle":"","parse-names":false,"suffix":""}],"container-title":"Journal of Energy Storage","id":"ITEM-1","issued":{"date-parts":[["2018"]]},"title":"Lead batteries for utility energy storage: A review","type":"article"},"uris":["http://www.mendeley.com/documents/?uuid=1f79aa66-7998-4450-bed8-168de8ec46db","http://www.mendeley.com/documents/?uuid=bbe62ba9-a7ac-4b9e-a22b-b92bdd13bd2b"]},{"id":"ITEM-2","itemData":{"DOI":"10.1016/j.apenergy.2020.115213","ISSN":"03062619","abstract":"Energy storage can play an essential role in large scale photovoltaic power plants for complying with the current and future standards (grid codes) or for providing market oriented services. But not all the energy storage technologies are valid for all these services. So, this review article analyses the most suitable energy storage technologies that can be used to provide the different services in large scale photovoltaic power plants. For this purpose, this article first summarizes the different characteristics of the energy storage technologies. Then, it reviews the grid services large scale photovoltaic power plants must or can provide together with the energy storage requirements. With this information, together with the analysis of the energy storage technologies characteristics, a discussion of the most suitable technologies is performed. In addition, this review also discusses how to locate the energy storage within the photovoltaic power plant. The results show that (i) the current grid codes require high power – medium energy storage, being Li-Ion batteries the most suitable technology, (ii) for complying future grid code requirements high power – low energy – fast response storage will be required, where super capacitors can be the preferred option, (iii) other technologies such as Lead Acid and Nickel Cadmium batteries are adequate for supporting the black start services, (iv) flow batteries and Lithium Ion technology can be used for market oriented services and (v) the best location of the energy storage within the photovoltaic power plays an important role and depends on the service, but still little research has been performed in this field.","author":[{"dropping-particle":"","family":"Bullich-Massagué","given":"Eduard","non-dropping-particle":"","parse-names":false,"suffix":""},{"dropping-particle":"","family":"Cifuentes-García","given":"Francisco-Javier","non-dropping-particle":"","parse-names":false,"suffix":""},{"dropping-particle":"","family":"Glenny-Crende","given":"Ignacio","non-dropping-particle":"","parse-names":false,"suffix":""},{"dropping-particle":"","family":"Cheah-Mañé","given":"Marc","non-dropping-particle":"","parse-names":false,"suffix":""},{"dropping-particle":"","family":"Aragüés-Peñalba","given":"Mònica","non-dropping-particle":"","parse-names":false,"suffix":""},{"dropping-particle":"","family":"Díaz-González","given":"Francisco","non-dropping-particle":"","parse-names":false,"suffix":""},{"dropping-particle":"","family":"Gomis-Bellmunt","given":"Oriol","non-dropping-particle":"","parse-names":false,"suffix":""}],"container-title":"Applied Energy","id":"ITEM-2","issue":"May","issued":{"date-parts":[["2020","9"]]},"page":"115213","publisher":"Elsevier","title":"A review of energy storage technologies for large scale photovoltaic power plants","type":"article-journal","volume":"274"},"uris":["http://www.mendeley.com/documents/?uuid=3d18c3f8-6dda-4b80-b537-ea49bebdcff1","http://www.mendeley.com/documents/?uuid=4c016bd3-0993-4ede-b66b-a1708260bf40"]},{"id":"ITEM-3","itemData":{"DOI":"10.1016/j.est.2019.101047","ISSN":"2352152X","abstract":"Energy storage technologies, including storage types, categorizations and comparisons, are critically reviewed. Most energy storage technologies are considered, including electrochemical and battery energy storage, thermal energy storage, thermochemical energy storage, flywheel energy storage, compressed air energy storage, pumped energy storage, magnetic energy storage, chemical and hydrogen energy storage. Recent research on new energy storage types as well as important advances and developments in energy storage, are also included throughout.","author":[{"dropping-particle":"","family":"Koohi-Fayegh","given":"S.","non-dropping-particle":"","parse-names":false,"suffix":""},{"dropping-particle":"","family":"Rosen","given":"M. A.","non-dropping-particle":"","parse-names":false,"suffix":""}],"container-title":"Journal of Energy Storage","id":"ITEM-3","issue":"November 2019","issued":{"date-parts":[["2020"]]},"page":"101047","publisher":"Elsevier","title":"A review of energy storage types, applications and recent developments","type":"article-journal","volume":"27"},"uris":["http://www.mendeley.com/documents/?uuid=4e5fee06-5b92-4328-9ff8-6697d588cde0","http://www.mendeley.com/documents/?uuid=09f2b620-9bb2-4083-8a47-0b39ec7094d1"]},{"id":"ITEM-4","itemData":{"DOI":"10.1016/j.seta.2014.07.004","ISSN":"22131388","abstract":"A significant percentage of the global energy demand is expected to be met through widespread supply of renewable electricity in the near future. However, renewable energy outputs are variable due to a stochastic characteristic of their sources. Electrical power system operators around the world are faced with difficulties of integrating these variable power sources into the existing power grids. Energy storage systems are one of the possible solutions for mitigating the effects of intermittent renewable resources on networks, allowing increased renewable energy utilization, and providing flexibility and ancillary services for managing future electricity supply/demand challenges. This paper presents a comprehensive review of energy storage technologies that are currently engaged for power applications, including pumped hydro, compressed-air, battery, flywheel, capacitor, supercapacitor, superconducting magnetic and thermal systems. The study compares the characteristics of these systems, and presents their technological development status and capital costs. Some directions for future work are also highlighted. Furthermore, particular attention is paid to some new storage technologies such as: adiabatic, underwater, isothermal and small-scale compressed-air; sub-surface, seawater and variable-speed pumped hydro, and pumped heat systems, which hold opportunity for future smart electrical grid applications, but there is need for more research to actualize their promising potentials. © 2014 Elsevier Ltd.","author":[{"dropping-particle":"","family":"Akinyele","given":"D.O.","non-dropping-particle":"","parse-names":false,"suffix":""},{"dropping-particle":"","family":"Rayudu","given":"R.K.","non-dropping-particle":"","parse-names":false,"suffix":""}],"container-title":"Sustainable Energy Technologies and Assessments","id":"ITEM-4","issued":{"date-parts":[["2014","12"]]},"page":"74-91","publisher":"Elsevier Ltd","title":"Review of energy storage technologies for sustainable power networks","type":"article-journal","volume":"8"},"uris":["http://www.mendeley.com/documents/?uuid=8385936b-1595-4daf-86b9-2d2b5ebe2cce","http://www.mendeley.com/documents/?uuid=3f3f6731-e520-489b-b07f-5c7cf2f29aa3"]},{"id":"ITEM-5","itemData":{"DOI":"10.1016/j.enconman.2014.07.063","ISSN":"01968904","abstract":"This paper examines both the potential of and barriers to grid-scale energy storage playing a substantive role in transitioning to an efficient, reliable and cost-effective power system with a high penetration of renewable energy sources. Grid-scale storage is a term that describes a number of different technologies with a wide range of characteristics. This versatility leads to the use of storage to perform a number of grid-services. We first enumerate these services, with an emphasize on those that are best suited to mitigate the effects of uncertainty and variability associated with intermittent, non-dispatchable renewable energy sources. We then provide an overview of the current methods to evaluate grid-integrated storage, summarize key findings, and highlight ongoing challenges to large-scale adoption of grid-scale energy storage. We focus on one particular area that is critical to both the efficient use of energy storage in the power grid and its long-term economic viability: the conflict between the technical benefits of this resource, which can provide both power and energy related grid-services (in some cases simultaneously), and the economic challenges of compensating these services within the current market structures. We then examine recent progress in addressing these issues through regulatory changes and other initiatives designed to mitigate previous market failures. This discussion is followed by some remarks about ongoing regulatory and market design challenges. The paper closes with a summary of the ideas presented and a discussion of critical research needs. © 2014 Elsevier Ltd. All rights reserved.","author":[{"dropping-particle":"","family":"Castillo","given":"Anya","non-dropping-particle":"","parse-names":false,"suffix":""},{"dropping-particle":"","family":"Gayme","given":"Dennice F.","non-dropping-particle":"","parse-names":false,"suffix":""}],"container-title":"Energy Conversion and Management","id":"ITEM-5","issued":{"date-parts":[["2014"]]},"page":"885-894","publisher":"Elsevier Ltd","title":"Grid-scale energy storage applications in renewable energy integration: A survey","type":"article-journal","volume":"87"},"uris":["http://www.mendeley.com/documents/?uuid=7e40c721-d8ac-4852-bce0-e0056821a915","http://www.mendeley.com/documents/?uuid=9f7f953b-1432-40b7-bd3a-aed09178d21e"]}],"mendeley":{"formattedCitation":"[38–42]","plainTextFormattedCitation":"[38–42]","previouslyFormattedCitation":"[38–42]"},"properties":{"noteIndex":0},"schema":"https://github.com/citation-style-language/schema/raw/master/csl-citation.json"}</w:instrText>
      </w:r>
      <w:r w:rsidR="00426706">
        <w:rPr>
          <w:lang w:val="en-US"/>
        </w:rPr>
        <w:fldChar w:fldCharType="separate"/>
      </w:r>
      <w:r w:rsidR="004319C3" w:rsidRPr="004319C3">
        <w:rPr>
          <w:noProof/>
          <w:lang w:val="en-US"/>
        </w:rPr>
        <w:t>[38–42]</w:t>
      </w:r>
      <w:r w:rsidR="00426706">
        <w:rPr>
          <w:lang w:val="en-US"/>
        </w:rPr>
        <w:fldChar w:fldCharType="end"/>
      </w:r>
      <w:r>
        <w:rPr>
          <w:lang w:val="en-US"/>
        </w:rPr>
        <w:t xml:space="preserve"> are depicted in the bubble plot </w:t>
      </w:r>
      <w:r w:rsidR="003D06E9">
        <w:rPr>
          <w:lang w:val="en-US"/>
        </w:rPr>
        <w:t xml:space="preserve">of </w:t>
      </w:r>
      <w:r w:rsidR="00813E05">
        <w:rPr>
          <w:lang w:val="en-US"/>
        </w:rPr>
        <w:fldChar w:fldCharType="begin"/>
      </w:r>
      <w:r w:rsidR="00813E05">
        <w:rPr>
          <w:lang w:val="en-US"/>
        </w:rPr>
        <w:instrText xml:space="preserve"> REF _Ref117951546 \h </w:instrText>
      </w:r>
      <w:r w:rsidR="00813E05">
        <w:rPr>
          <w:lang w:val="en-US"/>
        </w:rPr>
      </w:r>
      <w:r w:rsidR="00813E05">
        <w:rPr>
          <w:lang w:val="en-US"/>
        </w:rPr>
        <w:fldChar w:fldCharType="separate"/>
      </w:r>
      <w:r w:rsidR="00813E05" w:rsidRPr="00813E05">
        <w:rPr>
          <w:lang w:val="en-US"/>
        </w:rPr>
        <w:t xml:space="preserve">Figure </w:t>
      </w:r>
      <w:r w:rsidR="00813E05" w:rsidRPr="00813E05">
        <w:rPr>
          <w:noProof/>
          <w:lang w:val="en-US"/>
        </w:rPr>
        <w:t>6</w:t>
      </w:r>
      <w:r w:rsidR="00813E05">
        <w:rPr>
          <w:lang w:val="en-US"/>
        </w:rPr>
        <w:fldChar w:fldCharType="end"/>
      </w:r>
      <w:r w:rsidRPr="00373A5A">
        <w:rPr>
          <w:lang w:val="en-US"/>
        </w:rPr>
        <w:t xml:space="preserve">. </w:t>
      </w:r>
      <w:bookmarkStart w:id="29" w:name="_Hlk119758297"/>
    </w:p>
    <w:p w14:paraId="7CA9D2F8" w14:textId="6BA03647" w:rsidR="00813E05" w:rsidRDefault="00223808" w:rsidP="00223808">
      <w:pPr>
        <w:keepNext/>
      </w:pPr>
      <w:r w:rsidRPr="00813E05">
        <w:rPr>
          <w:noProof/>
        </w:rPr>
        <w:drawing>
          <wp:inline distT="0" distB="0" distL="0" distR="0" wp14:anchorId="2988CD41" wp14:editId="00371135">
            <wp:extent cx="6120130" cy="415417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20130" cy="4154170"/>
                    </a:xfrm>
                    <a:prstGeom prst="rect">
                      <a:avLst/>
                    </a:prstGeom>
                    <a:noFill/>
                    <a:ln>
                      <a:noFill/>
                    </a:ln>
                  </pic:spPr>
                </pic:pic>
              </a:graphicData>
            </a:graphic>
          </wp:inline>
        </w:drawing>
      </w:r>
    </w:p>
    <w:p w14:paraId="6E3D4879" w14:textId="78D237DB" w:rsidR="00813E05" w:rsidRDefault="00813E05" w:rsidP="00813E05">
      <w:pPr>
        <w:pStyle w:val="Didascalia"/>
        <w:jc w:val="both"/>
      </w:pPr>
      <w:bookmarkStart w:id="30" w:name="_Ref117951546"/>
      <w:r>
        <w:t xml:space="preserve">Figure </w:t>
      </w:r>
      <w:r>
        <w:fldChar w:fldCharType="begin"/>
      </w:r>
      <w:r>
        <w:instrText xml:space="preserve"> SEQ Figure \* ARABIC </w:instrText>
      </w:r>
      <w:r>
        <w:fldChar w:fldCharType="separate"/>
      </w:r>
      <w:r w:rsidR="00810CF6">
        <w:rPr>
          <w:noProof/>
        </w:rPr>
        <w:t>6</w:t>
      </w:r>
      <w:r>
        <w:fldChar w:fldCharType="end"/>
      </w:r>
      <w:bookmarkEnd w:id="30"/>
      <w:r>
        <w:t>. Comparison of batteries</w:t>
      </w:r>
      <w:r w:rsidR="003A13FA">
        <w:t>’</w:t>
      </w:r>
      <w:r w:rsidR="00DE65C0" w:rsidRPr="00DE65C0">
        <w:t xml:space="preserve"> </w:t>
      </w:r>
      <w:r w:rsidR="00DE65C0">
        <w:t>performance in terms of Round Trip Efficiency and Power Density per Unit Volume</w:t>
      </w:r>
      <w:r w:rsidR="00426706">
        <w:t xml:space="preserve"> </w:t>
      </w:r>
      <w:r w:rsidR="00426706">
        <w:fldChar w:fldCharType="begin" w:fldLock="1"/>
      </w:r>
      <w:r w:rsidR="00E77EC7">
        <w:instrText>ADDIN CSL_CITATION {"citationItems":[{"id":"ITEM-1","itemData":{"DOI":"10.1016/j.est.2017.11.008","ISSN":"2352152X","abstract":"Energy storage using batteries is accepted as one of the most important and efficient ways of stabilising electricity networks and there are a variety of different battery chemistries that may be used. Lead batteries are very well established both for automotive and industrial applications and have been successfully applied for utility energy storage but there are a range of competing technologies including Li-ion, sodium-sulfur and flow batteries that are used for energy storage. The technology for lead batteries and how they can be better adapted for energy storage applications is described. Lead batteries are capable of long cycle and calendar lives and have been developed in recent years to have much longer cycle lives compared to 20 years ago in conditions where the battery is not routinely returned to a fully charged condition. Li-ion batteries have advantages in terms of energy density and specific energy but this is less important for static installations. The other technical features of Li-ion and other types of battery are discussed in relation to lead batteries. A selection of larger lead battery energy storage installations are analysed and lessons learned identified. Lead is the most efficiently recycled commodity metal and lead batteries are the only battery energy storage system that is almost completely recycled, with over 99% of lead batteries being collected and recycled in Europe and USA. The sustainability of lead batteries is compared with other chemistries.","author":[{"dropping-particle":"","family":"May","given":"Geoffrey J.","non-dropping-particle":"","parse-names":false,"suffix":""},{"dropping-particle":"","family":"Davidson","given":"Alistair","non-dropping-particle":"","parse-names":false,"suffix":""},{"dropping-particle":"","family":"Monahov","given":"Boris","non-dropping-particle":"","parse-names":false,"suffix":""}],"container-title":"Journal of Energy Storage","id":"ITEM-1","issued":{"date-parts":[["2018"]]},"title":"Lead batteries for utility energy storage: A review","type":"article"},"uris":["http://www.mendeley.com/documents/?uuid=bbe62ba9-a7ac-4b9e-a22b-b92bdd13bd2b","http://www.mendeley.com/documents/?uuid=1f79aa66-7998-4450-bed8-168de8ec46db"]},{"id":"ITEM-2","itemData":{"DOI":"10.1016/j.apenergy.2020.115213","ISSN":"03062619","abstract":"Energy storage can play an essential role in large scale photovoltaic power plants for complying with the current and future standards (grid codes) or for providing market oriented services. But not all the energy storage technologies are valid for all these services. So, this review article analyses the most suitable energy storage technologies that can be used to provide the different services in large scale photovoltaic power plants. For this purpose, this article first summarizes the different characteristics of the energy storage technologies. Then, it reviews the grid services large scale photovoltaic power plants must or can provide together with the energy storage requirements. With this information, together with the analysis of the energy storage technologies characteristics, a discussion of the most suitable technologies is performed. In addition, this review also discusses how to locate the energy storage within the photovoltaic power plant. The results show that (i) the current grid codes require high power – medium energy storage, being Li-Ion batteries the most suitable technology, (ii) for complying future grid code requirements high power – low energy – fast response storage will be required, where super capacitors can be the preferred option, (iii) other technologies such as Lead Acid and Nickel Cadmium batteries are adequate for supporting the black start services, (iv) flow batteries and Lithium Ion technology can be used for market oriented services and (v) the best location of the energy storage within the photovoltaic power plays an important role and depends on the service, but still little research has been performed in this field.","author":[{"dropping-particle":"","family":"Bullich-Massagué","given":"Eduard","non-dropping-particle":"","parse-names":false,"suffix":""},{"dropping-particle":"","family":"Cifuentes-García","given":"Francisco-Javier","non-dropping-particle":"","parse-names":false,"suffix":""},{"dropping-particle":"","family":"Glenny-Crende","given":"Ignacio","non-dropping-particle":"","parse-names":false,"suffix":""},{"dropping-particle":"","family":"Cheah-Mañé","given":"Marc","non-dropping-particle":"","parse-names":false,"suffix":""},{"dropping-particle":"","family":"Aragüés-Peñalba","given":"Mònica","non-dropping-particle":"","parse-names":false,"suffix":""},{"dropping-particle":"","family":"Díaz-González","given":"Francisco","non-dropping-particle":"","parse-names":false,"suffix":""},{"dropping-particle":"","family":"Gomis-Bellmunt","given":"Oriol","non-dropping-particle":"","parse-names":false,"suffix":""}],"container-title":"Applied Energy","id":"ITEM-2","issue":"May","issued":{"date-parts":[["2020","9"]]},"page":"115213","publisher":"Elsevier","title":"A review of energy storage technologies for large scale photovoltaic power plants","type":"article-journal","volume":"274"},"uris":["http://www.mendeley.com/documents/?uuid=4c016bd3-0993-4ede-b66b-a1708260bf40","http://www.mendeley.com/documents/?uuid=3d18c3f8-6dda-4b80-b537-ea49bebdcff1","http://www.mendeley.com/documents/?uuid=3a176ce9-1766-4bc5-925c-71667603418b"]},{"id":"ITEM-3","itemData":{"DOI":"10.1016/j.est.2019.101047","ISSN":"2352152X","abstract":"Energy storage technologies, including storage types, categorizations and comparisons, are critically reviewed. Most energy storage technologies are considered, including electrochemical and battery energy storage, thermal energy storage, thermochemical energy storage, flywheel energy storage, compressed air energy storage, pumped energy storage, magnetic energy storage, chemical and hydrogen energy storage. Recent research on new energy storage types as well as important advances and developments in energy storage, are also included throughout.","author":[{"dropping-particle":"","family":"Koohi-Fayegh","given":"S.","non-dropping-particle":"","parse-names":false,"suffix":""},{"dropping-particle":"","family":"Rosen","given":"M. A.","non-dropping-particle":"","parse-names":false,"suffix":""}],"container-title":"Journal of Energy Storage","id":"ITEM-3","issue":"November 2019","issued":{"date-parts":[["2020"]]},"page":"101047","publisher":"Elsevier","title":"A review of energy storage types, applications and recent developments","type":"article-journal","volume":"27"},"uris":["http://www.mendeley.com/documents/?uuid=09f2b620-9bb2-4083-8a47-0b39ec7094d1","http://www.mendeley.com/documents/?uuid=4e5fee06-5b92-4328-9ff8-6697d588cde0","http://www.mendeley.com/documents/?uuid=4e9fbc06-5adf-49e2-9cb1-976b910b2923"]},{"id":"ITEM-4","itemData":{"DOI":"10.1016/j.enconman.2014.07.063","ISSN":"01968904","abstract":"This paper examines both the potential of and barriers to grid-scale energy storage playing a substantive role in transitioning to an efficient, reliable and cost-effective power system with a high penetration of renewable energy sources. Grid-scale storage is a term that describes a number of different technologies with a wide range of characteristics. This versatility leads to the use of storage to perform a number of grid-services. We first enumerate these services, with an emphasize on those that are best suited to mitigate the effects of uncertainty and variability associated with intermittent, non-dispatchable renewable energy sources. We then provide an overview of the current methods to evaluate grid-integrated storage, summarize key findings, and highlight ongoing challenges to large-scale adoption of grid-scale energy storage. We focus on one particular area that is critical to both the efficient use of energy storage in the power grid and its long-term economic viability: the conflict between the technical benefits of this resource, which can provide both power and energy related grid-services (in some cases simultaneously), and the economic challenges of compensating these services within the current market structures. We then examine recent progress in addressing these issues through regulatory changes and other initiatives designed to mitigate previous market failures. This discussion is followed by some remarks about ongoing regulatory and market design challenges. The paper closes with a summary of the ideas presented and a discussion of critical research needs. © 2014 Elsevier Ltd. All rights reserved.","author":[{"dropping-particle":"","family":"Castillo","given":"Anya","non-dropping-particle":"","parse-names":false,"suffix":""},{"dropping-particle":"","family":"Gayme","given":"Dennice F.","non-dropping-particle":"","parse-names":false,"suffix":""}],"container-title":"Energy Conversion and Management","id":"ITEM-4","issued":{"date-parts":[["2014"]]},"page":"885-894","publisher":"Elsevier Ltd","title":"Grid-scale energy storage applications in renewable energy integration: A survey","type":"article-journal","volume":"87"},"uris":["http://www.mendeley.com/documents/?uuid=7e40c721-d8ac-4852-bce0-e0056821a915","http://www.mendeley.com/documents/?uuid=9f7f953b-1432-40b7-bd3a-aed09178d21e","http://www.mendeley.com/documents/?uuid=83f401cd-7176-458d-bf92-a8e69abfe4d1"]},{"id":"ITEM-5","itemData":{"DOI":"10.1016/j.seta.2014.07.004","ISSN":"22131388","abstract":"A significant percentage of the global energy demand is expected to be met through widespread supply of renewable electricity in the near future. However, renewable energy outputs are variable due to a stochastic characteristic of their sources. Electrical power system operators around the world are faced with difficulties of integrating these variable power sources into the existing power grids. Energy storage systems are one of the possible solutions for mitigating the effects of intermittent renewable resources on networks, allowing increased renewable energy utilization, and providing flexibility and ancillary services for managing future electricity supply/demand challenges. This paper presents a comprehensive review of energy storage technologies that are currently engaged for power applications, including pumped hydro, compressed-air, battery, flywheel, capacitor, supercapacitor, superconducting magnetic and thermal systems. The study compares the characteristics of these systems, and presents their technological development status and capital costs. Some directions for future work are also highlighted. Furthermore, particular attention is paid to some new storage technologies such as: adiabatic, underwater, isothermal and small-scale compressed-air; sub-surface, seawater and variable-speed pumped hydro, and pumped heat systems, which hold opportunity for future smart electrical grid applications, but there is need for more research to actualize their promising potentials. © 2014 Elsevier Ltd.","author":[{"dropping-particle":"","family":"Akinyele","given":"D.O.","non-dropping-particle":"","parse-names":false,"suffix":""},{"dropping-particle":"","family":"Rayudu","given":"R.K.","non-dropping-particle":"","parse-names":false,"suffix":""}],"container-title":"Sustainable Energy Technologies and Assessments","id":"ITEM-5","issued":{"date-parts":[["2014","12"]]},"page":"74-91","publisher":"Elsevier Ltd","title":"Review of energy storage technologies for sustainable power networks","type":"article-journal","volume":"8"},"uris":["http://www.mendeley.com/documents/?uuid=3f3f6731-e520-489b-b07f-5c7cf2f29aa3","http://www.mendeley.com/documents/?uuid=8385936b-1595-4daf-86b9-2d2b5ebe2cce","http://www.mendeley.com/documents/?uuid=35f9fd89-a1d0-4a19-9bd7-862022f3a288"]}],"mendeley":{"formattedCitation":"[38–42]","plainTextFormattedCitation":"[38–42]","previouslyFormattedCitation":"[38–42]"},"properties":{"noteIndex":0},"schema":"https://github.com/citation-style-language/schema/raw/master/csl-citation.json"}</w:instrText>
      </w:r>
      <w:r w:rsidR="00426706">
        <w:fldChar w:fldCharType="separate"/>
      </w:r>
      <w:r w:rsidR="004319C3" w:rsidRPr="004319C3">
        <w:rPr>
          <w:noProof/>
        </w:rPr>
        <w:t>[38–42]</w:t>
      </w:r>
      <w:r w:rsidR="00426706">
        <w:fldChar w:fldCharType="end"/>
      </w:r>
      <w:r>
        <w:t xml:space="preserve">. </w:t>
      </w:r>
      <w:r w:rsidR="00EB783A">
        <w:t>Storage systems: Acid-Base Flow Battery (AB-FB); Pumped Hydro Storage (PHS); Compressed-Air Energy Storage (CAES); Lead-acid battery</w:t>
      </w:r>
      <w:r w:rsidR="00BA0E5C">
        <w:t xml:space="preserve"> (Lead-acid)</w:t>
      </w:r>
      <w:r w:rsidR="00EB783A">
        <w:t xml:space="preserve">; Nickel-Cadmium battery (Ni-Cd); Lithium-ion battery (Li-ion); </w:t>
      </w:r>
      <w:r w:rsidR="00BA0E5C">
        <w:t xml:space="preserve">Sodium-sulfur battery (Na-S); Sodium-Nickel-Chloride battery (Na-NiCl2); Vanadium Redox Flow Battery (VRB); Zinc-Bromine battery (Zn-Br); </w:t>
      </w:r>
      <w:r w:rsidR="00BA0E5C" w:rsidRPr="00715ED8">
        <w:rPr>
          <w:spacing w:val="-3"/>
        </w:rPr>
        <w:t>Flywheel Energy Storage</w:t>
      </w:r>
      <w:r w:rsidR="00BA0E5C">
        <w:rPr>
          <w:spacing w:val="-3"/>
        </w:rPr>
        <w:t xml:space="preserve"> (FES); </w:t>
      </w:r>
      <w:r w:rsidR="00BA0E5C" w:rsidRPr="00715ED8">
        <w:rPr>
          <w:spacing w:val="-3"/>
        </w:rPr>
        <w:t>Double Layers Capacitor</w:t>
      </w:r>
      <w:r w:rsidR="00BA0E5C">
        <w:rPr>
          <w:spacing w:val="-3"/>
        </w:rPr>
        <w:t xml:space="preserve"> (DLC); </w:t>
      </w:r>
      <w:r w:rsidR="00BA0E5C" w:rsidRPr="00BA0E5C">
        <w:rPr>
          <w:spacing w:val="-3"/>
        </w:rPr>
        <w:t>Nickel</w:t>
      </w:r>
      <w:r w:rsidR="00BA0E5C">
        <w:rPr>
          <w:spacing w:val="-3"/>
        </w:rPr>
        <w:t>-</w:t>
      </w:r>
      <w:r w:rsidR="00BA0E5C" w:rsidRPr="00BA0E5C">
        <w:rPr>
          <w:spacing w:val="-3"/>
        </w:rPr>
        <w:t>metal hydride battery</w:t>
      </w:r>
      <w:r w:rsidR="00BA0E5C">
        <w:rPr>
          <w:spacing w:val="-3"/>
        </w:rPr>
        <w:t xml:space="preserve"> (NiMH-sealed); Zinc-air battery (Zn-air); </w:t>
      </w:r>
      <w:r w:rsidR="00BA0E5C" w:rsidRPr="00715ED8">
        <w:rPr>
          <w:spacing w:val="-3"/>
        </w:rPr>
        <w:t>Hybrid Flow Battery</w:t>
      </w:r>
      <w:r w:rsidR="00BA0E5C">
        <w:rPr>
          <w:spacing w:val="-3"/>
        </w:rPr>
        <w:t xml:space="preserve"> (HFB); Magnetic battery (Magnetic)</w:t>
      </w:r>
      <w:r w:rsidR="00F923B4">
        <w:rPr>
          <w:spacing w:val="-3"/>
        </w:rPr>
        <w:t>.</w:t>
      </w:r>
    </w:p>
    <w:bookmarkEnd w:id="29"/>
    <w:p w14:paraId="1CD2E424" w14:textId="3BE5496F" w:rsidR="00E32959" w:rsidRDefault="002327C2" w:rsidP="002327C2">
      <w:pPr>
        <w:rPr>
          <w:lang w:val="en-US"/>
        </w:rPr>
      </w:pPr>
      <w:r w:rsidRPr="00373A5A">
        <w:rPr>
          <w:lang w:val="en-US"/>
        </w:rPr>
        <w:lastRenderedPageBreak/>
        <w:t xml:space="preserve">Although the RTE ranges are relatively similar </w:t>
      </w:r>
      <w:r>
        <w:rPr>
          <w:lang w:val="en-US"/>
        </w:rPr>
        <w:t>among the</w:t>
      </w:r>
      <w:r w:rsidRPr="00373A5A">
        <w:rPr>
          <w:lang w:val="en-US"/>
        </w:rPr>
        <w:t xml:space="preserve"> technologies</w:t>
      </w:r>
      <w:r w:rsidR="003D06E9">
        <w:rPr>
          <w:lang w:val="en-US"/>
        </w:rPr>
        <w:t xml:space="preserve"> (30%-100% overall, 60%-90% in most cases)</w:t>
      </w:r>
      <w:r w:rsidRPr="00373A5A">
        <w:rPr>
          <w:lang w:val="en-US"/>
        </w:rPr>
        <w:t xml:space="preserve">, the </w:t>
      </w:r>
      <w:r w:rsidR="00070C07">
        <w:rPr>
          <w:lang w:val="en-US"/>
        </w:rPr>
        <w:t>PDUV</w:t>
      </w:r>
      <w:r w:rsidRPr="00373A5A">
        <w:rPr>
          <w:lang w:val="en-US"/>
        </w:rPr>
        <w:t xml:space="preserve"> </w:t>
      </w:r>
      <w:r w:rsidR="005F118F">
        <w:rPr>
          <w:lang w:val="en-US"/>
        </w:rPr>
        <w:t>spans</w:t>
      </w:r>
      <w:r w:rsidRPr="00373A5A">
        <w:rPr>
          <w:lang w:val="en-US"/>
        </w:rPr>
        <w:t xml:space="preserve"> </w:t>
      </w:r>
      <w:r w:rsidR="003D06E9">
        <w:rPr>
          <w:lang w:val="en-US"/>
        </w:rPr>
        <w:t>acros</w:t>
      </w:r>
      <w:r w:rsidR="005F118F">
        <w:rPr>
          <w:lang w:val="en-US"/>
        </w:rPr>
        <w:t>s</w:t>
      </w:r>
      <w:r w:rsidR="003D06E9">
        <w:rPr>
          <w:lang w:val="en-US"/>
        </w:rPr>
        <w:t xml:space="preserve"> several order</w:t>
      </w:r>
      <w:r w:rsidR="004E17B6">
        <w:rPr>
          <w:lang w:val="en-US"/>
        </w:rPr>
        <w:t>s</w:t>
      </w:r>
      <w:r w:rsidR="003D06E9">
        <w:rPr>
          <w:lang w:val="en-US"/>
        </w:rPr>
        <w:t xml:space="preserve"> of magnitude</w:t>
      </w:r>
      <w:r w:rsidR="005F118F">
        <w:rPr>
          <w:lang w:val="en-US"/>
        </w:rPr>
        <w:t>,</w:t>
      </w:r>
      <w:r w:rsidR="003D06E9">
        <w:rPr>
          <w:lang w:val="en-US"/>
        </w:rPr>
        <w:t xml:space="preserve"> </w:t>
      </w:r>
      <w:r w:rsidRPr="00373A5A">
        <w:rPr>
          <w:lang w:val="en-US"/>
        </w:rPr>
        <w:t>from 0.01 W</w:t>
      </w:r>
      <w:r w:rsidR="00813E05">
        <w:rPr>
          <w:lang w:val="en-US"/>
        </w:rPr>
        <w:t xml:space="preserve"> </w:t>
      </w:r>
      <w:r w:rsidRPr="00373A5A">
        <w:rPr>
          <w:lang w:val="en-US"/>
        </w:rPr>
        <w:t>L</w:t>
      </w:r>
      <w:r w:rsidR="00813E05" w:rsidRPr="00813E05">
        <w:rPr>
          <w:vertAlign w:val="superscript"/>
          <w:lang w:val="en-US"/>
        </w:rPr>
        <w:t>-1</w:t>
      </w:r>
      <w:r w:rsidRPr="00373A5A">
        <w:rPr>
          <w:lang w:val="en-US"/>
        </w:rPr>
        <w:t xml:space="preserve"> to 120,000 W</w:t>
      </w:r>
      <w:r w:rsidR="00813E05">
        <w:rPr>
          <w:lang w:val="en-US"/>
        </w:rPr>
        <w:t xml:space="preserve"> </w:t>
      </w:r>
      <w:r w:rsidRPr="00373A5A">
        <w:rPr>
          <w:lang w:val="en-US"/>
        </w:rPr>
        <w:t>L</w:t>
      </w:r>
      <w:r w:rsidR="00813E05" w:rsidRPr="00813E05">
        <w:rPr>
          <w:vertAlign w:val="superscript"/>
          <w:lang w:val="en-US"/>
        </w:rPr>
        <w:t>-1</w:t>
      </w:r>
      <w:r w:rsidRPr="00373A5A">
        <w:rPr>
          <w:lang w:val="en-US"/>
        </w:rPr>
        <w:t xml:space="preserve">, as </w:t>
      </w:r>
      <w:r w:rsidR="00F616E6">
        <w:rPr>
          <w:lang w:val="en-US"/>
        </w:rPr>
        <w:t>shown</w:t>
      </w:r>
      <w:r w:rsidRPr="00373A5A">
        <w:rPr>
          <w:lang w:val="en-US"/>
        </w:rPr>
        <w:t xml:space="preserve"> in the semi-logarithmic </w:t>
      </w:r>
      <w:r>
        <w:rPr>
          <w:lang w:val="en-US"/>
        </w:rPr>
        <w:t>plot</w:t>
      </w:r>
      <w:r w:rsidRPr="00373A5A">
        <w:rPr>
          <w:lang w:val="en-US"/>
        </w:rPr>
        <w:t xml:space="preserve">. </w:t>
      </w:r>
      <w:r>
        <w:rPr>
          <w:lang w:val="en-US"/>
        </w:rPr>
        <w:t>According to the results obtained in this study,</w:t>
      </w:r>
      <w:r w:rsidRPr="00373A5A">
        <w:rPr>
          <w:lang w:val="en-US"/>
        </w:rPr>
        <w:t xml:space="preserve"> </w:t>
      </w:r>
      <w:r w:rsidR="00D91F23">
        <w:rPr>
          <w:lang w:val="en-US"/>
        </w:rPr>
        <w:t xml:space="preserve">optimal solutions of </w:t>
      </w:r>
      <w:r>
        <w:rPr>
          <w:lang w:val="en-US"/>
        </w:rPr>
        <w:t>t</w:t>
      </w:r>
      <w:r w:rsidRPr="00373A5A">
        <w:rPr>
          <w:lang w:val="en-US"/>
        </w:rPr>
        <w:t xml:space="preserve">he AB-FB </w:t>
      </w:r>
      <w:r>
        <w:rPr>
          <w:lang w:val="en-US"/>
        </w:rPr>
        <w:t xml:space="preserve">show </w:t>
      </w:r>
      <w:r w:rsidR="00D91F23">
        <w:rPr>
          <w:lang w:val="en-US"/>
        </w:rPr>
        <w:t>values of</w:t>
      </w:r>
      <w:r>
        <w:rPr>
          <w:lang w:val="en-US"/>
        </w:rPr>
        <w:t xml:space="preserve"> </w:t>
      </w:r>
      <w:r w:rsidR="00D91F23">
        <w:rPr>
          <w:lang w:val="en-US"/>
        </w:rPr>
        <w:t xml:space="preserve">RTE from </w:t>
      </w:r>
      <w:r w:rsidR="00D91F23" w:rsidRPr="005C3FE9">
        <w:rPr>
          <w:color w:val="000000" w:themeColor="text1"/>
          <w:lang w:val="en-GB" w:eastAsia="en-US"/>
        </w:rPr>
        <w:t>~</w:t>
      </w:r>
      <w:r w:rsidR="00D91F23">
        <w:rPr>
          <w:lang w:val="en-US"/>
        </w:rPr>
        <w:t xml:space="preserve">30% to 75%, and values of </w:t>
      </w:r>
      <w:r w:rsidR="005F118F">
        <w:rPr>
          <w:lang w:val="en-US"/>
        </w:rPr>
        <w:t>PDUV</w:t>
      </w:r>
      <w:r w:rsidRPr="00373A5A">
        <w:rPr>
          <w:lang w:val="en-US"/>
        </w:rPr>
        <w:t xml:space="preserve"> in the</w:t>
      </w:r>
      <w:r>
        <w:rPr>
          <w:lang w:val="en-US"/>
        </w:rPr>
        <w:t xml:space="preserve"> range of</w:t>
      </w:r>
      <w:r w:rsidRPr="00373A5A">
        <w:rPr>
          <w:lang w:val="en-US"/>
        </w:rPr>
        <w:t xml:space="preserve"> </w:t>
      </w:r>
      <w:r w:rsidR="004D32FB" w:rsidRPr="005C3FE9">
        <w:rPr>
          <w:color w:val="000000" w:themeColor="text1"/>
          <w:lang w:val="en-GB" w:eastAsia="en-US"/>
        </w:rPr>
        <w:t>~</w:t>
      </w:r>
      <w:r w:rsidR="004D32FB">
        <w:rPr>
          <w:color w:val="000000" w:themeColor="text1"/>
          <w:lang w:val="en-GB" w:eastAsia="en-US"/>
        </w:rPr>
        <w:t>20</w:t>
      </w:r>
      <w:r w:rsidR="004D32FB">
        <w:rPr>
          <w:lang w:val="en-GB"/>
        </w:rPr>
        <w:t>–</w:t>
      </w:r>
      <w:r w:rsidR="004D32FB">
        <w:rPr>
          <w:lang w:val="en-US"/>
        </w:rPr>
        <w:t>2</w:t>
      </w:r>
      <w:r w:rsidR="00800077">
        <w:rPr>
          <w:lang w:val="en-US"/>
        </w:rPr>
        <w:t>,</w:t>
      </w:r>
      <w:r w:rsidR="004D32FB">
        <w:rPr>
          <w:lang w:val="en-US"/>
        </w:rPr>
        <w:t>100</w:t>
      </w:r>
      <w:r w:rsidRPr="00373A5A">
        <w:rPr>
          <w:lang w:val="en-US"/>
        </w:rPr>
        <w:t xml:space="preserve"> W</w:t>
      </w:r>
      <w:r w:rsidR="004D32FB">
        <w:rPr>
          <w:lang w:val="en-US"/>
        </w:rPr>
        <w:t xml:space="preserve"> </w:t>
      </w:r>
      <w:r w:rsidRPr="00373A5A">
        <w:rPr>
          <w:lang w:val="en-US"/>
        </w:rPr>
        <w:t>L</w:t>
      </w:r>
      <w:r w:rsidR="004D32FB" w:rsidRPr="004D32FB">
        <w:rPr>
          <w:vertAlign w:val="superscript"/>
          <w:lang w:val="en-US"/>
        </w:rPr>
        <w:t>-1</w:t>
      </w:r>
      <w:r w:rsidR="00D91F23">
        <w:rPr>
          <w:lang w:val="en-US"/>
        </w:rPr>
        <w:t xml:space="preserve">. </w:t>
      </w:r>
      <w:r w:rsidRPr="00373A5A">
        <w:rPr>
          <w:lang w:val="en-US"/>
        </w:rPr>
        <w:t xml:space="preserve"> </w:t>
      </w:r>
      <w:r w:rsidR="00D91F23">
        <w:rPr>
          <w:lang w:val="en-US"/>
        </w:rPr>
        <w:t xml:space="preserve">This means that </w:t>
      </w:r>
      <w:r w:rsidR="003A13FA">
        <w:rPr>
          <w:lang w:val="en-US"/>
        </w:rPr>
        <w:t xml:space="preserve">the AB-FB </w:t>
      </w:r>
      <w:r w:rsidR="00FA2291">
        <w:rPr>
          <w:lang w:val="en-US"/>
        </w:rPr>
        <w:t xml:space="preserve">has middle-low performance in terms of RTE, while it has </w:t>
      </w:r>
      <w:r w:rsidR="00D91F23">
        <w:rPr>
          <w:lang w:val="en-US"/>
        </w:rPr>
        <w:t xml:space="preserve">middle-high </w:t>
      </w:r>
      <w:r w:rsidR="00FA2291">
        <w:rPr>
          <w:lang w:val="en-US"/>
        </w:rPr>
        <w:t xml:space="preserve">performance in terms of PDUV. </w:t>
      </w:r>
    </w:p>
    <w:p w14:paraId="1D2C55C9" w14:textId="7F488464" w:rsidR="00C42F93" w:rsidRDefault="00E32959" w:rsidP="002327C2">
      <w:pPr>
        <w:rPr>
          <w:lang w:val="en-US"/>
        </w:rPr>
      </w:pPr>
      <w:r>
        <w:rPr>
          <w:lang w:val="en-US"/>
        </w:rPr>
        <w:t>D</w:t>
      </w:r>
      <w:r w:rsidRPr="00373A5A">
        <w:rPr>
          <w:lang w:val="en-US"/>
        </w:rPr>
        <w:t xml:space="preserve">epending on the technology </w:t>
      </w:r>
      <w:r>
        <w:rPr>
          <w:lang w:val="en-US"/>
        </w:rPr>
        <w:t>adopted</w:t>
      </w:r>
      <w:r w:rsidRPr="00373A5A">
        <w:rPr>
          <w:lang w:val="en-US"/>
        </w:rPr>
        <w:t xml:space="preserve">, the energy stored </w:t>
      </w:r>
      <w:r>
        <w:rPr>
          <w:lang w:val="en-US"/>
        </w:rPr>
        <w:t>by</w:t>
      </w:r>
      <w:r w:rsidRPr="00373A5A">
        <w:rPr>
          <w:lang w:val="en-US"/>
        </w:rPr>
        <w:t xml:space="preserve"> </w:t>
      </w:r>
      <w:r>
        <w:rPr>
          <w:lang w:val="en-US"/>
        </w:rPr>
        <w:t xml:space="preserve">the </w:t>
      </w:r>
      <w:r w:rsidRPr="00373A5A">
        <w:rPr>
          <w:lang w:val="en-US"/>
        </w:rPr>
        <w:t>batter</w:t>
      </w:r>
      <w:r>
        <w:rPr>
          <w:lang w:val="en-US"/>
        </w:rPr>
        <w:t>y</w:t>
      </w:r>
      <w:r w:rsidRPr="00373A5A">
        <w:rPr>
          <w:lang w:val="en-US"/>
        </w:rPr>
        <w:t xml:space="preserve"> can be </w:t>
      </w:r>
      <w:r>
        <w:rPr>
          <w:lang w:val="en-US"/>
        </w:rPr>
        <w:t>discharged</w:t>
      </w:r>
      <w:r w:rsidRPr="00373A5A">
        <w:rPr>
          <w:lang w:val="en-US"/>
        </w:rPr>
        <w:t xml:space="preserve"> </w:t>
      </w:r>
      <w:r>
        <w:rPr>
          <w:lang w:val="en-US"/>
        </w:rPr>
        <w:t xml:space="preserve">over time periods ranging from seconds to </w:t>
      </w:r>
      <w:r w:rsidRPr="00373A5A">
        <w:rPr>
          <w:lang w:val="en-US"/>
        </w:rPr>
        <w:t>months.</w:t>
      </w:r>
      <w:r>
        <w:rPr>
          <w:lang w:val="en-US"/>
        </w:rPr>
        <w:t xml:space="preserve"> In the case of the AB-FB</w:t>
      </w:r>
      <w:r w:rsidR="0069329D">
        <w:rPr>
          <w:lang w:val="en-US"/>
        </w:rPr>
        <w:t>,</w:t>
      </w:r>
      <w:r w:rsidR="002327C2" w:rsidRPr="00373A5A">
        <w:rPr>
          <w:lang w:val="en-US"/>
        </w:rPr>
        <w:t xml:space="preserve"> the </w:t>
      </w:r>
      <w:r w:rsidR="002327C2">
        <w:rPr>
          <w:lang w:val="en-US"/>
        </w:rPr>
        <w:t>time period of discharge is</w:t>
      </w:r>
      <w:r w:rsidR="002327C2" w:rsidRPr="00373A5A">
        <w:rPr>
          <w:lang w:val="en-US"/>
        </w:rPr>
        <w:t xml:space="preserve"> in the order of hours, making </w:t>
      </w:r>
      <w:r w:rsidR="002327C2">
        <w:rPr>
          <w:lang w:val="en-US"/>
        </w:rPr>
        <w:t>th</w:t>
      </w:r>
      <w:r>
        <w:rPr>
          <w:lang w:val="en-US"/>
        </w:rPr>
        <w:t>is</w:t>
      </w:r>
      <w:r w:rsidR="002327C2">
        <w:rPr>
          <w:lang w:val="en-US"/>
        </w:rPr>
        <w:t xml:space="preserve"> </w:t>
      </w:r>
      <w:r>
        <w:rPr>
          <w:lang w:val="en-US"/>
        </w:rPr>
        <w:t>technology</w:t>
      </w:r>
      <w:r w:rsidR="002327C2" w:rsidRPr="00373A5A">
        <w:rPr>
          <w:lang w:val="en-US"/>
        </w:rPr>
        <w:t xml:space="preserve"> ideally suited for stationary energy storage applications</w:t>
      </w:r>
      <w:r w:rsidR="002327C2">
        <w:rPr>
          <w:lang w:val="en-US"/>
        </w:rPr>
        <w:t>,</w:t>
      </w:r>
      <w:r w:rsidR="002327C2" w:rsidRPr="00373A5A">
        <w:rPr>
          <w:lang w:val="en-US"/>
        </w:rPr>
        <w:t xml:space="preserve"> </w:t>
      </w:r>
      <w:r w:rsidR="002327C2">
        <w:rPr>
          <w:lang w:val="en-US"/>
        </w:rPr>
        <w:t xml:space="preserve">such as </w:t>
      </w:r>
      <w:r w:rsidR="002327C2" w:rsidRPr="00373A5A">
        <w:rPr>
          <w:lang w:val="en-US"/>
        </w:rPr>
        <w:t>for residential power demand or apartment complexes, but also for peak</w:t>
      </w:r>
      <w:r w:rsidR="002327C2">
        <w:rPr>
          <w:lang w:val="en-US"/>
        </w:rPr>
        <w:t>-</w:t>
      </w:r>
      <w:r w:rsidR="002327C2" w:rsidRPr="00373A5A">
        <w:rPr>
          <w:lang w:val="en-US"/>
        </w:rPr>
        <w:t>shaving applications</w:t>
      </w:r>
      <w:r w:rsidR="002327C2">
        <w:rPr>
          <w:lang w:val="en-US"/>
        </w:rPr>
        <w:t xml:space="preserve">, thus enabling grid </w:t>
      </w:r>
      <w:proofErr w:type="spellStart"/>
      <w:r w:rsidR="002327C2" w:rsidRPr="00373A5A">
        <w:rPr>
          <w:lang w:val="en-US"/>
        </w:rPr>
        <w:t>stabilisation</w:t>
      </w:r>
      <w:proofErr w:type="spellEnd"/>
      <w:r w:rsidR="002327C2" w:rsidRPr="00373A5A">
        <w:rPr>
          <w:lang w:val="en-US"/>
        </w:rPr>
        <w:t>.</w:t>
      </w:r>
    </w:p>
    <w:p w14:paraId="522E77E0" w14:textId="05F52684" w:rsidR="004D32FB" w:rsidRDefault="0069329D" w:rsidP="002327C2">
      <w:pPr>
        <w:rPr>
          <w:lang w:val="en-US"/>
        </w:rPr>
      </w:pPr>
      <w:r>
        <w:rPr>
          <w:lang w:val="en-US"/>
        </w:rPr>
        <w:t>Beyond</w:t>
      </w:r>
      <w:r w:rsidRPr="00373A5A">
        <w:rPr>
          <w:lang w:val="en-US"/>
        </w:rPr>
        <w:t xml:space="preserve"> purely technical features (e.g., RTE or </w:t>
      </w:r>
      <w:r>
        <w:rPr>
          <w:lang w:val="en-US"/>
        </w:rPr>
        <w:t>PDUV</w:t>
      </w:r>
      <w:r w:rsidRPr="00373A5A">
        <w:rPr>
          <w:lang w:val="en-US"/>
        </w:rPr>
        <w:t>)</w:t>
      </w:r>
      <w:r>
        <w:rPr>
          <w:lang w:val="en-US"/>
        </w:rPr>
        <w:t xml:space="preserve">, other criteria should be considered for </w:t>
      </w:r>
      <w:r w:rsidR="002327C2">
        <w:rPr>
          <w:lang w:val="en-US"/>
        </w:rPr>
        <w:t xml:space="preserve">the evaluation of </w:t>
      </w:r>
      <w:r>
        <w:rPr>
          <w:lang w:val="en-US"/>
        </w:rPr>
        <w:t xml:space="preserve">battery </w:t>
      </w:r>
      <w:r w:rsidR="002327C2">
        <w:rPr>
          <w:lang w:val="en-US"/>
        </w:rPr>
        <w:t xml:space="preserve">technologies </w:t>
      </w:r>
      <w:r w:rsidR="00E43FDB">
        <w:rPr>
          <w:lang w:val="en-US"/>
        </w:rPr>
        <w:t>for</w:t>
      </w:r>
      <w:r>
        <w:rPr>
          <w:lang w:val="en-US"/>
        </w:rPr>
        <w:t xml:space="preserve"> </w:t>
      </w:r>
      <w:r w:rsidR="00152561">
        <w:rPr>
          <w:lang w:val="en-US"/>
        </w:rPr>
        <w:t>large-scale</w:t>
      </w:r>
      <w:r>
        <w:rPr>
          <w:lang w:val="en-US"/>
        </w:rPr>
        <w:t xml:space="preserve"> </w:t>
      </w:r>
      <w:proofErr w:type="spellStart"/>
      <w:r>
        <w:rPr>
          <w:lang w:val="en-US"/>
        </w:rPr>
        <w:t>commerciali</w:t>
      </w:r>
      <w:r w:rsidR="008A0EAC">
        <w:rPr>
          <w:lang w:val="en-US"/>
        </w:rPr>
        <w:t>s</w:t>
      </w:r>
      <w:r>
        <w:rPr>
          <w:lang w:val="en-US"/>
        </w:rPr>
        <w:t>ation</w:t>
      </w:r>
      <w:proofErr w:type="spellEnd"/>
      <w:r>
        <w:rPr>
          <w:lang w:val="en-US"/>
        </w:rPr>
        <w:t xml:space="preserve">. In the perspective of sustainability (economic, environmental, social and </w:t>
      </w:r>
      <w:r w:rsidR="00C42F93">
        <w:rPr>
          <w:lang w:val="en-US"/>
        </w:rPr>
        <w:t xml:space="preserve">political) one crucial aspect is the “material criticality”, </w:t>
      </w:r>
      <w:r w:rsidR="002E1C9B" w:rsidRPr="002E1C9B">
        <w:rPr>
          <w:lang w:val="en-US"/>
        </w:rPr>
        <w:t xml:space="preserve">which is a measure of access to a specific raw material and </w:t>
      </w:r>
      <w:r w:rsidR="00F616E6">
        <w:rPr>
          <w:lang w:val="en-US"/>
        </w:rPr>
        <w:t xml:space="preserve">of </w:t>
      </w:r>
      <w:r w:rsidR="002E1C9B" w:rsidRPr="002E1C9B">
        <w:rPr>
          <w:lang w:val="en-US"/>
        </w:rPr>
        <w:t>the potential impact of a hypothetical shortage</w:t>
      </w:r>
      <w:r w:rsidR="002327C2" w:rsidRPr="00373A5A">
        <w:rPr>
          <w:lang w:val="en-US"/>
        </w:rPr>
        <w:t xml:space="preserve">. </w:t>
      </w:r>
      <w:r w:rsidR="00B520B6" w:rsidRPr="00B520B6">
        <w:rPr>
          <w:lang w:val="en-US"/>
        </w:rPr>
        <w:t xml:space="preserve">The EU Commission has developed a method for determining material criticality based on evaluating two indices: Supply Risk (SR) and Economic Importance (EI). These two indices are evaluated using several factors. Specifically, the factors that determine the Supply Risk index are: </w:t>
      </w:r>
      <w:proofErr w:type="spellStart"/>
      <w:r w:rsidR="00B520B6" w:rsidRPr="00B520B6">
        <w:rPr>
          <w:lang w:val="en-US"/>
        </w:rPr>
        <w:t>i</w:t>
      </w:r>
      <w:proofErr w:type="spellEnd"/>
      <w:r w:rsidR="00B520B6" w:rsidRPr="00B520B6">
        <w:rPr>
          <w:lang w:val="en-US"/>
        </w:rPr>
        <w:t xml:space="preserve">) substitutability (i.e., a measure of the difficulty </w:t>
      </w:r>
      <w:r w:rsidR="00E43FDB">
        <w:rPr>
          <w:lang w:val="en-US"/>
        </w:rPr>
        <w:t>of</w:t>
      </w:r>
      <w:r w:rsidR="00B520B6" w:rsidRPr="00B520B6">
        <w:rPr>
          <w:lang w:val="en-US"/>
        </w:rPr>
        <w:t xml:space="preserve"> substitut</w:t>
      </w:r>
      <w:r w:rsidR="00E43FDB">
        <w:rPr>
          <w:lang w:val="en-US"/>
        </w:rPr>
        <w:t>ing</w:t>
      </w:r>
      <w:r w:rsidR="00B520B6" w:rsidRPr="00B520B6">
        <w:rPr>
          <w:lang w:val="en-US"/>
        </w:rPr>
        <w:t xml:space="preserve"> the material, scored and weighted across all applications); ii) end-of-life recycling rates (i.e., a measure of the produced metal products from End-of-Life); iii) country concentration of the material; and iv) governance-related factors. The Economic Importance index is calculated by determining the proportion of each material end-use associated with mega-industrial sectors at the EU level. These proportions are then combined with the</w:t>
      </w:r>
      <w:r w:rsidR="00B520B6">
        <w:rPr>
          <w:lang w:val="en-US"/>
        </w:rPr>
        <w:t xml:space="preserve"> Gross Value Added (GVA)</w:t>
      </w:r>
      <w:r w:rsidR="00B520B6" w:rsidRPr="00B520B6">
        <w:rPr>
          <w:lang w:val="en-US"/>
        </w:rPr>
        <w:t xml:space="preserve"> of the mega industries and the</w:t>
      </w:r>
      <w:r w:rsidR="00B520B6">
        <w:rPr>
          <w:lang w:val="en-US"/>
        </w:rPr>
        <w:t xml:space="preserve"> Gross Domestic</w:t>
      </w:r>
      <w:r w:rsidR="00B520B6" w:rsidRPr="00B520B6">
        <w:rPr>
          <w:lang w:val="en-US"/>
        </w:rPr>
        <w:t xml:space="preserve"> </w:t>
      </w:r>
      <w:r w:rsidR="00B520B6">
        <w:rPr>
          <w:lang w:val="en-US"/>
        </w:rPr>
        <w:t>Product (</w:t>
      </w:r>
      <w:r w:rsidR="00B520B6" w:rsidRPr="00B520B6">
        <w:rPr>
          <w:lang w:val="en-US"/>
        </w:rPr>
        <w:t>GDP</w:t>
      </w:r>
      <w:r w:rsidR="00B520B6">
        <w:rPr>
          <w:lang w:val="en-US"/>
        </w:rPr>
        <w:t>)</w:t>
      </w:r>
      <w:r w:rsidR="00B520B6" w:rsidRPr="00B520B6">
        <w:rPr>
          <w:lang w:val="en-US"/>
        </w:rPr>
        <w:t xml:space="preserve"> of the EU, </w:t>
      </w:r>
      <w:r w:rsidR="00B520B6">
        <w:rPr>
          <w:lang w:val="en-US"/>
        </w:rPr>
        <w:t xml:space="preserve">ultimately </w:t>
      </w:r>
      <w:r w:rsidR="00B520B6" w:rsidRPr="00B520B6">
        <w:rPr>
          <w:lang w:val="en-US"/>
        </w:rPr>
        <w:t xml:space="preserve">defining a material's overall economic importance. The European </w:t>
      </w:r>
      <w:r w:rsidR="00B520B6" w:rsidRPr="00B520B6">
        <w:rPr>
          <w:lang w:val="en-US"/>
        </w:rPr>
        <w:lastRenderedPageBreak/>
        <w:t>Commission recently designated materials with a SR index &gt; 1 and an E</w:t>
      </w:r>
      <w:r w:rsidR="00DB076C">
        <w:rPr>
          <w:lang w:val="en-US"/>
        </w:rPr>
        <w:t xml:space="preserve">I </w:t>
      </w:r>
      <w:r w:rsidR="00B520B6" w:rsidRPr="00B520B6">
        <w:rPr>
          <w:lang w:val="en-US"/>
        </w:rPr>
        <w:t>index &gt;</w:t>
      </w:r>
      <w:r w:rsidR="00B520B6">
        <w:rPr>
          <w:lang w:val="en-US"/>
        </w:rPr>
        <w:t xml:space="preserve"> </w:t>
      </w:r>
      <w:r w:rsidR="00B520B6" w:rsidRPr="00B520B6">
        <w:rPr>
          <w:lang w:val="en-US"/>
        </w:rPr>
        <w:t>2.8 as critical</w:t>
      </w:r>
      <w:r w:rsidR="00B520B6">
        <w:rPr>
          <w:lang w:val="en-US"/>
        </w:rPr>
        <w:t xml:space="preserve"> </w:t>
      </w:r>
      <w:r w:rsidR="004D32FB">
        <w:rPr>
          <w:lang w:val="en-US"/>
        </w:rPr>
        <w:fldChar w:fldCharType="begin" w:fldLock="1"/>
      </w:r>
      <w:r w:rsidR="00E77EC7">
        <w:rPr>
          <w:lang w:val="en-US"/>
        </w:rPr>
        <w:instrText>ADDIN CSL_CITATION {"citationItems":[{"id":"ITEM-1","itemData":{"DOI":"10.2873/904613","ISBN":"978-92-76-21050-4","abstract":"Criticality Assessments","author":[{"dropping-particle":"","family":"Blengini","given":"Gian Andrea","non-dropping-particle":"","parse-names":false,"suffix":""},{"dropping-particle":"","family":"Latunussa","given":"Cynthia E.L.","non-dropping-particle":"","parse-names":false,"suffix":""},{"dropping-particle":"","family":"Eynard","given":"Umberto","non-dropping-particle":"","parse-names":false,"suffix":""},{"dropping-particle":"","family":"Torres de Matos","given":"Cristina","non-dropping-particle":"","parse-names":false,"suffix":""},{"dropping-particle":"","family":"Wittmer","given":"Dominic","non-dropping-particle":"","parse-names":false,"suffix":""},{"dropping-particle":"","family":"Georgitzikis","given":"Konstantinos","non-dropping-particle":"","parse-names":false,"suffix":""},{"dropping-particle":"","family":"Pavel","given":"Claudiu","non-dropping-particle":"","parse-names":false,"suffix":""},{"dropping-particle":"","family":"Carrara","given":"Samuel","non-dropping-particle":"","parse-names":false,"suffix":""},{"dropping-particle":"","family":"Mancini","given":"Lucia","non-dropping-particle":"","parse-names":false,"suffix":""},{"dropping-particle":"","family":"Unguru","given":"Manuela","non-dropping-particle":"","parse-names":false,"suffix":""},{"dropping-particle":"","family":"Blagoeva","given":"Darina","non-dropping-particle":"","parse-names":false,"suffix":""},{"dropping-particle":"","family":"Mathieux","given":"Fabrice","non-dropping-particle":"","parse-names":false,"suffix":""},{"dropping-particle":"","family":"Pennington","given":"David","non-dropping-particle":"","parse-names":false,"suffix":""}],"id":"ITEM-1","issued":{"date-parts":[["2020"]]},"title":"Study on the EU's list of Critical Raw Materials (2020) Final Report","type":"book"},"uris":["http://www.mendeley.com/documents/?uuid=f39c91f9-88ed-467d-8fc6-adbb1a3e36a1","http://www.mendeley.com/documents/?uuid=b23093a1-0a6f-4054-970f-07da7ab90924"]}],"mendeley":{"formattedCitation":"[43]","plainTextFormattedCitation":"[43]","previouslyFormattedCitation":"[43]"},"properties":{"noteIndex":0},"schema":"https://github.com/citation-style-language/schema/raw/master/csl-citation.json"}</w:instrText>
      </w:r>
      <w:r w:rsidR="004D32FB">
        <w:rPr>
          <w:lang w:val="en-US"/>
        </w:rPr>
        <w:fldChar w:fldCharType="separate"/>
      </w:r>
      <w:r w:rsidR="004319C3" w:rsidRPr="004319C3">
        <w:rPr>
          <w:noProof/>
          <w:lang w:val="en-US"/>
        </w:rPr>
        <w:t>[43]</w:t>
      </w:r>
      <w:r w:rsidR="004D32FB">
        <w:rPr>
          <w:lang w:val="en-US"/>
        </w:rPr>
        <w:fldChar w:fldCharType="end"/>
      </w:r>
      <w:r w:rsidR="002327C2" w:rsidRPr="00373A5A">
        <w:rPr>
          <w:lang w:val="en-US"/>
        </w:rPr>
        <w:t xml:space="preserve">. </w:t>
      </w:r>
      <w:r w:rsidR="00810CF6">
        <w:rPr>
          <w:lang w:val="en-US"/>
        </w:rPr>
        <w:fldChar w:fldCharType="begin"/>
      </w:r>
      <w:r w:rsidR="00810CF6">
        <w:rPr>
          <w:lang w:val="en-US"/>
        </w:rPr>
        <w:instrText xml:space="preserve"> REF _Ref119153403 \h </w:instrText>
      </w:r>
      <w:r w:rsidR="00810CF6">
        <w:rPr>
          <w:lang w:val="en-US"/>
        </w:rPr>
      </w:r>
      <w:r w:rsidR="00810CF6">
        <w:rPr>
          <w:lang w:val="en-US"/>
        </w:rPr>
        <w:fldChar w:fldCharType="separate"/>
      </w:r>
      <w:r w:rsidR="00810CF6" w:rsidRPr="00810CF6">
        <w:rPr>
          <w:lang w:val="en-US"/>
        </w:rPr>
        <w:t xml:space="preserve">Figure </w:t>
      </w:r>
      <w:r w:rsidR="00810CF6" w:rsidRPr="00810CF6">
        <w:rPr>
          <w:noProof/>
          <w:lang w:val="en-US"/>
        </w:rPr>
        <w:t>7</w:t>
      </w:r>
      <w:r w:rsidR="00810CF6">
        <w:rPr>
          <w:lang w:val="en-US"/>
        </w:rPr>
        <w:fldChar w:fldCharType="end"/>
      </w:r>
      <w:r w:rsidR="00810CF6">
        <w:rPr>
          <w:lang w:val="en-US"/>
        </w:rPr>
        <w:t xml:space="preserve"> </w:t>
      </w:r>
      <w:r w:rsidR="002327C2">
        <w:rPr>
          <w:lang w:val="en-US"/>
        </w:rPr>
        <w:t>reports</w:t>
      </w:r>
      <w:r w:rsidR="002327C2" w:rsidRPr="00373A5A">
        <w:rPr>
          <w:lang w:val="en-US"/>
        </w:rPr>
        <w:t xml:space="preserve"> the SR and EI indi</w:t>
      </w:r>
      <w:r w:rsidR="002327C2">
        <w:rPr>
          <w:lang w:val="en-US"/>
        </w:rPr>
        <w:t>ces</w:t>
      </w:r>
      <w:r w:rsidR="002327C2" w:rsidRPr="00373A5A">
        <w:rPr>
          <w:lang w:val="en-US"/>
        </w:rPr>
        <w:t xml:space="preserve"> for the </w:t>
      </w:r>
      <w:r w:rsidR="002327C2">
        <w:rPr>
          <w:lang w:val="en-US"/>
        </w:rPr>
        <w:t xml:space="preserve">main materials used in </w:t>
      </w:r>
      <w:r w:rsidR="002327C2" w:rsidRPr="00373A5A">
        <w:rPr>
          <w:lang w:val="en-US"/>
        </w:rPr>
        <w:t xml:space="preserve">the </w:t>
      </w:r>
      <w:r w:rsidR="00C42F93">
        <w:rPr>
          <w:lang w:val="en-US"/>
        </w:rPr>
        <w:t xml:space="preserve">battery </w:t>
      </w:r>
      <w:r w:rsidR="002327C2" w:rsidRPr="00373A5A">
        <w:rPr>
          <w:lang w:val="en-US"/>
        </w:rPr>
        <w:t>technologies depicted in</w:t>
      </w:r>
      <w:r w:rsidR="004D32FB">
        <w:rPr>
          <w:lang w:val="en-US"/>
        </w:rPr>
        <w:t xml:space="preserve"> </w:t>
      </w:r>
      <w:r w:rsidR="004D32FB">
        <w:rPr>
          <w:lang w:val="en-US"/>
        </w:rPr>
        <w:fldChar w:fldCharType="begin"/>
      </w:r>
      <w:r w:rsidR="004D32FB">
        <w:rPr>
          <w:lang w:val="en-US"/>
        </w:rPr>
        <w:instrText xml:space="preserve"> REF _Ref117951546 \h </w:instrText>
      </w:r>
      <w:r w:rsidR="004D32FB">
        <w:rPr>
          <w:lang w:val="en-US"/>
        </w:rPr>
      </w:r>
      <w:r w:rsidR="004D32FB">
        <w:rPr>
          <w:lang w:val="en-US"/>
        </w:rPr>
        <w:fldChar w:fldCharType="separate"/>
      </w:r>
      <w:r w:rsidR="004D32FB" w:rsidRPr="004D32FB">
        <w:rPr>
          <w:lang w:val="en-US"/>
        </w:rPr>
        <w:t xml:space="preserve">Figure </w:t>
      </w:r>
      <w:r w:rsidR="004D32FB" w:rsidRPr="004D32FB">
        <w:rPr>
          <w:noProof/>
          <w:lang w:val="en-US"/>
        </w:rPr>
        <w:t>6</w:t>
      </w:r>
      <w:r w:rsidR="004D32FB">
        <w:rPr>
          <w:lang w:val="en-US"/>
        </w:rPr>
        <w:fldChar w:fldCharType="end"/>
      </w:r>
      <w:r w:rsidR="003B6CBC">
        <w:rPr>
          <w:lang w:val="en-US"/>
        </w:rPr>
        <w:t xml:space="preserve"> </w:t>
      </w:r>
      <w:r w:rsidR="00DE3837">
        <w:rPr>
          <w:lang w:val="en-US"/>
        </w:rPr>
        <w:fldChar w:fldCharType="begin" w:fldLock="1"/>
      </w:r>
      <w:r w:rsidR="00FB5EC2">
        <w:rPr>
          <w:lang w:val="en-US"/>
        </w:rPr>
        <w:instrText>ADDIN CSL_CITATION {"citationItems":[{"id":"ITEM-1","itemData":{"DOI":"10.2873/11619","ISBN":"978-92-79-72119-9","abstract":"Criticality Assessments","author":[{"dropping-particle":"","family":"Blengini","given":"Gian Andrea","non-dropping-particle":"","parse-names":false,"suffix":""},{"dropping-particle":"EL","family":"Latunussa","given":"Cynthia","non-dropping-particle":"","parse-names":false,"suffix":""},{"dropping-particle":"","family":"Eynard","given":"Umberto","non-dropping-particle":"","parse-names":false,"suffix":""}],"container-title":"European Commission","id":"ITEM-1","issue":"September","issued":{"date-parts":[["2020"]]},"number-of-pages":"4-23","title":"Study on the Eu's list of critical raw materials - Critical raw materials factsheets","type":"book"},"uris":["http://www.mendeley.com/documents/?uuid=711c2a22-46fd-4b9f-8562-b6c77cba1e51","http://www.mendeley.com/documents/?uuid=b4a4a51b-7fdc-4cbe-9d23-3771b4028973"]},{"id":"ITEM-2","itemData":{"DOI":"10.3390/resources10050050","ISSN":"2079-9276","abstract":"Sufficient supplies of critical raw materials (CRMs) for rapidly developing technologies, e.g., Li-ion batteries, wind turbines, photovoltaics, digitization, etc., have become one of the main economic challenges for the EU. Due to growing import dependency and associated risk of supply disruptions of these raw materials from third countries, there is a need to encourage their domestic production. This is an important starting point for EU value chains crucial for the sustainable economic growth of the whole Union. This contribution has evaluated the possibilities of CRMs supply from the EU’s primary sources. A three-step approach, including an assessment of CRMs’ importance for the EU’s economic growth, their significance in at least two of the three strategic industrial sectors (i.e., renewable energy, e-mobility, defense and aerospace), and their potential availability from EU mineral deposits, has been applied. Results of the analysis have shown that, of 29 critical mineral raw materials (according to the 2020 EC list), the potential to develop manufacturing from the Union mineral deposits exists for 11 CRMs, i.e., cobalt, graphite (natural), HREE, LREE, lithium, magnesium, niobium, PGMs, silicon metal, titanium, and tungsten, while some other CRMs, namely gallium, germanium, indium, and vanadium can be recovered as by-products. Measures to mitigate EU import dependency have been also proposed.","author":[{"dropping-particle":"","family":"Lewicka","given":"Ewa","non-dropping-particle":"","parse-names":false,"suffix":""},{"dropping-particle":"","family":"Guzik","given":"Katarzyna","non-dropping-particle":"","parse-names":false,"suffix":""},{"dropping-particle":"","family":"Galos","given":"Krzysztof","non-dropping-particle":"","parse-names":false,"suffix":""}],"container-title":"Resources","id":"ITEM-2","issue":"5","issued":{"date-parts":[["2021","5","17"]]},"page":"50","title":"On the Possibilities of Critical Raw Materials Production from the EU’s Primary Sources","type":"article-journal","volume":"10"},"uris":["http://www.mendeley.com/documents/?uuid=2500110c-106b-42e7-b6c0-7a014bdb9560","http://www.mendeley.com/documents/?uuid=ab44371a-4d2d-428f-93e7-183caa244d53"]},{"id":"ITEM-3","itemData":{"DOI":"10.1016/j.rser.2015.04.070","ISSN":"18790690","abstract":"The German government has set itself the target of reducing the country's GHG emissions by between 80 and 95% by 2050 compared to 1990 levels. Alongside energy efficiency, renewable energy sources are set to play the main role in this transition. However, the large-scale deployment of renewable energies is expected to cause increased demand for critical mineral resources. The aim of this article is therefore to determine whether the transformation of the German energy system by 2050 (\"Energiewende\") may possibly be restricted by a lack of critical minerals, focusing primarily on the power sector (generating, transporting and storing electricity from renewable sources). For the relevant technologies, we create roadmaps describing a number of conceivable quantitative market developments in Germany. Estimating the current and future specific material demand of the options selected and projecting them along a range of long-term energy scenarios allows us to assess potential medium- or long-term mineral resource restrictions. The main conclusion we draw is that the shift towards an energy system based on renewable sources that is currently being pursued is principally compatible with the geological availability and supply of mineral resources. In fact, we identified certain sub-technologies as being critical with regard to potential supply risks, owing to dependencies on a small number of supplier countries and competing uses. These sub-technologies are certain wind power plants requiring neodymium and dysprosium, thin-film CIGS photovoltaic cells using indium and selenium, and large-scale redox flow batteries using vanadium. However, non-critical alternatives to these technologies do indeed exist. The likelihood of supplies being restricted can be decreased further by cooperating even more closely with companies in the supplier countries and their governments, and by establishing greater resource efficiency and recyclability as key elements of technology development.","author":[{"dropping-particle":"","family":"Viebahn","given":"Peter","non-dropping-particle":"","parse-names":false,"suffix":""},{"dropping-particle":"","family":"Soukup","given":"Ole","non-dropping-particle":"","parse-names":false,"suffix":""},{"dropping-particle":"","family":"Samadi","given":"Sascha","non-dropping-particle":"","parse-names":false,"suffix":""},{"dropping-particle":"","family":"Teubler","given":"Jens","non-dropping-particle":"","parse-names":false,"suffix":""},{"dropping-particle":"","family":"Wiesen","given":"Klaus","non-dropping-particle":"","parse-names":false,"suffix":""},{"dropping-particle":"","family":"Ritthoff","given":"Michael","non-dropping-particle":"","parse-names":false,"suffix":""}],"container-title":"Renewable and Sustainable Energy Reviews","id":"ITEM-3","issued":{"date-parts":[["2015"]]},"page":"655-671","publisher":"Elsevier","title":"Assessing the need for critical minerals to shift the German energy system towards a high proportion of renewables","type":"article-journal","volume":"49"},"uris":["http://www.mendeley.com/documents/?uuid=f78dbe3b-8efb-495c-a534-9d74ccebe8bb","http://www.mendeley.com/documents/?uuid=9f061d7a-756a-4f87-a6e5-0cef8032c153"]},{"id":"ITEM-4","itemData":{"DOI":"10.3390/met11111714","ISSN":"20754701","abstract":"The significant increase in the demand for efficient electric energy storage during the past decade has promoted an increase in the production and use of Cd-containing batteries. On the one hand, the amount of toxic Cd-containing used batteries is growing, while on the other hand, Cd is on a list of critical raw materials (for Europe). Both of these factors call for the development of effective technology for Cd recovery from spent batteries. The present paper is aimed at providing a short review of the recent progress in Cd recovery from spent batteries. Statistical data from the past decade on the source of Cd, its global production, and Ni-Cd battery recycling are given in the introduction. A short overview of the pyro-and hydro-metallurgical methods of metal production is provided. Recent progress in Cd recovery by commercial methods during the past decade is reviewed.","author":[{"dropping-particle":"","family":"Blumbergs","given":"Ervins","non-dropping-particle":"","parse-names":false,"suffix":""},{"dropping-particle":"","family":"Serga","given":"Vera","non-dropping-particle":"","parse-names":false,"suffix":""},{"dropping-particle":"","family":"Platacis","given":"Ernests","non-dropping-particle":"","parse-names":false,"suffix":""},{"dropping-particle":"","family":"Maiorov","given":"Michail","non-dropping-particle":"","parse-names":false,"suffix":""},{"dropping-particle":"","family":"Shishkin","given":"Andrei","non-dropping-particle":"","parse-names":false,"suffix":""}],"container-title":"Metals","id":"ITEM-4","issue":"11","issued":{"date-parts":[["2021"]]},"page":"1-14","title":"Cadmium recovery from spent ni-cd batteries: A brief review","type":"article-journal","volume":"11"},"uris":["http://www.mendeley.com/documents/?uuid=81417888-9aa2-4eba-a096-f17c0f9e41cc","http://www.mendeley.com/documents/?uuid=b13c24fb-5385-41b0-80bf-07e89169eb04"]},{"id":"ITEM-5","itemData":{"DOI":"10.3390/electronics8101201","ISSN":"2079-9292","abstract":"Lithium-ion batteries are currently used for various applications since they are lightweight, stable, and flexible. With the increased demand for portable electronics and electric vehicles, it has become necessary to develop newer, smaller, and lighter batteries with increased cycle life, high energy density, and overall better battery performance. Since the sources of lithium are limited and also because of the high cost of the metal, it is necessary to find alternatives. Sodium batteries have shown great potential, and hence several researchers are working on improving the battery performance of the various sodium batteries. This paper is a brief review of the current research in sodium-sulfur and sodium-air batteries.","author":[{"dropping-particle":"","family":"Chawla","given":"Neha","non-dropping-particle":"","parse-names":false,"suffix":""},{"dropping-particle":"","family":"Safa","given":"Meer","non-dropping-particle":"","parse-names":false,"suffix":""}],"container-title":"Electronics","id":"ITEM-5","issue":"10","issued":{"date-parts":[["2019","10","22"]]},"page":"1201","title":"Sodium Batteries: A Review on Sodium-Sulfur and Sodium-Air Batteries","type":"article-journal","volume":"8"},"uris":["http://www.mendeley.com/documents/?uuid=8e0e673c-a2ca-4907-b9a8-d0169e6ebb8b","http://www.mendeley.com/documents/?uuid=e1cac603-85d9-4e79-b47c-5c13935b06a7"]},{"id":"ITEM-6","itemData":{"DOI":"10.1016/0167-2738(96)00200-7","ISSN":"01672738","abstract":"The Zebra battery system for electric vehicle applications has been under development for more than ten years. This paper will review the status of the system development and will focus on the following aspects: A review of the basic electrochemistry of the sodium-nickel chloride electrochemical cell will be presented. In particular, the research and development work on the synthesis and manufacture of pure phase β″-alumina materials will be discussed. In conclusion, the integration of the electrochemical cells into a traction battery for electric vehicle applications will be described.","author":[{"dropping-particle":"","family":"Zyl","given":"Arnold","non-dropping-particle":"Van","parse-names":false,"suffix":""}],"container-title":"Solid State Ionics","id":"ITEM-6","issue":"PART 2","issued":{"date-parts":[["1996"]]},"page":"883-889","title":"Review of the zebra battery system development","type":"article-journal","volume":"86-88"},"uris":["http://www.mendeley.com/documents/?uuid=6b59a1ea-5d85-45e7-829d-cf9fb613ff0d","http://www.mendeley.com/documents/?uuid=e66c7bc5-701d-4605-8494-620bf21e1deb"]},{"id":"ITEM-7","itemData":{"DOI":"10.1016/j.isci.2020.101348","ISSN":"25890042","abstract":"The highly reversible zinc-bromine redox couple has been successfully applied in the zinc-bromine flow batteries; however, non-electroactive pump/pipe/reservoir parts and ion-selective membranes are essential to suppress the bromine diffusion. This work demonstrates a zinc-bromine static (non-flow) battery without these auxiliary parts and utilizing glass fiber separator, which overcomes the high self-discharge rate and low energy efficiency while the advantages of the zinc-bromine chemistry are well preserved. It is achieved by a multifunctional additive, tetrapropylammonium bromide (TPABr), which not only mitigates the bromine cross-diffusion by regulating the fluidic bromine to a condensed solid phase but also provides a favorable interface for zinc electrodeposition toward non-dendritic growth. The proposed zinc-bromine static battery demonstrates a high specific energy of 142 Wh kg−1 with a high energy efficiency up to 94%. By optimizing the porous electrode architecture, the battery shows an ultra-stable cycling life for over 11,000 cycles with controlled self-discharge rate.","author":[{"dropping-particle":"","family":"Gao","given":"Lujie","non-dropping-particle":"","parse-names":false,"suffix":""},{"dropping-particle":"","family":"Li","given":"Zhuxin","non-dropping-particle":"","parse-names":false,"suffix":""},{"dropping-particle":"","family":"Zou","given":"Yiping","non-dropping-particle":"","parse-names":false,"suffix":""},{"dropping-particle":"","family":"Yin","given":"Shuangfeng","non-dropping-particle":"","parse-names":false,"suffix":""},{"dropping-particle":"","family":"Peng","given":"Peng","non-dropping-particle":"","parse-names":false,"suffix":""},{"dropping-particle":"","family":"Shao","given":"Yuying","non-dropping-particle":"","parse-names":false,"suffix":""},{"dropping-particle":"","family":"Liang","given":"Xiao","non-dropping-particle":"","parse-names":false,"suffix":""}],"container-title":"iScience","id":"ITEM-7","issue":"8","issued":{"date-parts":[["2020"]]},"page":"101348","publisher":"Elsevier Inc.","title":"A High-Performance Aqueous Zinc-Bromine Static Battery","type":"article-journal","volume":"23"},"uris":["http://www.mendeley.com/documents/?uuid=18b031a8-24a2-464c-8282-37850ddd66de","http://www.mendeley.com/documents/?uuid=40a08d6b-da1b-447b-9e52-3b2732f9ece6"]},{"id":"ITEM-8","itemData":{"DOI":"10.1016/j.prime.2021.100020","ISSN":"27726711","abstract":"Flywheel energy storage systems are feasible for short-duration applications, which are crucial for the reliability of an electrical grid with large renewable energy penetration. Flywheel energy storage system use is increasing, which has encouraged research in design improvement, performance optimization, and cost analysis. However, the system's environmental impacts for utility applications have not been widely studied. Evaluating the life cycle environmental performance of a flywheel energy storage system helps to identify the hotspots to make informed decisions in improving its sustainability; to make reasonable comparisons with other energy storage technologies, such as pumped hydro, compressed air, electro-chemical batteries, and thermal; and to formulate environmental policy in the energy sector. In this study, an engineering principles-based model was developed to size the components and to determine the net energy ratio and life cycle greenhouse gas emissions of two configurations of flywheel energy storage: steel rotor flywheel and composite rotor flywheel. The net energy ratio is a ratio of total energy output to the total non-renewable energy input over the life cycle of a system. Steel rotor and composite rotor flywheel energy storage systems were assessed for a capacity of 20 MW for short-duration utility applications. A consistent system boundary was considered for both systems with the life cycle stages of material production, operation, transportation, and end-of-life. Electricity from solar and wind was considered separately in the operation phase. The net energy ratios of the steel rotor and composite rotor flywheel energy storage systems are 2.5–3.5 and 2.7–3.8, respectively. The corresponding life cycle greenhouse gas emissions are 75.2–121.4 kg-CO2eq/MWh and 48.9–95.0 kg-CO2eq/MWh, depending on the electricity source. The net energy ratio and greenhouse gas emissions are highly influenced by the operation phase, which includes charging and standby modes. Uncertainty analysis shows that the life cycle greenhouse gas emissions are most sensitive to the solar, wind, and grid electricity mix emission factors. The results of this study will help to understand the carbon footprints of the various utility-scale energy storage systems.","author":[{"dropping-particle":"","family":"Rahman","given":"Md Mustafizur","non-dropping-particle":"","parse-names":false,"suffix":""},{"dropping-particle":"","family":"Gemechu","given":"Eskinder","non-dropping-particle":"","parse-names":false,"suffix":""},{"dropping-particle":"","family":"Oni","given":"Abayomi Olufemi","non-dropping-particle":"","parse-names":false,"suffix":""},{"dropping-particle":"","family":"Kumar","given":"Amit","non-dropping-particle":"","parse-names":false,"suffix":""}],"container-title":"e-Prime","id":"ITEM-8","issue":"August","issued":{"date-parts":[["2021"]]},"page":"100020","publisher":"Elsevier Ltd","title":"Energy and environmental footprints of flywheels for utility-scale energy storage applications","type":"article-journal","volume":"1"},"uris":["http://www.mendeley.com/documents/?uuid=851c5f01-0b70-4788-802a-f0eed5b463d3","http://www.mendeley.com/documents/?uuid=bf556887-1d2c-4bbf-85ba-2ccc55c4f950"]},{"id":"ITEM-9","itemData":{"DOI":"10.1016/j.resconrec.2019.104617","ISSN":"18790658","abstract":"The assessment of the criticality of raw materials allows the identification of the likelihood of a supply disruption of a material and the vulnerability of a system (e.g. a national economy, technology, or company) to this disruption. Inconclusive outcomes of various studies suggest that criticality assessments would benefit from the identification of best practices. To prepare the field for such guidance, this paper aims to clarify the mechanisms that affect methodological choices which influence the results of a study. This is achieved via literature review and round table discussions among international experts. The paper demonstrates that criticality studies are divergent in the system under study, the anticipated risk, the purpose of the study, and material selection. These differences in goal and scope naturally result in different choices regarding indicator selection, the required level of aggregation as well as the subsequent choice of aggregation method, and the need for a threshold value. However, this link is often weak, which suggests a lack of understanding of cause-and-effect mechanisms of indicators and outcomes. Data availability is a key factor that limits the evaluation of criticality. Furthermore, data quality, including both data uncertainty and data representativeness, is rarely addressed in the interpretation and communication of results. Clear guidance in the formulation of goals and scopes of criticality studies, the selection of adequate indicators and aggregation methods, and the interpretation of the outcomes, are important initial steps in improving the quality of criticality assessments.","author":[{"dropping-particle":"","family":"Schrijvers","given":"Dieuwertje","non-dropping-particle":"","parse-names":false,"suffix":""},{"dropping-particle":"","family":"Hool","given":"Alessandra","non-dropping-particle":"","parse-names":false,"suffix":""},{"dropping-particle":"","family":"Blengini","given":"Gian Andrea","non-dropping-particle":"","parse-names":false,"suffix":""},{"dropping-particle":"","family":"Chen","given":"Wei Qiang","non-dropping-particle":"","parse-names":false,"suffix":""},{"dropping-particle":"","family":"Dewulf","given":"Jo","non-dropping-particle":"","parse-names":false,"suffix":""},{"dropping-particle":"","family":"Eggert","given":"Roderick","non-dropping-particle":"","parse-names":false,"suffix":""},{"dropping-particle":"","family":"Ellen","given":"Layla","non-dropping-particle":"van","parse-names":false,"suffix":""},{"dropping-particle":"","family":"Gauss","given":"Roland","non-dropping-particle":"","parse-names":false,"suffix":""},{"dropping-particle":"","family":"Goddin","given":"James","non-dropping-particle":"","parse-names":false,"suffix":""},{"dropping-particle":"","family":"Habib","given":"Komal","non-dropping-particle":"","parse-names":false,"suffix":""},{"dropping-particle":"","family":"Hagelüken","given":"Christian","non-dropping-particle":"","parse-names":false,"suffix":""},{"dropping-particle":"","family":"Hirohata","given":"Atsufumi","non-dropping-particle":"","parse-names":false,"suffix":""},{"dropping-particle":"","family":"Hofmann-Amtenbrink","given":"Margarethe","non-dropping-particle":"","parse-names":false,"suffix":""},{"dropping-particle":"","family":"Kosmol","given":"Jan","non-dropping-particle":"","parse-names":false,"suffix":""},{"dropping-particle":"","family":"Gleuher","given":"Maïté","non-dropping-particle":"Le","parse-names":false,"suffix":""},{"dropping-particle":"","family":"Grohol","given":"Milan","non-dropping-particle":"","parse-names":false,"suffix":""},{"dropping-particle":"","family":"Ku","given":"Anthony","non-dropping-particle":"","parse-names":false,"suffix":""},{"dropping-particle":"","family":"Lee","given":"Min Ha","non-dropping-particle":"","parse-names":false,"suffix":""},{"dropping-particle":"","family":"Liu","given":"Gang","non-dropping-particle":"","parse-names":false,"suffix":""},{"dropping-particle":"","family":"Nansai","given":"Keisuke","non-dropping-particle":"","parse-names":false,"suffix":""},{"dropping-particle":"","family":"Nuss","given":"Philip","non-dropping-particle":"","parse-names":false,"suffix":""},{"dropping-particle":"","family":"Peck","given":"David","non-dropping-particle":"","parse-names":false,"suffix":""},{"dropping-particle":"","family":"Reller","given":"Armin","non-dropping-particle":"","parse-names":false,"suffix":""},{"dropping-particle":"","family":"Sonnemann","given":"Guido","non-dropping-particle":"","parse-names":false,"suffix":""},{"dropping-particle":"","family":"Tercero","given":"Luis","non-dropping-particle":"","parse-names":false,"suffix":""},{"dropping-particle":"","family":"Thorenz","given":"Andrea","non-dropping-particle":"","parse-names":false,"suffix":""},{"dropping-particle":"","family":"Wäger","given":"Patrick A.","non-dropping-particle":"","parse-names":false,"suffix":""}],"container-title":"Resources, Conservation and Recycling","id":"ITEM-9","issue":"June 2019","issued":{"date-parts":[["2020"]]},"page":"104617","publisher":"Elsevier","title":"A review of methods and data to determine raw material criticality","type":"article-journal","volume":"155"},"uris":["http://www.mendeley.com/documents/?uuid=14e2cac6-4fcf-4543-8815-85d198a027b1","http://www.mendeley.com/documents/?uuid=982e84d5-e602-4200-ad8c-b6433059d2d8"]},{"id":"ITEM-10","itemData":{"DOI":"10.1016/B978-044452745-5.00401-9","ISBN":"9780444527455","author":[{"dropping-particle":"","family":"Scott","given":"K","non-dropping-particle":"","parse-names":false,"suffix":""}],"container-title":"Encyclopedia of Electrochemical Power Sources","id":"ITEM-10","issued":{"date-parts":[["2009"]]},"page":"199-208","publisher":"Elsevier B.V","title":"RECYCLING | Nickel–Metal Hydride Batteries","type":"chapter"},"uris":["http://www.mendeley.com/documents/?uuid=46b680a2-15ca-463d-ab71-2e02317dc7c3","http://www.mendeley.com/documents/?uuid=11a43b4c-4627-42ba-9c82-20e1be5020d4"]},{"id":"ITEM-11","itemData":{"DOI":"10.3389/fchem.2020.00372","ISSN":"22962646","abstract":"Zn–air battery is considered as one of the most promising candidates for next-generation batteries for energy storage due to safety, high energy density, and low cost. There are many challenges in electrolytes for developing high-performance rechargeable Zn–air cells as well as electrocatalysts. An electrolyte is the crucial part of the rechargeable Zn–air batteries that determine their capacity, cycling stability, and lifetime. This paper reviews the most recent progress in designing and fabricating electrolytes in aqueous and flexible Zn–air batteries. The discussion on the surface reaction relationships was covered between air–catalyst–electrolyte and electrolyte–zinc reaction mechanism. We highlight the recent developments of three different electrolytes in zinc–air battery: aqueous electrolyte, room temperature ionic liquid, and quasi-solid flexible electrolyte. Furthermore, the general perspective is proposed for designing and fabricating electrolytes to improve the performance and prolong the lifetime of Zn–air batteries.","author":[{"dropping-particle":"","family":"Chen","given":"Peng","non-dropping-particle":"","parse-names":false,"suffix":""},{"dropping-particle":"","family":"Zhang","given":"Keyi","non-dropping-particle":"","parse-names":false,"suffix":""},{"dropping-particle":"","family":"Tang","given":"Dejian","non-dropping-particle":"","parse-names":false,"suffix":""},{"dropping-particle":"","family":"Liu","given":"Weilin","non-dropping-particle":"","parse-names":false,"suffix":""},{"dropping-particle":"","family":"Meng","given":"Fancheng","non-dropping-particle":"","parse-names":false,"suffix":""},{"dropping-particle":"","family":"Huang","given":"Qiuwei","non-dropping-particle":"","parse-names":false,"suffix":""},{"dropping-particle":"","family":"Liu","given":"Jiehua","non-dropping-particle":"","parse-names":false,"suffix":""}],"container-title":"Frontiers in Chemistry","id":"ITEM-11","issue":"May","issued":{"date-parts":[["2020"]]},"page":"1-7","title":"Recent Progress in Electrolytes for Zn–Air Batteries","type":"article-journal","volume":"8"},"uris":["http://www.mendeley.com/documents/?uuid=045ff292-5b25-43b5-97e1-8464db9ab1a8","http://www.mendeley.com/documents/?uuid=dacf673a-68d3-447d-b2f5-4569e13fc1b4"]},{"id":"ITEM-12","itemData":{"DOI":"10.1016/B978-0-12-813975-2.00005-3","ISBN":"9780128139769","abstract":"Energy storage technologies can enable nuclear power plants to follow electricity demand throughout the day and minimize cycling costs. Several dynamic performance requirements and heuristics (such as cost and environmental impact) are presented in this chapter to compare energy storage technologies that could be integrated with nuclear power. These characteristics are compared to suggest potential energy storage integration options for Plant Vogtle units 3 and 4, two pressurized-water nuclear reactors being built in the United States. This chapter suggests that thermal energy storage technologies such as hot and cold water storage might be the most favorable for integration with a nuclear power plant due to their low cost and limited environmental impact.","author":[{"dropping-particle":"","family":"Johnson","given":"Samuel C.","non-dropping-particle":"","parse-names":false,"suffix":""},{"dropping-particle":"","family":"Todd Davidson","given":"F.","non-dropping-particle":"","parse-names":false,"suffix":""},{"dropping-particle":"","family":"Rhodes","given":"Joshua D.","non-dropping-particle":"","parse-names":false,"suffix":""},{"dropping-particle":"","family":"Coleman","given":"Justin L.","non-dropping-particle":"","parse-names":false,"suffix":""},{"dropping-particle":"","family":"Bragg-Sitton","given":"Shannon M.","non-dropping-particle":"","parse-names":false,"suffix":""},{"dropping-particle":"","family":"Dufek","given":"Eric J.","non-dropping-particle":"","parse-names":false,"suffix":""},{"dropping-particle":"","family":"Webber","given":"Michael E.","non-dropping-particle":"","parse-names":false,"suffix":""}],"container-title":"Storage and Hybridization of Nuclear Energy: Techno-economic Integration of Renewable and Nuclear Energy","id":"ITEM-12","issued":{"date-parts":[["2018"]]},"number-of-pages":"119-175","publisher":"Elsevier Inc.","title":"Selecting favorable energy storage technologies for Nuclear power","type":"book"},"uris":["http://www.mendeley.com/documents/?uuid=8986a68f-8f86-4076-9380-56c8d3699170","http://www.mendeley.com/documents/?uuid=cdaefc71-a99e-4545-8d0a-ae0009e26dd7"]},{"id":"ITEM-13","itemData":{"DOI":"10.1016/j.jechem.2020.09.001","ISSN":"20954956","abstract":"A protic ionic liquid is designed and implemented for the first time as a solvent for a high energy density vanadium redox flow battery. Despite being less conductive than standard aqueous electrolytes, it is thermally stable on a 100 °C temperature window, chemically stable for at least 60 days, equally viscous and dense with typical aqueous solvents and most importantly able to solubilize to 6 mol L-1 vanadium sulfate, thus increasing the VRFB energy density by a factor of 2.5. Electrochemical measurements revealed quasi-reversible redox transitions for both catholyte and anolyte at 25 °C while a proof-of-concept redox flow cell with the proposed electrolyte was tested for a total of 150 cycles at 25 °C, showing an open circuit potential of 1.39 V and energy and coulombic efficiencies of 65% and 93%, respectively. What's more, the battery can be equally cycled at 45 °C showing good thermal stability. This study underlines a new route to improve the energy-to-volume ratio of promising energy storage system.","author":[{"dropping-particle":"","family":"Nikiforidis","given":"Georgios","non-dropping-particle":"","parse-names":false,"suffix":""},{"dropping-particle":"","family":"Belhcen","given":"Amal","non-dropping-particle":"","parse-names":false,"suffix":""},{"dropping-particle":"","family":"Anouti","given":"Mérièm","non-dropping-particle":"","parse-names":false,"suffix":""}],"container-title":"Journal of Energy Chemistry","id":"ITEM-13","issued":{"date-parts":[["2021","6","1"]]},"page":"238-246","publisher":"Elsevier","title":"A highly concentrated vanadium protic ionic liquid electrolyte for the vanadium redox flow battery","type":"article-journal","volume":"57"},"uris":["http://www.mendeley.com/documents/?uuid=e5560a4c-940f-3cf9-af22-60d2477c0fad"]}],"mendeley":{"formattedCitation":"[4,44–55]","plainTextFormattedCitation":"[4,44–55]","previouslyFormattedCitation":"[4,44,53–55,45–52]"},"properties":{"noteIndex":0},"schema":"https://github.com/citation-style-language/schema/raw/master/csl-citation.json"}</w:instrText>
      </w:r>
      <w:r w:rsidR="00DE3837">
        <w:rPr>
          <w:lang w:val="en-US"/>
        </w:rPr>
        <w:fldChar w:fldCharType="separate"/>
      </w:r>
      <w:r w:rsidR="00FB5EC2" w:rsidRPr="00FB5EC2">
        <w:rPr>
          <w:noProof/>
          <w:lang w:val="en-US"/>
        </w:rPr>
        <w:t>[4,44–55]</w:t>
      </w:r>
      <w:r w:rsidR="00DE3837">
        <w:rPr>
          <w:lang w:val="en-US"/>
        </w:rPr>
        <w:fldChar w:fldCharType="end"/>
      </w:r>
      <w:r w:rsidR="003B6CBC">
        <w:rPr>
          <w:lang w:val="en-US"/>
        </w:rPr>
        <w:t>.</w:t>
      </w:r>
      <w:bookmarkStart w:id="31" w:name="_Hlk119758322"/>
    </w:p>
    <w:p w14:paraId="7FFB6629" w14:textId="70294640" w:rsidR="00810CF6" w:rsidRDefault="00BA0E5C" w:rsidP="00810CF6">
      <w:pPr>
        <w:keepNext/>
      </w:pPr>
      <w:r w:rsidRPr="00BA0E5C">
        <w:rPr>
          <w:noProof/>
        </w:rPr>
        <w:drawing>
          <wp:inline distT="0" distB="0" distL="0" distR="0" wp14:anchorId="14F2D16D" wp14:editId="72C944B8">
            <wp:extent cx="6120130" cy="3771265"/>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20130" cy="3771265"/>
                    </a:xfrm>
                    <a:prstGeom prst="rect">
                      <a:avLst/>
                    </a:prstGeom>
                    <a:noFill/>
                    <a:ln>
                      <a:noFill/>
                    </a:ln>
                  </pic:spPr>
                </pic:pic>
              </a:graphicData>
            </a:graphic>
          </wp:inline>
        </w:drawing>
      </w:r>
    </w:p>
    <w:p w14:paraId="4A45521A" w14:textId="5EDE754F" w:rsidR="00295F85" w:rsidRDefault="00810CF6" w:rsidP="00810CF6">
      <w:pPr>
        <w:pStyle w:val="Didascalia"/>
        <w:jc w:val="both"/>
      </w:pPr>
      <w:bookmarkStart w:id="32" w:name="_Ref119153403"/>
      <w:r>
        <w:t xml:space="preserve">Figure </w:t>
      </w:r>
      <w:r>
        <w:fldChar w:fldCharType="begin"/>
      </w:r>
      <w:r>
        <w:instrText xml:space="preserve"> SEQ Figure \* ARABIC </w:instrText>
      </w:r>
      <w:r>
        <w:fldChar w:fldCharType="separate"/>
      </w:r>
      <w:r>
        <w:rPr>
          <w:noProof/>
        </w:rPr>
        <w:t>7</w:t>
      </w:r>
      <w:r>
        <w:fldChar w:fldCharType="end"/>
      </w:r>
      <w:bookmarkEnd w:id="32"/>
      <w:r>
        <w:t>.</w:t>
      </w:r>
      <w:r w:rsidR="002E7977">
        <w:t xml:space="preserve"> </w:t>
      </w:r>
      <w:r w:rsidR="00E0456C">
        <w:t>Supply Risk (SR) and Economic Importance (EI)</w:t>
      </w:r>
      <w:r w:rsidR="002E7977">
        <w:t xml:space="preserve"> of batteries’ technology-critical elements.</w:t>
      </w:r>
      <w:r w:rsidR="00F616E6">
        <w:t xml:space="preserve"> </w:t>
      </w:r>
      <w:r w:rsidR="00D35A8F">
        <w:t>Elements per each battery are indicated in bold purple.</w:t>
      </w:r>
    </w:p>
    <w:bookmarkEnd w:id="31"/>
    <w:p w14:paraId="29C6A719" w14:textId="04D2EABF" w:rsidR="001B5C2F" w:rsidRPr="005C3FE9" w:rsidRDefault="002327C2" w:rsidP="001B5C2F">
      <w:pPr>
        <w:rPr>
          <w:color w:val="000000" w:themeColor="text1"/>
          <w:lang w:val="en-GB"/>
        </w:rPr>
      </w:pPr>
      <w:r w:rsidRPr="00373A5A">
        <w:rPr>
          <w:lang w:val="en-US"/>
        </w:rPr>
        <w:t>As shown in</w:t>
      </w:r>
      <w:r w:rsidR="00EB2D2F">
        <w:rPr>
          <w:lang w:val="en-US"/>
        </w:rPr>
        <w:t xml:space="preserve"> </w:t>
      </w:r>
      <w:r w:rsidR="00EB2D2F">
        <w:rPr>
          <w:lang w:val="en-US"/>
        </w:rPr>
        <w:fldChar w:fldCharType="begin"/>
      </w:r>
      <w:r w:rsidR="00EB2D2F">
        <w:rPr>
          <w:lang w:val="en-US"/>
        </w:rPr>
        <w:instrText xml:space="preserve"> REF _Ref119153403 \h </w:instrText>
      </w:r>
      <w:r w:rsidR="00EB2D2F">
        <w:rPr>
          <w:lang w:val="en-US"/>
        </w:rPr>
      </w:r>
      <w:r w:rsidR="00EB2D2F">
        <w:rPr>
          <w:lang w:val="en-US"/>
        </w:rPr>
        <w:fldChar w:fldCharType="separate"/>
      </w:r>
      <w:r w:rsidR="00EB2D2F" w:rsidRPr="00EB2D2F">
        <w:rPr>
          <w:lang w:val="en-US"/>
        </w:rPr>
        <w:t xml:space="preserve">Figure </w:t>
      </w:r>
      <w:r w:rsidR="00EB2D2F" w:rsidRPr="00EB2D2F">
        <w:rPr>
          <w:noProof/>
          <w:lang w:val="en-US"/>
        </w:rPr>
        <w:t>7</w:t>
      </w:r>
      <w:r w:rsidR="00EB2D2F">
        <w:rPr>
          <w:lang w:val="en-US"/>
        </w:rPr>
        <w:fldChar w:fldCharType="end"/>
      </w:r>
      <w:r w:rsidR="00803B28">
        <w:rPr>
          <w:lang w:val="en-US"/>
        </w:rPr>
        <w:t xml:space="preserve">, </w:t>
      </w:r>
      <w:r w:rsidR="00EB2D2F">
        <w:rPr>
          <w:lang w:val="en-US"/>
        </w:rPr>
        <w:t>most of</w:t>
      </w:r>
      <w:r w:rsidR="00C42F93">
        <w:rPr>
          <w:lang w:val="en-US"/>
        </w:rPr>
        <w:t xml:space="preserve"> </w:t>
      </w:r>
      <w:r w:rsidR="00803B28">
        <w:rPr>
          <w:lang w:val="en-US"/>
        </w:rPr>
        <w:t>the</w:t>
      </w:r>
      <w:r w:rsidR="00EB2D2F">
        <w:rPr>
          <w:lang w:val="en-US"/>
        </w:rPr>
        <w:t xml:space="preserve"> existent</w:t>
      </w:r>
      <w:r w:rsidR="00803B28">
        <w:rPr>
          <w:lang w:val="en-US"/>
        </w:rPr>
        <w:t xml:space="preserve"> </w:t>
      </w:r>
      <w:r w:rsidR="00EB2D2F">
        <w:rPr>
          <w:lang w:val="en-US"/>
        </w:rPr>
        <w:t>battery</w:t>
      </w:r>
      <w:r w:rsidRPr="00373A5A">
        <w:rPr>
          <w:lang w:val="en-US"/>
        </w:rPr>
        <w:t xml:space="preserve"> technologies </w:t>
      </w:r>
      <w:r w:rsidR="00D35A8F">
        <w:rPr>
          <w:lang w:val="en-US"/>
        </w:rPr>
        <w:t>employ</w:t>
      </w:r>
      <w:r>
        <w:rPr>
          <w:lang w:val="en-US"/>
        </w:rPr>
        <w:t xml:space="preserve"> one or more materials</w:t>
      </w:r>
      <w:r w:rsidRPr="00373A5A">
        <w:rPr>
          <w:lang w:val="en-US"/>
        </w:rPr>
        <w:t xml:space="preserve"> </w:t>
      </w:r>
      <w:r w:rsidR="00C42F93">
        <w:rPr>
          <w:lang w:val="en-US"/>
        </w:rPr>
        <w:t>whose values of SR and/or EI</w:t>
      </w:r>
      <w:r>
        <w:rPr>
          <w:lang w:val="en-US"/>
        </w:rPr>
        <w:t xml:space="preserve"> </w:t>
      </w:r>
      <w:r w:rsidRPr="00373A5A">
        <w:rPr>
          <w:lang w:val="en-US"/>
        </w:rPr>
        <w:t xml:space="preserve">exceed the limit. </w:t>
      </w:r>
      <w:r w:rsidR="00EB2D2F">
        <w:rPr>
          <w:lang w:val="en-US"/>
        </w:rPr>
        <w:t xml:space="preserve">The AB-FB is not depicted in </w:t>
      </w:r>
      <w:r w:rsidR="00EB2D2F">
        <w:rPr>
          <w:lang w:val="en-US"/>
        </w:rPr>
        <w:fldChar w:fldCharType="begin"/>
      </w:r>
      <w:r w:rsidR="00EB2D2F">
        <w:rPr>
          <w:lang w:val="en-US"/>
        </w:rPr>
        <w:instrText xml:space="preserve"> REF _Ref119153403 \h </w:instrText>
      </w:r>
      <w:r w:rsidR="00EB2D2F">
        <w:rPr>
          <w:lang w:val="en-US"/>
        </w:rPr>
      </w:r>
      <w:r w:rsidR="00EB2D2F">
        <w:rPr>
          <w:lang w:val="en-US"/>
        </w:rPr>
        <w:fldChar w:fldCharType="separate"/>
      </w:r>
      <w:r w:rsidR="00EB2D2F" w:rsidRPr="00EB2D2F">
        <w:rPr>
          <w:lang w:val="en-US"/>
        </w:rPr>
        <w:t xml:space="preserve">Figure </w:t>
      </w:r>
      <w:r w:rsidR="00EB2D2F" w:rsidRPr="00EB2D2F">
        <w:rPr>
          <w:noProof/>
          <w:lang w:val="en-US"/>
        </w:rPr>
        <w:t>7</w:t>
      </w:r>
      <w:r w:rsidR="00EB2D2F">
        <w:rPr>
          <w:lang w:val="en-US"/>
        </w:rPr>
        <w:fldChar w:fldCharType="end"/>
      </w:r>
      <w:r w:rsidR="00EB2D2F">
        <w:rPr>
          <w:lang w:val="en-US"/>
        </w:rPr>
        <w:t xml:space="preserve"> since t</w:t>
      </w:r>
      <w:r w:rsidRPr="00373A5A">
        <w:rPr>
          <w:lang w:val="en-US"/>
        </w:rPr>
        <w:t xml:space="preserve">he polymer of the ion exchange membranes is the major material in the AB-FB battery, </w:t>
      </w:r>
      <w:r>
        <w:rPr>
          <w:lang w:val="en-US"/>
        </w:rPr>
        <w:t xml:space="preserve">and </w:t>
      </w:r>
      <w:r w:rsidR="00EB2D2F">
        <w:rPr>
          <w:lang w:val="en-US"/>
        </w:rPr>
        <w:t>it</w:t>
      </w:r>
      <w:r>
        <w:rPr>
          <w:lang w:val="en-US"/>
        </w:rPr>
        <w:t xml:space="preserve"> </w:t>
      </w:r>
      <w:r w:rsidRPr="00373A5A">
        <w:rPr>
          <w:lang w:val="en-US"/>
        </w:rPr>
        <w:t>is not subject to</w:t>
      </w:r>
      <w:r>
        <w:rPr>
          <w:lang w:val="en-US"/>
        </w:rPr>
        <w:t xml:space="preserve"> the</w:t>
      </w:r>
      <w:r w:rsidRPr="00373A5A">
        <w:rPr>
          <w:lang w:val="en-US"/>
        </w:rPr>
        <w:t xml:space="preserve"> criticality assessment because it </w:t>
      </w:r>
      <w:r>
        <w:rPr>
          <w:lang w:val="en-US"/>
        </w:rPr>
        <w:t>is</w:t>
      </w:r>
      <w:r w:rsidRPr="00373A5A">
        <w:rPr>
          <w:lang w:val="en-US"/>
        </w:rPr>
        <w:t xml:space="preserve"> not </w:t>
      </w:r>
      <w:r>
        <w:rPr>
          <w:lang w:val="en-US"/>
        </w:rPr>
        <w:t xml:space="preserve">significantly influenced by </w:t>
      </w:r>
      <w:r w:rsidRPr="00373A5A">
        <w:rPr>
          <w:lang w:val="en-US"/>
        </w:rPr>
        <w:t xml:space="preserve">supply disruptions or economic dependency. </w:t>
      </w:r>
      <w:r>
        <w:rPr>
          <w:lang w:val="en-US"/>
        </w:rPr>
        <w:t xml:space="preserve">Furthermore, </w:t>
      </w:r>
      <w:r w:rsidRPr="00373A5A">
        <w:rPr>
          <w:lang w:val="en-US"/>
        </w:rPr>
        <w:t xml:space="preserve">the electrodes </w:t>
      </w:r>
      <w:r>
        <w:rPr>
          <w:lang w:val="en-US"/>
        </w:rPr>
        <w:t xml:space="preserve">represent another component of the AB-FB, and they can </w:t>
      </w:r>
      <w:r w:rsidRPr="00373A5A">
        <w:rPr>
          <w:lang w:val="en-US"/>
        </w:rPr>
        <w:t xml:space="preserve">be built of any carbon source, resulting in a low level of criticality. Overall, </w:t>
      </w:r>
      <w:r w:rsidR="00ED6E0B">
        <w:rPr>
          <w:lang w:val="en-US"/>
        </w:rPr>
        <w:t xml:space="preserve">the </w:t>
      </w:r>
      <w:r w:rsidRPr="00373A5A">
        <w:rPr>
          <w:lang w:val="en-US"/>
        </w:rPr>
        <w:t xml:space="preserve">AB-FB provides performance comparable to that of the leading technologies </w:t>
      </w:r>
      <w:r>
        <w:rPr>
          <w:lang w:val="en-US"/>
        </w:rPr>
        <w:t>currently</w:t>
      </w:r>
      <w:r w:rsidRPr="00373A5A">
        <w:rPr>
          <w:lang w:val="en-US"/>
        </w:rPr>
        <w:t xml:space="preserve"> on the market, but </w:t>
      </w:r>
      <w:r w:rsidRPr="00373A5A">
        <w:rPr>
          <w:lang w:val="en-US"/>
        </w:rPr>
        <w:lastRenderedPageBreak/>
        <w:t>with the added benefit</w:t>
      </w:r>
      <w:r>
        <w:rPr>
          <w:lang w:val="en-US"/>
        </w:rPr>
        <w:t>s</w:t>
      </w:r>
      <w:r w:rsidRPr="00373A5A">
        <w:rPr>
          <w:lang w:val="en-US"/>
        </w:rPr>
        <w:t xml:space="preserve"> of low criticality of the materials used </w:t>
      </w:r>
      <w:r w:rsidR="00C42F93">
        <w:rPr>
          <w:lang w:val="en-US"/>
        </w:rPr>
        <w:t>for</w:t>
      </w:r>
      <w:r w:rsidR="00C42F93" w:rsidRPr="00373A5A">
        <w:rPr>
          <w:lang w:val="en-US"/>
        </w:rPr>
        <w:t xml:space="preserve"> </w:t>
      </w:r>
      <w:r w:rsidRPr="00373A5A">
        <w:rPr>
          <w:lang w:val="en-US"/>
        </w:rPr>
        <w:t>its production</w:t>
      </w:r>
      <w:r w:rsidR="00ED6E0B">
        <w:rPr>
          <w:lang w:val="en-US"/>
        </w:rPr>
        <w:t>.</w:t>
      </w:r>
      <w:r w:rsidR="00C42F93">
        <w:rPr>
          <w:lang w:val="en-US"/>
        </w:rPr>
        <w:t xml:space="preserve"> Moreover, it uses non-hazardous materials, thus being a good candidate for future sustainable </w:t>
      </w:r>
      <w:r w:rsidR="00666A65">
        <w:rPr>
          <w:lang w:val="en-US"/>
        </w:rPr>
        <w:t>applications.</w:t>
      </w:r>
      <w:r w:rsidR="001B5C2F" w:rsidRPr="005C3FE9">
        <w:rPr>
          <w:color w:val="000000" w:themeColor="text1"/>
          <w:lang w:val="en-GB"/>
        </w:rPr>
        <w:br w:type="page"/>
      </w:r>
    </w:p>
    <w:p w14:paraId="3728E245" w14:textId="67BD9F72" w:rsidR="00740010" w:rsidRPr="005C3FE9" w:rsidRDefault="00740010" w:rsidP="00740010">
      <w:pPr>
        <w:pStyle w:val="Titolo1"/>
      </w:pPr>
      <w:r w:rsidRPr="005C3FE9">
        <w:lastRenderedPageBreak/>
        <w:t>Conclusions</w:t>
      </w:r>
    </w:p>
    <w:p w14:paraId="34FB93AC" w14:textId="7FC791E8" w:rsidR="00C14CA2" w:rsidRPr="005C3FE9" w:rsidRDefault="009E1D89" w:rsidP="003F75BD">
      <w:pPr>
        <w:ind w:firstLine="0"/>
        <w:rPr>
          <w:lang w:val="en-US" w:eastAsia="en-US"/>
        </w:rPr>
      </w:pPr>
      <w:r w:rsidRPr="009E1D89">
        <w:rPr>
          <w:lang w:val="en-US" w:eastAsia="en-US"/>
        </w:rPr>
        <w:t xml:space="preserve">In this </w:t>
      </w:r>
      <w:r>
        <w:rPr>
          <w:lang w:val="en-US" w:eastAsia="en-US"/>
        </w:rPr>
        <w:t>work</w:t>
      </w:r>
      <w:r w:rsidRPr="009E1D89">
        <w:rPr>
          <w:lang w:val="en-US" w:eastAsia="en-US"/>
        </w:rPr>
        <w:t xml:space="preserve">, a previously developed mathematical model for the AB-FB was improved by incorporating models that predict the </w:t>
      </w:r>
      <w:proofErr w:type="spellStart"/>
      <w:r w:rsidRPr="009E1D89">
        <w:rPr>
          <w:lang w:val="en-US" w:eastAsia="en-US"/>
        </w:rPr>
        <w:t>behaviour</w:t>
      </w:r>
      <w:proofErr w:type="spellEnd"/>
      <w:r w:rsidRPr="009E1D89">
        <w:rPr>
          <w:lang w:val="en-US" w:eastAsia="en-US"/>
        </w:rPr>
        <w:t xml:space="preserve"> of the bipolar membrane during the charge and discharge phases. After that, the mathematical tool was used to determine the best design and operating conditions for </w:t>
      </w:r>
      <w:proofErr w:type="spellStart"/>
      <w:r w:rsidRPr="009E1D89">
        <w:rPr>
          <w:lang w:val="en-US" w:eastAsia="en-US"/>
        </w:rPr>
        <w:t>maximising</w:t>
      </w:r>
      <w:proofErr w:type="spellEnd"/>
      <w:r w:rsidRPr="009E1D89">
        <w:rPr>
          <w:lang w:val="en-US" w:eastAsia="en-US"/>
        </w:rPr>
        <w:t xml:space="preserve"> net Round Trip Efficiency and average net discharge power density in a closed-loop configuration.</w:t>
      </w:r>
      <w:r>
        <w:rPr>
          <w:lang w:val="en-US" w:eastAsia="en-US"/>
        </w:rPr>
        <w:t xml:space="preserve"> </w:t>
      </w:r>
      <w:r w:rsidR="004F1A84" w:rsidRPr="005C3FE9">
        <w:rPr>
          <w:lang w:val="en-US" w:eastAsia="en-US"/>
        </w:rPr>
        <w:t xml:space="preserve">A bi-objective </w:t>
      </w:r>
      <w:proofErr w:type="spellStart"/>
      <w:r w:rsidR="004F1A84" w:rsidRPr="005C3FE9">
        <w:rPr>
          <w:lang w:val="en-US" w:eastAsia="en-US"/>
        </w:rPr>
        <w:t>optimi</w:t>
      </w:r>
      <w:r w:rsidR="008A0EAC">
        <w:rPr>
          <w:lang w:val="en-US" w:eastAsia="en-US"/>
        </w:rPr>
        <w:t>s</w:t>
      </w:r>
      <w:r w:rsidR="004F1A84" w:rsidRPr="005C3FE9">
        <w:rPr>
          <w:lang w:val="en-US" w:eastAsia="en-US"/>
        </w:rPr>
        <w:t>ation</w:t>
      </w:r>
      <w:proofErr w:type="spellEnd"/>
      <w:r w:rsidR="004F1A84" w:rsidRPr="005C3FE9">
        <w:rPr>
          <w:lang w:val="en-US" w:eastAsia="en-US"/>
        </w:rPr>
        <w:t xml:space="preserve"> was performed </w:t>
      </w:r>
      <w:proofErr w:type="spellStart"/>
      <w:r w:rsidR="004F1A84" w:rsidRPr="005C3FE9">
        <w:rPr>
          <w:lang w:val="en-US" w:eastAsia="en-US"/>
        </w:rPr>
        <w:t>utili</w:t>
      </w:r>
      <w:r w:rsidR="008A0EAC">
        <w:rPr>
          <w:lang w:val="en-US" w:eastAsia="en-US"/>
        </w:rPr>
        <w:t>s</w:t>
      </w:r>
      <w:r w:rsidR="004F1A84" w:rsidRPr="005C3FE9">
        <w:rPr>
          <w:lang w:val="en-US" w:eastAsia="en-US"/>
        </w:rPr>
        <w:t>ing</w:t>
      </w:r>
      <w:proofErr w:type="spellEnd"/>
      <w:r w:rsidR="004F1A84" w:rsidRPr="005C3FE9">
        <w:rPr>
          <w:lang w:val="en-US" w:eastAsia="en-US"/>
        </w:rPr>
        <w:t xml:space="preserve"> the ε-constraint method, with up to 8 decision variables and for different process scenarios. </w:t>
      </w:r>
    </w:p>
    <w:p w14:paraId="3BB59984" w14:textId="484636F9" w:rsidR="00EB5900" w:rsidRDefault="00C14CA2" w:rsidP="003F75BD">
      <w:pPr>
        <w:ind w:firstLine="0"/>
        <w:rPr>
          <w:lang w:val="en-US" w:eastAsia="en-US"/>
        </w:rPr>
      </w:pPr>
      <w:r w:rsidRPr="005C3FE9">
        <w:rPr>
          <w:lang w:val="en-US"/>
        </w:rPr>
        <w:t xml:space="preserve">The results show that operating </w:t>
      </w:r>
      <w:r w:rsidR="0011759F" w:rsidRPr="005C3FE9">
        <w:rPr>
          <w:lang w:val="en-US"/>
        </w:rPr>
        <w:t xml:space="preserve">with shorter concentration jumps between 0 and 100% state of charge may improve </w:t>
      </w:r>
      <w:r w:rsidRPr="005C3FE9">
        <w:rPr>
          <w:lang w:val="en-US"/>
        </w:rPr>
        <w:t xml:space="preserve">Round Trip Efficiency significantly, whereas introducing design parameters as decision variables has little effect on </w:t>
      </w:r>
      <w:r w:rsidR="004F1D9E">
        <w:rPr>
          <w:lang w:val="en-US"/>
        </w:rPr>
        <w:t xml:space="preserve">the battery </w:t>
      </w:r>
      <w:r w:rsidRPr="005C3FE9">
        <w:rPr>
          <w:lang w:val="en-US"/>
        </w:rPr>
        <w:t xml:space="preserve">performance. </w:t>
      </w:r>
      <w:r w:rsidR="004F1D9E">
        <w:rPr>
          <w:lang w:val="en-US"/>
        </w:rPr>
        <w:t xml:space="preserve">When </w:t>
      </w:r>
      <w:r w:rsidR="004F1A84" w:rsidRPr="005C3FE9">
        <w:rPr>
          <w:lang w:val="en-US" w:eastAsia="en-US"/>
        </w:rPr>
        <w:t>commercial membranes</w:t>
      </w:r>
      <w:r w:rsidR="004F1D9E">
        <w:rPr>
          <w:lang w:val="en-US" w:eastAsia="en-US"/>
        </w:rPr>
        <w:t xml:space="preserve"> currently available are used</w:t>
      </w:r>
      <w:r w:rsidR="004F1A84" w:rsidRPr="005C3FE9">
        <w:rPr>
          <w:lang w:val="en-US" w:eastAsia="en-US"/>
        </w:rPr>
        <w:t xml:space="preserve">, </w:t>
      </w:r>
      <w:proofErr w:type="spellStart"/>
      <w:r w:rsidR="004F1A84" w:rsidRPr="005C3FE9">
        <w:rPr>
          <w:lang w:val="en-US" w:eastAsia="en-US"/>
        </w:rPr>
        <w:t>optimi</w:t>
      </w:r>
      <w:r w:rsidR="008A0EAC">
        <w:rPr>
          <w:lang w:val="en-US" w:eastAsia="en-US"/>
        </w:rPr>
        <w:t>s</w:t>
      </w:r>
      <w:r w:rsidR="004F1A84" w:rsidRPr="005C3FE9">
        <w:rPr>
          <w:lang w:val="en-US" w:eastAsia="en-US"/>
        </w:rPr>
        <w:t>ed</w:t>
      </w:r>
      <w:proofErr w:type="spellEnd"/>
      <w:r w:rsidR="004F1A84" w:rsidRPr="005C3FE9">
        <w:rPr>
          <w:lang w:val="en-US" w:eastAsia="en-US"/>
        </w:rPr>
        <w:t xml:space="preserve"> operating conditions and design features may be chosen to </w:t>
      </w:r>
      <w:proofErr w:type="spellStart"/>
      <w:r w:rsidR="004F1A84" w:rsidRPr="005C3FE9">
        <w:rPr>
          <w:lang w:val="en-US" w:eastAsia="en-US"/>
        </w:rPr>
        <w:t>maximi</w:t>
      </w:r>
      <w:r w:rsidR="008A0EAC">
        <w:rPr>
          <w:lang w:val="en-US" w:eastAsia="en-US"/>
        </w:rPr>
        <w:t>s</w:t>
      </w:r>
      <w:r w:rsidR="004F1A84" w:rsidRPr="005C3FE9">
        <w:rPr>
          <w:lang w:val="en-US" w:eastAsia="en-US"/>
        </w:rPr>
        <w:t>e</w:t>
      </w:r>
      <w:proofErr w:type="spellEnd"/>
      <w:r w:rsidR="004F1A84" w:rsidRPr="005C3FE9">
        <w:rPr>
          <w:lang w:val="en-US" w:eastAsia="en-US"/>
        </w:rPr>
        <w:t xml:space="preserve"> the net Round Trip Efficiency up to a value of 64%</w:t>
      </w:r>
      <w:r w:rsidR="004F1D9E">
        <w:rPr>
          <w:lang w:val="en-US" w:eastAsia="en-US"/>
        </w:rPr>
        <w:t>, corresponding to</w:t>
      </w:r>
      <w:r w:rsidR="004F1D9E" w:rsidRPr="005C3FE9">
        <w:rPr>
          <w:lang w:val="en-US" w:eastAsia="en-US"/>
        </w:rPr>
        <w:t xml:space="preserve"> </w:t>
      </w:r>
      <w:r w:rsidR="00031828">
        <w:rPr>
          <w:lang w:val="en-US" w:eastAsia="en-US"/>
        </w:rPr>
        <w:t>an</w:t>
      </w:r>
      <w:r w:rsidR="004F1A84" w:rsidRPr="005C3FE9">
        <w:rPr>
          <w:lang w:val="en-US" w:eastAsia="en-US"/>
        </w:rPr>
        <w:t xml:space="preserve"> average discharge net power density </w:t>
      </w:r>
      <w:r w:rsidR="004F1D9E">
        <w:rPr>
          <w:lang w:val="en-US" w:eastAsia="en-US"/>
        </w:rPr>
        <w:t xml:space="preserve">of </w:t>
      </w:r>
      <w:r w:rsidR="00031828">
        <w:rPr>
          <w:lang w:val="en-US" w:eastAsia="en-US"/>
        </w:rPr>
        <w:t>~</w:t>
      </w:r>
      <w:r w:rsidR="004F1A84" w:rsidRPr="005C3FE9">
        <w:rPr>
          <w:lang w:val="en-US" w:eastAsia="en-US"/>
        </w:rPr>
        <w:t>4 W m</w:t>
      </w:r>
      <w:r w:rsidR="004F1A84" w:rsidRPr="005C3FE9">
        <w:rPr>
          <w:vertAlign w:val="superscript"/>
          <w:lang w:val="en-US" w:eastAsia="en-US"/>
        </w:rPr>
        <w:t>-2</w:t>
      </w:r>
      <w:r w:rsidR="004F1A84" w:rsidRPr="005C3FE9">
        <w:rPr>
          <w:lang w:val="en-US" w:eastAsia="en-US"/>
        </w:rPr>
        <w:t xml:space="preserve">. On the other hand, by constraining the </w:t>
      </w:r>
      <m:oMath>
        <m:acc>
          <m:accPr>
            <m:chr m:val="̅"/>
            <m:ctrlPr>
              <w:rPr>
                <w:rFonts w:ascii="Cambria Math" w:eastAsia="Calibri" w:hAnsi="Cambria Math"/>
                <w:i/>
                <w:lang w:eastAsia="en-US"/>
              </w:rPr>
            </m:ctrlPr>
          </m:accPr>
          <m:e>
            <m:sSub>
              <m:sSubPr>
                <m:ctrlPr>
                  <w:rPr>
                    <w:rFonts w:ascii="Cambria Math" w:eastAsia="Calibri" w:hAnsi="Cambria Math"/>
                    <w:i/>
                    <w:lang w:eastAsia="en-US"/>
                  </w:rPr>
                </m:ctrlPr>
              </m:sSubPr>
              <m:e>
                <m:r>
                  <w:rPr>
                    <w:rFonts w:ascii="Cambria Math" w:hAnsi="Cambria Math"/>
                  </w:rPr>
                  <m:t>NPD</m:t>
                </m:r>
              </m:e>
              <m:sub>
                <m:r>
                  <w:rPr>
                    <w:rFonts w:ascii="Cambria Math" w:hAnsi="Cambria Math"/>
                  </w:rPr>
                  <m:t>d</m:t>
                </m:r>
              </m:sub>
            </m:sSub>
          </m:e>
        </m:acc>
      </m:oMath>
      <w:r w:rsidR="00846DBD" w:rsidRPr="00846DBD">
        <w:rPr>
          <w:lang w:val="en-US" w:eastAsia="en-US"/>
        </w:rPr>
        <w:t xml:space="preserve"> </w:t>
      </w:r>
      <w:r w:rsidR="004F1A84" w:rsidRPr="005C3FE9">
        <w:rPr>
          <w:lang w:val="en-US" w:eastAsia="en-US"/>
        </w:rPr>
        <w:t>at 19.5 W m</w:t>
      </w:r>
      <w:r w:rsidR="004F1A84" w:rsidRPr="005C3FE9">
        <w:rPr>
          <w:vertAlign w:val="superscript"/>
          <w:lang w:val="en-US" w:eastAsia="en-US"/>
        </w:rPr>
        <w:t>-2</w:t>
      </w:r>
      <w:r w:rsidR="004F1A84" w:rsidRPr="005C3FE9">
        <w:rPr>
          <w:lang w:val="en-US" w:eastAsia="en-US"/>
        </w:rPr>
        <w:t>, the Pareto set gave a</w:t>
      </w:r>
      <w:r w:rsidR="007C2894" w:rsidRPr="005C3FE9">
        <w:rPr>
          <w:lang w:val="en-US" w:eastAsia="en-US"/>
        </w:rPr>
        <w:t>n</w:t>
      </w:r>
      <w:r w:rsidR="004F1A84" w:rsidRPr="005C3FE9">
        <w:rPr>
          <w:lang w:val="en-US" w:eastAsia="en-US"/>
        </w:rPr>
        <w:t xml:space="preserve"> </w:t>
      </w:r>
      <w:proofErr w:type="spellStart"/>
      <w:r w:rsidR="004F1A84" w:rsidRPr="005C3FE9">
        <w:rPr>
          <w:lang w:val="en-US" w:eastAsia="en-US"/>
        </w:rPr>
        <w:t>RTE</w:t>
      </w:r>
      <w:r w:rsidR="004F1A84" w:rsidRPr="005C3FE9">
        <w:rPr>
          <w:vertAlign w:val="subscript"/>
          <w:lang w:val="en-US" w:eastAsia="en-US"/>
        </w:rPr>
        <w:t>net</w:t>
      </w:r>
      <w:proofErr w:type="spellEnd"/>
      <w:r w:rsidR="004F1A84" w:rsidRPr="005C3FE9">
        <w:rPr>
          <w:lang w:val="en-US" w:eastAsia="en-US"/>
        </w:rPr>
        <w:t xml:space="preserve"> of </w:t>
      </w:r>
      <w:r w:rsidR="00031828">
        <w:rPr>
          <w:lang w:val="en-US" w:eastAsia="en-US"/>
        </w:rPr>
        <w:t>~</w:t>
      </w:r>
      <w:r w:rsidR="004F1A84" w:rsidRPr="005C3FE9">
        <w:rPr>
          <w:lang w:val="en-US" w:eastAsia="en-US"/>
        </w:rPr>
        <w:t xml:space="preserve">32%. Considering a future scenario with improved membrane properties, the potential maximum </w:t>
      </w:r>
      <w:proofErr w:type="spellStart"/>
      <w:r w:rsidR="004F1A84" w:rsidRPr="005C3FE9">
        <w:rPr>
          <w:lang w:val="en-US" w:eastAsia="en-US"/>
        </w:rPr>
        <w:t>RTE</w:t>
      </w:r>
      <w:r w:rsidR="004F1A84" w:rsidRPr="005C3FE9">
        <w:rPr>
          <w:vertAlign w:val="subscript"/>
          <w:lang w:val="en-US" w:eastAsia="en-US"/>
        </w:rPr>
        <w:t>net</w:t>
      </w:r>
      <w:proofErr w:type="spellEnd"/>
      <w:r w:rsidR="004F1A84" w:rsidRPr="005C3FE9">
        <w:rPr>
          <w:lang w:val="en-US" w:eastAsia="en-US"/>
        </w:rPr>
        <w:t xml:space="preserve"> could be 76.2% when the constraint </w:t>
      </w:r>
      <m:oMath>
        <m:acc>
          <m:accPr>
            <m:chr m:val="̅"/>
            <m:ctrlPr>
              <w:rPr>
                <w:rFonts w:ascii="Cambria Math" w:eastAsia="Calibri" w:hAnsi="Cambria Math"/>
                <w:i/>
                <w:lang w:eastAsia="en-US"/>
              </w:rPr>
            </m:ctrlPr>
          </m:accPr>
          <m:e>
            <m:sSub>
              <m:sSubPr>
                <m:ctrlPr>
                  <w:rPr>
                    <w:rFonts w:ascii="Cambria Math" w:eastAsia="Calibri" w:hAnsi="Cambria Math"/>
                    <w:i/>
                    <w:lang w:eastAsia="en-US"/>
                  </w:rPr>
                </m:ctrlPr>
              </m:sSubPr>
              <m:e>
                <m:r>
                  <w:rPr>
                    <w:rFonts w:ascii="Cambria Math" w:hAnsi="Cambria Math"/>
                  </w:rPr>
                  <m:t>NPD</m:t>
                </m:r>
              </m:e>
              <m:sub>
                <m:r>
                  <w:rPr>
                    <w:rFonts w:ascii="Cambria Math" w:hAnsi="Cambria Math"/>
                  </w:rPr>
                  <m:t>d</m:t>
                </m:r>
              </m:sub>
            </m:sSub>
          </m:e>
        </m:acc>
      </m:oMath>
      <w:r w:rsidR="00846DBD" w:rsidRPr="00846DBD">
        <w:rPr>
          <w:lang w:val="en-US" w:eastAsia="en-US"/>
        </w:rPr>
        <w:t xml:space="preserve"> </w:t>
      </w:r>
      <w:r w:rsidR="004F1A84" w:rsidRPr="005C3FE9">
        <w:rPr>
          <w:lang w:val="en-US" w:eastAsia="en-US"/>
        </w:rPr>
        <w:t>is 4.4 W m</w:t>
      </w:r>
      <w:r w:rsidR="004F1A84" w:rsidRPr="005C3FE9">
        <w:rPr>
          <w:vertAlign w:val="superscript"/>
          <w:lang w:val="en-US" w:eastAsia="en-US"/>
        </w:rPr>
        <w:t>-2</w:t>
      </w:r>
      <w:r w:rsidR="004F1A84" w:rsidRPr="005C3FE9">
        <w:rPr>
          <w:lang w:val="en-US" w:eastAsia="en-US"/>
        </w:rPr>
        <w:t>.</w:t>
      </w:r>
      <w:r w:rsidR="00E25319" w:rsidRPr="005C3FE9">
        <w:rPr>
          <w:lang w:val="en-US" w:eastAsia="en-US"/>
        </w:rPr>
        <w:t xml:space="preserve"> </w:t>
      </w:r>
      <w:r w:rsidR="00C05F8E" w:rsidRPr="005C3FE9">
        <w:rPr>
          <w:lang w:val="en-US" w:eastAsia="en-US"/>
        </w:rPr>
        <w:t>T</w:t>
      </w:r>
      <w:r w:rsidR="00E25319" w:rsidRPr="005C3FE9">
        <w:rPr>
          <w:lang w:val="en-US" w:eastAsia="en-US"/>
        </w:rPr>
        <w:t xml:space="preserve">hese results, together with the </w:t>
      </w:r>
      <w:r w:rsidR="00C05F8E" w:rsidRPr="005C3FE9">
        <w:rPr>
          <w:lang w:val="en-US" w:eastAsia="en-US"/>
        </w:rPr>
        <w:t xml:space="preserve">whole </w:t>
      </w:r>
      <w:r w:rsidR="00E25319" w:rsidRPr="005C3FE9">
        <w:rPr>
          <w:lang w:val="en-US" w:eastAsia="en-US"/>
        </w:rPr>
        <w:t>Pareto curve, demonstrate the significant benefits that may be obtained with lower electrical resistance and greater permselectivity.</w:t>
      </w:r>
      <w:r w:rsidR="004F1A84" w:rsidRPr="005C3FE9">
        <w:rPr>
          <w:lang w:val="en-US" w:eastAsia="en-US"/>
        </w:rPr>
        <w:t xml:space="preserve"> </w:t>
      </w:r>
      <w:r w:rsidR="00EB5900" w:rsidRPr="005C3FE9">
        <w:rPr>
          <w:lang w:val="en-US" w:eastAsia="en-US"/>
        </w:rPr>
        <w:t>B</w:t>
      </w:r>
      <w:r w:rsidR="004F1A84" w:rsidRPr="005C3FE9">
        <w:rPr>
          <w:lang w:val="en-US" w:eastAsia="en-US"/>
        </w:rPr>
        <w:t xml:space="preserve">y constraining the </w:t>
      </w:r>
      <m:oMath>
        <m:acc>
          <m:accPr>
            <m:chr m:val="̅"/>
            <m:ctrlPr>
              <w:rPr>
                <w:rFonts w:ascii="Cambria Math" w:eastAsia="Calibri" w:hAnsi="Cambria Math"/>
                <w:i/>
                <w:lang w:eastAsia="en-US"/>
              </w:rPr>
            </m:ctrlPr>
          </m:accPr>
          <m:e>
            <m:sSub>
              <m:sSubPr>
                <m:ctrlPr>
                  <w:rPr>
                    <w:rFonts w:ascii="Cambria Math" w:eastAsia="Calibri" w:hAnsi="Cambria Math"/>
                    <w:i/>
                    <w:lang w:eastAsia="en-US"/>
                  </w:rPr>
                </m:ctrlPr>
              </m:sSubPr>
              <m:e>
                <m:r>
                  <w:rPr>
                    <w:rFonts w:ascii="Cambria Math" w:hAnsi="Cambria Math"/>
                  </w:rPr>
                  <m:t>NPD</m:t>
                </m:r>
              </m:e>
              <m:sub>
                <m:r>
                  <w:rPr>
                    <w:rFonts w:ascii="Cambria Math" w:hAnsi="Cambria Math"/>
                  </w:rPr>
                  <m:t>d</m:t>
                </m:r>
              </m:sub>
            </m:sSub>
          </m:e>
        </m:acc>
      </m:oMath>
      <w:r w:rsidR="00846DBD" w:rsidRPr="00846DBD">
        <w:rPr>
          <w:lang w:val="en-US" w:eastAsia="en-US"/>
        </w:rPr>
        <w:t xml:space="preserve"> </w:t>
      </w:r>
      <w:r w:rsidR="004F1A84" w:rsidRPr="005C3FE9">
        <w:rPr>
          <w:lang w:val="en-US" w:eastAsia="en-US"/>
        </w:rPr>
        <w:t>at</w:t>
      </w:r>
      <w:r w:rsidR="00EB5900" w:rsidRPr="005C3FE9">
        <w:rPr>
          <w:lang w:val="en-US" w:eastAsia="en-US"/>
        </w:rPr>
        <w:t xml:space="preserve"> the maximum value of</w:t>
      </w:r>
      <w:r w:rsidR="004F1A84" w:rsidRPr="005C3FE9">
        <w:rPr>
          <w:lang w:val="en-US" w:eastAsia="en-US"/>
        </w:rPr>
        <w:t xml:space="preserve"> 23.2 W m</w:t>
      </w:r>
      <w:r w:rsidR="004F1A84" w:rsidRPr="005C3FE9">
        <w:rPr>
          <w:vertAlign w:val="superscript"/>
          <w:lang w:val="en-US" w:eastAsia="en-US"/>
        </w:rPr>
        <w:t>-2</w:t>
      </w:r>
      <w:r w:rsidR="006522BC" w:rsidRPr="005C3FE9">
        <w:rPr>
          <w:lang w:val="en-US" w:eastAsia="en-US"/>
        </w:rPr>
        <w:t>,</w:t>
      </w:r>
      <w:r w:rsidR="004F1A84" w:rsidRPr="005C3FE9">
        <w:rPr>
          <w:lang w:val="en-US" w:eastAsia="en-US"/>
        </w:rPr>
        <w:t xml:space="preserve"> the resulting </w:t>
      </w:r>
      <w:proofErr w:type="spellStart"/>
      <w:r w:rsidR="004F1A84" w:rsidRPr="005C3FE9">
        <w:rPr>
          <w:lang w:val="en-US" w:eastAsia="en-US"/>
        </w:rPr>
        <w:t>RTE</w:t>
      </w:r>
      <w:r w:rsidR="004F1A84" w:rsidRPr="005C3FE9">
        <w:rPr>
          <w:vertAlign w:val="subscript"/>
          <w:lang w:val="en-US" w:eastAsia="en-US"/>
        </w:rPr>
        <w:t>net</w:t>
      </w:r>
      <w:proofErr w:type="spellEnd"/>
      <w:r w:rsidR="004F1A84" w:rsidRPr="005C3FE9">
        <w:rPr>
          <w:lang w:val="en-US" w:eastAsia="en-US"/>
        </w:rPr>
        <w:t xml:space="preserve"> </w:t>
      </w:r>
      <w:r w:rsidR="006522BC" w:rsidRPr="005C3FE9">
        <w:rPr>
          <w:lang w:val="en-US" w:eastAsia="en-US"/>
        </w:rPr>
        <w:t>was</w:t>
      </w:r>
      <w:r w:rsidR="004F1A84" w:rsidRPr="005C3FE9">
        <w:rPr>
          <w:lang w:val="en-US" w:eastAsia="en-US"/>
        </w:rPr>
        <w:t xml:space="preserve"> 59.1%.</w:t>
      </w:r>
    </w:p>
    <w:p w14:paraId="30FE3F49" w14:textId="4FF56BCB" w:rsidR="00F2713B" w:rsidRPr="005C3FE9" w:rsidRDefault="00B36473" w:rsidP="003F75BD">
      <w:pPr>
        <w:ind w:firstLine="0"/>
        <w:rPr>
          <w:lang w:val="en-US" w:eastAsia="en-US"/>
        </w:rPr>
      </w:pPr>
      <w:r>
        <w:rPr>
          <w:lang w:val="en-US" w:eastAsia="en-US"/>
        </w:rPr>
        <w:t>A p</w:t>
      </w:r>
      <w:r w:rsidRPr="00B36473">
        <w:rPr>
          <w:lang w:val="en-US" w:eastAsia="en-US"/>
        </w:rPr>
        <w:t xml:space="preserve">erformance analysis reveals that the </w:t>
      </w:r>
      <w:proofErr w:type="spellStart"/>
      <w:r w:rsidRPr="005C3FE9">
        <w:rPr>
          <w:lang w:val="en-US" w:eastAsia="en-US"/>
        </w:rPr>
        <w:t>RTE</w:t>
      </w:r>
      <w:r w:rsidRPr="005C3FE9">
        <w:rPr>
          <w:vertAlign w:val="subscript"/>
          <w:lang w:val="en-US" w:eastAsia="en-US"/>
        </w:rPr>
        <w:t>net</w:t>
      </w:r>
      <w:proofErr w:type="spellEnd"/>
      <w:r w:rsidRPr="005C3FE9">
        <w:rPr>
          <w:lang w:val="en-US" w:eastAsia="en-US"/>
        </w:rPr>
        <w:t xml:space="preserve"> </w:t>
      </w:r>
      <w:r w:rsidRPr="00B36473">
        <w:rPr>
          <w:lang w:val="en-US" w:eastAsia="en-US"/>
        </w:rPr>
        <w:t xml:space="preserve">and Power density (per unit volume of </w:t>
      </w:r>
      <w:r>
        <w:rPr>
          <w:lang w:val="en-US" w:eastAsia="en-US"/>
        </w:rPr>
        <w:t xml:space="preserve">the </w:t>
      </w:r>
      <w:r w:rsidRPr="00B36473">
        <w:rPr>
          <w:lang w:val="en-US" w:eastAsia="en-US"/>
        </w:rPr>
        <w:t>battery) of the AB</w:t>
      </w:r>
      <w:r>
        <w:rPr>
          <w:lang w:val="en-US" w:eastAsia="en-US"/>
        </w:rPr>
        <w:t>-</w:t>
      </w:r>
      <w:r w:rsidRPr="00B36473">
        <w:rPr>
          <w:lang w:val="en-US" w:eastAsia="en-US"/>
        </w:rPr>
        <w:t xml:space="preserve">FB is not significantly different from the average values of other batteries. However, most of the materials used in the construction of the other batteries have </w:t>
      </w:r>
      <w:r w:rsidR="00C76E23" w:rsidRPr="00C76E23">
        <w:rPr>
          <w:lang w:val="en-GB"/>
        </w:rPr>
        <w:t xml:space="preserve">Supply Risk (SR) </w:t>
      </w:r>
      <w:r w:rsidR="00C76E23">
        <w:rPr>
          <w:lang w:val="en-GB"/>
        </w:rPr>
        <w:t>or</w:t>
      </w:r>
      <w:r w:rsidR="00C76E23" w:rsidRPr="00C76E23">
        <w:rPr>
          <w:lang w:val="en-GB"/>
        </w:rPr>
        <w:t xml:space="preserve"> Economic Importance (EI) </w:t>
      </w:r>
      <w:r w:rsidRPr="00B36473">
        <w:rPr>
          <w:lang w:val="en-US" w:eastAsia="en-US"/>
        </w:rPr>
        <w:t>ind</w:t>
      </w:r>
      <w:r w:rsidR="00C76E23">
        <w:rPr>
          <w:lang w:val="en-US" w:eastAsia="en-US"/>
        </w:rPr>
        <w:t>exes</w:t>
      </w:r>
      <w:r w:rsidRPr="00B36473">
        <w:rPr>
          <w:lang w:val="en-US" w:eastAsia="en-US"/>
        </w:rPr>
        <w:t xml:space="preserve"> higher than the EU commission's threshold limits. In contrast, the primary components of the AB</w:t>
      </w:r>
      <w:r>
        <w:rPr>
          <w:lang w:val="en-US" w:eastAsia="en-US"/>
        </w:rPr>
        <w:t>-</w:t>
      </w:r>
      <w:r w:rsidRPr="00B36473">
        <w:rPr>
          <w:lang w:val="en-US" w:eastAsia="en-US"/>
        </w:rPr>
        <w:t xml:space="preserve">FB are the polymers that constitute the membranes and spacers. These are not considered critical </w:t>
      </w:r>
      <w:r w:rsidR="00707B05">
        <w:rPr>
          <w:lang w:val="en-US" w:eastAsia="en-US"/>
        </w:rPr>
        <w:t xml:space="preserve">raw </w:t>
      </w:r>
      <w:r w:rsidRPr="00B36473">
        <w:rPr>
          <w:lang w:val="en-US" w:eastAsia="en-US"/>
        </w:rPr>
        <w:t xml:space="preserve">materials since they are not subject to supply disruptions or economic </w:t>
      </w:r>
      <w:r w:rsidRPr="00B36473">
        <w:rPr>
          <w:lang w:val="en-US" w:eastAsia="en-US"/>
        </w:rPr>
        <w:lastRenderedPageBreak/>
        <w:t>dependenc</w:t>
      </w:r>
      <w:r>
        <w:rPr>
          <w:lang w:val="en-US" w:eastAsia="en-US"/>
        </w:rPr>
        <w:t>y</w:t>
      </w:r>
      <w:r w:rsidRPr="00B36473">
        <w:rPr>
          <w:lang w:val="en-US" w:eastAsia="en-US"/>
        </w:rPr>
        <w:t xml:space="preserve">, </w:t>
      </w:r>
      <w:r w:rsidR="00707B05">
        <w:rPr>
          <w:lang w:val="en-US" w:eastAsia="en-US"/>
        </w:rPr>
        <w:t xml:space="preserve">thus making </w:t>
      </w:r>
      <w:r w:rsidRPr="00B36473">
        <w:rPr>
          <w:lang w:val="en-US" w:eastAsia="en-US"/>
        </w:rPr>
        <w:t>AB</w:t>
      </w:r>
      <w:r>
        <w:rPr>
          <w:lang w:val="en-US" w:eastAsia="en-US"/>
        </w:rPr>
        <w:t>-</w:t>
      </w:r>
      <w:r w:rsidRPr="00B36473">
        <w:rPr>
          <w:lang w:val="en-US" w:eastAsia="en-US"/>
        </w:rPr>
        <w:t xml:space="preserve">FB </w:t>
      </w:r>
      <w:r w:rsidR="00707B05">
        <w:rPr>
          <w:lang w:val="en-US" w:eastAsia="en-US"/>
        </w:rPr>
        <w:t>a sustainability-friendly</w:t>
      </w:r>
      <w:r w:rsidRPr="00B36473">
        <w:rPr>
          <w:lang w:val="en-US" w:eastAsia="en-US"/>
        </w:rPr>
        <w:t xml:space="preserve"> </w:t>
      </w:r>
      <w:r>
        <w:rPr>
          <w:lang w:val="en-US" w:eastAsia="en-US"/>
        </w:rPr>
        <w:t>alternative</w:t>
      </w:r>
      <w:r w:rsidRPr="00B36473">
        <w:rPr>
          <w:lang w:val="en-US" w:eastAsia="en-US"/>
        </w:rPr>
        <w:t xml:space="preserve"> </w:t>
      </w:r>
      <w:r w:rsidR="00707B05">
        <w:rPr>
          <w:lang w:val="en-US" w:eastAsia="en-US"/>
        </w:rPr>
        <w:t xml:space="preserve">and a valid candidate </w:t>
      </w:r>
      <w:r w:rsidR="00810C8D">
        <w:rPr>
          <w:lang w:val="en-US" w:eastAsia="en-US"/>
        </w:rPr>
        <w:t>for the</w:t>
      </w:r>
      <w:r w:rsidR="00707B05">
        <w:rPr>
          <w:lang w:val="en-US" w:eastAsia="en-US"/>
        </w:rPr>
        <w:t xml:space="preserve"> future energy storage system</w:t>
      </w:r>
      <w:r w:rsidRPr="00B36473">
        <w:rPr>
          <w:lang w:val="en-US" w:eastAsia="en-US"/>
        </w:rPr>
        <w:t>.</w:t>
      </w:r>
    </w:p>
    <w:p w14:paraId="46430E97" w14:textId="1D176890" w:rsidR="009346BC" w:rsidRPr="005C3FE9" w:rsidRDefault="00EB5900" w:rsidP="003F75BD">
      <w:pPr>
        <w:ind w:firstLine="0"/>
        <w:rPr>
          <w:lang w:val="en-US"/>
        </w:rPr>
      </w:pPr>
      <w:r w:rsidRPr="005C3FE9">
        <w:rPr>
          <w:lang w:val="en-US" w:eastAsia="en-US"/>
        </w:rPr>
        <w:t>Overall,</w:t>
      </w:r>
      <w:r w:rsidR="004F1A84" w:rsidRPr="005C3FE9">
        <w:rPr>
          <w:lang w:val="en-US" w:eastAsia="en-US"/>
        </w:rPr>
        <w:t xml:space="preserve"> </w:t>
      </w:r>
      <w:r w:rsidRPr="005C3FE9">
        <w:rPr>
          <w:lang w:val="en-US" w:eastAsia="en-US"/>
        </w:rPr>
        <w:t>t</w:t>
      </w:r>
      <w:r w:rsidR="004F1A84" w:rsidRPr="005C3FE9">
        <w:rPr>
          <w:lang w:val="en-US" w:eastAsia="en-US"/>
        </w:rPr>
        <w:t>his work show</w:t>
      </w:r>
      <w:r w:rsidR="006522BC" w:rsidRPr="005C3FE9">
        <w:rPr>
          <w:lang w:val="en-US" w:eastAsia="en-US"/>
        </w:rPr>
        <w:t>s</w:t>
      </w:r>
      <w:r w:rsidR="004F1A84" w:rsidRPr="005C3FE9">
        <w:rPr>
          <w:lang w:val="en-US" w:eastAsia="en-US"/>
        </w:rPr>
        <w:t xml:space="preserve"> the potential of the Acid/Base Flow Battery in the field of energy storage.</w:t>
      </w:r>
      <w:r w:rsidR="00C14CA2" w:rsidRPr="005C3FE9">
        <w:rPr>
          <w:lang w:val="en-US" w:eastAsia="en-US"/>
        </w:rPr>
        <w:t xml:space="preserve"> Future research could aim to </w:t>
      </w:r>
      <w:proofErr w:type="spellStart"/>
      <w:r w:rsidR="00C14CA2" w:rsidRPr="005C3FE9">
        <w:rPr>
          <w:lang w:val="en-US" w:eastAsia="en-US"/>
        </w:rPr>
        <w:t>optimi</w:t>
      </w:r>
      <w:r w:rsidR="008A0EAC">
        <w:rPr>
          <w:lang w:val="en-US" w:eastAsia="en-US"/>
        </w:rPr>
        <w:t>s</w:t>
      </w:r>
      <w:r w:rsidR="00C14CA2" w:rsidRPr="005C3FE9">
        <w:rPr>
          <w:lang w:val="en-US" w:eastAsia="en-US"/>
        </w:rPr>
        <w:t>e</w:t>
      </w:r>
      <w:proofErr w:type="spellEnd"/>
      <w:r w:rsidR="00C14CA2" w:rsidRPr="005C3FE9">
        <w:rPr>
          <w:lang w:val="en-US" w:eastAsia="en-US"/>
        </w:rPr>
        <w:t xml:space="preserve"> the system in real-world scenarios by coupling the AB-FB with a renewable energy source such as solar or wind power, or by framing it more broadly in </w:t>
      </w:r>
      <w:proofErr w:type="spellStart"/>
      <w:r w:rsidR="00C14CA2" w:rsidRPr="005C3FE9">
        <w:rPr>
          <w:lang w:val="en-US" w:eastAsia="en-US"/>
        </w:rPr>
        <w:t>polygeneration</w:t>
      </w:r>
      <w:proofErr w:type="spellEnd"/>
      <w:r w:rsidR="00C14CA2" w:rsidRPr="005C3FE9">
        <w:rPr>
          <w:lang w:val="en-US" w:eastAsia="en-US"/>
        </w:rPr>
        <w:t xml:space="preserve"> systems. Further investigation could also focus on </w:t>
      </w:r>
      <w:proofErr w:type="spellStart"/>
      <w:r w:rsidR="00C14CA2" w:rsidRPr="005C3FE9">
        <w:rPr>
          <w:lang w:val="en-US" w:eastAsia="en-US"/>
        </w:rPr>
        <w:t>optimi</w:t>
      </w:r>
      <w:r w:rsidR="008A0EAC">
        <w:rPr>
          <w:lang w:val="en-US" w:eastAsia="en-US"/>
        </w:rPr>
        <w:t>s</w:t>
      </w:r>
      <w:r w:rsidR="00C14CA2" w:rsidRPr="005C3FE9">
        <w:rPr>
          <w:lang w:val="en-US" w:eastAsia="en-US"/>
        </w:rPr>
        <w:t>ing</w:t>
      </w:r>
      <w:proofErr w:type="spellEnd"/>
      <w:r w:rsidR="00C14CA2" w:rsidRPr="005C3FE9">
        <w:rPr>
          <w:lang w:val="en-US" w:eastAsia="en-US"/>
        </w:rPr>
        <w:t xml:space="preserve"> the battery for multiple cycles, simulating membranes and/or units from different suppliers. Finally, the </w:t>
      </w:r>
      <w:r w:rsidR="00456B4A" w:rsidRPr="005C3FE9">
        <w:rPr>
          <w:lang w:val="en-US" w:eastAsia="en-US"/>
        </w:rPr>
        <w:t>economic aspects</w:t>
      </w:r>
      <w:r w:rsidR="00C14CA2" w:rsidRPr="005C3FE9">
        <w:rPr>
          <w:lang w:val="en-US" w:eastAsia="en-US"/>
        </w:rPr>
        <w:t xml:space="preserve"> </w:t>
      </w:r>
      <w:r w:rsidR="00C14CA2" w:rsidRPr="005C3FE9">
        <w:rPr>
          <w:rStyle w:val="q4iawc"/>
          <w:lang w:val="en"/>
        </w:rPr>
        <w:t xml:space="preserve">will have to be </w:t>
      </w:r>
      <w:r w:rsidR="00387C35" w:rsidRPr="005C3FE9">
        <w:rPr>
          <w:rStyle w:val="q4iawc"/>
          <w:lang w:val="en"/>
        </w:rPr>
        <w:t>considered</w:t>
      </w:r>
      <w:r w:rsidR="00456B4A" w:rsidRPr="005C3FE9">
        <w:rPr>
          <w:lang w:val="en-US" w:eastAsia="en-US"/>
        </w:rPr>
        <w:t xml:space="preserve"> to identify cost-optimal solutions </w:t>
      </w:r>
      <w:r w:rsidR="000E51D2" w:rsidRPr="005C3FE9">
        <w:rPr>
          <w:lang w:val="en-US" w:eastAsia="en-US"/>
        </w:rPr>
        <w:t xml:space="preserve">for real-scale applications </w:t>
      </w:r>
      <w:proofErr w:type="spellStart"/>
      <w:r w:rsidR="00456B4A" w:rsidRPr="005C3FE9">
        <w:rPr>
          <w:lang w:val="en-US" w:eastAsia="en-US"/>
        </w:rPr>
        <w:t>minimi</w:t>
      </w:r>
      <w:r w:rsidR="008A0EAC">
        <w:rPr>
          <w:lang w:val="en-US" w:eastAsia="en-US"/>
        </w:rPr>
        <w:t>s</w:t>
      </w:r>
      <w:r w:rsidR="00456B4A" w:rsidRPr="005C3FE9">
        <w:rPr>
          <w:lang w:val="en-US" w:eastAsia="en-US"/>
        </w:rPr>
        <w:t>ing</w:t>
      </w:r>
      <w:proofErr w:type="spellEnd"/>
      <w:r w:rsidR="00456B4A" w:rsidRPr="005C3FE9">
        <w:rPr>
          <w:lang w:val="en-US" w:eastAsia="en-US"/>
        </w:rPr>
        <w:t xml:space="preserve"> the </w:t>
      </w:r>
      <w:proofErr w:type="spellStart"/>
      <w:r w:rsidR="00456B4A" w:rsidRPr="005C3FE9">
        <w:rPr>
          <w:lang w:val="en-US" w:eastAsia="en-US"/>
        </w:rPr>
        <w:t>leveli</w:t>
      </w:r>
      <w:r w:rsidR="00616EB1" w:rsidRPr="005C3FE9">
        <w:rPr>
          <w:lang w:val="en-US" w:eastAsia="en-US"/>
        </w:rPr>
        <w:t>s</w:t>
      </w:r>
      <w:r w:rsidR="00456B4A" w:rsidRPr="005C3FE9">
        <w:rPr>
          <w:lang w:val="en-US" w:eastAsia="en-US"/>
        </w:rPr>
        <w:t>ed</w:t>
      </w:r>
      <w:proofErr w:type="spellEnd"/>
      <w:r w:rsidR="00456B4A" w:rsidRPr="005C3FE9">
        <w:rPr>
          <w:lang w:val="en-US" w:eastAsia="en-US"/>
        </w:rPr>
        <w:t xml:space="preserve"> cost of storage, which </w:t>
      </w:r>
      <w:r w:rsidR="00616EB1" w:rsidRPr="005C3FE9">
        <w:rPr>
          <w:lang w:val="en-US" w:eastAsia="en-US"/>
        </w:rPr>
        <w:t>is the</w:t>
      </w:r>
      <w:r w:rsidR="00456B4A" w:rsidRPr="005C3FE9">
        <w:rPr>
          <w:lang w:val="en-US" w:eastAsia="en-US"/>
        </w:rPr>
        <w:t xml:space="preserve"> essential </w:t>
      </w:r>
      <w:r w:rsidR="00616EB1" w:rsidRPr="005C3FE9">
        <w:rPr>
          <w:lang w:val="en-US" w:eastAsia="en-US"/>
        </w:rPr>
        <w:t xml:space="preserve">objective function of practical interest </w:t>
      </w:r>
      <w:r w:rsidR="00456B4A" w:rsidRPr="005C3FE9">
        <w:rPr>
          <w:lang w:val="en-US" w:eastAsia="en-US"/>
        </w:rPr>
        <w:t xml:space="preserve">for the </w:t>
      </w:r>
      <w:r w:rsidR="00616EB1" w:rsidRPr="005C3FE9">
        <w:rPr>
          <w:lang w:val="en-US" w:eastAsia="en-US"/>
        </w:rPr>
        <w:t xml:space="preserve">assessment of the </w:t>
      </w:r>
      <w:r w:rsidR="00456B4A" w:rsidRPr="005C3FE9">
        <w:rPr>
          <w:lang w:val="en-US" w:eastAsia="en-US"/>
        </w:rPr>
        <w:t>AB-FB competitiveness</w:t>
      </w:r>
      <w:r w:rsidR="007F1A6D">
        <w:rPr>
          <w:lang w:val="en-US" w:eastAsia="en-US"/>
        </w:rPr>
        <w:t>.</w:t>
      </w:r>
      <w:r w:rsidR="009346BC" w:rsidRPr="005C3FE9">
        <w:rPr>
          <w:lang w:val="en-US"/>
        </w:rPr>
        <w:br w:type="page"/>
      </w:r>
    </w:p>
    <w:p w14:paraId="199C855B" w14:textId="77777777" w:rsidR="00041169" w:rsidRPr="005C3FE9" w:rsidRDefault="00041169" w:rsidP="00FE76AD">
      <w:pPr>
        <w:pStyle w:val="Titolo1"/>
        <w:numPr>
          <w:ilvl w:val="0"/>
          <w:numId w:val="0"/>
        </w:numPr>
        <w:spacing w:before="0"/>
      </w:pPr>
      <w:bookmarkStart w:id="33" w:name="_Toc58063795"/>
      <w:r w:rsidRPr="005C3FE9">
        <w:lastRenderedPageBreak/>
        <w:t>Acknowledgments</w:t>
      </w:r>
      <w:bookmarkEnd w:id="33"/>
    </w:p>
    <w:p w14:paraId="0B0566DD" w14:textId="77777777" w:rsidR="000B7406" w:rsidRPr="005C3FE9" w:rsidRDefault="00041169" w:rsidP="00FE76AD">
      <w:pPr>
        <w:rPr>
          <w:noProof/>
          <w:spacing w:val="-3"/>
          <w:lang w:val="en-GB"/>
        </w:rPr>
      </w:pPr>
      <w:r w:rsidRPr="005C3FE9">
        <w:rPr>
          <w:noProof/>
          <w:spacing w:val="-3"/>
          <w:lang w:val="en-GB"/>
        </w:rPr>
        <w:t>This work was performed in the framework of the BAoBaB project (</w:t>
      </w:r>
      <w:r w:rsidRPr="005C3FE9">
        <w:rPr>
          <w:i/>
          <w:iCs/>
          <w:noProof/>
          <w:spacing w:val="-3"/>
          <w:lang w:val="en-GB"/>
        </w:rPr>
        <w:t>Blue Acid/Base Battery: Storage and recovery of renewable electrical energy by reversible salt water dissociation</w:t>
      </w:r>
      <w:r w:rsidRPr="005C3FE9">
        <w:rPr>
          <w:noProof/>
          <w:spacing w:val="-3"/>
          <w:lang w:val="en-GB"/>
        </w:rPr>
        <w:t>). The BAoBaB project has received funding from the European Union’s Horizon 2020 Research and Innovation program under Grant Agreement no. 731187 (</w:t>
      </w:r>
      <w:hyperlink r:id="rId15" w:history="1">
        <w:r w:rsidR="00AE5530" w:rsidRPr="005C3FE9">
          <w:rPr>
            <w:rStyle w:val="Collegamentoipertestuale"/>
            <w:lang w:val="en-US"/>
          </w:rPr>
          <w:t>http://www.baobabproject.eu</w:t>
        </w:r>
      </w:hyperlink>
      <w:r w:rsidR="00495433" w:rsidRPr="005C3FE9">
        <w:rPr>
          <w:noProof/>
          <w:spacing w:val="-3"/>
          <w:lang w:val="en-GB"/>
        </w:rPr>
        <w:t>).</w:t>
      </w:r>
      <w:r w:rsidR="00C65427" w:rsidRPr="005C3FE9">
        <w:rPr>
          <w:noProof/>
          <w:spacing w:val="-3"/>
          <w:lang w:val="en-GB"/>
        </w:rPr>
        <w:t xml:space="preserve"> </w:t>
      </w:r>
    </w:p>
    <w:p w14:paraId="10927790" w14:textId="51698552" w:rsidR="00C65427" w:rsidRPr="005C3FE9" w:rsidRDefault="00C65427" w:rsidP="00FE76AD">
      <w:pPr>
        <w:rPr>
          <w:noProof/>
          <w:spacing w:val="-3"/>
          <w:lang w:val="en-US"/>
        </w:rPr>
      </w:pPr>
    </w:p>
    <w:p w14:paraId="54F11F0F" w14:textId="77777777" w:rsidR="005C3FE9" w:rsidRPr="005C3FE9" w:rsidRDefault="005C3FE9" w:rsidP="005C3FE9">
      <w:pPr>
        <w:pStyle w:val="Titolo1"/>
        <w:numPr>
          <w:ilvl w:val="0"/>
          <w:numId w:val="0"/>
        </w:numPr>
        <w:spacing w:before="0"/>
      </w:pPr>
      <w:bookmarkStart w:id="34" w:name="_Toc58063796"/>
      <w:bookmarkStart w:id="35" w:name="_Toc58063797"/>
      <w:r w:rsidRPr="005C3FE9">
        <w:t>Nomenclature</w:t>
      </w:r>
      <w:bookmarkEnd w:id="34"/>
    </w:p>
    <w:p w14:paraId="41416C8C" w14:textId="77777777" w:rsidR="005C3FE9" w:rsidRPr="005C3FE9" w:rsidRDefault="005C3FE9" w:rsidP="005C3FE9">
      <w:pPr>
        <w:tabs>
          <w:tab w:val="center" w:pos="4819"/>
        </w:tabs>
        <w:suppressAutoHyphens/>
        <w:rPr>
          <w:i/>
          <w:spacing w:val="-3"/>
          <w:u w:val="single"/>
        </w:rPr>
      </w:pPr>
      <w:r w:rsidRPr="005C3FE9">
        <w:rPr>
          <w:i/>
          <w:spacing w:val="-3"/>
          <w:u w:val="single"/>
        </w:rPr>
        <w:t>Symbols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00"/>
        <w:gridCol w:w="6370"/>
      </w:tblGrid>
      <w:tr w:rsidR="005C3FE9" w:rsidRPr="005C3FE9" w14:paraId="013BD50D" w14:textId="77777777" w:rsidTr="008A73C2">
        <w:tc>
          <w:tcPr>
            <w:tcW w:w="2700" w:type="dxa"/>
          </w:tcPr>
          <w:p w14:paraId="05EE187F"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b</m:t>
              </m:r>
            </m:oMath>
            <w:r w:rsidRPr="005C3FE9">
              <w:rPr>
                <w:rFonts w:ascii="Times New Roman" w:hAnsi="Times New Roman"/>
                <w:spacing w:val="-3"/>
                <w:lang w:val="en-US"/>
              </w:rPr>
              <w:t xml:space="preserve"> (m)</w:t>
            </w:r>
          </w:p>
        </w:tc>
        <w:tc>
          <w:tcPr>
            <w:tcW w:w="6370" w:type="dxa"/>
          </w:tcPr>
          <w:p w14:paraId="1A2E6740"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spacer width</w:t>
            </w:r>
          </w:p>
        </w:tc>
      </w:tr>
      <w:tr w:rsidR="005C3FE9" w:rsidRPr="005C3FE9" w14:paraId="653A189A" w14:textId="77777777" w:rsidTr="008A73C2">
        <w:tc>
          <w:tcPr>
            <w:tcW w:w="2700" w:type="dxa"/>
          </w:tcPr>
          <w:p w14:paraId="6F68FC2E"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C</m:t>
              </m:r>
            </m:oMath>
            <w:r w:rsidRPr="005C3FE9">
              <w:rPr>
                <w:rFonts w:ascii="Times New Roman" w:hAnsi="Times New Roman"/>
                <w:spacing w:val="-3"/>
                <w:lang w:val="en-US"/>
              </w:rPr>
              <w:t xml:space="preserve"> (mol m</w:t>
            </w:r>
            <w:r w:rsidRPr="005C3FE9">
              <w:rPr>
                <w:rFonts w:ascii="Times New Roman" w:hAnsi="Times New Roman"/>
                <w:spacing w:val="-3"/>
                <w:vertAlign w:val="superscript"/>
                <w:lang w:val="en-US"/>
              </w:rPr>
              <w:t>-3</w:t>
            </w:r>
            <w:r w:rsidRPr="005C3FE9">
              <w:rPr>
                <w:rFonts w:ascii="Times New Roman" w:hAnsi="Times New Roman"/>
                <w:spacing w:val="-3"/>
                <w:lang w:val="en-US"/>
              </w:rPr>
              <w:t>)</w:t>
            </w:r>
          </w:p>
        </w:tc>
        <w:tc>
          <w:tcPr>
            <w:tcW w:w="6370" w:type="dxa"/>
          </w:tcPr>
          <w:p w14:paraId="299F7437"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molar concentration</w:t>
            </w:r>
          </w:p>
        </w:tc>
      </w:tr>
      <w:tr w:rsidR="005C3FE9" w:rsidRPr="005C3FE9" w14:paraId="67073767" w14:textId="77777777" w:rsidTr="008A73C2">
        <w:tc>
          <w:tcPr>
            <w:tcW w:w="2700" w:type="dxa"/>
          </w:tcPr>
          <w:p w14:paraId="00CEB5C0" w14:textId="77777777" w:rsidR="005C3FE9" w:rsidRPr="005C3FE9" w:rsidRDefault="005C3FE9" w:rsidP="008A73C2">
            <w:pPr>
              <w:tabs>
                <w:tab w:val="center" w:pos="4819"/>
              </w:tabs>
              <w:suppressAutoHyphens/>
              <w:spacing w:line="240" w:lineRule="auto"/>
              <w:ind w:firstLine="0"/>
              <w:rPr>
                <w:spacing w:val="-3"/>
                <w:lang w:val="en-US"/>
              </w:rPr>
            </w:pPr>
            <m:oMath>
              <m:r>
                <w:rPr>
                  <w:rFonts w:ascii="Cambria Math" w:hAnsi="Cambria Math"/>
                  <w:spacing w:val="-3"/>
                  <w:lang w:val="en-US"/>
                </w:rPr>
                <m:t>d</m:t>
              </m:r>
            </m:oMath>
            <w:r w:rsidRPr="005C3FE9">
              <w:rPr>
                <w:rFonts w:ascii="Times New Roman" w:hAnsi="Times New Roman"/>
                <w:spacing w:val="-3"/>
                <w:lang w:val="en-US"/>
              </w:rPr>
              <w:t xml:space="preserve"> (µm)</w:t>
            </w:r>
          </w:p>
        </w:tc>
        <w:tc>
          <w:tcPr>
            <w:tcW w:w="6370" w:type="dxa"/>
          </w:tcPr>
          <w:p w14:paraId="151F2626" w14:textId="77777777" w:rsidR="005C3FE9" w:rsidRPr="005C3FE9" w:rsidRDefault="005C3FE9" w:rsidP="008A73C2">
            <w:pPr>
              <w:tabs>
                <w:tab w:val="center" w:pos="4819"/>
              </w:tabs>
              <w:suppressAutoHyphens/>
              <w:spacing w:line="240" w:lineRule="auto"/>
              <w:ind w:firstLine="0"/>
              <w:rPr>
                <w:spacing w:val="-3"/>
                <w:lang w:val="en-US"/>
              </w:rPr>
            </w:pPr>
            <w:r w:rsidRPr="005C3FE9">
              <w:rPr>
                <w:rFonts w:ascii="Times New Roman" w:hAnsi="Times New Roman"/>
                <w:spacing w:val="-3"/>
                <w:lang w:val="en-US"/>
              </w:rPr>
              <w:t>membrane thickness</w:t>
            </w:r>
          </w:p>
        </w:tc>
      </w:tr>
      <w:tr w:rsidR="005C3FE9" w:rsidRPr="005C3FE9" w14:paraId="7258A54F" w14:textId="77777777" w:rsidTr="008A73C2">
        <w:tc>
          <w:tcPr>
            <w:tcW w:w="2700" w:type="dxa"/>
          </w:tcPr>
          <w:p w14:paraId="1AE54738" w14:textId="77777777" w:rsidR="005C3FE9" w:rsidRPr="005C3FE9" w:rsidRDefault="00000000" w:rsidP="008A73C2">
            <w:pPr>
              <w:tabs>
                <w:tab w:val="center" w:pos="4819"/>
              </w:tabs>
              <w:suppressAutoHyphens/>
              <w:spacing w:line="240" w:lineRule="auto"/>
              <w:ind w:firstLine="0"/>
              <w:rPr>
                <w:rFonts w:ascii="Times New Roman" w:hAnsi="Times New Roman"/>
                <w:lang w:val="en-US"/>
              </w:rPr>
            </w:pPr>
            <m:oMath>
              <m:sSub>
                <m:sSubPr>
                  <m:ctrlPr>
                    <w:rPr>
                      <w:rFonts w:ascii="Cambria Math" w:hAnsi="Cambria Math"/>
                      <w:i/>
                      <w:spacing w:val="-3"/>
                      <w:lang w:val="en-US"/>
                    </w:rPr>
                  </m:ctrlPr>
                </m:sSubPr>
                <m:e>
                  <m:r>
                    <w:rPr>
                      <w:rFonts w:ascii="Cambria Math" w:hAnsi="Cambria Math"/>
                      <w:spacing w:val="-3"/>
                      <w:lang w:val="en-US"/>
                    </w:rPr>
                    <m:t>d</m:t>
                  </m:r>
                </m:e>
                <m:sub>
                  <m:r>
                    <w:rPr>
                      <w:rFonts w:ascii="Cambria Math" w:hAnsi="Cambria Math"/>
                      <w:spacing w:val="-3"/>
                      <w:lang w:val="en-US"/>
                    </w:rPr>
                    <m:t>s</m:t>
                  </m:r>
                </m:sub>
              </m:sSub>
            </m:oMath>
            <w:r w:rsidR="005C3FE9" w:rsidRPr="005C3FE9">
              <w:rPr>
                <w:rFonts w:ascii="Times New Roman" w:hAnsi="Times New Roman"/>
                <w:spacing w:val="-3"/>
                <w:lang w:val="en-US"/>
              </w:rPr>
              <w:t xml:space="preserve"> (µm)</w:t>
            </w:r>
          </w:p>
        </w:tc>
        <w:tc>
          <w:tcPr>
            <w:tcW w:w="6370" w:type="dxa"/>
          </w:tcPr>
          <w:p w14:paraId="68E9F493"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spacer thickness</w:t>
            </w:r>
          </w:p>
        </w:tc>
      </w:tr>
      <w:tr w:rsidR="005C3FE9" w:rsidRPr="005C3FE9" w14:paraId="77B61C55" w14:textId="77777777" w:rsidTr="008A73C2">
        <w:tc>
          <w:tcPr>
            <w:tcW w:w="2700" w:type="dxa"/>
          </w:tcPr>
          <w:p w14:paraId="4DCAB5D8"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D</m:t>
              </m:r>
            </m:oMath>
            <w:r w:rsidRPr="005C3FE9">
              <w:rPr>
                <w:rFonts w:ascii="Times New Roman" w:hAnsi="Times New Roman"/>
                <w:spacing w:val="-3"/>
                <w:lang w:val="en-US"/>
              </w:rPr>
              <w:t xml:space="preserve"> (m</w:t>
            </w:r>
            <w:r w:rsidRPr="005C3FE9">
              <w:rPr>
                <w:rFonts w:ascii="Times New Roman" w:hAnsi="Times New Roman"/>
                <w:spacing w:val="-3"/>
                <w:vertAlign w:val="superscript"/>
                <w:lang w:val="en-US"/>
              </w:rPr>
              <w:t>2</w:t>
            </w:r>
            <w:r w:rsidRPr="005C3FE9">
              <w:rPr>
                <w:rFonts w:ascii="Times New Roman" w:hAnsi="Times New Roman"/>
                <w:spacing w:val="-3"/>
                <w:lang w:val="en-US"/>
              </w:rPr>
              <w:t xml:space="preserve"> s</w:t>
            </w:r>
            <w:r w:rsidRPr="005C3FE9">
              <w:rPr>
                <w:rFonts w:ascii="Times New Roman" w:hAnsi="Times New Roman"/>
                <w:spacing w:val="-3"/>
                <w:vertAlign w:val="superscript"/>
                <w:lang w:val="en-US"/>
              </w:rPr>
              <w:t>-1</w:t>
            </w:r>
            <w:r w:rsidRPr="005C3FE9">
              <w:rPr>
                <w:rFonts w:ascii="Times New Roman" w:hAnsi="Times New Roman"/>
                <w:spacing w:val="-3"/>
                <w:lang w:val="en-US"/>
              </w:rPr>
              <w:t>)</w:t>
            </w:r>
          </w:p>
        </w:tc>
        <w:tc>
          <w:tcPr>
            <w:tcW w:w="6370" w:type="dxa"/>
          </w:tcPr>
          <w:p w14:paraId="74AEF9E8"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diffusion coefficient</w:t>
            </w:r>
          </w:p>
        </w:tc>
      </w:tr>
      <w:tr w:rsidR="005C3FE9" w:rsidRPr="005C3FE9" w14:paraId="14730FCD" w14:textId="77777777" w:rsidTr="008A73C2">
        <w:tc>
          <w:tcPr>
            <w:tcW w:w="2700" w:type="dxa"/>
          </w:tcPr>
          <w:p w14:paraId="2069EE2E"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EMF</m:t>
              </m:r>
            </m:oMath>
            <w:r w:rsidRPr="005C3FE9">
              <w:rPr>
                <w:rFonts w:ascii="Times New Roman" w:hAnsi="Times New Roman"/>
                <w:spacing w:val="-3"/>
                <w:lang w:val="en-US"/>
              </w:rPr>
              <w:t xml:space="preserve"> (V)</w:t>
            </w:r>
          </w:p>
        </w:tc>
        <w:tc>
          <w:tcPr>
            <w:tcW w:w="6370" w:type="dxa"/>
          </w:tcPr>
          <w:p w14:paraId="1AE31396"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Nernst potential</w:t>
            </w:r>
          </w:p>
        </w:tc>
      </w:tr>
      <w:tr w:rsidR="005C3FE9" w:rsidRPr="005C3FE9" w14:paraId="29A4C674" w14:textId="77777777" w:rsidTr="008A73C2">
        <w:tc>
          <w:tcPr>
            <w:tcW w:w="2700" w:type="dxa"/>
          </w:tcPr>
          <w:p w14:paraId="1D31E8B1"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f</m:t>
              </m:r>
            </m:oMath>
            <w:r w:rsidRPr="005C3FE9">
              <w:rPr>
                <w:rFonts w:ascii="Times New Roman" w:hAnsi="Times New Roman"/>
                <w:spacing w:val="-3"/>
                <w:lang w:val="en-US"/>
              </w:rPr>
              <w:t xml:space="preserve"> </w:t>
            </w:r>
          </w:p>
        </w:tc>
        <w:tc>
          <w:tcPr>
            <w:tcW w:w="6370" w:type="dxa"/>
          </w:tcPr>
          <w:p w14:paraId="1EB89124"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objective functions vector</w:t>
            </w:r>
          </w:p>
        </w:tc>
      </w:tr>
      <w:tr w:rsidR="005C3FE9" w:rsidRPr="005C3FE9" w14:paraId="0459C9D0" w14:textId="77777777" w:rsidTr="008A73C2">
        <w:tc>
          <w:tcPr>
            <w:tcW w:w="2700" w:type="dxa"/>
          </w:tcPr>
          <w:p w14:paraId="315E28B5"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F</m:t>
              </m:r>
            </m:oMath>
            <w:r w:rsidRPr="005C3FE9">
              <w:rPr>
                <w:rFonts w:ascii="Times New Roman" w:hAnsi="Times New Roman"/>
                <w:spacing w:val="-3"/>
                <w:lang w:val="en-US"/>
              </w:rPr>
              <w:t xml:space="preserve"> (C mol</w:t>
            </w:r>
            <w:r w:rsidRPr="005C3FE9">
              <w:rPr>
                <w:rFonts w:ascii="Times New Roman" w:hAnsi="Times New Roman"/>
                <w:spacing w:val="-3"/>
                <w:vertAlign w:val="superscript"/>
                <w:lang w:val="en-US"/>
              </w:rPr>
              <w:t>-1</w:t>
            </w:r>
            <w:r w:rsidRPr="005C3FE9">
              <w:rPr>
                <w:rFonts w:ascii="Times New Roman" w:hAnsi="Times New Roman"/>
                <w:spacing w:val="-3"/>
                <w:lang w:val="en-US"/>
              </w:rPr>
              <w:t>)</w:t>
            </w:r>
          </w:p>
        </w:tc>
        <w:tc>
          <w:tcPr>
            <w:tcW w:w="6370" w:type="dxa"/>
          </w:tcPr>
          <w:p w14:paraId="044C760F"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Faraday constant</w:t>
            </w:r>
          </w:p>
        </w:tc>
      </w:tr>
      <w:tr w:rsidR="005C3FE9" w:rsidRPr="005C3FE9" w14:paraId="2D2CB4F8" w14:textId="77777777" w:rsidTr="008A73C2">
        <w:tc>
          <w:tcPr>
            <w:tcW w:w="2700" w:type="dxa"/>
          </w:tcPr>
          <w:p w14:paraId="039FD20F"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g</m:t>
              </m:r>
            </m:oMath>
            <w:r w:rsidRPr="005C3FE9">
              <w:rPr>
                <w:rFonts w:ascii="Times New Roman" w:hAnsi="Times New Roman"/>
                <w:spacing w:val="-3"/>
                <w:lang w:val="en-US"/>
              </w:rPr>
              <w:t xml:space="preserve"> </w:t>
            </w:r>
          </w:p>
        </w:tc>
        <w:tc>
          <w:tcPr>
            <w:tcW w:w="6370" w:type="dxa"/>
          </w:tcPr>
          <w:p w14:paraId="254A4458"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inequality constraint function</w:t>
            </w:r>
          </w:p>
        </w:tc>
      </w:tr>
      <w:tr w:rsidR="005C3FE9" w:rsidRPr="005C3FE9" w14:paraId="4CC6B0B7" w14:textId="77777777" w:rsidTr="008A73C2">
        <w:tc>
          <w:tcPr>
            <w:tcW w:w="2700" w:type="dxa"/>
          </w:tcPr>
          <w:p w14:paraId="27274F22" w14:textId="77777777" w:rsidR="005C3FE9" w:rsidRPr="005C3FE9" w:rsidRDefault="005C3FE9" w:rsidP="008A73C2">
            <w:pPr>
              <w:tabs>
                <w:tab w:val="center" w:pos="4819"/>
              </w:tabs>
              <w:suppressAutoHyphens/>
              <w:spacing w:line="240" w:lineRule="auto"/>
              <w:ind w:firstLine="0"/>
              <w:rPr>
                <w:spacing w:val="-3"/>
                <w:lang w:val="en-US"/>
              </w:rPr>
            </w:pPr>
            <m:oMath>
              <m:r>
                <w:rPr>
                  <w:rFonts w:ascii="Cambria Math" w:eastAsia="Times New Roman" w:hAnsi="Cambria Math"/>
                  <w:lang w:val="en-GB" w:eastAsia="it-IT"/>
                </w:rPr>
                <m:t>GPD</m:t>
              </m:r>
            </m:oMath>
            <w:r w:rsidRPr="005C3FE9">
              <w:rPr>
                <w:rFonts w:ascii="Times New Roman" w:hAnsi="Times New Roman"/>
                <w:spacing w:val="-3"/>
                <w:lang w:val="en-US"/>
              </w:rPr>
              <w:t xml:space="preserve"> (W m</w:t>
            </w:r>
            <w:r w:rsidRPr="005C3FE9">
              <w:rPr>
                <w:rFonts w:ascii="Times New Roman" w:hAnsi="Times New Roman"/>
                <w:spacing w:val="-3"/>
                <w:vertAlign w:val="superscript"/>
                <w:lang w:val="en-US"/>
              </w:rPr>
              <w:t>-2</w:t>
            </w:r>
            <w:r w:rsidRPr="005C3FE9">
              <w:rPr>
                <w:rFonts w:ascii="Times New Roman" w:hAnsi="Times New Roman"/>
                <w:spacing w:val="-3"/>
                <w:lang w:val="en-US"/>
              </w:rPr>
              <w:t>)</w:t>
            </w:r>
          </w:p>
        </w:tc>
        <w:tc>
          <w:tcPr>
            <w:tcW w:w="6370" w:type="dxa"/>
          </w:tcPr>
          <w:p w14:paraId="2A13984E" w14:textId="77777777" w:rsidR="005C3FE9" w:rsidRPr="005C3FE9" w:rsidRDefault="005C3FE9" w:rsidP="008A73C2">
            <w:pPr>
              <w:tabs>
                <w:tab w:val="center" w:pos="4819"/>
              </w:tabs>
              <w:suppressAutoHyphens/>
              <w:spacing w:line="240" w:lineRule="auto"/>
              <w:ind w:firstLine="0"/>
              <w:rPr>
                <w:spacing w:val="-3"/>
                <w:lang w:val="en-US"/>
              </w:rPr>
            </w:pPr>
            <w:r w:rsidRPr="005C3FE9">
              <w:rPr>
                <w:rFonts w:ascii="Times New Roman" w:hAnsi="Times New Roman"/>
                <w:spacing w:val="-3"/>
                <w:lang w:val="en-US"/>
              </w:rPr>
              <w:t>Gross Power Density</w:t>
            </w:r>
          </w:p>
        </w:tc>
      </w:tr>
      <w:tr w:rsidR="005C3FE9" w:rsidRPr="005C3FE9" w14:paraId="44642F3C" w14:textId="77777777" w:rsidTr="008A73C2">
        <w:tc>
          <w:tcPr>
            <w:tcW w:w="2700" w:type="dxa"/>
          </w:tcPr>
          <w:p w14:paraId="7D764826"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h</m:t>
              </m:r>
            </m:oMath>
            <w:r w:rsidRPr="005C3FE9">
              <w:rPr>
                <w:rFonts w:ascii="Times New Roman" w:hAnsi="Times New Roman"/>
                <w:spacing w:val="-3"/>
                <w:lang w:val="en-US"/>
              </w:rPr>
              <w:t xml:space="preserve"> </w:t>
            </w:r>
          </w:p>
        </w:tc>
        <w:tc>
          <w:tcPr>
            <w:tcW w:w="6370" w:type="dxa"/>
          </w:tcPr>
          <w:p w14:paraId="3DBADAAF"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equality constraint function</w:t>
            </w:r>
          </w:p>
        </w:tc>
      </w:tr>
      <w:tr w:rsidR="005C3FE9" w:rsidRPr="005C3FE9" w14:paraId="607EAAA6" w14:textId="77777777" w:rsidTr="008A73C2">
        <w:tc>
          <w:tcPr>
            <w:tcW w:w="2700" w:type="dxa"/>
          </w:tcPr>
          <w:p w14:paraId="5274EB76"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eastAsia="Times New Roman" w:hAnsi="Cambria Math"/>
                  <w:lang w:val="en-GB" w:eastAsia="it-IT"/>
                </w:rPr>
                <m:t>i</m:t>
              </m:r>
            </m:oMath>
            <w:r w:rsidRPr="005C3FE9">
              <w:rPr>
                <w:rFonts w:ascii="Times New Roman" w:hAnsi="Times New Roman"/>
                <w:spacing w:val="-3"/>
                <w:lang w:val="en-US"/>
              </w:rPr>
              <w:t xml:space="preserve"> (A m</w:t>
            </w:r>
            <w:r w:rsidRPr="005C3FE9">
              <w:rPr>
                <w:rFonts w:ascii="Times New Roman" w:hAnsi="Times New Roman"/>
                <w:spacing w:val="-3"/>
                <w:vertAlign w:val="superscript"/>
                <w:lang w:val="en-US"/>
              </w:rPr>
              <w:t>-2</w:t>
            </w:r>
            <w:r w:rsidRPr="005C3FE9">
              <w:rPr>
                <w:rFonts w:ascii="Times New Roman" w:hAnsi="Times New Roman"/>
                <w:spacing w:val="-3"/>
                <w:lang w:val="en-US"/>
              </w:rPr>
              <w:t>)</w:t>
            </w:r>
          </w:p>
        </w:tc>
        <w:tc>
          <w:tcPr>
            <w:tcW w:w="6370" w:type="dxa"/>
          </w:tcPr>
          <w:p w14:paraId="6A79DF76"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current density</w:t>
            </w:r>
          </w:p>
        </w:tc>
      </w:tr>
      <w:tr w:rsidR="005C3FE9" w:rsidRPr="005C3FE9" w14:paraId="0A17C208" w14:textId="77777777" w:rsidTr="008A73C2">
        <w:tc>
          <w:tcPr>
            <w:tcW w:w="2700" w:type="dxa"/>
          </w:tcPr>
          <w:p w14:paraId="76659B03"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L</m:t>
              </m:r>
            </m:oMath>
            <w:r w:rsidRPr="005C3FE9">
              <w:rPr>
                <w:rFonts w:ascii="Times New Roman" w:hAnsi="Times New Roman"/>
                <w:spacing w:val="-3"/>
                <w:lang w:val="en-US"/>
              </w:rPr>
              <w:t xml:space="preserve"> (m)</w:t>
            </w:r>
          </w:p>
        </w:tc>
        <w:tc>
          <w:tcPr>
            <w:tcW w:w="6370" w:type="dxa"/>
          </w:tcPr>
          <w:p w14:paraId="32F8B3D5"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spacer length</w:t>
            </w:r>
          </w:p>
        </w:tc>
      </w:tr>
      <w:tr w:rsidR="005C3FE9" w:rsidRPr="005C3FE9" w14:paraId="51CD5D1E" w14:textId="77777777" w:rsidTr="008A73C2">
        <w:tc>
          <w:tcPr>
            <w:tcW w:w="2700" w:type="dxa"/>
          </w:tcPr>
          <w:p w14:paraId="4C7B639A" w14:textId="77777777" w:rsidR="005C3FE9" w:rsidRPr="005C3FE9" w:rsidRDefault="00000000" w:rsidP="008A73C2">
            <w:pPr>
              <w:tabs>
                <w:tab w:val="center" w:pos="4819"/>
              </w:tabs>
              <w:suppressAutoHyphens/>
              <w:spacing w:line="240" w:lineRule="auto"/>
              <w:ind w:firstLine="0"/>
              <w:rPr>
                <w:rFonts w:ascii="Times New Roman" w:hAnsi="Times New Roman"/>
                <w:spacing w:val="-3"/>
                <w:lang w:val="en-US"/>
              </w:rPr>
            </w:pPr>
            <m:oMath>
              <m:sSub>
                <m:sSubPr>
                  <m:ctrlPr>
                    <w:rPr>
                      <w:rFonts w:ascii="Cambria Math" w:hAnsi="Cambria Math"/>
                      <w:spacing w:val="-3"/>
                      <w:lang w:val="en-US"/>
                    </w:rPr>
                  </m:ctrlPr>
                </m:sSubPr>
                <m:e>
                  <m:r>
                    <w:rPr>
                      <w:rFonts w:ascii="Cambria Math" w:hAnsi="Cambria Math"/>
                      <w:spacing w:val="-3"/>
                      <w:lang w:val="en-US"/>
                    </w:rPr>
                    <m:t>L</m:t>
                  </m:r>
                </m:e>
                <m:sub>
                  <m:r>
                    <w:rPr>
                      <w:rFonts w:ascii="Cambria Math" w:hAnsi="Cambria Math"/>
                      <w:spacing w:val="-3"/>
                      <w:lang w:val="en-US"/>
                    </w:rPr>
                    <m:t>p</m:t>
                  </m:r>
                </m:sub>
              </m:sSub>
            </m:oMath>
            <w:r w:rsidR="005C3FE9" w:rsidRPr="005C3FE9">
              <w:rPr>
                <w:rFonts w:ascii="Times New Roman" w:hAnsi="Times New Roman"/>
                <w:spacing w:val="-3"/>
                <w:lang w:val="en-US"/>
              </w:rPr>
              <w:t xml:space="preserve"> (ml m</w:t>
            </w:r>
            <w:r w:rsidR="005C3FE9" w:rsidRPr="005C3FE9">
              <w:rPr>
                <w:rFonts w:ascii="Times New Roman" w:hAnsi="Times New Roman"/>
                <w:spacing w:val="-3"/>
                <w:vertAlign w:val="superscript"/>
                <w:lang w:val="en-US"/>
              </w:rPr>
              <w:t>-2</w:t>
            </w:r>
            <w:r w:rsidR="005C3FE9" w:rsidRPr="005C3FE9">
              <w:rPr>
                <w:rFonts w:ascii="Times New Roman" w:hAnsi="Times New Roman"/>
                <w:spacing w:val="-3"/>
                <w:lang w:val="en-US"/>
              </w:rPr>
              <w:t xml:space="preserve"> h</w:t>
            </w:r>
            <w:r w:rsidR="005C3FE9" w:rsidRPr="005C3FE9">
              <w:rPr>
                <w:rFonts w:ascii="Times New Roman" w:hAnsi="Times New Roman"/>
                <w:spacing w:val="-3"/>
                <w:vertAlign w:val="superscript"/>
                <w:lang w:val="en-US"/>
              </w:rPr>
              <w:t>-1</w:t>
            </w:r>
            <w:r w:rsidR="005C3FE9" w:rsidRPr="005C3FE9">
              <w:rPr>
                <w:rFonts w:ascii="Times New Roman" w:hAnsi="Times New Roman"/>
                <w:spacing w:val="-3"/>
                <w:lang w:val="en-US"/>
              </w:rPr>
              <w:t xml:space="preserve"> bar)</w:t>
            </w:r>
          </w:p>
        </w:tc>
        <w:tc>
          <w:tcPr>
            <w:tcW w:w="6370" w:type="dxa"/>
          </w:tcPr>
          <w:p w14:paraId="34A8FBB7"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osmotic permeability</w:t>
            </w:r>
          </w:p>
        </w:tc>
      </w:tr>
      <w:tr w:rsidR="005C3FE9" w:rsidRPr="005C3FE9" w14:paraId="542564B5" w14:textId="77777777" w:rsidTr="008A73C2">
        <w:tc>
          <w:tcPr>
            <w:tcW w:w="2700" w:type="dxa"/>
          </w:tcPr>
          <w:p w14:paraId="4E7A263C"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N</m:t>
              </m:r>
            </m:oMath>
            <w:r w:rsidRPr="005C3FE9">
              <w:rPr>
                <w:rFonts w:ascii="Times New Roman" w:hAnsi="Times New Roman"/>
                <w:spacing w:val="-3"/>
                <w:lang w:val="en-US"/>
              </w:rPr>
              <w:t xml:space="preserve"> (-)</w:t>
            </w:r>
          </w:p>
        </w:tc>
        <w:tc>
          <w:tcPr>
            <w:tcW w:w="6370" w:type="dxa"/>
          </w:tcPr>
          <w:p w14:paraId="3F199993"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number of triplets</w:t>
            </w:r>
          </w:p>
        </w:tc>
      </w:tr>
      <w:tr w:rsidR="005C3FE9" w:rsidRPr="005C3FE9" w14:paraId="18A1AB5E" w14:textId="77777777" w:rsidTr="008A73C2">
        <w:tc>
          <w:tcPr>
            <w:tcW w:w="2700" w:type="dxa"/>
          </w:tcPr>
          <w:p w14:paraId="39955875" w14:textId="77777777" w:rsidR="005C3FE9" w:rsidRPr="005C3FE9" w:rsidRDefault="00000000" w:rsidP="008A73C2">
            <w:pPr>
              <w:tabs>
                <w:tab w:val="center" w:pos="4819"/>
              </w:tabs>
              <w:suppressAutoHyphens/>
              <w:spacing w:line="240" w:lineRule="auto"/>
              <w:ind w:firstLine="0"/>
              <w:rPr>
                <w:rFonts w:ascii="Times New Roman" w:hAnsi="Times New Roman"/>
                <w:spacing w:val="-3"/>
                <w:lang w:val="en-US"/>
              </w:rPr>
            </w:pPr>
            <m:oMath>
              <m:sSub>
                <m:sSubPr>
                  <m:ctrlPr>
                    <w:rPr>
                      <w:rFonts w:ascii="Cambria Math" w:hAnsi="Cambria Math"/>
                      <w:i/>
                      <w:spacing w:val="-3"/>
                      <w:lang w:val="en-US"/>
                    </w:rPr>
                  </m:ctrlPr>
                </m:sSubPr>
                <m:e>
                  <m:r>
                    <w:rPr>
                      <w:rFonts w:ascii="Cambria Math" w:hAnsi="Cambria Math"/>
                      <w:spacing w:val="-3"/>
                      <w:lang w:val="en-US"/>
                    </w:rPr>
                    <m:t>N</m:t>
                  </m:r>
                </m:e>
                <m:sub>
                  <m:r>
                    <w:rPr>
                      <w:rFonts w:ascii="Cambria Math" w:hAnsi="Cambria Math"/>
                      <w:spacing w:val="-3"/>
                      <w:lang w:val="en-US"/>
                    </w:rPr>
                    <m:t>holes</m:t>
                  </m:r>
                </m:sub>
              </m:sSub>
            </m:oMath>
            <w:r w:rsidR="005C3FE9" w:rsidRPr="005C3FE9">
              <w:rPr>
                <w:rFonts w:ascii="Times New Roman" w:hAnsi="Times New Roman"/>
                <w:spacing w:val="-3"/>
                <w:lang w:val="en-US"/>
              </w:rPr>
              <w:t xml:space="preserve"> (-)</w:t>
            </w:r>
          </w:p>
        </w:tc>
        <w:tc>
          <w:tcPr>
            <w:tcW w:w="6370" w:type="dxa"/>
          </w:tcPr>
          <w:p w14:paraId="316F5F24"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number of spacer holes</w:t>
            </w:r>
          </w:p>
        </w:tc>
      </w:tr>
      <w:tr w:rsidR="005C3FE9" w:rsidRPr="00DE3837" w14:paraId="28CC5029" w14:textId="77777777" w:rsidTr="008A73C2">
        <w:tc>
          <w:tcPr>
            <w:tcW w:w="2700" w:type="dxa"/>
          </w:tcPr>
          <w:p w14:paraId="0D37ECF9" w14:textId="77777777" w:rsidR="005C3FE9" w:rsidRPr="005C3FE9" w:rsidRDefault="00000000" w:rsidP="008A73C2">
            <w:pPr>
              <w:tabs>
                <w:tab w:val="center" w:pos="4819"/>
              </w:tabs>
              <w:suppressAutoHyphens/>
              <w:spacing w:line="240" w:lineRule="auto"/>
              <w:ind w:firstLine="0"/>
              <w:rPr>
                <w:spacing w:val="-3"/>
                <w:lang w:val="en-US"/>
              </w:rPr>
            </w:pPr>
            <m:oMath>
              <m:sSub>
                <m:sSubPr>
                  <m:ctrlPr>
                    <w:rPr>
                      <w:rFonts w:ascii="Cambria Math" w:hAnsi="Cambria Math"/>
                      <w:i/>
                      <w:spacing w:val="-3"/>
                      <w:lang w:val="en-US"/>
                    </w:rPr>
                  </m:ctrlPr>
                </m:sSubPr>
                <m:e>
                  <m:r>
                    <w:rPr>
                      <w:rFonts w:ascii="Cambria Math" w:hAnsi="Cambria Math"/>
                      <w:spacing w:val="-3"/>
                      <w:lang w:val="en-US"/>
                    </w:rPr>
                    <m:t>NED</m:t>
                  </m:r>
                </m:e>
                <m:sub>
                  <m:r>
                    <w:rPr>
                      <w:rFonts w:ascii="Cambria Math" w:hAnsi="Cambria Math"/>
                      <w:spacing w:val="-3"/>
                      <w:lang w:val="en-US"/>
                    </w:rPr>
                    <m:t>v,th</m:t>
                  </m:r>
                </m:sub>
              </m:sSub>
            </m:oMath>
            <w:r w:rsidR="005C3FE9" w:rsidRPr="005C3FE9">
              <w:rPr>
                <w:rFonts w:ascii="Times New Roman" w:hAnsi="Times New Roman"/>
                <w:spacing w:val="-3"/>
                <w:lang w:val="en-US"/>
              </w:rPr>
              <w:t xml:space="preserve"> (kWh kg</w:t>
            </w:r>
            <w:r w:rsidR="005C3FE9" w:rsidRPr="005C3FE9">
              <w:rPr>
                <w:rFonts w:ascii="Times New Roman" w:hAnsi="Times New Roman"/>
                <w:spacing w:val="-3"/>
                <w:vertAlign w:val="superscript"/>
                <w:lang w:val="en-US"/>
              </w:rPr>
              <w:t>-1</w:t>
            </w:r>
            <w:r w:rsidR="005C3FE9" w:rsidRPr="005C3FE9">
              <w:rPr>
                <w:rFonts w:ascii="Times New Roman" w:hAnsi="Times New Roman"/>
                <w:spacing w:val="-3"/>
                <w:lang w:val="en-US"/>
              </w:rPr>
              <w:t>)</w:t>
            </w:r>
          </w:p>
        </w:tc>
        <w:tc>
          <w:tcPr>
            <w:tcW w:w="6370" w:type="dxa"/>
          </w:tcPr>
          <w:p w14:paraId="358ACC4C"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theoretical net discharge energy density</w:t>
            </w:r>
          </w:p>
        </w:tc>
      </w:tr>
      <w:tr w:rsidR="005C3FE9" w:rsidRPr="00DE3837" w14:paraId="4CDEF9B4" w14:textId="77777777" w:rsidTr="008A73C2">
        <w:tc>
          <w:tcPr>
            <w:tcW w:w="2700" w:type="dxa"/>
          </w:tcPr>
          <w:p w14:paraId="412BF27C" w14:textId="77777777" w:rsidR="005C3FE9" w:rsidRPr="005C3FE9" w:rsidRDefault="00000000" w:rsidP="008A73C2">
            <w:pPr>
              <w:tabs>
                <w:tab w:val="center" w:pos="4819"/>
              </w:tabs>
              <w:suppressAutoHyphens/>
              <w:spacing w:line="240" w:lineRule="auto"/>
              <w:ind w:firstLine="0"/>
              <w:rPr>
                <w:spacing w:val="-3"/>
                <w:lang w:val="en-US"/>
              </w:rPr>
            </w:pPr>
            <m:oMath>
              <m:sSub>
                <m:sSubPr>
                  <m:ctrlPr>
                    <w:rPr>
                      <w:rFonts w:ascii="Cambria Math" w:hAnsi="Cambria Math"/>
                      <w:i/>
                      <w:spacing w:val="-3"/>
                      <w:lang w:val="en-US"/>
                    </w:rPr>
                  </m:ctrlPr>
                </m:sSubPr>
                <m:e>
                  <m:r>
                    <w:rPr>
                      <w:rFonts w:ascii="Cambria Math" w:hAnsi="Cambria Math"/>
                      <w:spacing w:val="-3"/>
                      <w:lang w:val="en-US"/>
                    </w:rPr>
                    <m:t>NED</m:t>
                  </m:r>
                </m:e>
                <m:sub>
                  <m:r>
                    <w:rPr>
                      <w:rFonts w:ascii="Cambria Math" w:hAnsi="Cambria Math"/>
                      <w:spacing w:val="-3"/>
                      <w:lang w:val="en-US"/>
                    </w:rPr>
                    <m:t>v</m:t>
                  </m:r>
                </m:sub>
              </m:sSub>
            </m:oMath>
            <w:r w:rsidR="005C3FE9" w:rsidRPr="005C3FE9">
              <w:rPr>
                <w:rFonts w:ascii="Times New Roman" w:hAnsi="Times New Roman"/>
                <w:spacing w:val="-3"/>
                <w:lang w:val="en-US"/>
              </w:rPr>
              <w:t xml:space="preserve"> (kWh kg</w:t>
            </w:r>
            <w:r w:rsidR="005C3FE9" w:rsidRPr="005C3FE9">
              <w:rPr>
                <w:rFonts w:ascii="Times New Roman" w:hAnsi="Times New Roman"/>
                <w:spacing w:val="-3"/>
                <w:vertAlign w:val="superscript"/>
                <w:lang w:val="en-US"/>
              </w:rPr>
              <w:t>-1</w:t>
            </w:r>
            <w:r w:rsidR="005C3FE9" w:rsidRPr="005C3FE9">
              <w:rPr>
                <w:rFonts w:ascii="Times New Roman" w:hAnsi="Times New Roman"/>
                <w:spacing w:val="-3"/>
                <w:lang w:val="en-US"/>
              </w:rPr>
              <w:t>)</w:t>
            </w:r>
          </w:p>
        </w:tc>
        <w:tc>
          <w:tcPr>
            <w:tcW w:w="6370" w:type="dxa"/>
          </w:tcPr>
          <w:p w14:paraId="4E0264B9"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actual net discharge energy density</w:t>
            </w:r>
          </w:p>
        </w:tc>
      </w:tr>
      <w:tr w:rsidR="005C3FE9" w:rsidRPr="005C3FE9" w14:paraId="2F272153" w14:textId="77777777" w:rsidTr="008A73C2">
        <w:tc>
          <w:tcPr>
            <w:tcW w:w="2700" w:type="dxa"/>
          </w:tcPr>
          <w:p w14:paraId="211E48D5"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NPD</m:t>
              </m:r>
            </m:oMath>
            <w:r w:rsidRPr="005C3FE9">
              <w:rPr>
                <w:rFonts w:ascii="Times New Roman" w:hAnsi="Times New Roman"/>
                <w:spacing w:val="-3"/>
                <w:lang w:val="en-US"/>
              </w:rPr>
              <w:t xml:space="preserve"> (W m</w:t>
            </w:r>
            <w:r w:rsidRPr="005C3FE9">
              <w:rPr>
                <w:rFonts w:ascii="Times New Roman" w:hAnsi="Times New Roman"/>
                <w:spacing w:val="-3"/>
                <w:vertAlign w:val="superscript"/>
                <w:lang w:val="en-US"/>
              </w:rPr>
              <w:t>-2</w:t>
            </w:r>
            <w:r w:rsidRPr="005C3FE9">
              <w:rPr>
                <w:rFonts w:ascii="Times New Roman" w:hAnsi="Times New Roman"/>
                <w:spacing w:val="-3"/>
                <w:lang w:val="en-US"/>
              </w:rPr>
              <w:t>)</w:t>
            </w:r>
          </w:p>
        </w:tc>
        <w:tc>
          <w:tcPr>
            <w:tcW w:w="6370" w:type="dxa"/>
          </w:tcPr>
          <w:p w14:paraId="21DCD013"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Net Power Density</w:t>
            </w:r>
          </w:p>
        </w:tc>
      </w:tr>
      <w:tr w:rsidR="00B05520" w:rsidRPr="00DE3837" w14:paraId="2E446DFE" w14:textId="77777777" w:rsidTr="008A73C2">
        <w:tc>
          <w:tcPr>
            <w:tcW w:w="2700" w:type="dxa"/>
          </w:tcPr>
          <w:p w14:paraId="5C58A37C" w14:textId="4A0CC9BF" w:rsidR="00B05520" w:rsidRDefault="00B05520" w:rsidP="008A73C2">
            <w:pPr>
              <w:tabs>
                <w:tab w:val="center" w:pos="4819"/>
              </w:tabs>
              <w:suppressAutoHyphens/>
              <w:spacing w:line="240" w:lineRule="auto"/>
              <w:ind w:firstLine="0"/>
              <w:rPr>
                <w:spacing w:val="-3"/>
                <w:lang w:val="en-US"/>
              </w:rPr>
            </w:pPr>
            <m:oMath>
              <m:r>
                <w:rPr>
                  <w:rFonts w:ascii="Cambria Math" w:hAnsi="Cambria Math"/>
                  <w:spacing w:val="-3"/>
                  <w:lang w:val="en-US"/>
                </w:rPr>
                <m:t>PDUV</m:t>
              </m:r>
            </m:oMath>
            <w:r w:rsidRPr="00B05520">
              <w:rPr>
                <w:rFonts w:ascii="Times New Roman" w:hAnsi="Times New Roman"/>
                <w:spacing w:val="-3"/>
                <w:lang w:val="en-US"/>
              </w:rPr>
              <w:t xml:space="preserve"> (</w:t>
            </w:r>
            <w:r>
              <w:rPr>
                <w:rFonts w:ascii="Times New Roman" w:hAnsi="Times New Roman"/>
                <w:spacing w:val="-3"/>
                <w:lang w:val="en-US"/>
              </w:rPr>
              <w:t>W L</w:t>
            </w:r>
            <w:r w:rsidRPr="00B05520">
              <w:rPr>
                <w:rFonts w:ascii="Times New Roman" w:hAnsi="Times New Roman"/>
                <w:spacing w:val="-3"/>
                <w:vertAlign w:val="superscript"/>
                <w:lang w:val="en-US"/>
              </w:rPr>
              <w:t>-1</w:t>
            </w:r>
            <w:r w:rsidRPr="00B05520">
              <w:rPr>
                <w:rFonts w:ascii="Times New Roman" w:hAnsi="Times New Roman"/>
                <w:spacing w:val="-3"/>
                <w:lang w:val="en-US"/>
              </w:rPr>
              <w:t>)</w:t>
            </w:r>
          </w:p>
        </w:tc>
        <w:tc>
          <w:tcPr>
            <w:tcW w:w="6370" w:type="dxa"/>
          </w:tcPr>
          <w:p w14:paraId="4F84A1EA" w14:textId="5739C1D8" w:rsidR="00B05520" w:rsidRPr="00B05520" w:rsidRDefault="00B05520" w:rsidP="008A73C2">
            <w:pPr>
              <w:tabs>
                <w:tab w:val="center" w:pos="4819"/>
              </w:tabs>
              <w:suppressAutoHyphens/>
              <w:spacing w:line="240" w:lineRule="auto"/>
              <w:ind w:firstLine="0"/>
              <w:rPr>
                <w:rFonts w:ascii="Times New Roman" w:hAnsi="Times New Roman"/>
                <w:spacing w:val="-3"/>
                <w:lang w:val="en-US"/>
              </w:rPr>
            </w:pPr>
            <w:r w:rsidRPr="00B05520">
              <w:rPr>
                <w:rFonts w:ascii="Times New Roman" w:hAnsi="Times New Roman"/>
                <w:spacing w:val="-3"/>
                <w:lang w:val="en-US"/>
              </w:rPr>
              <w:t>Power density per unit volume</w:t>
            </w:r>
          </w:p>
        </w:tc>
      </w:tr>
      <w:tr w:rsidR="005C3FE9" w:rsidRPr="005C3FE9" w14:paraId="19BC3EE1" w14:textId="77777777" w:rsidTr="008A73C2">
        <w:tc>
          <w:tcPr>
            <w:tcW w:w="2700" w:type="dxa"/>
          </w:tcPr>
          <w:p w14:paraId="0B363E61"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PPD</m:t>
              </m:r>
            </m:oMath>
            <w:r w:rsidRPr="005C3FE9">
              <w:rPr>
                <w:rFonts w:ascii="Times New Roman" w:hAnsi="Times New Roman"/>
                <w:spacing w:val="-3"/>
                <w:lang w:val="en-US"/>
              </w:rPr>
              <w:t xml:space="preserve"> (W m</w:t>
            </w:r>
            <w:r w:rsidRPr="005C3FE9">
              <w:rPr>
                <w:rFonts w:ascii="Times New Roman" w:hAnsi="Times New Roman"/>
                <w:spacing w:val="-3"/>
                <w:vertAlign w:val="superscript"/>
                <w:lang w:val="en-US"/>
              </w:rPr>
              <w:t>-2</w:t>
            </w:r>
            <w:r w:rsidRPr="005C3FE9">
              <w:rPr>
                <w:rFonts w:ascii="Times New Roman" w:hAnsi="Times New Roman"/>
                <w:spacing w:val="-3"/>
                <w:lang w:val="en-US"/>
              </w:rPr>
              <w:t>)</w:t>
            </w:r>
          </w:p>
        </w:tc>
        <w:tc>
          <w:tcPr>
            <w:tcW w:w="6370" w:type="dxa"/>
          </w:tcPr>
          <w:p w14:paraId="3B03BED2"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pumping power density</w:t>
            </w:r>
          </w:p>
        </w:tc>
      </w:tr>
      <w:tr w:rsidR="005C3FE9" w:rsidRPr="005C3FE9" w14:paraId="537227E9" w14:textId="77777777" w:rsidTr="008A73C2">
        <w:tc>
          <w:tcPr>
            <w:tcW w:w="2700" w:type="dxa"/>
          </w:tcPr>
          <w:p w14:paraId="65C5073E"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R</m:t>
              </m:r>
            </m:oMath>
            <w:r w:rsidRPr="005C3FE9">
              <w:rPr>
                <w:rFonts w:ascii="Times New Roman" w:hAnsi="Times New Roman"/>
                <w:spacing w:val="-3"/>
                <w:lang w:val="en-US"/>
              </w:rPr>
              <w:t xml:space="preserve"> (</w:t>
            </w:r>
            <w:r w:rsidRPr="005C3FE9">
              <w:rPr>
                <w:rFonts w:ascii="Times New Roman" w:hAnsi="Times New Roman"/>
                <w:lang w:val="en-GB"/>
              </w:rPr>
              <w:t>Ω cm</w:t>
            </w:r>
            <w:r w:rsidRPr="005C3FE9">
              <w:rPr>
                <w:rFonts w:ascii="Times New Roman" w:hAnsi="Times New Roman"/>
                <w:vertAlign w:val="superscript"/>
                <w:lang w:val="en-GB"/>
              </w:rPr>
              <w:t>2</w:t>
            </w:r>
            <w:r w:rsidRPr="005C3FE9">
              <w:rPr>
                <w:rFonts w:ascii="Times New Roman" w:hAnsi="Times New Roman"/>
                <w:spacing w:val="-3"/>
                <w:lang w:val="en-US"/>
              </w:rPr>
              <w:t>)</w:t>
            </w:r>
          </w:p>
        </w:tc>
        <w:tc>
          <w:tcPr>
            <w:tcW w:w="6370" w:type="dxa"/>
          </w:tcPr>
          <w:p w14:paraId="52B3B6A1"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generic areal resistance</w:t>
            </w:r>
          </w:p>
        </w:tc>
      </w:tr>
      <w:tr w:rsidR="005C3FE9" w:rsidRPr="005C3FE9" w14:paraId="45A67F6B" w14:textId="77777777" w:rsidTr="008A73C2">
        <w:tc>
          <w:tcPr>
            <w:tcW w:w="2700" w:type="dxa"/>
          </w:tcPr>
          <w:p w14:paraId="5D720549"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RTE</m:t>
              </m:r>
            </m:oMath>
            <w:r w:rsidRPr="005C3FE9">
              <w:rPr>
                <w:rFonts w:ascii="Times New Roman" w:hAnsi="Times New Roman"/>
                <w:spacing w:val="-3"/>
                <w:lang w:val="en-US"/>
              </w:rPr>
              <w:t xml:space="preserve"> (-)</w:t>
            </w:r>
          </w:p>
        </w:tc>
        <w:tc>
          <w:tcPr>
            <w:tcW w:w="6370" w:type="dxa"/>
          </w:tcPr>
          <w:p w14:paraId="7A41B415"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Gross Round Trip Efficiency</w:t>
            </w:r>
          </w:p>
        </w:tc>
      </w:tr>
      <w:tr w:rsidR="005C3FE9" w:rsidRPr="005C3FE9" w14:paraId="1A3BC894" w14:textId="77777777" w:rsidTr="008A73C2">
        <w:tc>
          <w:tcPr>
            <w:tcW w:w="2700" w:type="dxa"/>
          </w:tcPr>
          <w:p w14:paraId="1F72F408" w14:textId="77777777" w:rsidR="005C3FE9" w:rsidRPr="005C3FE9" w:rsidRDefault="00000000" w:rsidP="008A73C2">
            <w:pPr>
              <w:tabs>
                <w:tab w:val="center" w:pos="4819"/>
              </w:tabs>
              <w:suppressAutoHyphens/>
              <w:spacing w:line="240" w:lineRule="auto"/>
              <w:ind w:firstLine="0"/>
              <w:rPr>
                <w:rFonts w:ascii="Times New Roman" w:hAnsi="Times New Roman"/>
                <w:spacing w:val="-3"/>
                <w:lang w:val="en-US"/>
              </w:rPr>
            </w:pPr>
            <m:oMath>
              <m:sSub>
                <m:sSubPr>
                  <m:ctrlPr>
                    <w:rPr>
                      <w:rFonts w:ascii="Cambria Math" w:hAnsi="Cambria Math"/>
                      <w:i/>
                      <w:spacing w:val="-3"/>
                      <w:lang w:val="en-US"/>
                    </w:rPr>
                  </m:ctrlPr>
                </m:sSubPr>
                <m:e>
                  <m:r>
                    <w:rPr>
                      <w:rFonts w:ascii="Cambria Math" w:hAnsi="Cambria Math"/>
                      <w:spacing w:val="-3"/>
                      <w:lang w:val="en-US"/>
                    </w:rPr>
                    <m:t>RTE</m:t>
                  </m:r>
                </m:e>
                <m:sub>
                  <m:r>
                    <w:rPr>
                      <w:rFonts w:ascii="Cambria Math" w:hAnsi="Cambria Math"/>
                      <w:spacing w:val="-3"/>
                      <w:lang w:val="en-US"/>
                    </w:rPr>
                    <m:t>net</m:t>
                  </m:r>
                </m:sub>
              </m:sSub>
            </m:oMath>
            <w:r w:rsidR="005C3FE9" w:rsidRPr="005C3FE9">
              <w:rPr>
                <w:rFonts w:ascii="Times New Roman" w:hAnsi="Times New Roman"/>
                <w:spacing w:val="-3"/>
                <w:lang w:val="en-US"/>
              </w:rPr>
              <w:t xml:space="preserve"> (-)</w:t>
            </w:r>
          </w:p>
        </w:tc>
        <w:tc>
          <w:tcPr>
            <w:tcW w:w="6370" w:type="dxa"/>
          </w:tcPr>
          <w:p w14:paraId="18088750"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Net Round Trip Efficiency</w:t>
            </w:r>
          </w:p>
        </w:tc>
      </w:tr>
      <w:tr w:rsidR="005C3FE9" w:rsidRPr="005C3FE9" w14:paraId="4C783894" w14:textId="77777777" w:rsidTr="008A73C2">
        <w:tc>
          <w:tcPr>
            <w:tcW w:w="2700" w:type="dxa"/>
          </w:tcPr>
          <w:p w14:paraId="028A984E"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t</m:t>
              </m:r>
            </m:oMath>
            <w:r w:rsidRPr="005C3FE9">
              <w:rPr>
                <w:rFonts w:ascii="Times New Roman" w:hAnsi="Times New Roman"/>
                <w:spacing w:val="-3"/>
                <w:lang w:val="en-US"/>
              </w:rPr>
              <w:t xml:space="preserve"> (s)</w:t>
            </w:r>
          </w:p>
        </w:tc>
        <w:tc>
          <w:tcPr>
            <w:tcW w:w="6370" w:type="dxa"/>
          </w:tcPr>
          <w:p w14:paraId="1A01A734"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time</w:t>
            </w:r>
          </w:p>
        </w:tc>
      </w:tr>
      <w:tr w:rsidR="005C3FE9" w:rsidRPr="005C3FE9" w14:paraId="11461009" w14:textId="77777777" w:rsidTr="008A73C2">
        <w:tc>
          <w:tcPr>
            <w:tcW w:w="2700" w:type="dxa"/>
          </w:tcPr>
          <w:p w14:paraId="3B1F6992" w14:textId="77777777" w:rsidR="005C3FE9" w:rsidRPr="005C3FE9" w:rsidRDefault="00000000" w:rsidP="008A73C2">
            <w:pPr>
              <w:tabs>
                <w:tab w:val="center" w:pos="4819"/>
              </w:tabs>
              <w:suppressAutoHyphens/>
              <w:spacing w:line="240" w:lineRule="auto"/>
              <w:ind w:firstLine="0"/>
              <w:rPr>
                <w:rFonts w:ascii="Times New Roman" w:hAnsi="Times New Roman"/>
                <w:spacing w:val="-3"/>
                <w:lang w:val="en-US"/>
              </w:rPr>
            </w:pPr>
            <m:oMath>
              <m:sSub>
                <m:sSubPr>
                  <m:ctrlPr>
                    <w:rPr>
                      <w:rFonts w:ascii="Cambria Math" w:hAnsi="Cambria Math"/>
                      <w:i/>
                      <w:spacing w:val="-3"/>
                      <w:lang w:val="en-US"/>
                    </w:rPr>
                  </m:ctrlPr>
                </m:sSubPr>
                <m:e>
                  <m:r>
                    <w:rPr>
                      <w:rFonts w:ascii="Cambria Math" w:hAnsi="Cambria Math"/>
                      <w:spacing w:val="-3"/>
                      <w:lang w:val="en-US"/>
                    </w:rPr>
                    <m:t>u</m:t>
                  </m:r>
                </m:e>
                <m:sub>
                  <m:r>
                    <w:rPr>
                      <w:rFonts w:ascii="Cambria Math" w:hAnsi="Cambria Math"/>
                      <w:spacing w:val="-3"/>
                      <w:lang w:val="en-US"/>
                    </w:rPr>
                    <m:t>ch</m:t>
                  </m:r>
                </m:sub>
              </m:sSub>
            </m:oMath>
            <w:r w:rsidR="005C3FE9" w:rsidRPr="005C3FE9">
              <w:rPr>
                <w:rFonts w:ascii="Times New Roman" w:hAnsi="Times New Roman"/>
                <w:spacing w:val="-3"/>
                <w:lang w:val="en-US"/>
              </w:rPr>
              <w:t xml:space="preserve"> (cm s</w:t>
            </w:r>
            <w:r w:rsidR="005C3FE9" w:rsidRPr="005C3FE9">
              <w:rPr>
                <w:rFonts w:ascii="Times New Roman" w:hAnsi="Times New Roman"/>
                <w:spacing w:val="-3"/>
                <w:vertAlign w:val="superscript"/>
                <w:lang w:val="en-US"/>
              </w:rPr>
              <w:t>-1</w:t>
            </w:r>
            <w:r w:rsidR="005C3FE9" w:rsidRPr="005C3FE9">
              <w:rPr>
                <w:rFonts w:ascii="Times New Roman" w:hAnsi="Times New Roman"/>
                <w:spacing w:val="-3"/>
                <w:lang w:val="en-US"/>
              </w:rPr>
              <w:t>)</w:t>
            </w:r>
          </w:p>
        </w:tc>
        <w:tc>
          <w:tcPr>
            <w:tcW w:w="6370" w:type="dxa"/>
          </w:tcPr>
          <w:p w14:paraId="3F21DDC8"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mean channel flow velocity</w:t>
            </w:r>
          </w:p>
        </w:tc>
      </w:tr>
      <w:tr w:rsidR="005C3FE9" w:rsidRPr="005C3FE9" w14:paraId="17180E0F" w14:textId="77777777" w:rsidTr="008A73C2">
        <w:tc>
          <w:tcPr>
            <w:tcW w:w="2700" w:type="dxa"/>
          </w:tcPr>
          <w:p w14:paraId="47E1DC98"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V</m:t>
              </m:r>
            </m:oMath>
            <w:r w:rsidRPr="005C3FE9">
              <w:rPr>
                <w:rFonts w:ascii="Times New Roman" w:hAnsi="Times New Roman"/>
                <w:spacing w:val="-3"/>
                <w:lang w:val="en-US"/>
              </w:rPr>
              <w:t xml:space="preserve"> (m</w:t>
            </w:r>
            <w:r w:rsidRPr="005C3FE9">
              <w:rPr>
                <w:rFonts w:ascii="Times New Roman" w:hAnsi="Times New Roman"/>
                <w:spacing w:val="-3"/>
                <w:vertAlign w:val="superscript"/>
                <w:lang w:val="en-US"/>
              </w:rPr>
              <w:t>3</w:t>
            </w:r>
            <w:r w:rsidRPr="005C3FE9">
              <w:rPr>
                <w:rFonts w:ascii="Times New Roman" w:hAnsi="Times New Roman"/>
                <w:spacing w:val="-3"/>
                <w:lang w:val="en-US"/>
              </w:rPr>
              <w:t>)</w:t>
            </w:r>
          </w:p>
        </w:tc>
        <w:tc>
          <w:tcPr>
            <w:tcW w:w="6370" w:type="dxa"/>
          </w:tcPr>
          <w:p w14:paraId="3ED89D51"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generic volume</w:t>
            </w:r>
          </w:p>
        </w:tc>
      </w:tr>
      <w:tr w:rsidR="005C3FE9" w:rsidRPr="00DE3837" w14:paraId="3F971004" w14:textId="77777777" w:rsidTr="008A73C2">
        <w:tc>
          <w:tcPr>
            <w:tcW w:w="2700" w:type="dxa"/>
          </w:tcPr>
          <w:p w14:paraId="10E022EE" w14:textId="77777777" w:rsidR="005C3FE9" w:rsidRPr="005C3FE9" w:rsidRDefault="00000000" w:rsidP="008A73C2">
            <w:pPr>
              <w:tabs>
                <w:tab w:val="center" w:pos="4819"/>
              </w:tabs>
              <w:suppressAutoHyphens/>
              <w:spacing w:line="240" w:lineRule="auto"/>
              <w:ind w:firstLine="0"/>
              <w:rPr>
                <w:rFonts w:ascii="Times New Roman" w:hAnsi="Times New Roman"/>
                <w:spacing w:val="-3"/>
                <w:lang w:val="en-US"/>
              </w:rPr>
            </w:pPr>
            <m:oMath>
              <m:sSub>
                <m:sSubPr>
                  <m:ctrlPr>
                    <w:rPr>
                      <w:rFonts w:ascii="Cambria Math" w:hAnsi="Cambria Math"/>
                      <w:i/>
                      <w:noProof/>
                      <w:lang w:val="en-US"/>
                    </w:rPr>
                  </m:ctrlPr>
                </m:sSubPr>
                <m:e>
                  <m:r>
                    <w:rPr>
                      <w:rFonts w:ascii="Cambria Math" w:hAnsi="Cambria Math"/>
                      <w:noProof/>
                      <w:lang w:val="en-US"/>
                    </w:rPr>
                    <m:t>X</m:t>
                  </m:r>
                </m:e>
                <m:sub>
                  <m:r>
                    <w:rPr>
                      <w:rFonts w:ascii="Cambria Math" w:hAnsi="Cambria Math"/>
                      <w:noProof/>
                      <w:lang w:val="en-US"/>
                    </w:rPr>
                    <m:t>m</m:t>
                  </m:r>
                </m:sub>
              </m:sSub>
            </m:oMath>
            <w:r w:rsidR="005C3FE9" w:rsidRPr="005C3FE9">
              <w:rPr>
                <w:rFonts w:ascii="Times New Roman" w:hAnsi="Times New Roman"/>
                <w:spacing w:val="-3"/>
                <w:lang w:val="en-US"/>
              </w:rPr>
              <w:t xml:space="preserve"> (mol m</w:t>
            </w:r>
            <w:r w:rsidR="005C3FE9" w:rsidRPr="005C3FE9">
              <w:rPr>
                <w:rFonts w:ascii="Times New Roman" w:hAnsi="Times New Roman"/>
                <w:spacing w:val="-3"/>
                <w:vertAlign w:val="superscript"/>
                <w:lang w:val="en-US"/>
              </w:rPr>
              <w:t>-3</w:t>
            </w:r>
            <w:r w:rsidR="005C3FE9" w:rsidRPr="005C3FE9">
              <w:rPr>
                <w:rFonts w:ascii="Times New Roman" w:hAnsi="Times New Roman"/>
                <w:spacing w:val="-3"/>
                <w:lang w:val="en-US"/>
              </w:rPr>
              <w:t>)</w:t>
            </w:r>
          </w:p>
        </w:tc>
        <w:tc>
          <w:tcPr>
            <w:tcW w:w="6370" w:type="dxa"/>
          </w:tcPr>
          <w:p w14:paraId="01A8B0E6"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fixed charge density in the membrane</w:t>
            </w:r>
          </w:p>
        </w:tc>
      </w:tr>
      <w:tr w:rsidR="005C3FE9" w:rsidRPr="00DE3837" w14:paraId="65BCC129" w14:textId="77777777" w:rsidTr="008A73C2">
        <w:tc>
          <w:tcPr>
            <w:tcW w:w="2700" w:type="dxa"/>
          </w:tcPr>
          <w:p w14:paraId="214E4698"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x</m:t>
              </m:r>
            </m:oMath>
            <w:r w:rsidRPr="005C3FE9">
              <w:rPr>
                <w:rFonts w:ascii="Times New Roman" w:hAnsi="Times New Roman"/>
                <w:spacing w:val="-3"/>
                <w:lang w:val="en-US"/>
              </w:rPr>
              <w:t xml:space="preserve"> </w:t>
            </w:r>
          </w:p>
        </w:tc>
        <w:tc>
          <w:tcPr>
            <w:tcW w:w="6370" w:type="dxa"/>
          </w:tcPr>
          <w:p w14:paraId="52F6EBB1"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vector of the decision variables</w:t>
            </w:r>
          </w:p>
        </w:tc>
      </w:tr>
    </w:tbl>
    <w:p w14:paraId="154B3643" w14:textId="77777777" w:rsidR="005C3FE9" w:rsidRPr="005C3FE9" w:rsidRDefault="005C3FE9" w:rsidP="005C3FE9">
      <w:pPr>
        <w:tabs>
          <w:tab w:val="center" w:pos="4819"/>
        </w:tabs>
        <w:suppressAutoHyphens/>
        <w:spacing w:line="240" w:lineRule="auto"/>
        <w:rPr>
          <w:i/>
          <w:spacing w:val="-3"/>
          <w:u w:val="single"/>
          <w:lang w:val="en-US"/>
        </w:rPr>
      </w:pPr>
    </w:p>
    <w:p w14:paraId="016D5F31" w14:textId="77777777" w:rsidR="005C3FE9" w:rsidRPr="005C3FE9" w:rsidRDefault="005C3FE9" w:rsidP="005C3FE9">
      <w:pPr>
        <w:tabs>
          <w:tab w:val="center" w:pos="4819"/>
        </w:tabs>
        <w:suppressAutoHyphens/>
        <w:spacing w:line="240" w:lineRule="auto"/>
        <w:rPr>
          <w:i/>
          <w:spacing w:val="-3"/>
          <w:u w:val="single"/>
        </w:rPr>
      </w:pPr>
      <w:proofErr w:type="spellStart"/>
      <w:r w:rsidRPr="005C3FE9">
        <w:rPr>
          <w:i/>
          <w:spacing w:val="-3"/>
          <w:u w:val="single"/>
        </w:rPr>
        <w:t>Greek</w:t>
      </w:r>
      <w:proofErr w:type="spellEnd"/>
      <w:r w:rsidRPr="005C3FE9">
        <w:rPr>
          <w:i/>
          <w:spacing w:val="-3"/>
          <w:u w:val="single"/>
        </w:rPr>
        <w:t xml:space="preserve"> </w:t>
      </w:r>
      <w:proofErr w:type="spellStart"/>
      <w:r w:rsidRPr="005C3FE9">
        <w:rPr>
          <w:i/>
          <w:spacing w:val="-3"/>
          <w:u w:val="single"/>
        </w:rPr>
        <w:t>letters</w:t>
      </w:r>
      <w:proofErr w:type="spellEnd"/>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8"/>
        <w:gridCol w:w="7152"/>
      </w:tblGrid>
      <w:tr w:rsidR="005C3FE9" w:rsidRPr="005C3FE9" w14:paraId="5AB87345" w14:textId="77777777" w:rsidTr="008A73C2">
        <w:tc>
          <w:tcPr>
            <w:tcW w:w="1918" w:type="dxa"/>
          </w:tcPr>
          <w:p w14:paraId="5BE98CC7" w14:textId="77777777" w:rsidR="005C3FE9" w:rsidRPr="005C3FE9" w:rsidRDefault="005C3FE9" w:rsidP="008A73C2">
            <w:pPr>
              <w:tabs>
                <w:tab w:val="center" w:pos="4819"/>
              </w:tabs>
              <w:suppressAutoHyphens/>
              <w:spacing w:line="240" w:lineRule="auto"/>
              <w:ind w:firstLine="0"/>
              <w:rPr>
                <w:rFonts w:ascii="Times New Roman" w:hAnsi="Times New Roman"/>
                <w:spacing w:val="-3"/>
              </w:rPr>
            </w:pPr>
            <w:r w:rsidRPr="005C3FE9">
              <w:rPr>
                <w:rFonts w:ascii="Times New Roman" w:hAnsi="Times New Roman"/>
                <w:spacing w:val="-3"/>
                <w:lang w:val="en-US"/>
              </w:rPr>
              <w:t>ε (-)</w:t>
            </w:r>
          </w:p>
        </w:tc>
        <w:tc>
          <w:tcPr>
            <w:tcW w:w="7152" w:type="dxa"/>
          </w:tcPr>
          <w:p w14:paraId="29CA8E0E"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constraints vector</w:t>
            </w:r>
          </w:p>
        </w:tc>
      </w:tr>
    </w:tbl>
    <w:p w14:paraId="712B0324" w14:textId="77777777" w:rsidR="005C3FE9" w:rsidRPr="005C3FE9" w:rsidRDefault="005C3FE9" w:rsidP="005C3FE9">
      <w:pPr>
        <w:tabs>
          <w:tab w:val="center" w:pos="4819"/>
        </w:tabs>
        <w:suppressAutoHyphens/>
        <w:spacing w:line="240" w:lineRule="auto"/>
        <w:rPr>
          <w:i/>
          <w:spacing w:val="-3"/>
          <w:u w:val="single"/>
          <w:lang w:val="en-US"/>
        </w:rPr>
      </w:pPr>
    </w:p>
    <w:p w14:paraId="1A247D8F" w14:textId="77777777" w:rsidR="005C3FE9" w:rsidRPr="005C3FE9" w:rsidRDefault="005C3FE9" w:rsidP="005C3FE9">
      <w:pPr>
        <w:tabs>
          <w:tab w:val="center" w:pos="4819"/>
        </w:tabs>
        <w:suppressAutoHyphens/>
        <w:spacing w:line="240" w:lineRule="auto"/>
        <w:rPr>
          <w:i/>
          <w:spacing w:val="-3"/>
          <w:u w:val="single"/>
        </w:rPr>
      </w:pPr>
      <w:proofErr w:type="spellStart"/>
      <w:r w:rsidRPr="005C3FE9">
        <w:rPr>
          <w:i/>
          <w:spacing w:val="-3"/>
          <w:u w:val="single"/>
        </w:rPr>
        <w:t>Subscripts</w:t>
      </w:r>
      <w:proofErr w:type="spellEnd"/>
      <w:r w:rsidRPr="005C3FE9">
        <w:rPr>
          <w:i/>
          <w:spacing w:val="-3"/>
          <w:u w:val="single"/>
        </w:rPr>
        <w:t>/</w:t>
      </w:r>
      <w:proofErr w:type="spellStart"/>
      <w:r w:rsidRPr="005C3FE9">
        <w:rPr>
          <w:i/>
          <w:spacing w:val="-3"/>
          <w:u w:val="single"/>
        </w:rPr>
        <w:t>superscripts</w:t>
      </w:r>
      <w:proofErr w:type="spellEnd"/>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8"/>
        <w:gridCol w:w="7152"/>
      </w:tblGrid>
      <w:tr w:rsidR="005C3FE9" w:rsidRPr="005C3FE9" w14:paraId="61653C74" w14:textId="77777777" w:rsidTr="008A73C2">
        <w:tc>
          <w:tcPr>
            <w:tcW w:w="1918" w:type="dxa"/>
          </w:tcPr>
          <w:p w14:paraId="04F185A2" w14:textId="77777777" w:rsidR="005C3FE9" w:rsidRPr="005C3FE9" w:rsidRDefault="005C3FE9" w:rsidP="008A73C2">
            <w:pPr>
              <w:tabs>
                <w:tab w:val="center" w:pos="4819"/>
              </w:tabs>
              <w:suppressAutoHyphens/>
              <w:spacing w:line="240" w:lineRule="auto"/>
              <w:ind w:firstLine="0"/>
              <w:rPr>
                <w:rFonts w:ascii="Times New Roman" w:hAnsi="Times New Roman"/>
                <w:spacing w:val="-3"/>
              </w:rPr>
            </w:pPr>
            <m:oMath>
              <m:r>
                <w:rPr>
                  <w:rFonts w:ascii="Cambria Math" w:hAnsi="Cambria Math"/>
                  <w:spacing w:val="-3"/>
                  <w:lang w:val="en-US"/>
                </w:rPr>
                <m:t>a</m:t>
              </m:r>
            </m:oMath>
            <w:r w:rsidRPr="005C3FE9">
              <w:rPr>
                <w:rFonts w:ascii="Times New Roman" w:hAnsi="Times New Roman"/>
                <w:spacing w:val="-3"/>
                <w:lang w:val="en-US"/>
              </w:rPr>
              <w:t xml:space="preserve"> </w:t>
            </w:r>
          </w:p>
        </w:tc>
        <w:tc>
          <w:tcPr>
            <w:tcW w:w="7152" w:type="dxa"/>
          </w:tcPr>
          <w:p w14:paraId="40A0518C"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 xml:space="preserve">acid </w:t>
            </w:r>
          </w:p>
        </w:tc>
      </w:tr>
      <w:tr w:rsidR="005C3FE9" w:rsidRPr="005C3FE9" w14:paraId="7C266DE6" w14:textId="77777777" w:rsidTr="008A73C2">
        <w:tc>
          <w:tcPr>
            <w:tcW w:w="1918" w:type="dxa"/>
          </w:tcPr>
          <w:p w14:paraId="03CD0AC2"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b</m:t>
              </m:r>
            </m:oMath>
            <w:r w:rsidRPr="005C3FE9">
              <w:rPr>
                <w:rFonts w:ascii="Times New Roman" w:hAnsi="Times New Roman"/>
                <w:spacing w:val="-3"/>
                <w:lang w:val="en-US"/>
              </w:rPr>
              <w:t xml:space="preserve"> </w:t>
            </w:r>
          </w:p>
        </w:tc>
        <w:tc>
          <w:tcPr>
            <w:tcW w:w="7152" w:type="dxa"/>
          </w:tcPr>
          <w:p w14:paraId="6C225511"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base</w:t>
            </w:r>
          </w:p>
        </w:tc>
      </w:tr>
      <w:tr w:rsidR="005C3FE9" w:rsidRPr="005C3FE9" w14:paraId="6EFA0B90" w14:textId="77777777" w:rsidTr="008A73C2">
        <w:tc>
          <w:tcPr>
            <w:tcW w:w="1918" w:type="dxa"/>
          </w:tcPr>
          <w:p w14:paraId="69531327"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bl</m:t>
              </m:r>
            </m:oMath>
            <w:r w:rsidRPr="005C3FE9">
              <w:rPr>
                <w:rFonts w:ascii="Times New Roman" w:hAnsi="Times New Roman"/>
                <w:spacing w:val="-3"/>
                <w:lang w:val="en-US"/>
              </w:rPr>
              <w:t xml:space="preserve"> </w:t>
            </w:r>
          </w:p>
        </w:tc>
        <w:tc>
          <w:tcPr>
            <w:tcW w:w="7152" w:type="dxa"/>
          </w:tcPr>
          <w:p w14:paraId="3312B016"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blank</w:t>
            </w:r>
          </w:p>
        </w:tc>
      </w:tr>
      <w:tr w:rsidR="005C3FE9" w:rsidRPr="005C3FE9" w14:paraId="18D904DB" w14:textId="77777777" w:rsidTr="008A73C2">
        <w:tc>
          <w:tcPr>
            <w:tcW w:w="1918" w:type="dxa"/>
          </w:tcPr>
          <w:p w14:paraId="099A8FC6"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c</m:t>
              </m:r>
            </m:oMath>
            <w:r w:rsidRPr="005C3FE9">
              <w:rPr>
                <w:rFonts w:ascii="Times New Roman" w:hAnsi="Times New Roman"/>
                <w:spacing w:val="-3"/>
                <w:lang w:val="en-US"/>
              </w:rPr>
              <w:t xml:space="preserve"> </w:t>
            </w:r>
          </w:p>
        </w:tc>
        <w:tc>
          <w:tcPr>
            <w:tcW w:w="7152" w:type="dxa"/>
          </w:tcPr>
          <w:p w14:paraId="098A472B"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 xml:space="preserve">charge </w:t>
            </w:r>
          </w:p>
        </w:tc>
      </w:tr>
      <w:tr w:rsidR="005C3FE9" w:rsidRPr="005C3FE9" w14:paraId="702B3C41" w14:textId="77777777" w:rsidTr="008A73C2">
        <w:tc>
          <w:tcPr>
            <w:tcW w:w="1918" w:type="dxa"/>
          </w:tcPr>
          <w:p w14:paraId="589BFCEE" w14:textId="77777777" w:rsidR="005C3FE9" w:rsidRPr="005C3FE9" w:rsidRDefault="005C3FE9" w:rsidP="008A73C2">
            <w:pPr>
              <w:tabs>
                <w:tab w:val="center" w:pos="4819"/>
              </w:tabs>
              <w:suppressAutoHyphens/>
              <w:spacing w:line="240" w:lineRule="auto"/>
              <w:ind w:firstLine="0"/>
              <w:rPr>
                <w:rFonts w:ascii="Times New Roman" w:hAnsi="Times New Roman"/>
                <w:spacing w:val="-3"/>
              </w:rPr>
            </w:pPr>
            <m:oMath>
              <m:r>
                <w:rPr>
                  <w:rFonts w:ascii="Cambria Math" w:hAnsi="Cambria Math"/>
                  <w:spacing w:val="-3"/>
                  <w:lang w:val="en-US"/>
                </w:rPr>
                <m:t>d</m:t>
              </m:r>
            </m:oMath>
            <w:r w:rsidRPr="005C3FE9">
              <w:rPr>
                <w:rFonts w:ascii="Times New Roman" w:hAnsi="Times New Roman"/>
                <w:spacing w:val="-3"/>
                <w:lang w:val="en-US"/>
              </w:rPr>
              <w:t xml:space="preserve"> </w:t>
            </w:r>
          </w:p>
        </w:tc>
        <w:tc>
          <w:tcPr>
            <w:tcW w:w="7152" w:type="dxa"/>
          </w:tcPr>
          <w:p w14:paraId="73431937"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 xml:space="preserve">discharge </w:t>
            </w:r>
          </w:p>
        </w:tc>
      </w:tr>
      <w:tr w:rsidR="005C3FE9" w:rsidRPr="005C3FE9" w14:paraId="20D0FF3C" w14:textId="77777777" w:rsidTr="008A73C2">
        <w:tc>
          <w:tcPr>
            <w:tcW w:w="1918" w:type="dxa"/>
          </w:tcPr>
          <w:p w14:paraId="45B36B65"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in</m:t>
              </m:r>
            </m:oMath>
            <w:r w:rsidRPr="005C3FE9">
              <w:rPr>
                <w:rFonts w:ascii="Times New Roman" w:hAnsi="Times New Roman"/>
                <w:spacing w:val="-3"/>
                <w:lang w:val="en-US"/>
              </w:rPr>
              <w:t xml:space="preserve"> </w:t>
            </w:r>
          </w:p>
        </w:tc>
        <w:tc>
          <w:tcPr>
            <w:tcW w:w="7152" w:type="dxa"/>
          </w:tcPr>
          <w:p w14:paraId="0F2BDD2F"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Inlet or initial</w:t>
            </w:r>
          </w:p>
        </w:tc>
      </w:tr>
      <w:tr w:rsidR="005C3FE9" w:rsidRPr="005C3FE9" w14:paraId="2F48C2D9" w14:textId="77777777" w:rsidTr="008A73C2">
        <w:tc>
          <w:tcPr>
            <w:tcW w:w="1918" w:type="dxa"/>
          </w:tcPr>
          <w:p w14:paraId="0CDC6C41"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m</m:t>
              </m:r>
            </m:oMath>
            <w:r w:rsidRPr="005C3FE9">
              <w:rPr>
                <w:rFonts w:ascii="Times New Roman" w:hAnsi="Times New Roman"/>
                <w:spacing w:val="-3"/>
                <w:lang w:val="en-US"/>
              </w:rPr>
              <w:t xml:space="preserve"> </w:t>
            </w:r>
          </w:p>
        </w:tc>
        <w:tc>
          <w:tcPr>
            <w:tcW w:w="7152" w:type="dxa"/>
          </w:tcPr>
          <w:p w14:paraId="7F31A9B7"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membrane phase</w:t>
            </w:r>
          </w:p>
        </w:tc>
      </w:tr>
      <w:tr w:rsidR="005C3FE9" w:rsidRPr="005C3FE9" w14:paraId="0EE76DC4" w14:textId="77777777" w:rsidTr="008A73C2">
        <w:tc>
          <w:tcPr>
            <w:tcW w:w="1918" w:type="dxa"/>
          </w:tcPr>
          <w:p w14:paraId="1567D1EE" w14:textId="77777777" w:rsidR="005C3FE9" w:rsidRPr="005C3FE9" w:rsidRDefault="005C3FE9" w:rsidP="008A73C2">
            <w:pPr>
              <w:tabs>
                <w:tab w:val="center" w:pos="4819"/>
              </w:tabs>
              <w:suppressAutoHyphens/>
              <w:spacing w:line="240" w:lineRule="auto"/>
              <w:ind w:firstLine="0"/>
              <w:rPr>
                <w:rFonts w:ascii="Times New Roman" w:hAnsi="Times New Roman"/>
                <w:spacing w:val="-3"/>
              </w:rPr>
            </w:pPr>
            <m:oMath>
              <m:r>
                <w:rPr>
                  <w:rFonts w:ascii="Cambria Math" w:hAnsi="Cambria Math"/>
                  <w:spacing w:val="-3"/>
                  <w:lang w:val="en-US"/>
                </w:rPr>
                <m:t>s</m:t>
              </m:r>
            </m:oMath>
            <w:r w:rsidRPr="005C3FE9">
              <w:rPr>
                <w:rFonts w:ascii="Times New Roman" w:hAnsi="Times New Roman"/>
                <w:spacing w:val="-3"/>
                <w:lang w:val="en-US"/>
              </w:rPr>
              <w:t xml:space="preserve"> </w:t>
            </w:r>
          </w:p>
        </w:tc>
        <w:tc>
          <w:tcPr>
            <w:tcW w:w="7152" w:type="dxa"/>
          </w:tcPr>
          <w:p w14:paraId="4AED5BCC"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 xml:space="preserve">salt </w:t>
            </w:r>
          </w:p>
        </w:tc>
      </w:tr>
      <w:tr w:rsidR="005C3FE9" w:rsidRPr="005C3FE9" w14:paraId="6E9256A8" w14:textId="77777777" w:rsidTr="008A73C2">
        <w:tc>
          <w:tcPr>
            <w:tcW w:w="1918" w:type="dxa"/>
          </w:tcPr>
          <w:p w14:paraId="5F6AA4B5"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t</m:t>
              </m:r>
            </m:oMath>
            <w:r w:rsidRPr="005C3FE9">
              <w:rPr>
                <w:rFonts w:ascii="Times New Roman" w:hAnsi="Times New Roman"/>
                <w:spacing w:val="-3"/>
                <w:lang w:val="en-US"/>
              </w:rPr>
              <w:t xml:space="preserve"> </w:t>
            </w:r>
          </w:p>
        </w:tc>
        <w:tc>
          <w:tcPr>
            <w:tcW w:w="7152" w:type="dxa"/>
          </w:tcPr>
          <w:p w14:paraId="193DAFEA"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tank</w:t>
            </w:r>
          </w:p>
        </w:tc>
      </w:tr>
      <w:tr w:rsidR="005C3FE9" w:rsidRPr="005C3FE9" w14:paraId="1A513EBD" w14:textId="77777777" w:rsidTr="008A73C2">
        <w:tc>
          <w:tcPr>
            <w:tcW w:w="1918" w:type="dxa"/>
          </w:tcPr>
          <w:p w14:paraId="7F136323"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m:oMath>
              <m:r>
                <w:rPr>
                  <w:rFonts w:ascii="Cambria Math" w:hAnsi="Cambria Math"/>
                  <w:spacing w:val="-3"/>
                  <w:lang w:val="en-US"/>
                </w:rPr>
                <m:t>target</m:t>
              </m:r>
            </m:oMath>
            <w:r w:rsidRPr="005C3FE9">
              <w:rPr>
                <w:rFonts w:ascii="Times New Roman" w:hAnsi="Times New Roman"/>
                <w:spacing w:val="-3"/>
                <w:lang w:val="en-US"/>
              </w:rPr>
              <w:t xml:space="preserve"> </w:t>
            </w:r>
          </w:p>
        </w:tc>
        <w:tc>
          <w:tcPr>
            <w:tcW w:w="7152" w:type="dxa"/>
          </w:tcPr>
          <w:p w14:paraId="25CF3C83" w14:textId="77777777" w:rsidR="005C3FE9" w:rsidRPr="005C3FE9" w:rsidRDefault="005C3FE9" w:rsidP="008A73C2">
            <w:pPr>
              <w:tabs>
                <w:tab w:val="center" w:pos="4819"/>
              </w:tabs>
              <w:suppressAutoHyphens/>
              <w:spacing w:line="240" w:lineRule="auto"/>
              <w:ind w:firstLine="0"/>
              <w:rPr>
                <w:rFonts w:ascii="Times New Roman" w:hAnsi="Times New Roman"/>
                <w:spacing w:val="-3"/>
                <w:lang w:val="en-US"/>
              </w:rPr>
            </w:pPr>
            <w:r w:rsidRPr="005C3FE9">
              <w:rPr>
                <w:rFonts w:ascii="Times New Roman" w:hAnsi="Times New Roman"/>
                <w:spacing w:val="-3"/>
                <w:lang w:val="en-US"/>
              </w:rPr>
              <w:t>target concentration</w:t>
            </w:r>
          </w:p>
        </w:tc>
      </w:tr>
    </w:tbl>
    <w:p w14:paraId="39E0A7A3" w14:textId="77777777" w:rsidR="005C3FE9" w:rsidRPr="005C3FE9" w:rsidRDefault="005C3FE9" w:rsidP="005C3FE9">
      <w:pPr>
        <w:tabs>
          <w:tab w:val="center" w:pos="4819"/>
        </w:tabs>
        <w:suppressAutoHyphens/>
        <w:spacing w:line="240" w:lineRule="auto"/>
        <w:rPr>
          <w:i/>
          <w:spacing w:val="-3"/>
          <w:u w:val="single"/>
        </w:rPr>
      </w:pPr>
      <w:proofErr w:type="spellStart"/>
      <w:r w:rsidRPr="005C3FE9">
        <w:rPr>
          <w:i/>
          <w:spacing w:val="-3"/>
          <w:u w:val="single"/>
        </w:rPr>
        <w:t>Acronyms</w:t>
      </w:r>
      <w:proofErr w:type="spellEnd"/>
      <w:r w:rsidRPr="005C3FE9">
        <w:rPr>
          <w:i/>
          <w:spacing w:val="-3"/>
          <w:u w:val="single"/>
        </w:rPr>
        <w:t>/</w:t>
      </w:r>
      <w:proofErr w:type="spellStart"/>
      <w:r w:rsidRPr="005C3FE9">
        <w:rPr>
          <w:i/>
          <w:spacing w:val="-3"/>
          <w:u w:val="single"/>
        </w:rPr>
        <w:t>abbreviations</w:t>
      </w:r>
      <w:proofErr w:type="spellEnd"/>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8"/>
        <w:gridCol w:w="7152"/>
      </w:tblGrid>
      <w:tr w:rsidR="005C3FE9" w:rsidRPr="00715ED8" w14:paraId="444B4AB3" w14:textId="77777777" w:rsidTr="008A73C2">
        <w:tc>
          <w:tcPr>
            <w:tcW w:w="1918" w:type="dxa"/>
          </w:tcPr>
          <w:p w14:paraId="7A8BDCEC" w14:textId="77777777" w:rsidR="005C3FE9" w:rsidRPr="00715ED8" w:rsidRDefault="005C3FE9" w:rsidP="008A73C2">
            <w:pPr>
              <w:tabs>
                <w:tab w:val="center" w:pos="4819"/>
              </w:tabs>
              <w:suppressAutoHyphens/>
              <w:spacing w:line="240" w:lineRule="auto"/>
              <w:ind w:firstLine="0"/>
              <w:rPr>
                <w:rFonts w:ascii="Times New Roman" w:hAnsi="Times New Roman"/>
                <w:spacing w:val="-3"/>
              </w:rPr>
            </w:pPr>
            <w:r w:rsidRPr="00715ED8">
              <w:rPr>
                <w:rFonts w:ascii="Times New Roman" w:hAnsi="Times New Roman"/>
                <w:spacing w:val="-3"/>
              </w:rPr>
              <w:t>AB-FB</w:t>
            </w:r>
          </w:p>
        </w:tc>
        <w:tc>
          <w:tcPr>
            <w:tcW w:w="7152" w:type="dxa"/>
          </w:tcPr>
          <w:p w14:paraId="62A7393A" w14:textId="77777777" w:rsidR="005C3FE9" w:rsidRPr="00715ED8" w:rsidRDefault="005C3FE9" w:rsidP="008A73C2">
            <w:pPr>
              <w:tabs>
                <w:tab w:val="center" w:pos="4819"/>
              </w:tabs>
              <w:suppressAutoHyphens/>
              <w:spacing w:line="240" w:lineRule="auto"/>
              <w:ind w:firstLine="0"/>
              <w:rPr>
                <w:rFonts w:ascii="Times New Roman" w:hAnsi="Times New Roman"/>
                <w:spacing w:val="-3"/>
                <w:lang w:val="en-US"/>
              </w:rPr>
            </w:pPr>
            <w:r w:rsidRPr="00715ED8">
              <w:rPr>
                <w:rFonts w:ascii="Times New Roman" w:hAnsi="Times New Roman"/>
                <w:spacing w:val="-3"/>
                <w:lang w:val="en-US"/>
              </w:rPr>
              <w:t>Acid-Base Flow Battery</w:t>
            </w:r>
          </w:p>
        </w:tc>
      </w:tr>
      <w:tr w:rsidR="005C3FE9" w:rsidRPr="00715ED8" w14:paraId="698BA059" w14:textId="77777777" w:rsidTr="008A73C2">
        <w:tc>
          <w:tcPr>
            <w:tcW w:w="1918" w:type="dxa"/>
          </w:tcPr>
          <w:p w14:paraId="177D8CB2" w14:textId="77777777" w:rsidR="005C3FE9" w:rsidRPr="00715ED8" w:rsidRDefault="005C3FE9" w:rsidP="008A73C2">
            <w:pPr>
              <w:tabs>
                <w:tab w:val="center" w:pos="4819"/>
              </w:tabs>
              <w:suppressAutoHyphens/>
              <w:spacing w:line="240" w:lineRule="auto"/>
              <w:ind w:firstLine="0"/>
              <w:rPr>
                <w:rFonts w:ascii="Times New Roman" w:hAnsi="Times New Roman"/>
                <w:spacing w:val="-3"/>
              </w:rPr>
            </w:pPr>
            <w:r w:rsidRPr="00715ED8">
              <w:rPr>
                <w:rFonts w:ascii="Times New Roman" w:hAnsi="Times New Roman"/>
                <w:spacing w:val="-3"/>
              </w:rPr>
              <w:t>AEL</w:t>
            </w:r>
          </w:p>
        </w:tc>
        <w:tc>
          <w:tcPr>
            <w:tcW w:w="7152" w:type="dxa"/>
          </w:tcPr>
          <w:p w14:paraId="468B5012" w14:textId="77777777" w:rsidR="005C3FE9" w:rsidRPr="00715ED8" w:rsidRDefault="005C3FE9" w:rsidP="008A73C2">
            <w:pPr>
              <w:tabs>
                <w:tab w:val="center" w:pos="4819"/>
              </w:tabs>
              <w:suppressAutoHyphens/>
              <w:spacing w:line="240" w:lineRule="auto"/>
              <w:ind w:firstLine="0"/>
              <w:rPr>
                <w:rFonts w:ascii="Times New Roman" w:hAnsi="Times New Roman"/>
                <w:spacing w:val="-3"/>
                <w:lang w:val="en-US"/>
              </w:rPr>
            </w:pPr>
            <w:r w:rsidRPr="00715ED8">
              <w:rPr>
                <w:rFonts w:ascii="Times New Roman" w:hAnsi="Times New Roman"/>
                <w:spacing w:val="-3"/>
                <w:lang w:val="en-US"/>
              </w:rPr>
              <w:t>Anion-Exchange Layer</w:t>
            </w:r>
          </w:p>
        </w:tc>
      </w:tr>
      <w:tr w:rsidR="005C3FE9" w:rsidRPr="00715ED8" w14:paraId="16D2AC3E" w14:textId="77777777" w:rsidTr="008A73C2">
        <w:tc>
          <w:tcPr>
            <w:tcW w:w="1918" w:type="dxa"/>
          </w:tcPr>
          <w:p w14:paraId="2C93600F" w14:textId="77777777" w:rsidR="005C3FE9" w:rsidRPr="00715ED8" w:rsidRDefault="005C3FE9" w:rsidP="008A73C2">
            <w:pPr>
              <w:tabs>
                <w:tab w:val="center" w:pos="4819"/>
              </w:tabs>
              <w:suppressAutoHyphens/>
              <w:spacing w:line="240" w:lineRule="auto"/>
              <w:ind w:firstLine="0"/>
              <w:rPr>
                <w:rFonts w:ascii="Times New Roman" w:hAnsi="Times New Roman"/>
                <w:spacing w:val="-3"/>
              </w:rPr>
            </w:pPr>
            <w:r w:rsidRPr="00715ED8">
              <w:rPr>
                <w:rFonts w:ascii="Times New Roman" w:hAnsi="Times New Roman"/>
                <w:spacing w:val="-3"/>
              </w:rPr>
              <w:t>AEM</w:t>
            </w:r>
          </w:p>
        </w:tc>
        <w:tc>
          <w:tcPr>
            <w:tcW w:w="7152" w:type="dxa"/>
          </w:tcPr>
          <w:p w14:paraId="2CD8DE3E" w14:textId="77777777" w:rsidR="005C3FE9" w:rsidRPr="00715ED8" w:rsidRDefault="005C3FE9" w:rsidP="008A73C2">
            <w:pPr>
              <w:tabs>
                <w:tab w:val="center" w:pos="4819"/>
              </w:tabs>
              <w:suppressAutoHyphens/>
              <w:spacing w:line="240" w:lineRule="auto"/>
              <w:ind w:firstLine="0"/>
              <w:rPr>
                <w:rFonts w:ascii="Times New Roman" w:hAnsi="Times New Roman"/>
                <w:spacing w:val="-3"/>
                <w:lang w:val="en-US"/>
              </w:rPr>
            </w:pPr>
            <w:r w:rsidRPr="00715ED8">
              <w:rPr>
                <w:rFonts w:ascii="Times New Roman" w:hAnsi="Times New Roman"/>
                <w:spacing w:val="-3"/>
                <w:lang w:val="en-US"/>
              </w:rPr>
              <w:t>Anion-Exchange Membrane</w:t>
            </w:r>
          </w:p>
        </w:tc>
      </w:tr>
      <w:tr w:rsidR="005C3FE9" w:rsidRPr="00715ED8" w14:paraId="6F34E5E7" w14:textId="77777777" w:rsidTr="008A73C2">
        <w:tc>
          <w:tcPr>
            <w:tcW w:w="1918" w:type="dxa"/>
          </w:tcPr>
          <w:p w14:paraId="2B269773" w14:textId="77777777" w:rsidR="005C3FE9" w:rsidRPr="00715ED8" w:rsidRDefault="005C3FE9" w:rsidP="008A73C2">
            <w:pPr>
              <w:tabs>
                <w:tab w:val="center" w:pos="4819"/>
              </w:tabs>
              <w:suppressAutoHyphens/>
              <w:spacing w:line="240" w:lineRule="auto"/>
              <w:ind w:firstLine="0"/>
              <w:rPr>
                <w:rFonts w:ascii="Times New Roman" w:hAnsi="Times New Roman"/>
                <w:spacing w:val="-3"/>
              </w:rPr>
            </w:pPr>
            <w:r w:rsidRPr="00715ED8">
              <w:rPr>
                <w:rFonts w:ascii="Times New Roman" w:hAnsi="Times New Roman"/>
                <w:spacing w:val="-3"/>
              </w:rPr>
              <w:t>BMED</w:t>
            </w:r>
          </w:p>
        </w:tc>
        <w:tc>
          <w:tcPr>
            <w:tcW w:w="7152" w:type="dxa"/>
          </w:tcPr>
          <w:p w14:paraId="028CD0DA" w14:textId="77777777" w:rsidR="005C3FE9" w:rsidRPr="00715ED8" w:rsidRDefault="005C3FE9" w:rsidP="008A73C2">
            <w:pPr>
              <w:tabs>
                <w:tab w:val="center" w:pos="4819"/>
              </w:tabs>
              <w:suppressAutoHyphens/>
              <w:spacing w:line="240" w:lineRule="auto"/>
              <w:ind w:firstLine="0"/>
              <w:rPr>
                <w:rFonts w:ascii="Times New Roman" w:hAnsi="Times New Roman"/>
                <w:spacing w:val="-3"/>
                <w:lang w:val="en-US"/>
              </w:rPr>
            </w:pPr>
            <w:r w:rsidRPr="00715ED8">
              <w:rPr>
                <w:rFonts w:ascii="Times New Roman" w:hAnsi="Times New Roman"/>
                <w:spacing w:val="-3"/>
                <w:lang w:val="en-US"/>
              </w:rPr>
              <w:t xml:space="preserve">Bipolar Membrane </w:t>
            </w:r>
            <w:proofErr w:type="spellStart"/>
            <w:r w:rsidRPr="00715ED8">
              <w:rPr>
                <w:rFonts w:ascii="Times New Roman" w:hAnsi="Times New Roman"/>
                <w:spacing w:val="-3"/>
                <w:lang w:val="en-US"/>
              </w:rPr>
              <w:t>ElectroDialysis</w:t>
            </w:r>
            <w:proofErr w:type="spellEnd"/>
          </w:p>
        </w:tc>
      </w:tr>
      <w:tr w:rsidR="005C3FE9" w:rsidRPr="00715ED8" w14:paraId="26021589" w14:textId="77777777" w:rsidTr="008A73C2">
        <w:tc>
          <w:tcPr>
            <w:tcW w:w="1918" w:type="dxa"/>
          </w:tcPr>
          <w:p w14:paraId="5B64BD4A" w14:textId="77777777" w:rsidR="005C3FE9" w:rsidRPr="00715ED8" w:rsidRDefault="005C3FE9" w:rsidP="008A73C2">
            <w:pPr>
              <w:tabs>
                <w:tab w:val="center" w:pos="4819"/>
              </w:tabs>
              <w:suppressAutoHyphens/>
              <w:spacing w:line="240" w:lineRule="auto"/>
              <w:ind w:firstLine="0"/>
              <w:rPr>
                <w:rFonts w:ascii="Times New Roman" w:hAnsi="Times New Roman"/>
                <w:spacing w:val="-3"/>
              </w:rPr>
            </w:pPr>
            <w:r w:rsidRPr="00715ED8">
              <w:rPr>
                <w:rFonts w:ascii="Times New Roman" w:hAnsi="Times New Roman"/>
                <w:spacing w:val="-3"/>
              </w:rPr>
              <w:t>BMRED</w:t>
            </w:r>
          </w:p>
        </w:tc>
        <w:tc>
          <w:tcPr>
            <w:tcW w:w="7152" w:type="dxa"/>
          </w:tcPr>
          <w:p w14:paraId="42BE9FB7" w14:textId="77777777" w:rsidR="005C3FE9" w:rsidRPr="00715ED8" w:rsidRDefault="005C3FE9" w:rsidP="008A73C2">
            <w:pPr>
              <w:tabs>
                <w:tab w:val="center" w:pos="4819"/>
              </w:tabs>
              <w:suppressAutoHyphens/>
              <w:spacing w:line="240" w:lineRule="auto"/>
              <w:ind w:firstLine="0"/>
              <w:rPr>
                <w:rFonts w:ascii="Times New Roman" w:hAnsi="Times New Roman"/>
                <w:spacing w:val="-3"/>
                <w:lang w:val="en-US"/>
              </w:rPr>
            </w:pPr>
            <w:r w:rsidRPr="00715ED8">
              <w:rPr>
                <w:rFonts w:ascii="Times New Roman" w:hAnsi="Times New Roman"/>
                <w:spacing w:val="-3"/>
                <w:lang w:val="en-US"/>
              </w:rPr>
              <w:t xml:space="preserve">Bipolar Membrane Reverse </w:t>
            </w:r>
            <w:proofErr w:type="spellStart"/>
            <w:r w:rsidRPr="00715ED8">
              <w:rPr>
                <w:rFonts w:ascii="Times New Roman" w:hAnsi="Times New Roman"/>
                <w:spacing w:val="-3"/>
                <w:lang w:val="en-US"/>
              </w:rPr>
              <w:t>ElectroDialysis</w:t>
            </w:r>
            <w:proofErr w:type="spellEnd"/>
          </w:p>
        </w:tc>
      </w:tr>
      <w:tr w:rsidR="005C3FE9" w:rsidRPr="00715ED8" w14:paraId="4BAC8B41" w14:textId="77777777" w:rsidTr="008A73C2">
        <w:tc>
          <w:tcPr>
            <w:tcW w:w="1918" w:type="dxa"/>
          </w:tcPr>
          <w:p w14:paraId="3900EB62" w14:textId="77777777" w:rsidR="005C3FE9" w:rsidRPr="00715ED8" w:rsidRDefault="005C3FE9" w:rsidP="008A73C2">
            <w:pPr>
              <w:tabs>
                <w:tab w:val="center" w:pos="4819"/>
              </w:tabs>
              <w:suppressAutoHyphens/>
              <w:spacing w:line="240" w:lineRule="auto"/>
              <w:ind w:firstLine="0"/>
              <w:rPr>
                <w:rFonts w:ascii="Times New Roman" w:hAnsi="Times New Roman"/>
                <w:spacing w:val="-3"/>
              </w:rPr>
            </w:pPr>
            <w:r w:rsidRPr="00715ED8">
              <w:rPr>
                <w:rFonts w:ascii="Times New Roman" w:hAnsi="Times New Roman"/>
                <w:spacing w:val="-3"/>
              </w:rPr>
              <w:t>BPM</w:t>
            </w:r>
          </w:p>
        </w:tc>
        <w:tc>
          <w:tcPr>
            <w:tcW w:w="7152" w:type="dxa"/>
          </w:tcPr>
          <w:p w14:paraId="7352D46F" w14:textId="77777777" w:rsidR="005C3FE9" w:rsidRPr="00715ED8" w:rsidRDefault="005C3FE9" w:rsidP="008A73C2">
            <w:pPr>
              <w:tabs>
                <w:tab w:val="center" w:pos="4819"/>
              </w:tabs>
              <w:suppressAutoHyphens/>
              <w:spacing w:line="240" w:lineRule="auto"/>
              <w:ind w:firstLine="0"/>
              <w:rPr>
                <w:rFonts w:ascii="Times New Roman" w:hAnsi="Times New Roman"/>
                <w:spacing w:val="-3"/>
                <w:lang w:val="en-US"/>
              </w:rPr>
            </w:pPr>
            <w:r w:rsidRPr="00715ED8">
              <w:rPr>
                <w:rFonts w:ascii="Times New Roman" w:hAnsi="Times New Roman"/>
                <w:spacing w:val="-3"/>
                <w:lang w:val="en-US"/>
              </w:rPr>
              <w:t>Bipolar Membrane</w:t>
            </w:r>
          </w:p>
        </w:tc>
      </w:tr>
      <w:tr w:rsidR="00715ED8" w:rsidRPr="00715ED8" w14:paraId="76B726C8" w14:textId="77777777" w:rsidTr="008A73C2">
        <w:tc>
          <w:tcPr>
            <w:tcW w:w="1918" w:type="dxa"/>
          </w:tcPr>
          <w:p w14:paraId="4A0B1897" w14:textId="2BF5086F" w:rsidR="00715ED8" w:rsidRPr="00715ED8" w:rsidRDefault="00715ED8" w:rsidP="008A73C2">
            <w:pPr>
              <w:tabs>
                <w:tab w:val="center" w:pos="4819"/>
              </w:tabs>
              <w:suppressAutoHyphens/>
              <w:spacing w:line="240" w:lineRule="auto"/>
              <w:ind w:firstLine="0"/>
              <w:rPr>
                <w:rFonts w:ascii="Times New Roman" w:hAnsi="Times New Roman"/>
                <w:spacing w:val="-3"/>
              </w:rPr>
            </w:pPr>
            <w:r w:rsidRPr="00715ED8">
              <w:rPr>
                <w:rFonts w:ascii="Times New Roman" w:hAnsi="Times New Roman"/>
                <w:spacing w:val="-3"/>
              </w:rPr>
              <w:t>CAES</w:t>
            </w:r>
          </w:p>
        </w:tc>
        <w:tc>
          <w:tcPr>
            <w:tcW w:w="7152" w:type="dxa"/>
          </w:tcPr>
          <w:p w14:paraId="26BB3398" w14:textId="5656B5CE" w:rsidR="00715ED8" w:rsidRPr="00715ED8" w:rsidRDefault="00715ED8" w:rsidP="008A73C2">
            <w:pPr>
              <w:tabs>
                <w:tab w:val="center" w:pos="4819"/>
              </w:tabs>
              <w:suppressAutoHyphens/>
              <w:spacing w:line="240" w:lineRule="auto"/>
              <w:ind w:firstLine="0"/>
              <w:rPr>
                <w:rFonts w:ascii="Times New Roman" w:hAnsi="Times New Roman"/>
                <w:spacing w:val="-3"/>
                <w:lang w:val="en-US"/>
              </w:rPr>
            </w:pPr>
            <w:r w:rsidRPr="00715ED8">
              <w:rPr>
                <w:rFonts w:ascii="Times New Roman" w:hAnsi="Times New Roman"/>
                <w:spacing w:val="-3"/>
                <w:lang w:val="en-US"/>
              </w:rPr>
              <w:t>Compressed-Air Energy Storage</w:t>
            </w:r>
          </w:p>
        </w:tc>
      </w:tr>
      <w:tr w:rsidR="005C3FE9" w:rsidRPr="00715ED8" w14:paraId="05AF5453" w14:textId="77777777" w:rsidTr="008A73C2">
        <w:tc>
          <w:tcPr>
            <w:tcW w:w="1918" w:type="dxa"/>
          </w:tcPr>
          <w:p w14:paraId="356709DE" w14:textId="77777777" w:rsidR="005C3FE9" w:rsidRPr="00715ED8" w:rsidRDefault="005C3FE9" w:rsidP="008A73C2">
            <w:pPr>
              <w:tabs>
                <w:tab w:val="center" w:pos="4819"/>
              </w:tabs>
              <w:suppressAutoHyphens/>
              <w:spacing w:line="240" w:lineRule="auto"/>
              <w:ind w:firstLine="0"/>
              <w:rPr>
                <w:rFonts w:ascii="Times New Roman" w:hAnsi="Times New Roman"/>
                <w:spacing w:val="-3"/>
              </w:rPr>
            </w:pPr>
            <w:r w:rsidRPr="00715ED8">
              <w:rPr>
                <w:rFonts w:ascii="Times New Roman" w:hAnsi="Times New Roman"/>
                <w:spacing w:val="-3"/>
              </w:rPr>
              <w:t>CEL</w:t>
            </w:r>
          </w:p>
        </w:tc>
        <w:tc>
          <w:tcPr>
            <w:tcW w:w="7152" w:type="dxa"/>
          </w:tcPr>
          <w:p w14:paraId="4CF2478A" w14:textId="77777777" w:rsidR="005C3FE9" w:rsidRPr="00715ED8" w:rsidRDefault="005C3FE9" w:rsidP="008A73C2">
            <w:pPr>
              <w:tabs>
                <w:tab w:val="center" w:pos="4819"/>
              </w:tabs>
              <w:suppressAutoHyphens/>
              <w:spacing w:line="240" w:lineRule="auto"/>
              <w:ind w:firstLine="0"/>
              <w:rPr>
                <w:rFonts w:ascii="Times New Roman" w:hAnsi="Times New Roman"/>
                <w:spacing w:val="-3"/>
                <w:lang w:val="en-US"/>
              </w:rPr>
            </w:pPr>
            <w:r w:rsidRPr="00715ED8">
              <w:rPr>
                <w:rFonts w:ascii="Times New Roman" w:hAnsi="Times New Roman"/>
                <w:spacing w:val="-3"/>
                <w:lang w:val="en-US"/>
              </w:rPr>
              <w:t>Cation-Exchange Layer</w:t>
            </w:r>
          </w:p>
        </w:tc>
      </w:tr>
      <w:tr w:rsidR="005C3FE9" w:rsidRPr="00715ED8" w14:paraId="3605061D" w14:textId="77777777" w:rsidTr="008A73C2">
        <w:tc>
          <w:tcPr>
            <w:tcW w:w="1918" w:type="dxa"/>
          </w:tcPr>
          <w:p w14:paraId="3242A9CD" w14:textId="77777777" w:rsidR="005C3FE9" w:rsidRPr="00715ED8" w:rsidRDefault="005C3FE9" w:rsidP="008A73C2">
            <w:pPr>
              <w:tabs>
                <w:tab w:val="center" w:pos="4819"/>
              </w:tabs>
              <w:suppressAutoHyphens/>
              <w:spacing w:line="240" w:lineRule="auto"/>
              <w:ind w:firstLine="0"/>
              <w:rPr>
                <w:rFonts w:ascii="Times New Roman" w:hAnsi="Times New Roman"/>
                <w:spacing w:val="-3"/>
              </w:rPr>
            </w:pPr>
            <w:r w:rsidRPr="00715ED8">
              <w:rPr>
                <w:rFonts w:ascii="Times New Roman" w:hAnsi="Times New Roman"/>
                <w:spacing w:val="-3"/>
              </w:rPr>
              <w:t>CEM</w:t>
            </w:r>
          </w:p>
        </w:tc>
        <w:tc>
          <w:tcPr>
            <w:tcW w:w="7152" w:type="dxa"/>
          </w:tcPr>
          <w:p w14:paraId="4278F969" w14:textId="77777777" w:rsidR="005C3FE9" w:rsidRPr="00715ED8" w:rsidRDefault="005C3FE9" w:rsidP="008A73C2">
            <w:pPr>
              <w:tabs>
                <w:tab w:val="center" w:pos="4819"/>
              </w:tabs>
              <w:suppressAutoHyphens/>
              <w:spacing w:line="240" w:lineRule="auto"/>
              <w:ind w:firstLine="0"/>
              <w:rPr>
                <w:rFonts w:ascii="Times New Roman" w:hAnsi="Times New Roman"/>
                <w:spacing w:val="-3"/>
                <w:lang w:val="en-US"/>
              </w:rPr>
            </w:pPr>
            <w:r w:rsidRPr="00715ED8">
              <w:rPr>
                <w:rFonts w:ascii="Times New Roman" w:hAnsi="Times New Roman"/>
                <w:spacing w:val="-3"/>
                <w:lang w:val="en-US"/>
              </w:rPr>
              <w:t>Cation-Exchange Membrane</w:t>
            </w:r>
          </w:p>
        </w:tc>
      </w:tr>
      <w:tr w:rsidR="00715ED8" w:rsidRPr="00715ED8" w14:paraId="74FDEC6F" w14:textId="77777777" w:rsidTr="008A73C2">
        <w:tc>
          <w:tcPr>
            <w:tcW w:w="1918" w:type="dxa"/>
          </w:tcPr>
          <w:p w14:paraId="407FB4C4" w14:textId="6326ACDC" w:rsidR="00715ED8" w:rsidRPr="00715ED8" w:rsidRDefault="00715ED8" w:rsidP="008A73C2">
            <w:pPr>
              <w:tabs>
                <w:tab w:val="center" w:pos="4819"/>
              </w:tabs>
              <w:suppressAutoHyphens/>
              <w:spacing w:line="240" w:lineRule="auto"/>
              <w:ind w:firstLine="0"/>
              <w:rPr>
                <w:rFonts w:ascii="Times New Roman" w:hAnsi="Times New Roman"/>
                <w:spacing w:val="-3"/>
              </w:rPr>
            </w:pPr>
            <w:r w:rsidRPr="00715ED8">
              <w:rPr>
                <w:rFonts w:ascii="Times New Roman" w:hAnsi="Times New Roman"/>
                <w:spacing w:val="-3"/>
              </w:rPr>
              <w:t>DLC</w:t>
            </w:r>
          </w:p>
        </w:tc>
        <w:tc>
          <w:tcPr>
            <w:tcW w:w="7152" w:type="dxa"/>
          </w:tcPr>
          <w:p w14:paraId="7E469638" w14:textId="63DECD44" w:rsidR="00715ED8" w:rsidRPr="00715ED8" w:rsidRDefault="00715ED8" w:rsidP="008A73C2">
            <w:pPr>
              <w:tabs>
                <w:tab w:val="center" w:pos="4819"/>
              </w:tabs>
              <w:suppressAutoHyphens/>
              <w:spacing w:line="240" w:lineRule="auto"/>
              <w:ind w:firstLine="0"/>
              <w:rPr>
                <w:rFonts w:ascii="Times New Roman" w:hAnsi="Times New Roman"/>
                <w:spacing w:val="-3"/>
                <w:lang w:val="en-US"/>
              </w:rPr>
            </w:pPr>
            <w:r w:rsidRPr="00715ED8">
              <w:rPr>
                <w:rFonts w:ascii="Times New Roman" w:hAnsi="Times New Roman"/>
                <w:spacing w:val="-3"/>
                <w:lang w:val="en-US"/>
              </w:rPr>
              <w:t>Double Layers Capacitor</w:t>
            </w:r>
          </w:p>
        </w:tc>
      </w:tr>
      <w:tr w:rsidR="005C3FE9" w:rsidRPr="00715ED8" w14:paraId="5C2EF557" w14:textId="77777777" w:rsidTr="008A73C2">
        <w:tc>
          <w:tcPr>
            <w:tcW w:w="1918" w:type="dxa"/>
          </w:tcPr>
          <w:p w14:paraId="79C85F9F" w14:textId="77777777" w:rsidR="005C3FE9" w:rsidRPr="00715ED8" w:rsidRDefault="005C3FE9" w:rsidP="008A73C2">
            <w:pPr>
              <w:tabs>
                <w:tab w:val="center" w:pos="4819"/>
              </w:tabs>
              <w:suppressAutoHyphens/>
              <w:spacing w:line="240" w:lineRule="auto"/>
              <w:ind w:firstLine="0"/>
              <w:rPr>
                <w:rFonts w:ascii="Times New Roman" w:hAnsi="Times New Roman"/>
                <w:spacing w:val="-3"/>
              </w:rPr>
            </w:pPr>
            <w:r w:rsidRPr="00715ED8">
              <w:rPr>
                <w:rFonts w:ascii="Times New Roman" w:hAnsi="Times New Roman"/>
                <w:spacing w:val="-3"/>
              </w:rPr>
              <w:t>ED</w:t>
            </w:r>
          </w:p>
        </w:tc>
        <w:tc>
          <w:tcPr>
            <w:tcW w:w="7152" w:type="dxa"/>
          </w:tcPr>
          <w:p w14:paraId="170955D8" w14:textId="77777777" w:rsidR="005C3FE9" w:rsidRPr="00715ED8" w:rsidRDefault="005C3FE9" w:rsidP="008A73C2">
            <w:pPr>
              <w:tabs>
                <w:tab w:val="center" w:pos="4819"/>
              </w:tabs>
              <w:suppressAutoHyphens/>
              <w:spacing w:line="240" w:lineRule="auto"/>
              <w:ind w:firstLine="0"/>
              <w:rPr>
                <w:rFonts w:ascii="Times New Roman" w:hAnsi="Times New Roman"/>
                <w:spacing w:val="-3"/>
              </w:rPr>
            </w:pPr>
            <w:proofErr w:type="spellStart"/>
            <w:r w:rsidRPr="00715ED8">
              <w:rPr>
                <w:rFonts w:ascii="Times New Roman" w:hAnsi="Times New Roman"/>
                <w:spacing w:val="-3"/>
              </w:rPr>
              <w:t>ElectroDialysis</w:t>
            </w:r>
            <w:proofErr w:type="spellEnd"/>
          </w:p>
        </w:tc>
      </w:tr>
      <w:tr w:rsidR="00715ED8" w:rsidRPr="00715ED8" w14:paraId="32E05C6B" w14:textId="77777777" w:rsidTr="008A73C2">
        <w:tc>
          <w:tcPr>
            <w:tcW w:w="1918" w:type="dxa"/>
          </w:tcPr>
          <w:p w14:paraId="6214E2D6" w14:textId="1F626F9F" w:rsidR="00715ED8" w:rsidRPr="00715ED8" w:rsidRDefault="00715ED8" w:rsidP="008A73C2">
            <w:pPr>
              <w:tabs>
                <w:tab w:val="center" w:pos="4819"/>
              </w:tabs>
              <w:suppressAutoHyphens/>
              <w:spacing w:line="240" w:lineRule="auto"/>
              <w:ind w:firstLine="0"/>
              <w:rPr>
                <w:rFonts w:ascii="Times New Roman" w:hAnsi="Times New Roman"/>
                <w:spacing w:val="-3"/>
              </w:rPr>
            </w:pPr>
            <w:r w:rsidRPr="00715ED8">
              <w:rPr>
                <w:rFonts w:ascii="Times New Roman" w:hAnsi="Times New Roman"/>
                <w:spacing w:val="-3"/>
              </w:rPr>
              <w:t>FES</w:t>
            </w:r>
          </w:p>
        </w:tc>
        <w:tc>
          <w:tcPr>
            <w:tcW w:w="7152" w:type="dxa"/>
          </w:tcPr>
          <w:p w14:paraId="564F14DE" w14:textId="5BB3A46A" w:rsidR="00715ED8" w:rsidRPr="00715ED8" w:rsidRDefault="00715ED8" w:rsidP="008A73C2">
            <w:pPr>
              <w:tabs>
                <w:tab w:val="center" w:pos="4819"/>
              </w:tabs>
              <w:suppressAutoHyphens/>
              <w:spacing w:line="240" w:lineRule="auto"/>
              <w:ind w:firstLine="0"/>
              <w:rPr>
                <w:rFonts w:ascii="Times New Roman" w:hAnsi="Times New Roman"/>
                <w:spacing w:val="-3"/>
              </w:rPr>
            </w:pPr>
            <w:proofErr w:type="spellStart"/>
            <w:r w:rsidRPr="00715ED8">
              <w:rPr>
                <w:rFonts w:ascii="Times New Roman" w:hAnsi="Times New Roman"/>
                <w:spacing w:val="-3"/>
              </w:rPr>
              <w:t>Flywheel</w:t>
            </w:r>
            <w:proofErr w:type="spellEnd"/>
            <w:r w:rsidRPr="00715ED8">
              <w:rPr>
                <w:rFonts w:ascii="Times New Roman" w:hAnsi="Times New Roman"/>
                <w:spacing w:val="-3"/>
              </w:rPr>
              <w:t xml:space="preserve"> Energy Storage</w:t>
            </w:r>
          </w:p>
        </w:tc>
      </w:tr>
      <w:tr w:rsidR="005C3FE9" w:rsidRPr="00715ED8" w14:paraId="4FE510D1" w14:textId="77777777" w:rsidTr="008A73C2">
        <w:tc>
          <w:tcPr>
            <w:tcW w:w="1918" w:type="dxa"/>
          </w:tcPr>
          <w:p w14:paraId="1086FB73" w14:textId="77777777" w:rsidR="005C3FE9" w:rsidRPr="00715ED8" w:rsidRDefault="005C3FE9" w:rsidP="008A73C2">
            <w:pPr>
              <w:tabs>
                <w:tab w:val="center" w:pos="4819"/>
              </w:tabs>
              <w:suppressAutoHyphens/>
              <w:spacing w:line="240" w:lineRule="auto"/>
              <w:ind w:firstLine="0"/>
              <w:rPr>
                <w:rFonts w:ascii="Times New Roman" w:hAnsi="Times New Roman"/>
                <w:spacing w:val="-3"/>
              </w:rPr>
            </w:pPr>
            <w:r w:rsidRPr="00715ED8">
              <w:rPr>
                <w:rFonts w:ascii="Times New Roman" w:hAnsi="Times New Roman"/>
                <w:spacing w:val="-3"/>
              </w:rPr>
              <w:t>GA</w:t>
            </w:r>
          </w:p>
        </w:tc>
        <w:tc>
          <w:tcPr>
            <w:tcW w:w="7152" w:type="dxa"/>
          </w:tcPr>
          <w:p w14:paraId="25693363" w14:textId="77777777" w:rsidR="005C3FE9" w:rsidRPr="00715ED8" w:rsidRDefault="005C3FE9" w:rsidP="008A73C2">
            <w:pPr>
              <w:tabs>
                <w:tab w:val="center" w:pos="4819"/>
              </w:tabs>
              <w:suppressAutoHyphens/>
              <w:spacing w:line="240" w:lineRule="auto"/>
              <w:ind w:firstLine="0"/>
              <w:rPr>
                <w:rFonts w:ascii="Times New Roman" w:hAnsi="Times New Roman"/>
                <w:spacing w:val="-3"/>
              </w:rPr>
            </w:pPr>
            <w:proofErr w:type="spellStart"/>
            <w:r w:rsidRPr="00715ED8">
              <w:rPr>
                <w:rFonts w:ascii="Times New Roman" w:hAnsi="Times New Roman"/>
                <w:spacing w:val="-3"/>
              </w:rPr>
              <w:t>Genetic</w:t>
            </w:r>
            <w:proofErr w:type="spellEnd"/>
            <w:r w:rsidRPr="00715ED8">
              <w:rPr>
                <w:rFonts w:ascii="Times New Roman" w:hAnsi="Times New Roman"/>
                <w:spacing w:val="-3"/>
              </w:rPr>
              <w:t xml:space="preserve"> </w:t>
            </w:r>
            <w:proofErr w:type="spellStart"/>
            <w:r w:rsidRPr="00715ED8">
              <w:rPr>
                <w:rFonts w:ascii="Times New Roman" w:hAnsi="Times New Roman"/>
                <w:spacing w:val="-3"/>
              </w:rPr>
              <w:t>Algorithm</w:t>
            </w:r>
            <w:proofErr w:type="spellEnd"/>
          </w:p>
        </w:tc>
      </w:tr>
      <w:tr w:rsidR="006000CC" w:rsidRPr="00715ED8" w14:paraId="0B8EEFA7" w14:textId="77777777" w:rsidTr="008A73C2">
        <w:tc>
          <w:tcPr>
            <w:tcW w:w="1918" w:type="dxa"/>
          </w:tcPr>
          <w:p w14:paraId="1FFB63E5" w14:textId="624D0D43" w:rsidR="006000CC" w:rsidRPr="00715ED8" w:rsidRDefault="006000CC" w:rsidP="006000CC">
            <w:pPr>
              <w:tabs>
                <w:tab w:val="center" w:pos="4819"/>
              </w:tabs>
              <w:suppressAutoHyphens/>
              <w:spacing w:line="240" w:lineRule="auto"/>
              <w:ind w:firstLine="0"/>
              <w:rPr>
                <w:spacing w:val="-3"/>
              </w:rPr>
            </w:pPr>
            <w:r w:rsidRPr="00715ED8">
              <w:rPr>
                <w:rFonts w:ascii="Times New Roman" w:hAnsi="Times New Roman"/>
                <w:spacing w:val="-3"/>
              </w:rPr>
              <w:t>GD</w:t>
            </w:r>
            <w:r>
              <w:rPr>
                <w:rFonts w:ascii="Times New Roman" w:hAnsi="Times New Roman"/>
                <w:spacing w:val="-3"/>
              </w:rPr>
              <w:t>P</w:t>
            </w:r>
          </w:p>
        </w:tc>
        <w:tc>
          <w:tcPr>
            <w:tcW w:w="7152" w:type="dxa"/>
          </w:tcPr>
          <w:p w14:paraId="0A341825" w14:textId="47ED8F21" w:rsidR="006000CC" w:rsidRPr="00715ED8" w:rsidRDefault="006000CC" w:rsidP="006000CC">
            <w:pPr>
              <w:tabs>
                <w:tab w:val="center" w:pos="4819"/>
              </w:tabs>
              <w:suppressAutoHyphens/>
              <w:spacing w:line="240" w:lineRule="auto"/>
              <w:ind w:firstLine="0"/>
              <w:rPr>
                <w:spacing w:val="-3"/>
              </w:rPr>
            </w:pPr>
            <w:r w:rsidRPr="00715ED8">
              <w:rPr>
                <w:rFonts w:ascii="Times New Roman" w:hAnsi="Times New Roman"/>
                <w:spacing w:val="-3"/>
              </w:rPr>
              <w:t xml:space="preserve">Gross </w:t>
            </w:r>
            <w:proofErr w:type="spellStart"/>
            <w:r>
              <w:rPr>
                <w:rFonts w:ascii="Times New Roman" w:hAnsi="Times New Roman"/>
                <w:spacing w:val="-3"/>
              </w:rPr>
              <w:t>Domestic</w:t>
            </w:r>
            <w:proofErr w:type="spellEnd"/>
            <w:r>
              <w:rPr>
                <w:rFonts w:ascii="Times New Roman" w:hAnsi="Times New Roman"/>
                <w:spacing w:val="-3"/>
              </w:rPr>
              <w:t xml:space="preserve"> Product</w:t>
            </w:r>
          </w:p>
        </w:tc>
      </w:tr>
      <w:tr w:rsidR="005C3FE9" w:rsidRPr="00715ED8" w14:paraId="441F66D2" w14:textId="77777777" w:rsidTr="008A73C2">
        <w:tc>
          <w:tcPr>
            <w:tcW w:w="1918" w:type="dxa"/>
          </w:tcPr>
          <w:p w14:paraId="21C2F014" w14:textId="77777777" w:rsidR="005C3FE9" w:rsidRPr="00715ED8" w:rsidRDefault="005C3FE9" w:rsidP="008A73C2">
            <w:pPr>
              <w:tabs>
                <w:tab w:val="center" w:pos="4819"/>
              </w:tabs>
              <w:suppressAutoHyphens/>
              <w:spacing w:line="240" w:lineRule="auto"/>
              <w:ind w:firstLine="0"/>
              <w:rPr>
                <w:rFonts w:ascii="Times New Roman" w:hAnsi="Times New Roman"/>
                <w:spacing w:val="-3"/>
              </w:rPr>
            </w:pPr>
            <w:r w:rsidRPr="00715ED8">
              <w:rPr>
                <w:rFonts w:ascii="Times New Roman" w:hAnsi="Times New Roman"/>
                <w:spacing w:val="-3"/>
              </w:rPr>
              <w:t>GPD</w:t>
            </w:r>
          </w:p>
        </w:tc>
        <w:tc>
          <w:tcPr>
            <w:tcW w:w="7152" w:type="dxa"/>
          </w:tcPr>
          <w:p w14:paraId="4E80F40D" w14:textId="77777777" w:rsidR="005C3FE9" w:rsidRPr="00715ED8" w:rsidRDefault="005C3FE9" w:rsidP="008A73C2">
            <w:pPr>
              <w:tabs>
                <w:tab w:val="center" w:pos="4819"/>
              </w:tabs>
              <w:suppressAutoHyphens/>
              <w:spacing w:line="240" w:lineRule="auto"/>
              <w:ind w:firstLine="0"/>
              <w:rPr>
                <w:rFonts w:ascii="Times New Roman" w:hAnsi="Times New Roman"/>
                <w:spacing w:val="-3"/>
              </w:rPr>
            </w:pPr>
            <w:r w:rsidRPr="00715ED8">
              <w:rPr>
                <w:rFonts w:ascii="Times New Roman" w:hAnsi="Times New Roman"/>
                <w:spacing w:val="-3"/>
              </w:rPr>
              <w:t xml:space="preserve">Gross Power </w:t>
            </w:r>
            <w:proofErr w:type="spellStart"/>
            <w:r w:rsidRPr="00715ED8">
              <w:rPr>
                <w:rFonts w:ascii="Times New Roman" w:hAnsi="Times New Roman"/>
                <w:spacing w:val="-3"/>
              </w:rPr>
              <w:t>Density</w:t>
            </w:r>
            <w:proofErr w:type="spellEnd"/>
          </w:p>
        </w:tc>
      </w:tr>
      <w:tr w:rsidR="006000CC" w:rsidRPr="00715ED8" w14:paraId="3D0B940E" w14:textId="77777777" w:rsidTr="008A73C2">
        <w:tc>
          <w:tcPr>
            <w:tcW w:w="1918" w:type="dxa"/>
          </w:tcPr>
          <w:p w14:paraId="0C3EAB6D" w14:textId="203D5246" w:rsidR="006000CC" w:rsidRPr="00715ED8" w:rsidRDefault="006000CC" w:rsidP="006000CC">
            <w:pPr>
              <w:tabs>
                <w:tab w:val="center" w:pos="4819"/>
              </w:tabs>
              <w:suppressAutoHyphens/>
              <w:spacing w:line="240" w:lineRule="auto"/>
              <w:ind w:firstLine="0"/>
              <w:rPr>
                <w:spacing w:val="-3"/>
              </w:rPr>
            </w:pPr>
            <w:r w:rsidRPr="00715ED8">
              <w:rPr>
                <w:rFonts w:ascii="Times New Roman" w:hAnsi="Times New Roman"/>
                <w:spacing w:val="-3"/>
              </w:rPr>
              <w:t>G</w:t>
            </w:r>
            <w:r>
              <w:rPr>
                <w:rFonts w:ascii="Times New Roman" w:hAnsi="Times New Roman"/>
                <w:spacing w:val="-3"/>
              </w:rPr>
              <w:t>VA</w:t>
            </w:r>
          </w:p>
        </w:tc>
        <w:tc>
          <w:tcPr>
            <w:tcW w:w="7152" w:type="dxa"/>
          </w:tcPr>
          <w:p w14:paraId="5B4339C1" w14:textId="2C11E196" w:rsidR="006000CC" w:rsidRPr="00715ED8" w:rsidRDefault="006000CC" w:rsidP="006000CC">
            <w:pPr>
              <w:tabs>
                <w:tab w:val="center" w:pos="4819"/>
              </w:tabs>
              <w:suppressAutoHyphens/>
              <w:spacing w:line="240" w:lineRule="auto"/>
              <w:ind w:firstLine="0"/>
              <w:rPr>
                <w:spacing w:val="-3"/>
              </w:rPr>
            </w:pPr>
            <w:r w:rsidRPr="00715ED8">
              <w:rPr>
                <w:rFonts w:ascii="Times New Roman" w:hAnsi="Times New Roman"/>
                <w:spacing w:val="-3"/>
              </w:rPr>
              <w:t xml:space="preserve">Gross </w:t>
            </w:r>
            <w:r>
              <w:rPr>
                <w:rFonts w:ascii="Times New Roman" w:hAnsi="Times New Roman"/>
                <w:spacing w:val="-3"/>
              </w:rPr>
              <w:t xml:space="preserve">Value </w:t>
            </w:r>
            <w:proofErr w:type="spellStart"/>
            <w:r>
              <w:rPr>
                <w:rFonts w:ascii="Times New Roman" w:hAnsi="Times New Roman"/>
                <w:spacing w:val="-3"/>
              </w:rPr>
              <w:t>Added</w:t>
            </w:r>
            <w:proofErr w:type="spellEnd"/>
          </w:p>
        </w:tc>
      </w:tr>
      <w:tr w:rsidR="00715ED8" w:rsidRPr="00715ED8" w14:paraId="2DFC6D77" w14:textId="77777777" w:rsidTr="008A73C2">
        <w:tc>
          <w:tcPr>
            <w:tcW w:w="1918" w:type="dxa"/>
          </w:tcPr>
          <w:p w14:paraId="5F5786AD" w14:textId="52F162A2" w:rsidR="00715ED8" w:rsidRPr="00715ED8" w:rsidRDefault="00715ED8" w:rsidP="008A73C2">
            <w:pPr>
              <w:tabs>
                <w:tab w:val="center" w:pos="4819"/>
              </w:tabs>
              <w:suppressAutoHyphens/>
              <w:spacing w:line="240" w:lineRule="auto"/>
              <w:ind w:firstLine="0"/>
              <w:rPr>
                <w:rFonts w:ascii="Times New Roman" w:hAnsi="Times New Roman"/>
                <w:spacing w:val="-3"/>
              </w:rPr>
            </w:pPr>
            <w:r w:rsidRPr="00715ED8">
              <w:rPr>
                <w:rFonts w:ascii="Times New Roman" w:hAnsi="Times New Roman"/>
                <w:spacing w:val="-3"/>
              </w:rPr>
              <w:t>HFB</w:t>
            </w:r>
          </w:p>
        </w:tc>
        <w:tc>
          <w:tcPr>
            <w:tcW w:w="7152" w:type="dxa"/>
          </w:tcPr>
          <w:p w14:paraId="3BD67968" w14:textId="0D271164" w:rsidR="00715ED8" w:rsidRPr="00715ED8" w:rsidRDefault="00715ED8" w:rsidP="008A73C2">
            <w:pPr>
              <w:tabs>
                <w:tab w:val="center" w:pos="4819"/>
              </w:tabs>
              <w:suppressAutoHyphens/>
              <w:spacing w:line="240" w:lineRule="auto"/>
              <w:ind w:firstLine="0"/>
              <w:rPr>
                <w:rFonts w:ascii="Times New Roman" w:hAnsi="Times New Roman"/>
                <w:spacing w:val="-3"/>
              </w:rPr>
            </w:pPr>
            <w:proofErr w:type="spellStart"/>
            <w:r w:rsidRPr="00715ED8">
              <w:rPr>
                <w:rFonts w:ascii="Times New Roman" w:hAnsi="Times New Roman"/>
                <w:spacing w:val="-3"/>
              </w:rPr>
              <w:t>Hybrid</w:t>
            </w:r>
            <w:proofErr w:type="spellEnd"/>
            <w:r w:rsidRPr="00715ED8">
              <w:rPr>
                <w:rFonts w:ascii="Times New Roman" w:hAnsi="Times New Roman"/>
                <w:spacing w:val="-3"/>
              </w:rPr>
              <w:t xml:space="preserve"> Flow </w:t>
            </w:r>
            <w:proofErr w:type="spellStart"/>
            <w:r w:rsidRPr="00715ED8">
              <w:rPr>
                <w:rFonts w:ascii="Times New Roman" w:hAnsi="Times New Roman"/>
                <w:spacing w:val="-3"/>
              </w:rPr>
              <w:t>Battery</w:t>
            </w:r>
            <w:proofErr w:type="spellEnd"/>
          </w:p>
        </w:tc>
      </w:tr>
      <w:tr w:rsidR="005C3FE9" w:rsidRPr="00715ED8" w14:paraId="14AA340E" w14:textId="77777777" w:rsidTr="008A73C2">
        <w:tc>
          <w:tcPr>
            <w:tcW w:w="1918" w:type="dxa"/>
          </w:tcPr>
          <w:p w14:paraId="03B866CD" w14:textId="77777777" w:rsidR="005C3FE9" w:rsidRPr="00715ED8" w:rsidRDefault="005C3FE9" w:rsidP="008A73C2">
            <w:pPr>
              <w:tabs>
                <w:tab w:val="center" w:pos="4819"/>
              </w:tabs>
              <w:suppressAutoHyphens/>
              <w:spacing w:line="240" w:lineRule="auto"/>
              <w:ind w:firstLine="0"/>
              <w:rPr>
                <w:rFonts w:ascii="Times New Roman" w:hAnsi="Times New Roman"/>
                <w:spacing w:val="-3"/>
                <w:lang w:val="en-US"/>
              </w:rPr>
            </w:pPr>
            <w:r w:rsidRPr="00715ED8">
              <w:rPr>
                <w:rFonts w:ascii="Times New Roman" w:hAnsi="Times New Roman"/>
                <w:spacing w:val="-3"/>
                <w:lang w:val="en-US"/>
              </w:rPr>
              <w:t>MOGA</w:t>
            </w:r>
          </w:p>
        </w:tc>
        <w:tc>
          <w:tcPr>
            <w:tcW w:w="7152" w:type="dxa"/>
          </w:tcPr>
          <w:p w14:paraId="544C7826" w14:textId="77777777" w:rsidR="005C3FE9" w:rsidRPr="00715ED8" w:rsidRDefault="005C3FE9" w:rsidP="008A73C2">
            <w:pPr>
              <w:tabs>
                <w:tab w:val="center" w:pos="4819"/>
              </w:tabs>
              <w:suppressAutoHyphens/>
              <w:spacing w:line="240" w:lineRule="auto"/>
              <w:ind w:firstLine="0"/>
              <w:rPr>
                <w:rFonts w:ascii="Times New Roman" w:hAnsi="Times New Roman"/>
                <w:spacing w:val="-3"/>
                <w:lang w:val="en-US"/>
              </w:rPr>
            </w:pPr>
            <w:r w:rsidRPr="00715ED8">
              <w:rPr>
                <w:rFonts w:ascii="Times New Roman" w:hAnsi="Times New Roman"/>
                <w:spacing w:val="-3"/>
                <w:lang w:val="en-US"/>
              </w:rPr>
              <w:t>Multi-Objective Genetic Algorithm</w:t>
            </w:r>
          </w:p>
        </w:tc>
      </w:tr>
      <w:tr w:rsidR="005C3FE9" w:rsidRPr="00715ED8" w14:paraId="18A0723B" w14:textId="77777777" w:rsidTr="008A73C2">
        <w:tc>
          <w:tcPr>
            <w:tcW w:w="1918" w:type="dxa"/>
          </w:tcPr>
          <w:p w14:paraId="609BC64A" w14:textId="77777777" w:rsidR="005C3FE9" w:rsidRPr="00715ED8" w:rsidRDefault="005C3FE9" w:rsidP="008A73C2">
            <w:pPr>
              <w:tabs>
                <w:tab w:val="center" w:pos="4819"/>
              </w:tabs>
              <w:suppressAutoHyphens/>
              <w:spacing w:line="240" w:lineRule="auto"/>
              <w:ind w:firstLine="0"/>
              <w:rPr>
                <w:rFonts w:ascii="Times New Roman" w:hAnsi="Times New Roman"/>
                <w:spacing w:val="-3"/>
              </w:rPr>
            </w:pPr>
            <w:r w:rsidRPr="00715ED8">
              <w:rPr>
                <w:rFonts w:ascii="Times New Roman" w:hAnsi="Times New Roman"/>
                <w:spacing w:val="-3"/>
              </w:rPr>
              <w:t>NSGA-II</w:t>
            </w:r>
          </w:p>
        </w:tc>
        <w:tc>
          <w:tcPr>
            <w:tcW w:w="7152" w:type="dxa"/>
          </w:tcPr>
          <w:p w14:paraId="5312F07B" w14:textId="77777777" w:rsidR="005C3FE9" w:rsidRPr="00715ED8" w:rsidRDefault="005C3FE9" w:rsidP="008A73C2">
            <w:pPr>
              <w:tabs>
                <w:tab w:val="center" w:pos="4819"/>
              </w:tabs>
              <w:suppressAutoHyphens/>
              <w:spacing w:line="240" w:lineRule="auto"/>
              <w:ind w:firstLine="0"/>
              <w:rPr>
                <w:rFonts w:ascii="Times New Roman" w:hAnsi="Times New Roman"/>
                <w:spacing w:val="-3"/>
              </w:rPr>
            </w:pPr>
            <w:r w:rsidRPr="00715ED8">
              <w:rPr>
                <w:rFonts w:ascii="Times New Roman" w:hAnsi="Times New Roman"/>
                <w:spacing w:val="-3"/>
              </w:rPr>
              <w:t>Non-</w:t>
            </w:r>
            <w:proofErr w:type="spellStart"/>
            <w:r w:rsidRPr="00715ED8">
              <w:rPr>
                <w:rFonts w:ascii="Times New Roman" w:hAnsi="Times New Roman"/>
                <w:spacing w:val="-3"/>
              </w:rPr>
              <w:t>dominated</w:t>
            </w:r>
            <w:proofErr w:type="spellEnd"/>
            <w:r w:rsidRPr="00715ED8">
              <w:rPr>
                <w:rFonts w:ascii="Times New Roman" w:hAnsi="Times New Roman"/>
                <w:spacing w:val="-3"/>
              </w:rPr>
              <w:t xml:space="preserve"> </w:t>
            </w:r>
            <w:proofErr w:type="spellStart"/>
            <w:r w:rsidRPr="00715ED8">
              <w:rPr>
                <w:rFonts w:ascii="Times New Roman" w:hAnsi="Times New Roman"/>
                <w:spacing w:val="-3"/>
              </w:rPr>
              <w:t>Sorting</w:t>
            </w:r>
            <w:proofErr w:type="spellEnd"/>
            <w:r w:rsidRPr="00715ED8">
              <w:rPr>
                <w:rFonts w:ascii="Times New Roman" w:hAnsi="Times New Roman"/>
                <w:spacing w:val="-3"/>
              </w:rPr>
              <w:t xml:space="preserve"> </w:t>
            </w:r>
            <w:proofErr w:type="spellStart"/>
            <w:r w:rsidRPr="00715ED8">
              <w:rPr>
                <w:rFonts w:ascii="Times New Roman" w:hAnsi="Times New Roman"/>
                <w:spacing w:val="-3"/>
              </w:rPr>
              <w:t>Genetic</w:t>
            </w:r>
            <w:proofErr w:type="spellEnd"/>
            <w:r w:rsidRPr="00715ED8">
              <w:rPr>
                <w:rFonts w:ascii="Times New Roman" w:hAnsi="Times New Roman"/>
                <w:spacing w:val="-3"/>
              </w:rPr>
              <w:t xml:space="preserve"> </w:t>
            </w:r>
            <w:proofErr w:type="spellStart"/>
            <w:r w:rsidRPr="00715ED8">
              <w:rPr>
                <w:rFonts w:ascii="Times New Roman" w:hAnsi="Times New Roman"/>
                <w:spacing w:val="-3"/>
              </w:rPr>
              <w:t>Algorithm</w:t>
            </w:r>
            <w:proofErr w:type="spellEnd"/>
            <w:r w:rsidRPr="00715ED8">
              <w:rPr>
                <w:rFonts w:ascii="Times New Roman" w:hAnsi="Times New Roman"/>
                <w:spacing w:val="-3"/>
              </w:rPr>
              <w:t xml:space="preserve"> II</w:t>
            </w:r>
          </w:p>
        </w:tc>
      </w:tr>
      <w:tr w:rsidR="00715ED8" w:rsidRPr="00715ED8" w14:paraId="4265440B" w14:textId="77777777" w:rsidTr="008A73C2">
        <w:tc>
          <w:tcPr>
            <w:tcW w:w="1918" w:type="dxa"/>
          </w:tcPr>
          <w:p w14:paraId="102E51CD" w14:textId="42BAAC79" w:rsidR="00715ED8" w:rsidRPr="00715ED8" w:rsidRDefault="00715ED8" w:rsidP="008A73C2">
            <w:pPr>
              <w:tabs>
                <w:tab w:val="center" w:pos="4819"/>
              </w:tabs>
              <w:suppressAutoHyphens/>
              <w:spacing w:line="240" w:lineRule="auto"/>
              <w:ind w:firstLine="0"/>
              <w:rPr>
                <w:rFonts w:ascii="Times New Roman" w:hAnsi="Times New Roman"/>
                <w:spacing w:val="-3"/>
                <w:lang w:val="en-US"/>
              </w:rPr>
            </w:pPr>
            <w:r w:rsidRPr="00715ED8">
              <w:rPr>
                <w:rFonts w:ascii="Times New Roman" w:hAnsi="Times New Roman"/>
                <w:spacing w:val="-3"/>
                <w:lang w:val="en-US"/>
              </w:rPr>
              <w:t>PHS</w:t>
            </w:r>
          </w:p>
        </w:tc>
        <w:tc>
          <w:tcPr>
            <w:tcW w:w="7152" w:type="dxa"/>
          </w:tcPr>
          <w:p w14:paraId="5C04E22A" w14:textId="10225B7A" w:rsidR="00715ED8" w:rsidRPr="00715ED8" w:rsidRDefault="00715ED8" w:rsidP="008A73C2">
            <w:pPr>
              <w:tabs>
                <w:tab w:val="center" w:pos="4819"/>
              </w:tabs>
              <w:suppressAutoHyphens/>
              <w:spacing w:line="240" w:lineRule="auto"/>
              <w:ind w:firstLine="0"/>
              <w:rPr>
                <w:rFonts w:ascii="Times New Roman" w:hAnsi="Times New Roman"/>
                <w:spacing w:val="-3"/>
                <w:lang w:val="en-US"/>
              </w:rPr>
            </w:pPr>
            <w:r w:rsidRPr="00715ED8">
              <w:rPr>
                <w:rFonts w:ascii="Times New Roman" w:hAnsi="Times New Roman"/>
                <w:spacing w:val="-3"/>
                <w:lang w:val="en-US"/>
              </w:rPr>
              <w:t xml:space="preserve">Pumped Hydro Storage </w:t>
            </w:r>
          </w:p>
        </w:tc>
      </w:tr>
      <w:tr w:rsidR="005C3FE9" w:rsidRPr="00715ED8" w14:paraId="38DFF530" w14:textId="77777777" w:rsidTr="008A73C2">
        <w:tc>
          <w:tcPr>
            <w:tcW w:w="1918" w:type="dxa"/>
          </w:tcPr>
          <w:p w14:paraId="5E4B0937" w14:textId="77777777" w:rsidR="005C3FE9" w:rsidRPr="00715ED8" w:rsidRDefault="005C3FE9" w:rsidP="008A73C2">
            <w:pPr>
              <w:tabs>
                <w:tab w:val="center" w:pos="4819"/>
              </w:tabs>
              <w:suppressAutoHyphens/>
              <w:spacing w:line="240" w:lineRule="auto"/>
              <w:ind w:firstLine="0"/>
              <w:rPr>
                <w:rFonts w:ascii="Times New Roman" w:hAnsi="Times New Roman"/>
                <w:spacing w:val="-3"/>
                <w:lang w:val="en-US"/>
              </w:rPr>
            </w:pPr>
            <w:r w:rsidRPr="00715ED8">
              <w:rPr>
                <w:rFonts w:ascii="Times New Roman" w:hAnsi="Times New Roman"/>
                <w:spacing w:val="-3"/>
                <w:lang w:val="en-US"/>
              </w:rPr>
              <w:t>PSO</w:t>
            </w:r>
          </w:p>
        </w:tc>
        <w:tc>
          <w:tcPr>
            <w:tcW w:w="7152" w:type="dxa"/>
          </w:tcPr>
          <w:p w14:paraId="7FAD5D44" w14:textId="6BFEB1B7" w:rsidR="005C3FE9" w:rsidRPr="00715ED8" w:rsidRDefault="005C3FE9" w:rsidP="008A73C2">
            <w:pPr>
              <w:tabs>
                <w:tab w:val="center" w:pos="4819"/>
              </w:tabs>
              <w:suppressAutoHyphens/>
              <w:spacing w:line="240" w:lineRule="auto"/>
              <w:ind w:firstLine="0"/>
              <w:rPr>
                <w:rFonts w:ascii="Times New Roman" w:hAnsi="Times New Roman"/>
                <w:spacing w:val="-3"/>
                <w:lang w:val="en-US"/>
              </w:rPr>
            </w:pPr>
            <w:r w:rsidRPr="00715ED8">
              <w:rPr>
                <w:rFonts w:ascii="Times New Roman" w:hAnsi="Times New Roman"/>
                <w:spacing w:val="-3"/>
                <w:lang w:val="en-US"/>
              </w:rPr>
              <w:t xml:space="preserve">Particle Swarm </w:t>
            </w:r>
            <w:proofErr w:type="spellStart"/>
            <w:r w:rsidRPr="00715ED8">
              <w:rPr>
                <w:rFonts w:ascii="Times New Roman" w:hAnsi="Times New Roman"/>
                <w:spacing w:val="-3"/>
                <w:lang w:val="en-US"/>
              </w:rPr>
              <w:t>Optimi</w:t>
            </w:r>
            <w:r w:rsidR="008A0EAC">
              <w:rPr>
                <w:rFonts w:ascii="Times New Roman" w:hAnsi="Times New Roman"/>
                <w:spacing w:val="-3"/>
                <w:lang w:val="en-US"/>
              </w:rPr>
              <w:t>s</w:t>
            </w:r>
            <w:r w:rsidRPr="00715ED8">
              <w:rPr>
                <w:rFonts w:ascii="Times New Roman" w:hAnsi="Times New Roman"/>
                <w:spacing w:val="-3"/>
                <w:lang w:val="en-US"/>
              </w:rPr>
              <w:t>ation</w:t>
            </w:r>
            <w:proofErr w:type="spellEnd"/>
          </w:p>
        </w:tc>
      </w:tr>
      <w:tr w:rsidR="005C3FE9" w:rsidRPr="00715ED8" w14:paraId="783AA05B" w14:textId="77777777" w:rsidTr="008A73C2">
        <w:tc>
          <w:tcPr>
            <w:tcW w:w="1918" w:type="dxa"/>
          </w:tcPr>
          <w:p w14:paraId="02CDF31B" w14:textId="77777777" w:rsidR="005C3FE9" w:rsidRPr="00715ED8" w:rsidRDefault="005C3FE9" w:rsidP="008A73C2">
            <w:pPr>
              <w:tabs>
                <w:tab w:val="center" w:pos="4819"/>
              </w:tabs>
              <w:suppressAutoHyphens/>
              <w:spacing w:line="240" w:lineRule="auto"/>
              <w:ind w:firstLine="0"/>
              <w:rPr>
                <w:rFonts w:ascii="Times New Roman" w:hAnsi="Times New Roman"/>
                <w:spacing w:val="-3"/>
                <w:lang w:val="en-US"/>
              </w:rPr>
            </w:pPr>
            <w:r w:rsidRPr="00715ED8">
              <w:rPr>
                <w:rFonts w:ascii="Times New Roman" w:hAnsi="Times New Roman"/>
                <w:spacing w:val="-3"/>
                <w:lang w:val="en-US"/>
              </w:rPr>
              <w:t>RED</w:t>
            </w:r>
          </w:p>
        </w:tc>
        <w:tc>
          <w:tcPr>
            <w:tcW w:w="7152" w:type="dxa"/>
          </w:tcPr>
          <w:p w14:paraId="31F3FCEB" w14:textId="77777777" w:rsidR="005C3FE9" w:rsidRPr="00715ED8" w:rsidRDefault="005C3FE9" w:rsidP="008A73C2">
            <w:pPr>
              <w:tabs>
                <w:tab w:val="center" w:pos="4819"/>
              </w:tabs>
              <w:suppressAutoHyphens/>
              <w:spacing w:line="240" w:lineRule="auto"/>
              <w:ind w:firstLine="0"/>
              <w:rPr>
                <w:rFonts w:ascii="Times New Roman" w:hAnsi="Times New Roman"/>
                <w:spacing w:val="-3"/>
                <w:lang w:val="en-US"/>
              </w:rPr>
            </w:pPr>
            <w:r w:rsidRPr="00715ED8">
              <w:rPr>
                <w:rFonts w:ascii="Times New Roman" w:hAnsi="Times New Roman"/>
                <w:spacing w:val="-3"/>
                <w:lang w:val="en-US"/>
              </w:rPr>
              <w:t xml:space="preserve">Reverse </w:t>
            </w:r>
            <w:proofErr w:type="spellStart"/>
            <w:r w:rsidRPr="00715ED8">
              <w:rPr>
                <w:rFonts w:ascii="Times New Roman" w:hAnsi="Times New Roman"/>
                <w:spacing w:val="-3"/>
                <w:lang w:val="en-US"/>
              </w:rPr>
              <w:t>ElectroDialysis</w:t>
            </w:r>
            <w:proofErr w:type="spellEnd"/>
          </w:p>
        </w:tc>
      </w:tr>
      <w:tr w:rsidR="005C3FE9" w:rsidRPr="00715ED8" w14:paraId="5E9F828C" w14:textId="77777777" w:rsidTr="008A73C2">
        <w:tc>
          <w:tcPr>
            <w:tcW w:w="1918" w:type="dxa"/>
          </w:tcPr>
          <w:p w14:paraId="7C26C3DB" w14:textId="77777777" w:rsidR="005C3FE9" w:rsidRPr="00715ED8" w:rsidRDefault="005C3FE9" w:rsidP="008A73C2">
            <w:pPr>
              <w:tabs>
                <w:tab w:val="center" w:pos="4819"/>
              </w:tabs>
              <w:suppressAutoHyphens/>
              <w:spacing w:line="240" w:lineRule="auto"/>
              <w:ind w:firstLine="0"/>
              <w:rPr>
                <w:rFonts w:ascii="Times New Roman" w:hAnsi="Times New Roman"/>
                <w:spacing w:val="-3"/>
                <w:lang w:val="en-US"/>
              </w:rPr>
            </w:pPr>
            <w:r w:rsidRPr="00715ED8">
              <w:rPr>
                <w:rFonts w:ascii="Times New Roman" w:hAnsi="Times New Roman"/>
                <w:spacing w:val="-3"/>
                <w:lang w:val="en-US"/>
              </w:rPr>
              <w:t>RSM</w:t>
            </w:r>
          </w:p>
        </w:tc>
        <w:tc>
          <w:tcPr>
            <w:tcW w:w="7152" w:type="dxa"/>
          </w:tcPr>
          <w:p w14:paraId="7634B20D" w14:textId="77777777" w:rsidR="005C3FE9" w:rsidRPr="00715ED8" w:rsidRDefault="005C3FE9" w:rsidP="008A73C2">
            <w:pPr>
              <w:tabs>
                <w:tab w:val="center" w:pos="4819"/>
              </w:tabs>
              <w:suppressAutoHyphens/>
              <w:spacing w:line="240" w:lineRule="auto"/>
              <w:ind w:firstLine="0"/>
              <w:rPr>
                <w:rFonts w:ascii="Times New Roman" w:hAnsi="Times New Roman"/>
                <w:spacing w:val="-3"/>
                <w:lang w:val="en-US"/>
              </w:rPr>
            </w:pPr>
            <w:r w:rsidRPr="00715ED8">
              <w:rPr>
                <w:rFonts w:ascii="Times New Roman" w:hAnsi="Times New Roman"/>
                <w:spacing w:val="-3"/>
                <w:lang w:val="en-US"/>
              </w:rPr>
              <w:t>Response Surface Methodology</w:t>
            </w:r>
          </w:p>
        </w:tc>
      </w:tr>
      <w:tr w:rsidR="00715ED8" w:rsidRPr="00715ED8" w14:paraId="494D6E18" w14:textId="77777777" w:rsidTr="008A73C2">
        <w:tc>
          <w:tcPr>
            <w:tcW w:w="1918" w:type="dxa"/>
          </w:tcPr>
          <w:p w14:paraId="04557108" w14:textId="616E9419" w:rsidR="00715ED8" w:rsidRPr="00715ED8" w:rsidRDefault="00715ED8" w:rsidP="008A73C2">
            <w:pPr>
              <w:tabs>
                <w:tab w:val="center" w:pos="4819"/>
              </w:tabs>
              <w:suppressAutoHyphens/>
              <w:spacing w:line="240" w:lineRule="auto"/>
              <w:ind w:firstLine="0"/>
              <w:rPr>
                <w:rFonts w:ascii="Times New Roman" w:hAnsi="Times New Roman"/>
                <w:spacing w:val="-3"/>
                <w:lang w:val="en-US"/>
              </w:rPr>
            </w:pPr>
            <w:r w:rsidRPr="00715ED8">
              <w:rPr>
                <w:rFonts w:ascii="Times New Roman" w:hAnsi="Times New Roman"/>
                <w:spacing w:val="-3"/>
                <w:lang w:val="en-US"/>
              </w:rPr>
              <w:t>VRB</w:t>
            </w:r>
          </w:p>
        </w:tc>
        <w:tc>
          <w:tcPr>
            <w:tcW w:w="7152" w:type="dxa"/>
          </w:tcPr>
          <w:p w14:paraId="5CDDF002" w14:textId="3F6935B9" w:rsidR="00715ED8" w:rsidRPr="00715ED8" w:rsidRDefault="00715ED8" w:rsidP="008A73C2">
            <w:pPr>
              <w:tabs>
                <w:tab w:val="center" w:pos="4819"/>
              </w:tabs>
              <w:suppressAutoHyphens/>
              <w:spacing w:line="240" w:lineRule="auto"/>
              <w:ind w:firstLine="0"/>
              <w:rPr>
                <w:rFonts w:ascii="Times New Roman" w:hAnsi="Times New Roman"/>
                <w:spacing w:val="-3"/>
                <w:lang w:val="en-US"/>
              </w:rPr>
            </w:pPr>
            <w:r w:rsidRPr="00715ED8">
              <w:rPr>
                <w:rFonts w:ascii="Times New Roman" w:hAnsi="Times New Roman"/>
                <w:spacing w:val="-3"/>
                <w:lang w:val="en-US"/>
              </w:rPr>
              <w:t>Vanadium Redox Flow Battery</w:t>
            </w:r>
          </w:p>
        </w:tc>
      </w:tr>
    </w:tbl>
    <w:p w14:paraId="4BD45D1A" w14:textId="1ABA424B" w:rsidR="00B769F0" w:rsidRPr="005C3FE9" w:rsidRDefault="00407B5E" w:rsidP="00745861">
      <w:pPr>
        <w:pStyle w:val="Titolo1"/>
        <w:numPr>
          <w:ilvl w:val="0"/>
          <w:numId w:val="0"/>
        </w:numPr>
        <w:spacing w:beforeLines="120" w:before="288" w:afterLines="120" w:after="288" w:line="240" w:lineRule="auto"/>
      </w:pPr>
      <w:r w:rsidRPr="005C3FE9">
        <w:t>References</w:t>
      </w:r>
      <w:bookmarkEnd w:id="35"/>
    </w:p>
    <w:p w14:paraId="4B892CDB" w14:textId="7DD1E27D" w:rsidR="00FB5EC2" w:rsidRPr="00FB5EC2" w:rsidRDefault="009338A8" w:rsidP="00FB5EC2">
      <w:pPr>
        <w:widowControl w:val="0"/>
        <w:autoSpaceDE w:val="0"/>
        <w:autoSpaceDN w:val="0"/>
        <w:adjustRightInd w:val="0"/>
        <w:spacing w:line="240" w:lineRule="auto"/>
        <w:ind w:left="640" w:hanging="640"/>
        <w:rPr>
          <w:noProof/>
        </w:rPr>
      </w:pPr>
      <w:r w:rsidRPr="005C3FE9">
        <w:rPr>
          <w:noProof/>
          <w:lang w:val="en-US"/>
        </w:rPr>
        <w:fldChar w:fldCharType="begin" w:fldLock="1"/>
      </w:r>
      <w:r w:rsidRPr="005C3FE9">
        <w:rPr>
          <w:noProof/>
          <w:lang w:val="en-US"/>
        </w:rPr>
        <w:instrText xml:space="preserve">ADDIN Mendeley Bibliography CSL_BIBLIOGRAPHY </w:instrText>
      </w:r>
      <w:r w:rsidRPr="005C3FE9">
        <w:rPr>
          <w:noProof/>
          <w:lang w:val="en-US"/>
        </w:rPr>
        <w:fldChar w:fldCharType="separate"/>
      </w:r>
      <w:bookmarkStart w:id="36" w:name="_Hlk119092173"/>
      <w:r w:rsidR="00FB5EC2" w:rsidRPr="00FB5EC2">
        <w:rPr>
          <w:noProof/>
        </w:rPr>
        <w:t>[1]</w:t>
      </w:r>
      <w:r w:rsidR="00FB5EC2" w:rsidRPr="00FB5EC2">
        <w:rPr>
          <w:noProof/>
        </w:rPr>
        <w:tab/>
        <w:t>IEA, Global Energy Review 2021, 2021. (n.d.).</w:t>
      </w:r>
    </w:p>
    <w:p w14:paraId="688AA5D2"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[2]</w:t>
      </w:r>
      <w:r w:rsidRPr="00FB5EC2">
        <w:rPr>
          <w:noProof/>
        </w:rPr>
        <w:tab/>
        <w:t>A. Baldinelli, L. Barelli, G. Bidini, G. Discepoli, Economics of innovative high capacity-to-power energy storage technologies pointing at 100% renewable micro-grids, J. Energy Storage. 28 (2020) 101198. doi:10.1016/j.est.2020.101198.</w:t>
      </w:r>
    </w:p>
    <w:p w14:paraId="2A086872"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[3]</w:t>
      </w:r>
      <w:r w:rsidRPr="00FB5EC2">
        <w:rPr>
          <w:noProof/>
        </w:rPr>
        <w:tab/>
        <w:t>T. Xue, H.J. Fan, From aqueous Zn-ion battery to Zn-MnO2 flow battery: A brief story, J. Energy Chem. 54 (2021) 194–201. doi:10.1016/j.jechem.2020.05.056.</w:t>
      </w:r>
    </w:p>
    <w:p w14:paraId="1F9B9A42"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[4]</w:t>
      </w:r>
      <w:r w:rsidRPr="00FB5EC2">
        <w:rPr>
          <w:noProof/>
        </w:rPr>
        <w:tab/>
        <w:t>G. Nikiforidis, A. Belhcen, M. Anouti, A highly concentrated vanadium protic ionic liquid electrolyte for the vanadium redox flow battery, J. Energy Chem. 57 (2021) 238–246. doi:10.1016/j.jechem.2020.09.001.</w:t>
      </w:r>
    </w:p>
    <w:p w14:paraId="2F799C56"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lastRenderedPageBreak/>
        <w:t>[5]</w:t>
      </w:r>
      <w:r w:rsidRPr="00FB5EC2">
        <w:rPr>
          <w:noProof/>
        </w:rPr>
        <w:tab/>
        <w:t>X. Liu, T. Li, Z. Yuan, X. Li, Low-cost all-iron flow battery with high performance towards long-duration energy storage, J. Energy Chem. 73 (2022) 445–451. doi:10.1016/j.jechem.2022.06.041.</w:t>
      </w:r>
    </w:p>
    <w:p w14:paraId="676F5838"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[6]</w:t>
      </w:r>
      <w:r w:rsidRPr="00FB5EC2">
        <w:rPr>
          <w:noProof/>
        </w:rPr>
        <w:tab/>
        <w:t>Z. Zhao, C. Zhang, X. Li, Opportunities and challenges of organic flow battery for electrochemical energy storage technology, J. Energy Chem. 67 (2022) 621–639. doi:10.1016/j.jechem.2021.10.037.</w:t>
      </w:r>
    </w:p>
    <w:p w14:paraId="35985966"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[7]</w:t>
      </w:r>
      <w:r w:rsidRPr="00FB5EC2">
        <w:rPr>
          <w:noProof/>
        </w:rPr>
        <w:tab/>
        <w:t>W.J. van Egmond, M. Saakes, I. Noor, S. Porada, C.J.N. Buisman, H.V.M. Hamelers, Performance of an environmentally benign acid base flow battery at high energy density, Int. J. Energy Res. 42 (2018) 1524–1535. doi:10.1002/er.3941.</w:t>
      </w:r>
    </w:p>
    <w:p w14:paraId="30AA7DF7"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[8]</w:t>
      </w:r>
      <w:r w:rsidRPr="00FB5EC2">
        <w:rPr>
          <w:noProof/>
        </w:rPr>
        <w:tab/>
        <w:t>A. Culcasi, L. Gurreri, A. Zaffora, A. Cosenza, A. Tamburini, G. Micale, On the modelling of an Acid/Base Flow Battery: An innovative electrical energy storage device based on pH and salinity gradients, Appl. Energy. 277 (2020) 115576. doi:10.1016/j.apenergy.2020.115576.</w:t>
      </w:r>
    </w:p>
    <w:p w14:paraId="17AF3364"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[9]</w:t>
      </w:r>
      <w:r w:rsidRPr="00FB5EC2">
        <w:rPr>
          <w:noProof/>
        </w:rPr>
        <w:tab/>
        <w:t>R. Pärnamäe, S. Mareev, V. Nikonenko, S. Melnikov, N. Sheldeshov, V. Zabolotskii, H.V.M. Hamelers, M. Tedesco, Bipolar membranes: A review on principles, latest developments, and applications, J. Memb. Sci. (2020) 118538. doi:10.1016/j.memsci.2020.118538.</w:t>
      </w:r>
    </w:p>
    <w:p w14:paraId="375341D2"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[10]</w:t>
      </w:r>
      <w:r w:rsidRPr="00FB5EC2">
        <w:rPr>
          <w:noProof/>
        </w:rPr>
        <w:tab/>
        <w:t>M. Herrero-Gonzalez, P. Diaz-Guridi, A. Dominguez-Ramos, A. Irabien, R. Ibañez, Highly concentrated HCl and NaOH from brines using electrodialysis with bipolar membranes, Sep. Purif. Technol. 242 (2020) 116785. doi:10.1016/j.seppur.2020.116785.</w:t>
      </w:r>
    </w:p>
    <w:p w14:paraId="1010DB80"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[11]</w:t>
      </w:r>
      <w:r w:rsidRPr="00FB5EC2">
        <w:rPr>
          <w:noProof/>
        </w:rPr>
        <w:tab/>
        <w:t>A. Zaffora, A. Culcasi, L. Gurreri, A. Cosenza, A. Tamburini, M. Santamaria, G. Micale, Energy Harvesting by Waste Acid/Base Neutralization via Bipolar Membrane Reverse Electrodialysis, Energies. 13 (2020) 5510. doi:10.3390/en13205510.</w:t>
      </w:r>
    </w:p>
    <w:p w14:paraId="71C1788A"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[12]</w:t>
      </w:r>
      <w:r w:rsidRPr="00FB5EC2">
        <w:rPr>
          <w:noProof/>
        </w:rPr>
        <w:tab/>
        <w:t>F. Sabatino, M. Gazzani, F. Gallucci, M. van Sint Annaland, Modeling, Optimization, and Techno-Economic Analysis of Bipolar Membrane Electrodialysis for Direct Air Capture Processes, Ind. Eng. Chem. Res. 61 (2022) 12668–12679. doi:10.1021/acs.iecr.2c00889.</w:t>
      </w:r>
    </w:p>
    <w:p w14:paraId="263A4B6F"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[13]</w:t>
      </w:r>
      <w:r w:rsidRPr="00FB5EC2">
        <w:rPr>
          <w:noProof/>
        </w:rPr>
        <w:tab/>
        <w:t>N. Chindapan, S.S. Sablani, N. Chiewchan, S. Devahastin, Modeling and Optimization of Electrodialytic Desalination of Fish Sauce Using Artificial Neural Networks and Genetic Algorithm, Food Bioprocess Technol. 6 (2013) 2695–2707. doi:10.1007/s11947-012-0914-6.</w:t>
      </w:r>
    </w:p>
    <w:p w14:paraId="256C9A32"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[14]</w:t>
      </w:r>
      <w:r w:rsidRPr="00FB5EC2">
        <w:rPr>
          <w:noProof/>
        </w:rPr>
        <w:tab/>
        <w:t>D.W. Bian, S.M. Watson, N.C. Wright, S.R. Shah, T. Buonassisi, D. Ramanujan, I.M. Peters, A.G. Winter, Optimization and design of a low-cost, village-scale, photovoltaic-powered, electrodialysis reversal desalination system for rural India, Desalination. 452 (2019) 265–278. doi:10.1016/j.desal.2018.09.004.</w:t>
      </w:r>
    </w:p>
    <w:p w14:paraId="526444D5"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[15]</w:t>
      </w:r>
      <w:r w:rsidRPr="00FB5EC2">
        <w:rPr>
          <w:noProof/>
        </w:rPr>
        <w:tab/>
        <w:t>J. Kennedy, R. Eberhart, Particle swarm optimization, in: IEEE Int. Conf. Neural Networks - Conf. Proc., 1995. doi:10.4018/ijmfmp.2015010104.</w:t>
      </w:r>
    </w:p>
    <w:p w14:paraId="6BB182F5"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[16]</w:t>
      </w:r>
      <w:r w:rsidRPr="00FB5EC2">
        <w:rPr>
          <w:noProof/>
        </w:rPr>
        <w:tab/>
        <w:t>N.C. Wright, S.R. Shah, S.E. Amrose, A.G. Winter, A robust model of brackish water electrodialysis desalination with experimental comparison at different size scales, Desalination. 443 (2018) 27–43. doi:10.1016/j.desal.2018.04.018.</w:t>
      </w:r>
    </w:p>
    <w:p w14:paraId="13F9DA35"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[17]</w:t>
      </w:r>
      <w:r w:rsidRPr="00FB5EC2">
        <w:rPr>
          <w:noProof/>
        </w:rPr>
        <w:tab/>
        <w:t>F. Guesmi, I. Louati, C. Hannachi, B. Hamrouni, Optimization of boron removal from water by electrodialysis using response surface methodology, Water Sci. Technol. 81 (2020) 293–300. doi:10.2166/wst.2020.105.</w:t>
      </w:r>
    </w:p>
    <w:p w14:paraId="7334D7A0"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[18]</w:t>
      </w:r>
      <w:r w:rsidRPr="00FB5EC2">
        <w:rPr>
          <w:noProof/>
        </w:rPr>
        <w:tab/>
        <w:t>F.S. Rohman, N. Aziz, Optimization of batch electrodialysis for hydrochloric acid recovery using orthogonal collocation method, Desalination. (2011). doi:10.1016/j.desal.2011.02.025.</w:t>
      </w:r>
    </w:p>
    <w:p w14:paraId="4D41140E"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[19]</w:t>
      </w:r>
      <w:r w:rsidRPr="00FB5EC2">
        <w:rPr>
          <w:noProof/>
        </w:rPr>
        <w:tab/>
        <w:t>F.S. Rohman, N. Aziz, Performance metrics analysis of dynamic multi-objective optimization for energy consumption and productivity improvement in batch electrodialysis, Chem. Eng. Commun. 208 (2021) 517–529. doi:10.1080/00986445.2019.1674817.</w:t>
      </w:r>
    </w:p>
    <w:p w14:paraId="54AB2B89"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[20]</w:t>
      </w:r>
      <w:r w:rsidRPr="00FB5EC2">
        <w:rPr>
          <w:noProof/>
        </w:rPr>
        <w:tab/>
        <w:t>J. Veerman, M. Saakes, S.J. Metz, G.J. Harmsen, Reverse electrodialysis: A validated process model for design and optimization, Chem. Eng. J. 166 (2011) 256–268. doi:10.1016/j.cej.2010.10.071.</w:t>
      </w:r>
    </w:p>
    <w:p w14:paraId="45B2076D"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[21]</w:t>
      </w:r>
      <w:r w:rsidRPr="00FB5EC2">
        <w:rPr>
          <w:noProof/>
        </w:rPr>
        <w:tab/>
        <w:t xml:space="preserve">R. Long, B. Li, Z. Liu, W. Liu, Performance analysis of reverse electrodialysis stacks: Channel geometry and flow rate optimization, Energy. 158 (2018) 427–436. </w:t>
      </w:r>
      <w:r w:rsidRPr="00FB5EC2">
        <w:rPr>
          <w:noProof/>
        </w:rPr>
        <w:lastRenderedPageBreak/>
        <w:t>doi:10.1016/j.energy.2018.06.067.</w:t>
      </w:r>
    </w:p>
    <w:p w14:paraId="59D3C693"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[22]</w:t>
      </w:r>
      <w:r w:rsidRPr="00FB5EC2">
        <w:rPr>
          <w:noProof/>
        </w:rPr>
        <w:tab/>
        <w:t>R. Long, B. Li, Z. Liu, W. Liu, Reverse electrodialysis: Modelling and performance analysis based on multi-objective optimization, Energy. 151 (2018) 1–10. doi:10.1016/j.energy.2018.03.003.</w:t>
      </w:r>
    </w:p>
    <w:p w14:paraId="2C75D769"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[23]</w:t>
      </w:r>
      <w:r w:rsidRPr="00FB5EC2">
        <w:rPr>
          <w:noProof/>
        </w:rPr>
        <w:tab/>
        <w:t>M. Ciofalo, M. La Cerva, M. Di Liberto, L. Gurreri, A. Cipollina, G. Micale, Optimization of net power density in Reverse Electrodialysis, Energy. 181 (2019) 576–588. doi:10.1016/j.energy.2019.05.183.</w:t>
      </w:r>
    </w:p>
    <w:p w14:paraId="3FD5A119"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[24]</w:t>
      </w:r>
      <w:r w:rsidRPr="00FB5EC2">
        <w:rPr>
          <w:noProof/>
        </w:rPr>
        <w:tab/>
        <w:t>M. La Cerva, M. Di Liberto, L. Gurreri, A. Tamburini, A. Cipollina, G. Micale, M. Ciofalo, Coupling CFD with a one-dimensional model to predict the performance of reverse electrodialysis stacks, J. Memb. Sci. 541 (2017) 595–610. doi:10.1016/j.memsci.2017.07.030.</w:t>
      </w:r>
    </w:p>
    <w:p w14:paraId="019220A4"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[25]</w:t>
      </w:r>
      <w:r w:rsidRPr="00FB5EC2">
        <w:rPr>
          <w:noProof/>
        </w:rPr>
        <w:tab/>
        <w:t>P. Faghihi, A. Jalali, An artificial neural network‐based optimization of reverse electrodialysis power generating cells using CFD and genetic algorithm, Int. J. Energy Res. (2022). doi:10.1002/er.8379.</w:t>
      </w:r>
    </w:p>
    <w:p w14:paraId="5DFADDE9"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[26]</w:t>
      </w:r>
      <w:r w:rsidRPr="00FB5EC2">
        <w:rPr>
          <w:noProof/>
        </w:rPr>
        <w:tab/>
        <w:t>A.T. Emrén, V.J.M. Holmström, Energy storage in a fuel cell with bipolar membranes burning acid and hydroxide, Energy. 8 (1983) 277–282. doi:10.1016/0360-5442(83)90103-2.</w:t>
      </w:r>
    </w:p>
    <w:p w14:paraId="7C202589"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[27]</w:t>
      </w:r>
      <w:r w:rsidRPr="00FB5EC2">
        <w:rPr>
          <w:noProof/>
        </w:rPr>
        <w:tab/>
        <w:t>J. Pretz, E. Staude, Reverse electrodialysis (RED) with bipolar membranes, an energy storage system, Berichte Der Bunsengesellschaft Für Phys. Chemie. 102 (1998) 676–685. doi:10.1002/bbpc.19981020412.</w:t>
      </w:r>
    </w:p>
    <w:p w14:paraId="784CE1AB"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[28]</w:t>
      </w:r>
      <w:r w:rsidRPr="00FB5EC2">
        <w:rPr>
          <w:noProof/>
        </w:rPr>
        <w:tab/>
        <w:t>E.K. Zholkovskij, M.C. Müller, E. Staude, The storage battery with bipolar membranes, J. Memb. Sci. 141 (1998) 231–243. doi:10.1016/S0376-7388(97)00306-2.</w:t>
      </w:r>
    </w:p>
    <w:p w14:paraId="387A425A"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[29]</w:t>
      </w:r>
      <w:r w:rsidRPr="00FB5EC2">
        <w:rPr>
          <w:noProof/>
        </w:rPr>
        <w:tab/>
        <w:t>J.H. Kim, J.H. Lee, S. Maurya, S.H. Shin, J.Y. Lee, I.S. Chang, S.H. Moon, Proof-of-concept experiments of an acid-base junction flow battery by reverse bipolar electrodialysis for an energy conversion system, Electrochem. Commun. 72 (2016) 157–161. doi:10.1016/j.elecom.2016.09.025.</w:t>
      </w:r>
    </w:p>
    <w:p w14:paraId="45503975"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[30]</w:t>
      </w:r>
      <w:r w:rsidRPr="00FB5EC2">
        <w:rPr>
          <w:noProof/>
        </w:rPr>
        <w:tab/>
        <w:t>J. Xia, G. Eigenberger, H. Strathmann, U. Nieken, Flow battery based on reverse electrodialysis with bipolar membranes: Single cell experiments, J. Memb. Sci. 565 (2018) 157–168. doi:10.1016/j.memsci.2018.07.073.</w:t>
      </w:r>
    </w:p>
    <w:p w14:paraId="31B91146"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[31]</w:t>
      </w:r>
      <w:r w:rsidRPr="00FB5EC2">
        <w:rPr>
          <w:noProof/>
        </w:rPr>
        <w:tab/>
        <w:t>J. Xia, G. Eigenberger, H. Strathmann, U. Nieken, Acid-base flow battery, based on reverse electrodialysis with bi-polar membranes: Stack experiments, Processes. 8 (2020) 99. doi:10.3390/pr8010099.</w:t>
      </w:r>
    </w:p>
    <w:p w14:paraId="23D8871E"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[32]</w:t>
      </w:r>
      <w:r w:rsidRPr="00FB5EC2">
        <w:rPr>
          <w:noProof/>
        </w:rPr>
        <w:tab/>
        <w:t>R. Pärnamäe, L. Gurreri, J. Post, W.J. van Egmond, A. Culcasi, M. Saakes, J. Cen, E. Goosen, A. Tamburini, D.A. Vermaas, M. Tedesco, The Acid–Base Flow Battery: Sustainable Energy Storage via Reversible Water Dissociation with Bipolar Membranes, Membranes (Basel). 10 (2020) 409. doi:10.3390/membranes10120409.</w:t>
      </w:r>
    </w:p>
    <w:p w14:paraId="44C457D3"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[33]</w:t>
      </w:r>
      <w:r w:rsidRPr="00FB5EC2">
        <w:rPr>
          <w:noProof/>
        </w:rPr>
        <w:tab/>
        <w:t>A. Culcasi, L. Gurreri, A. Cipollina, A. Tamburini, G. Micale, A comprehensive multi-scale model for bipolar membrane electrodialysis (BMED), Chem. Eng. J. 437 (2022) 135317. doi:10.1016/j.cej.2022.135317.</w:t>
      </w:r>
    </w:p>
    <w:p w14:paraId="3B6A0FE5"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[34]</w:t>
      </w:r>
      <w:r w:rsidRPr="00FB5EC2">
        <w:rPr>
          <w:noProof/>
        </w:rPr>
        <w:tab/>
        <w:t>A. Culcasi, L. Gurreri, G. Micale, A. Tamburini, Bipolar membrane reverse electrodialysis for the sustainable recovery of energy from pH gradients of industrial wastewater: Performance prediction by a validated process model, J. Environ. Manage. 287 (2021) 112319. doi:10.1016/j.jenvman.2021.112319.</w:t>
      </w:r>
    </w:p>
    <w:p w14:paraId="6EF0A0A6"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[35]</w:t>
      </w:r>
      <w:r w:rsidRPr="00FB5EC2">
        <w:rPr>
          <w:noProof/>
        </w:rPr>
        <w:tab/>
        <w:t>Y. Cui, Z. Geng, Q. Zhu, Y. Han, Review: Multi-objective optimization methods and application in energy saving, Energy. 125 (2017) 681–704. doi:10.1016/j.energy.2017.02.174.</w:t>
      </w:r>
    </w:p>
    <w:p w14:paraId="2050060E"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[36]</w:t>
      </w:r>
      <w:r w:rsidRPr="00FB5EC2">
        <w:rPr>
          <w:noProof/>
        </w:rPr>
        <w:tab/>
        <w:t>Y.Y. Haimes, L.S. Lasdon, D.A. Wismer, On a Bicriterion Formulation of the Problems of Integrated System Identification and System Optimization, IEEE Trans. Syst. Man. Cybern. SMC-1 (1971) 296–297. doi:10.1109/TSMC.1971.4308298.</w:t>
      </w:r>
    </w:p>
    <w:p w14:paraId="39050367"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[37]</w:t>
      </w:r>
      <w:r w:rsidRPr="00FB5EC2">
        <w:rPr>
          <w:noProof/>
        </w:rPr>
        <w:tab/>
        <w:t>G.P. Rangaiah, A. Bonilla-Petriciolet, Multi-Objective Optimization in Chemical Engineering, John Wiley &amp; Sons Ltd, Oxford, UK, 2013. doi:10.1002/9781118341704.</w:t>
      </w:r>
    </w:p>
    <w:p w14:paraId="106068BA"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[38]</w:t>
      </w:r>
      <w:r w:rsidRPr="00FB5EC2">
        <w:rPr>
          <w:noProof/>
        </w:rPr>
        <w:tab/>
        <w:t xml:space="preserve">A. Castillo, D.F. Gayme, Grid-scale energy storage applications in renewable energy </w:t>
      </w:r>
      <w:r w:rsidRPr="00FB5EC2">
        <w:rPr>
          <w:noProof/>
        </w:rPr>
        <w:lastRenderedPageBreak/>
        <w:t>integration: A survey, Energy Convers. Manag. 87 (2014) 885–894. doi:10.1016/j.enconman.2014.07.063.</w:t>
      </w:r>
    </w:p>
    <w:p w14:paraId="5D9E6708"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[39]</w:t>
      </w:r>
      <w:r w:rsidRPr="00FB5EC2">
        <w:rPr>
          <w:noProof/>
        </w:rPr>
        <w:tab/>
        <w:t>G.J. May, A. Davidson, B. Monahov, Lead batteries for utility energy storage: A review, J. Energy Storage. (2018). doi:10.1016/j.est.2017.11.008.</w:t>
      </w:r>
    </w:p>
    <w:p w14:paraId="20E39857"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[40]</w:t>
      </w:r>
      <w:r w:rsidRPr="00FB5EC2">
        <w:rPr>
          <w:noProof/>
        </w:rPr>
        <w:tab/>
        <w:t>E. Bullich-Massagué, F.-J. Cifuentes-García, I. Glenny-Crende, M. Cheah-Mañé, M. Aragüés-Peñalba, F. Díaz-González, O. Gomis-Bellmunt, A review of energy storage technologies for large scale photovoltaic power plants, Appl. Energy. 274 (2020) 115213. doi:10.1016/j.apenergy.2020.115213.</w:t>
      </w:r>
    </w:p>
    <w:p w14:paraId="565813CD"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[41]</w:t>
      </w:r>
      <w:r w:rsidRPr="00FB5EC2">
        <w:rPr>
          <w:noProof/>
        </w:rPr>
        <w:tab/>
        <w:t>S. Koohi-Fayegh, M.A. Rosen, A review of energy storage types, applications and recent developments, J. Energy Storage. 27 (2020) 101047. doi:10.1016/j.est.2019.101047.</w:t>
      </w:r>
    </w:p>
    <w:p w14:paraId="0BFC8348"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[42]</w:t>
      </w:r>
      <w:r w:rsidRPr="00FB5EC2">
        <w:rPr>
          <w:noProof/>
        </w:rPr>
        <w:tab/>
        <w:t>D.O. Akinyele, R.K. Rayudu, Review of energy storage technologies for sustainable power networks, Sustain. Energy Technol. Assessments. 8 (2014) 74–91. doi:10.1016/j.seta.2014.07.004.</w:t>
      </w:r>
    </w:p>
    <w:p w14:paraId="71451288"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[43]</w:t>
      </w:r>
      <w:r w:rsidRPr="00FB5EC2">
        <w:rPr>
          <w:noProof/>
        </w:rPr>
        <w:tab/>
        <w:t>G.A. Blengini, C.E.L. Latunussa, U. Eynard, C. Torres de Matos, D. Wittmer, K. Georgitzikis, C. Pavel, S. Carrara, L. Mancini, M. Unguru, D. Blagoeva, F. Mathieux, D. Pennington, Study on the EU’s list of Critical Raw Materials (2020) Final Report, 2020. doi:10.2873/904613.</w:t>
      </w:r>
    </w:p>
    <w:p w14:paraId="01E4E026"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[44]</w:t>
      </w:r>
      <w:r w:rsidRPr="00FB5EC2">
        <w:rPr>
          <w:noProof/>
        </w:rPr>
        <w:tab/>
        <w:t>G.A. Blengini, C. EL Latunussa, U. Eynard, Study on the Eu’s list of critical raw materials - Critical raw materials factsheets, 2020. doi:10.2873/11619.</w:t>
      </w:r>
    </w:p>
    <w:p w14:paraId="4477C548"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[45]</w:t>
      </w:r>
      <w:r w:rsidRPr="00FB5EC2">
        <w:rPr>
          <w:noProof/>
        </w:rPr>
        <w:tab/>
        <w:t>K. Scott, RECYCLING | Nickel–Metal Hydride Batteries, in: Encycl. Electrochem. Power Sources, Elsevier B.V, 2009: pp. 199–208. doi:10.1016/B978-044452745-5.00401-9.</w:t>
      </w:r>
    </w:p>
    <w:p w14:paraId="41D82CD5"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[46]</w:t>
      </w:r>
      <w:r w:rsidRPr="00FB5EC2">
        <w:rPr>
          <w:noProof/>
        </w:rPr>
        <w:tab/>
        <w:t>P. Chen, K. Zhang, D. Tang, W. Liu, F. Meng, Q. Huang, J. Liu, Recent Progress in Electrolytes for Zn–Air Batteries, Front. Chem. 8 (2020) 1–7. doi:10.3389/fchem.2020.00372.</w:t>
      </w:r>
    </w:p>
    <w:p w14:paraId="1D3CB169"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[47]</w:t>
      </w:r>
      <w:r w:rsidRPr="00FB5EC2">
        <w:rPr>
          <w:noProof/>
        </w:rPr>
        <w:tab/>
        <w:t>S.C. Johnson, F. Todd Davidson, J.D. Rhodes, J.L. Coleman, S.M. Bragg-Sitton, E.J. Dufek, M.E. Webber, Selecting favorable energy storage technologies for Nuclear power, Elsevier Inc., 2018. doi:10.1016/B978-0-12-813975-2.00005-3.</w:t>
      </w:r>
    </w:p>
    <w:p w14:paraId="3C6ECE4E"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[48]</w:t>
      </w:r>
      <w:r w:rsidRPr="00FB5EC2">
        <w:rPr>
          <w:noProof/>
        </w:rPr>
        <w:tab/>
        <w:t>E. Lewicka, K. Guzik, K. Galos, On the Possibilities of Critical Raw Materials Production from the EU’s Primary Sources, Resources. 10 (2021) 50. doi:10.3390/resources10050050.</w:t>
      </w:r>
    </w:p>
    <w:p w14:paraId="01ED52EB"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[49]</w:t>
      </w:r>
      <w:r w:rsidRPr="00FB5EC2">
        <w:rPr>
          <w:noProof/>
        </w:rPr>
        <w:tab/>
        <w:t>P. Viebahn, O. Soukup, S. Samadi, J. Teubler, K. Wiesen, M. Ritthoff, Assessing the need for critical minerals to shift the German energy system towards a high proportion of renewables, Renew. Sustain. Energy Rev. 49 (2015) 655–671. doi:10.1016/j.rser.2015.04.070.</w:t>
      </w:r>
    </w:p>
    <w:p w14:paraId="0892A6EA"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[50]</w:t>
      </w:r>
      <w:r w:rsidRPr="00FB5EC2">
        <w:rPr>
          <w:noProof/>
        </w:rPr>
        <w:tab/>
        <w:t>E. Blumbergs, V. Serga, E. Platacis, M. Maiorov, A. Shishkin, Cadmium recovery from spent ni-cd batteries: A brief review, Metals (Basel). 11 (2021) 1–14. doi:10.3390/met11111714.</w:t>
      </w:r>
    </w:p>
    <w:p w14:paraId="7D1A128F"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[51]</w:t>
      </w:r>
      <w:r w:rsidRPr="00FB5EC2">
        <w:rPr>
          <w:noProof/>
        </w:rPr>
        <w:tab/>
        <w:t>N. Chawla, M. Safa, Sodium Batteries: A Review on Sodium-Sulfur and Sodium-Air Batteries, Electronics. 8 (2019) 1201. doi:10.3390/electronics8101201.</w:t>
      </w:r>
    </w:p>
    <w:p w14:paraId="6C46E795"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[52]</w:t>
      </w:r>
      <w:r w:rsidRPr="00FB5EC2">
        <w:rPr>
          <w:noProof/>
        </w:rPr>
        <w:tab/>
        <w:t>A. Van Zyl, Review of the zebra battery system development, Solid State Ionics. 86–88 (1996) 883–889. doi:10.1016/0167-2738(96)00200-7.</w:t>
      </w:r>
    </w:p>
    <w:p w14:paraId="772F228E"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[53]</w:t>
      </w:r>
      <w:r w:rsidRPr="00FB5EC2">
        <w:rPr>
          <w:noProof/>
        </w:rPr>
        <w:tab/>
        <w:t>L. Gao, Z. Li, Y. Zou, S. Yin, P. Peng, Y. Shao, X. Liang, A High-Performance Aqueous Zinc-Bromine Static Battery, IScience. 23 (2020) 101348. doi:10.1016/j.isci.2020.101348.</w:t>
      </w:r>
    </w:p>
    <w:p w14:paraId="664DA349"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[54]</w:t>
      </w:r>
      <w:r w:rsidRPr="00FB5EC2">
        <w:rPr>
          <w:noProof/>
        </w:rPr>
        <w:tab/>
        <w:t>M.M. Rahman, E. Gemechu, A.O. Oni, A. Kumar, Energy and environmental footprints of flywheels for utility-scale energy storage applications, E-Prime. 1 (2021) 100020. doi:10.1016/j.prime.2021.100020.</w:t>
      </w:r>
    </w:p>
    <w:p w14:paraId="4B7E118B" w14:textId="77777777" w:rsidR="00FB5EC2" w:rsidRPr="00FB5EC2" w:rsidRDefault="00FB5EC2" w:rsidP="00FB5EC2">
      <w:pPr>
        <w:widowControl w:val="0"/>
        <w:autoSpaceDE w:val="0"/>
        <w:autoSpaceDN w:val="0"/>
        <w:adjustRightInd w:val="0"/>
        <w:spacing w:line="240" w:lineRule="auto"/>
        <w:ind w:left="640" w:hanging="640"/>
        <w:rPr>
          <w:noProof/>
        </w:rPr>
      </w:pPr>
      <w:r w:rsidRPr="00FB5EC2">
        <w:rPr>
          <w:noProof/>
        </w:rPr>
        <w:t>[55]</w:t>
      </w:r>
      <w:r w:rsidRPr="00FB5EC2">
        <w:rPr>
          <w:noProof/>
        </w:rPr>
        <w:tab/>
        <w:t>D. Schrijvers, A. Hool, G.A. Blengini, W.Q. Chen, J. Dewulf, R. Eggert, L. van Ellen, R. Gauss, J. Goddin, K. Habib, C. Hagelüken, A. Hirohata, M. Hofmann-Amtenbrink, J. Kosmol, M. Le Gleuher, M. Grohol, A. Ku, M.H. Lee, G. Liu, K. Nansai, P. Nuss, D. Peck, A. Reller, G. Sonnemann, L. Tercero, A. Thorenz, P.A. Wäger, A review of methods and data to determine raw material criticality, Resour. Conserv. Recycl. 155 (2020) 104617. doi:10.1016/j.resconrec.2019.104617.</w:t>
      </w:r>
    </w:p>
    <w:bookmarkEnd w:id="36"/>
    <w:p w14:paraId="603FA748" w14:textId="26072F8B" w:rsidR="00082974" w:rsidRPr="006F4DDB" w:rsidRDefault="009338A8" w:rsidP="008264AC">
      <w:pPr>
        <w:widowControl w:val="0"/>
        <w:autoSpaceDE w:val="0"/>
        <w:autoSpaceDN w:val="0"/>
        <w:adjustRightInd w:val="0"/>
        <w:spacing w:line="240" w:lineRule="auto"/>
        <w:ind w:left="640" w:hanging="640"/>
        <w:rPr>
          <w:lang w:val="en-GB"/>
        </w:rPr>
      </w:pPr>
      <w:r w:rsidRPr="005C3FE9">
        <w:rPr>
          <w:noProof/>
          <w:lang w:val="en-US"/>
        </w:rPr>
        <w:fldChar w:fldCharType="end"/>
      </w:r>
    </w:p>
    <w:sectPr w:rsidR="00082974" w:rsidRPr="006F4DDB" w:rsidSect="00F64C32">
      <w:footerReference w:type="even" r:id="rId16"/>
      <w:footerReference w:type="default" r:id="rId17"/>
      <w:footnotePr>
        <w:numFmt w:val="chicago"/>
      </w:footnotePr>
      <w:pgSz w:w="11906" w:h="16838" w:code="9"/>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EB3C05" w14:textId="77777777" w:rsidR="00112EF9" w:rsidRDefault="00112EF9" w:rsidP="00414934">
      <w:r>
        <w:separator/>
      </w:r>
    </w:p>
    <w:p w14:paraId="0D6A7D09" w14:textId="77777777" w:rsidR="00112EF9" w:rsidRDefault="00112EF9" w:rsidP="00414934"/>
  </w:endnote>
  <w:endnote w:type="continuationSeparator" w:id="0">
    <w:p w14:paraId="719473AA" w14:textId="77777777" w:rsidR="00112EF9" w:rsidRDefault="00112EF9" w:rsidP="00414934">
      <w:r>
        <w:continuationSeparator/>
      </w:r>
    </w:p>
    <w:p w14:paraId="67263724" w14:textId="77777777" w:rsidR="00112EF9" w:rsidRDefault="00112EF9" w:rsidP="004149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762CB" w14:textId="77777777" w:rsidR="00833F0C" w:rsidRDefault="00833F0C" w:rsidP="00414934">
    <w:pPr>
      <w:pStyle w:val="Pidipagina"/>
      <w:rPr>
        <w:rStyle w:val="Numeropagina"/>
      </w:rPr>
    </w:pPr>
    <w:r>
      <w:rPr>
        <w:rStyle w:val="Numeropagina"/>
      </w:rPr>
      <w:fldChar w:fldCharType="begin"/>
    </w:r>
    <w:r>
      <w:rPr>
        <w:rStyle w:val="Numeropagina"/>
      </w:rPr>
      <w:instrText xml:space="preserve">PAGE  </w:instrText>
    </w:r>
    <w:r>
      <w:rPr>
        <w:rStyle w:val="Numeropagina"/>
      </w:rPr>
      <w:fldChar w:fldCharType="end"/>
    </w:r>
  </w:p>
  <w:p w14:paraId="5D25E115" w14:textId="77777777" w:rsidR="00833F0C" w:rsidRDefault="00833F0C" w:rsidP="00414934">
    <w:pPr>
      <w:pStyle w:val="Pidipagina"/>
    </w:pPr>
  </w:p>
  <w:p w14:paraId="4F31CA9E" w14:textId="77777777" w:rsidR="00833F0C" w:rsidRDefault="00833F0C" w:rsidP="0041493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9342704"/>
      <w:docPartObj>
        <w:docPartGallery w:val="Page Numbers (Bottom of Page)"/>
        <w:docPartUnique/>
      </w:docPartObj>
    </w:sdtPr>
    <w:sdtContent>
      <w:p w14:paraId="7B351BEC" w14:textId="45F519BF" w:rsidR="00833F0C" w:rsidRDefault="00833F0C">
        <w:pPr>
          <w:pStyle w:val="Pidipagina"/>
          <w:jc w:val="center"/>
        </w:pPr>
        <w:r>
          <w:fldChar w:fldCharType="begin"/>
        </w:r>
        <w:r>
          <w:instrText>PAGE   \* MERGEFORMAT</w:instrText>
        </w:r>
        <w:r>
          <w:fldChar w:fldCharType="separate"/>
        </w:r>
        <w:r w:rsidR="00741E55">
          <w:rPr>
            <w:noProof/>
          </w:rPr>
          <w:t>1</w:t>
        </w:r>
        <w:r>
          <w:fldChar w:fldCharType="end"/>
        </w:r>
      </w:p>
    </w:sdtContent>
  </w:sdt>
  <w:p w14:paraId="58631101" w14:textId="77777777" w:rsidR="00833F0C" w:rsidRDefault="00833F0C" w:rsidP="0041493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C0BC18" w14:textId="77777777" w:rsidR="00112EF9" w:rsidRDefault="00112EF9" w:rsidP="00414934">
      <w:r>
        <w:separator/>
      </w:r>
    </w:p>
    <w:p w14:paraId="77FCC706" w14:textId="77777777" w:rsidR="00112EF9" w:rsidRDefault="00112EF9" w:rsidP="00414934"/>
  </w:footnote>
  <w:footnote w:type="continuationSeparator" w:id="0">
    <w:p w14:paraId="48BB7BDF" w14:textId="77777777" w:rsidR="00112EF9" w:rsidRDefault="00112EF9" w:rsidP="00414934">
      <w:r>
        <w:continuationSeparator/>
      </w:r>
    </w:p>
    <w:p w14:paraId="5B8BF32D" w14:textId="77777777" w:rsidR="00112EF9" w:rsidRDefault="00112EF9" w:rsidP="00414934"/>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2A2B33"/>
    <w:multiLevelType w:val="multilevel"/>
    <w:tmpl w:val="04100025"/>
    <w:lvl w:ilvl="0">
      <w:start w:val="1"/>
      <w:numFmt w:val="decimal"/>
      <w:pStyle w:val="Titolo1"/>
      <w:lvlText w:val="%1"/>
      <w:lvlJc w:val="left"/>
      <w:pPr>
        <w:ind w:left="432" w:hanging="432"/>
      </w:pPr>
    </w:lvl>
    <w:lvl w:ilvl="1">
      <w:start w:val="1"/>
      <w:numFmt w:val="decimal"/>
      <w:pStyle w:val="Titolo2"/>
      <w:lvlText w:val="%1.%2"/>
      <w:lvlJc w:val="left"/>
      <w:pPr>
        <w:ind w:left="576" w:hanging="576"/>
      </w:p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1" w15:restartNumberingAfterBreak="0">
    <w:nsid w:val="250A245F"/>
    <w:multiLevelType w:val="hybridMultilevel"/>
    <w:tmpl w:val="29E20A30"/>
    <w:lvl w:ilvl="0" w:tplc="1AF444CE">
      <w:start w:val="1"/>
      <w:numFmt w:val="decimal"/>
      <w:pStyle w:val="Referencesbody"/>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F4A3D87"/>
    <w:multiLevelType w:val="hybridMultilevel"/>
    <w:tmpl w:val="6CD6B496"/>
    <w:lvl w:ilvl="0" w:tplc="5A2A54F6">
      <w:start w:val="1"/>
      <w:numFmt w:val="decimal"/>
      <w:pStyle w:val="reference"/>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15:restartNumberingAfterBreak="0">
    <w:nsid w:val="792604AF"/>
    <w:multiLevelType w:val="hybridMultilevel"/>
    <w:tmpl w:val="B1F45F1C"/>
    <w:lvl w:ilvl="0" w:tplc="AAE6DF14">
      <w:start w:val="3"/>
      <w:numFmt w:val="bullet"/>
      <w:lvlText w:val="-"/>
      <w:lvlJc w:val="left"/>
      <w:pPr>
        <w:ind w:left="927" w:hanging="360"/>
      </w:pPr>
      <w:rPr>
        <w:rFonts w:ascii="Times New Roman" w:eastAsia="Times New Roman" w:hAnsi="Times New Roman" w:cs="Times New Roman" w:hint="default"/>
      </w:rPr>
    </w:lvl>
    <w:lvl w:ilvl="1" w:tplc="04100003" w:tentative="1">
      <w:start w:val="1"/>
      <w:numFmt w:val="bullet"/>
      <w:lvlText w:val="o"/>
      <w:lvlJc w:val="left"/>
      <w:pPr>
        <w:ind w:left="1647" w:hanging="360"/>
      </w:pPr>
      <w:rPr>
        <w:rFonts w:ascii="Courier New" w:hAnsi="Courier New" w:cs="Courier New" w:hint="default"/>
      </w:rPr>
    </w:lvl>
    <w:lvl w:ilvl="2" w:tplc="04100005" w:tentative="1">
      <w:start w:val="1"/>
      <w:numFmt w:val="bullet"/>
      <w:lvlText w:val=""/>
      <w:lvlJc w:val="left"/>
      <w:pPr>
        <w:ind w:left="2367" w:hanging="360"/>
      </w:pPr>
      <w:rPr>
        <w:rFonts w:ascii="Wingdings" w:hAnsi="Wingdings" w:hint="default"/>
      </w:rPr>
    </w:lvl>
    <w:lvl w:ilvl="3" w:tplc="04100001" w:tentative="1">
      <w:start w:val="1"/>
      <w:numFmt w:val="bullet"/>
      <w:lvlText w:val=""/>
      <w:lvlJc w:val="left"/>
      <w:pPr>
        <w:ind w:left="3087" w:hanging="360"/>
      </w:pPr>
      <w:rPr>
        <w:rFonts w:ascii="Symbol" w:hAnsi="Symbol" w:hint="default"/>
      </w:rPr>
    </w:lvl>
    <w:lvl w:ilvl="4" w:tplc="04100003" w:tentative="1">
      <w:start w:val="1"/>
      <w:numFmt w:val="bullet"/>
      <w:lvlText w:val="o"/>
      <w:lvlJc w:val="left"/>
      <w:pPr>
        <w:ind w:left="3807" w:hanging="360"/>
      </w:pPr>
      <w:rPr>
        <w:rFonts w:ascii="Courier New" w:hAnsi="Courier New" w:cs="Courier New" w:hint="default"/>
      </w:rPr>
    </w:lvl>
    <w:lvl w:ilvl="5" w:tplc="04100005" w:tentative="1">
      <w:start w:val="1"/>
      <w:numFmt w:val="bullet"/>
      <w:lvlText w:val=""/>
      <w:lvlJc w:val="left"/>
      <w:pPr>
        <w:ind w:left="4527" w:hanging="360"/>
      </w:pPr>
      <w:rPr>
        <w:rFonts w:ascii="Wingdings" w:hAnsi="Wingdings" w:hint="default"/>
      </w:rPr>
    </w:lvl>
    <w:lvl w:ilvl="6" w:tplc="04100001" w:tentative="1">
      <w:start w:val="1"/>
      <w:numFmt w:val="bullet"/>
      <w:lvlText w:val=""/>
      <w:lvlJc w:val="left"/>
      <w:pPr>
        <w:ind w:left="5247" w:hanging="360"/>
      </w:pPr>
      <w:rPr>
        <w:rFonts w:ascii="Symbol" w:hAnsi="Symbol" w:hint="default"/>
      </w:rPr>
    </w:lvl>
    <w:lvl w:ilvl="7" w:tplc="04100003" w:tentative="1">
      <w:start w:val="1"/>
      <w:numFmt w:val="bullet"/>
      <w:lvlText w:val="o"/>
      <w:lvlJc w:val="left"/>
      <w:pPr>
        <w:ind w:left="5967" w:hanging="360"/>
      </w:pPr>
      <w:rPr>
        <w:rFonts w:ascii="Courier New" w:hAnsi="Courier New" w:cs="Courier New" w:hint="default"/>
      </w:rPr>
    </w:lvl>
    <w:lvl w:ilvl="8" w:tplc="04100005" w:tentative="1">
      <w:start w:val="1"/>
      <w:numFmt w:val="bullet"/>
      <w:lvlText w:val=""/>
      <w:lvlJc w:val="left"/>
      <w:pPr>
        <w:ind w:left="6687" w:hanging="360"/>
      </w:pPr>
      <w:rPr>
        <w:rFonts w:ascii="Wingdings" w:hAnsi="Wingdings" w:hint="default"/>
      </w:rPr>
    </w:lvl>
  </w:abstractNum>
  <w:num w:numId="1" w16cid:durableId="670450703">
    <w:abstractNumId w:val="0"/>
  </w:num>
  <w:num w:numId="2" w16cid:durableId="542904018">
    <w:abstractNumId w:val="2"/>
  </w:num>
  <w:num w:numId="3" w16cid:durableId="1062676217">
    <w:abstractNumId w:val="1"/>
  </w:num>
  <w:num w:numId="4" w16cid:durableId="904949637">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isplayBackgroundShape/>
  <w:embedSystemFonts/>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it-IT" w:vendorID="64" w:dllVersion="0" w:nlCheck="1" w:checkStyle="0"/>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6"/>
  <w:hyphenationZone w:val="283"/>
  <w:drawingGridHorizontalSpacing w:val="181"/>
  <w:drawingGridVerticalSpacing w:val="181"/>
  <w:noPunctuationKerning/>
  <w:characterSpacingControl w:val="doNotCompress"/>
  <w:hdrShapeDefaults>
    <o:shapedefaults v:ext="edit" spidmax="2050"/>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DcwNDOzMLMwNLawMDZX0lEKTi0uzszPAykwNqgFAHjxkX0tAAAA"/>
  </w:docVars>
  <w:rsids>
    <w:rsidRoot w:val="00DC0CEB"/>
    <w:rsid w:val="00000C38"/>
    <w:rsid w:val="00000DDB"/>
    <w:rsid w:val="00000E01"/>
    <w:rsid w:val="00000FF8"/>
    <w:rsid w:val="0000103B"/>
    <w:rsid w:val="00001429"/>
    <w:rsid w:val="000014B1"/>
    <w:rsid w:val="0000166B"/>
    <w:rsid w:val="00001832"/>
    <w:rsid w:val="000019E3"/>
    <w:rsid w:val="00001A08"/>
    <w:rsid w:val="00001ACC"/>
    <w:rsid w:val="00001C1B"/>
    <w:rsid w:val="00001F31"/>
    <w:rsid w:val="00002294"/>
    <w:rsid w:val="000023CA"/>
    <w:rsid w:val="000024D6"/>
    <w:rsid w:val="00002955"/>
    <w:rsid w:val="00002F5D"/>
    <w:rsid w:val="00003019"/>
    <w:rsid w:val="00003060"/>
    <w:rsid w:val="00003072"/>
    <w:rsid w:val="000036CA"/>
    <w:rsid w:val="00003A0E"/>
    <w:rsid w:val="00003A18"/>
    <w:rsid w:val="00003BD3"/>
    <w:rsid w:val="0000490E"/>
    <w:rsid w:val="00005236"/>
    <w:rsid w:val="00005759"/>
    <w:rsid w:val="00005BA0"/>
    <w:rsid w:val="00006113"/>
    <w:rsid w:val="000061A3"/>
    <w:rsid w:val="000069A6"/>
    <w:rsid w:val="00006D15"/>
    <w:rsid w:val="00006FD7"/>
    <w:rsid w:val="000073AA"/>
    <w:rsid w:val="00007B4A"/>
    <w:rsid w:val="00007B8A"/>
    <w:rsid w:val="00010067"/>
    <w:rsid w:val="0001054A"/>
    <w:rsid w:val="00010698"/>
    <w:rsid w:val="00010781"/>
    <w:rsid w:val="00010D1C"/>
    <w:rsid w:val="000113F2"/>
    <w:rsid w:val="00011571"/>
    <w:rsid w:val="000117E1"/>
    <w:rsid w:val="00011EB2"/>
    <w:rsid w:val="00011F89"/>
    <w:rsid w:val="00012889"/>
    <w:rsid w:val="00013018"/>
    <w:rsid w:val="000130FA"/>
    <w:rsid w:val="00013950"/>
    <w:rsid w:val="00013A0B"/>
    <w:rsid w:val="00013EED"/>
    <w:rsid w:val="00014121"/>
    <w:rsid w:val="000142E8"/>
    <w:rsid w:val="00014883"/>
    <w:rsid w:val="00014F0F"/>
    <w:rsid w:val="00015501"/>
    <w:rsid w:val="000155F9"/>
    <w:rsid w:val="00015631"/>
    <w:rsid w:val="0001642B"/>
    <w:rsid w:val="000164E9"/>
    <w:rsid w:val="00016EF0"/>
    <w:rsid w:val="00017215"/>
    <w:rsid w:val="000172F8"/>
    <w:rsid w:val="00017C5F"/>
    <w:rsid w:val="00017E24"/>
    <w:rsid w:val="0002011D"/>
    <w:rsid w:val="0002073D"/>
    <w:rsid w:val="00020DA5"/>
    <w:rsid w:val="00020E3D"/>
    <w:rsid w:val="00020FB0"/>
    <w:rsid w:val="0002106F"/>
    <w:rsid w:val="00021763"/>
    <w:rsid w:val="00021844"/>
    <w:rsid w:val="0002196B"/>
    <w:rsid w:val="00022656"/>
    <w:rsid w:val="00023720"/>
    <w:rsid w:val="000239C1"/>
    <w:rsid w:val="00023A10"/>
    <w:rsid w:val="00023AE7"/>
    <w:rsid w:val="00023B7A"/>
    <w:rsid w:val="00023D5B"/>
    <w:rsid w:val="00023F25"/>
    <w:rsid w:val="00024219"/>
    <w:rsid w:val="000243F9"/>
    <w:rsid w:val="00024801"/>
    <w:rsid w:val="00024E05"/>
    <w:rsid w:val="00025A3B"/>
    <w:rsid w:val="00025D8D"/>
    <w:rsid w:val="00025FC2"/>
    <w:rsid w:val="0002679B"/>
    <w:rsid w:val="00027251"/>
    <w:rsid w:val="000277E8"/>
    <w:rsid w:val="0002784D"/>
    <w:rsid w:val="000278B9"/>
    <w:rsid w:val="00027A28"/>
    <w:rsid w:val="0003004F"/>
    <w:rsid w:val="0003061C"/>
    <w:rsid w:val="0003071D"/>
    <w:rsid w:val="00030CA6"/>
    <w:rsid w:val="00030E27"/>
    <w:rsid w:val="00030F00"/>
    <w:rsid w:val="00031428"/>
    <w:rsid w:val="00031646"/>
    <w:rsid w:val="00031828"/>
    <w:rsid w:val="00031C65"/>
    <w:rsid w:val="000324B9"/>
    <w:rsid w:val="0003256B"/>
    <w:rsid w:val="00032A86"/>
    <w:rsid w:val="00032AF1"/>
    <w:rsid w:val="00032B6F"/>
    <w:rsid w:val="0003300E"/>
    <w:rsid w:val="000331BE"/>
    <w:rsid w:val="0003340B"/>
    <w:rsid w:val="00033B53"/>
    <w:rsid w:val="00033EE8"/>
    <w:rsid w:val="00033FF3"/>
    <w:rsid w:val="000347B8"/>
    <w:rsid w:val="00034A73"/>
    <w:rsid w:val="00034FA9"/>
    <w:rsid w:val="0003532B"/>
    <w:rsid w:val="00035838"/>
    <w:rsid w:val="00035EEB"/>
    <w:rsid w:val="00035F20"/>
    <w:rsid w:val="00035FBC"/>
    <w:rsid w:val="000367F7"/>
    <w:rsid w:val="00036A3A"/>
    <w:rsid w:val="00036BCD"/>
    <w:rsid w:val="00036F07"/>
    <w:rsid w:val="000371BF"/>
    <w:rsid w:val="0003734C"/>
    <w:rsid w:val="000379D9"/>
    <w:rsid w:val="00037D22"/>
    <w:rsid w:val="00037E17"/>
    <w:rsid w:val="00037EA9"/>
    <w:rsid w:val="00037FC2"/>
    <w:rsid w:val="00041050"/>
    <w:rsid w:val="00041169"/>
    <w:rsid w:val="000413E6"/>
    <w:rsid w:val="00041D0A"/>
    <w:rsid w:val="00041F95"/>
    <w:rsid w:val="00042139"/>
    <w:rsid w:val="000422E8"/>
    <w:rsid w:val="00042808"/>
    <w:rsid w:val="000429EA"/>
    <w:rsid w:val="00042AA5"/>
    <w:rsid w:val="00042D6A"/>
    <w:rsid w:val="00042F06"/>
    <w:rsid w:val="000433B4"/>
    <w:rsid w:val="00043598"/>
    <w:rsid w:val="000435AC"/>
    <w:rsid w:val="00043A90"/>
    <w:rsid w:val="0004419C"/>
    <w:rsid w:val="00044C4D"/>
    <w:rsid w:val="00044F5B"/>
    <w:rsid w:val="00044FFF"/>
    <w:rsid w:val="00045679"/>
    <w:rsid w:val="00045CE2"/>
    <w:rsid w:val="00045D53"/>
    <w:rsid w:val="00045D95"/>
    <w:rsid w:val="000462D2"/>
    <w:rsid w:val="000472E9"/>
    <w:rsid w:val="000473E7"/>
    <w:rsid w:val="00047B1B"/>
    <w:rsid w:val="00050A84"/>
    <w:rsid w:val="00050CCB"/>
    <w:rsid w:val="000511F6"/>
    <w:rsid w:val="00051381"/>
    <w:rsid w:val="0005169F"/>
    <w:rsid w:val="00051C54"/>
    <w:rsid w:val="00051DFE"/>
    <w:rsid w:val="00051E75"/>
    <w:rsid w:val="00052690"/>
    <w:rsid w:val="00052691"/>
    <w:rsid w:val="00052850"/>
    <w:rsid w:val="00052B84"/>
    <w:rsid w:val="0005362A"/>
    <w:rsid w:val="00053682"/>
    <w:rsid w:val="0005376E"/>
    <w:rsid w:val="000537BD"/>
    <w:rsid w:val="00053A6C"/>
    <w:rsid w:val="00053B1E"/>
    <w:rsid w:val="00053CB8"/>
    <w:rsid w:val="00053DDD"/>
    <w:rsid w:val="0005452A"/>
    <w:rsid w:val="000546CC"/>
    <w:rsid w:val="00054E9E"/>
    <w:rsid w:val="00055131"/>
    <w:rsid w:val="00055732"/>
    <w:rsid w:val="000557AA"/>
    <w:rsid w:val="0005639F"/>
    <w:rsid w:val="0005689A"/>
    <w:rsid w:val="00056EDD"/>
    <w:rsid w:val="000572A0"/>
    <w:rsid w:val="000575FF"/>
    <w:rsid w:val="000576A1"/>
    <w:rsid w:val="00057909"/>
    <w:rsid w:val="00057D06"/>
    <w:rsid w:val="00060447"/>
    <w:rsid w:val="0006075F"/>
    <w:rsid w:val="000608AB"/>
    <w:rsid w:val="00060A92"/>
    <w:rsid w:val="00060D02"/>
    <w:rsid w:val="000610FA"/>
    <w:rsid w:val="00061220"/>
    <w:rsid w:val="0006144D"/>
    <w:rsid w:val="00061516"/>
    <w:rsid w:val="000616F8"/>
    <w:rsid w:val="000617A0"/>
    <w:rsid w:val="000619E1"/>
    <w:rsid w:val="00061C11"/>
    <w:rsid w:val="000625AF"/>
    <w:rsid w:val="00062AFD"/>
    <w:rsid w:val="00062C4D"/>
    <w:rsid w:val="00063444"/>
    <w:rsid w:val="00063A1C"/>
    <w:rsid w:val="00063A65"/>
    <w:rsid w:val="000642C6"/>
    <w:rsid w:val="000647B2"/>
    <w:rsid w:val="00064B79"/>
    <w:rsid w:val="00065028"/>
    <w:rsid w:val="00065202"/>
    <w:rsid w:val="00065615"/>
    <w:rsid w:val="00065BB1"/>
    <w:rsid w:val="00065C51"/>
    <w:rsid w:val="00065F83"/>
    <w:rsid w:val="0006616D"/>
    <w:rsid w:val="00066279"/>
    <w:rsid w:val="00066859"/>
    <w:rsid w:val="00066966"/>
    <w:rsid w:val="0006701C"/>
    <w:rsid w:val="000676C7"/>
    <w:rsid w:val="000678CF"/>
    <w:rsid w:val="00067DA9"/>
    <w:rsid w:val="00067F2E"/>
    <w:rsid w:val="00070110"/>
    <w:rsid w:val="000708F2"/>
    <w:rsid w:val="00070968"/>
    <w:rsid w:val="00070C07"/>
    <w:rsid w:val="00070C15"/>
    <w:rsid w:val="0007122C"/>
    <w:rsid w:val="0007129F"/>
    <w:rsid w:val="000712CB"/>
    <w:rsid w:val="00071312"/>
    <w:rsid w:val="000713ED"/>
    <w:rsid w:val="00071861"/>
    <w:rsid w:val="0007213E"/>
    <w:rsid w:val="0007221C"/>
    <w:rsid w:val="00072376"/>
    <w:rsid w:val="000725F5"/>
    <w:rsid w:val="00072CA0"/>
    <w:rsid w:val="0007302A"/>
    <w:rsid w:val="00073113"/>
    <w:rsid w:val="00073439"/>
    <w:rsid w:val="000735FC"/>
    <w:rsid w:val="00073A0B"/>
    <w:rsid w:val="00074B4C"/>
    <w:rsid w:val="00074D4D"/>
    <w:rsid w:val="00074DE4"/>
    <w:rsid w:val="0007546B"/>
    <w:rsid w:val="000758E7"/>
    <w:rsid w:val="0007649E"/>
    <w:rsid w:val="00076B60"/>
    <w:rsid w:val="00076C6E"/>
    <w:rsid w:val="00076DA9"/>
    <w:rsid w:val="00077307"/>
    <w:rsid w:val="000775C0"/>
    <w:rsid w:val="000778F8"/>
    <w:rsid w:val="000800E9"/>
    <w:rsid w:val="00080211"/>
    <w:rsid w:val="000803BE"/>
    <w:rsid w:val="00080C88"/>
    <w:rsid w:val="00080D29"/>
    <w:rsid w:val="00080E88"/>
    <w:rsid w:val="00081496"/>
    <w:rsid w:val="000818E3"/>
    <w:rsid w:val="00081BA3"/>
    <w:rsid w:val="00082974"/>
    <w:rsid w:val="00082AA0"/>
    <w:rsid w:val="00082BB3"/>
    <w:rsid w:val="00082D16"/>
    <w:rsid w:val="00082ED9"/>
    <w:rsid w:val="0008319A"/>
    <w:rsid w:val="00083437"/>
    <w:rsid w:val="00083A9A"/>
    <w:rsid w:val="00084061"/>
    <w:rsid w:val="0008434B"/>
    <w:rsid w:val="0008434D"/>
    <w:rsid w:val="000844FC"/>
    <w:rsid w:val="00084B7C"/>
    <w:rsid w:val="00084D8C"/>
    <w:rsid w:val="00084D8E"/>
    <w:rsid w:val="00085051"/>
    <w:rsid w:val="00085499"/>
    <w:rsid w:val="000859EC"/>
    <w:rsid w:val="00085AA9"/>
    <w:rsid w:val="000860F4"/>
    <w:rsid w:val="00086504"/>
    <w:rsid w:val="0008690F"/>
    <w:rsid w:val="00086ACD"/>
    <w:rsid w:val="00086B76"/>
    <w:rsid w:val="00086F29"/>
    <w:rsid w:val="00087185"/>
    <w:rsid w:val="00087347"/>
    <w:rsid w:val="000874BC"/>
    <w:rsid w:val="00087687"/>
    <w:rsid w:val="00090408"/>
    <w:rsid w:val="00090465"/>
    <w:rsid w:val="000914C0"/>
    <w:rsid w:val="00091614"/>
    <w:rsid w:val="000916EE"/>
    <w:rsid w:val="000919FF"/>
    <w:rsid w:val="00091A28"/>
    <w:rsid w:val="00092F75"/>
    <w:rsid w:val="000930CE"/>
    <w:rsid w:val="00093530"/>
    <w:rsid w:val="00093925"/>
    <w:rsid w:val="00093DB8"/>
    <w:rsid w:val="00094326"/>
    <w:rsid w:val="00094444"/>
    <w:rsid w:val="000944AF"/>
    <w:rsid w:val="0009452C"/>
    <w:rsid w:val="00094614"/>
    <w:rsid w:val="00094BBC"/>
    <w:rsid w:val="00094FA3"/>
    <w:rsid w:val="00095AFA"/>
    <w:rsid w:val="00096487"/>
    <w:rsid w:val="000965A6"/>
    <w:rsid w:val="00096C07"/>
    <w:rsid w:val="000974CA"/>
    <w:rsid w:val="00097830"/>
    <w:rsid w:val="00097D65"/>
    <w:rsid w:val="00097E5A"/>
    <w:rsid w:val="00097FC4"/>
    <w:rsid w:val="000A023C"/>
    <w:rsid w:val="000A0A5E"/>
    <w:rsid w:val="000A0E26"/>
    <w:rsid w:val="000A1071"/>
    <w:rsid w:val="000A15F5"/>
    <w:rsid w:val="000A1BFC"/>
    <w:rsid w:val="000A1DAA"/>
    <w:rsid w:val="000A2E89"/>
    <w:rsid w:val="000A3463"/>
    <w:rsid w:val="000A39E1"/>
    <w:rsid w:val="000A3DDC"/>
    <w:rsid w:val="000A44AF"/>
    <w:rsid w:val="000A4D54"/>
    <w:rsid w:val="000A5605"/>
    <w:rsid w:val="000A596F"/>
    <w:rsid w:val="000A5B08"/>
    <w:rsid w:val="000A609E"/>
    <w:rsid w:val="000A719A"/>
    <w:rsid w:val="000A7665"/>
    <w:rsid w:val="000A78A8"/>
    <w:rsid w:val="000A796D"/>
    <w:rsid w:val="000A7CAE"/>
    <w:rsid w:val="000B003B"/>
    <w:rsid w:val="000B015B"/>
    <w:rsid w:val="000B1018"/>
    <w:rsid w:val="000B118B"/>
    <w:rsid w:val="000B1420"/>
    <w:rsid w:val="000B1D43"/>
    <w:rsid w:val="000B1DA5"/>
    <w:rsid w:val="000B21EB"/>
    <w:rsid w:val="000B2830"/>
    <w:rsid w:val="000B287C"/>
    <w:rsid w:val="000B296E"/>
    <w:rsid w:val="000B2B51"/>
    <w:rsid w:val="000B3279"/>
    <w:rsid w:val="000B32DF"/>
    <w:rsid w:val="000B3BCD"/>
    <w:rsid w:val="000B414D"/>
    <w:rsid w:val="000B42B6"/>
    <w:rsid w:val="000B4360"/>
    <w:rsid w:val="000B43A9"/>
    <w:rsid w:val="000B46B0"/>
    <w:rsid w:val="000B492D"/>
    <w:rsid w:val="000B552E"/>
    <w:rsid w:val="000B56D0"/>
    <w:rsid w:val="000B58D9"/>
    <w:rsid w:val="000B613A"/>
    <w:rsid w:val="000B683F"/>
    <w:rsid w:val="000B72B6"/>
    <w:rsid w:val="000B73EB"/>
    <w:rsid w:val="000B7406"/>
    <w:rsid w:val="000B7D92"/>
    <w:rsid w:val="000C015B"/>
    <w:rsid w:val="000C017D"/>
    <w:rsid w:val="000C09E5"/>
    <w:rsid w:val="000C0B07"/>
    <w:rsid w:val="000C0E5A"/>
    <w:rsid w:val="000C0F40"/>
    <w:rsid w:val="000C126A"/>
    <w:rsid w:val="000C12B9"/>
    <w:rsid w:val="000C1E64"/>
    <w:rsid w:val="000C275F"/>
    <w:rsid w:val="000C31F1"/>
    <w:rsid w:val="000C39D8"/>
    <w:rsid w:val="000C420D"/>
    <w:rsid w:val="000C458D"/>
    <w:rsid w:val="000C4736"/>
    <w:rsid w:val="000C4FCE"/>
    <w:rsid w:val="000C57CC"/>
    <w:rsid w:val="000C57F1"/>
    <w:rsid w:val="000C5E7F"/>
    <w:rsid w:val="000C5EF6"/>
    <w:rsid w:val="000C61F4"/>
    <w:rsid w:val="000C6577"/>
    <w:rsid w:val="000C67DC"/>
    <w:rsid w:val="000C6A48"/>
    <w:rsid w:val="000C6F4A"/>
    <w:rsid w:val="000C716E"/>
    <w:rsid w:val="000C76E6"/>
    <w:rsid w:val="000C771B"/>
    <w:rsid w:val="000C7D28"/>
    <w:rsid w:val="000C7F64"/>
    <w:rsid w:val="000D010A"/>
    <w:rsid w:val="000D092B"/>
    <w:rsid w:val="000D0980"/>
    <w:rsid w:val="000D09EF"/>
    <w:rsid w:val="000D0B57"/>
    <w:rsid w:val="000D0F75"/>
    <w:rsid w:val="000D100D"/>
    <w:rsid w:val="000D101F"/>
    <w:rsid w:val="000D18FB"/>
    <w:rsid w:val="000D196F"/>
    <w:rsid w:val="000D2251"/>
    <w:rsid w:val="000D2CE2"/>
    <w:rsid w:val="000D3342"/>
    <w:rsid w:val="000D34B0"/>
    <w:rsid w:val="000D3583"/>
    <w:rsid w:val="000D362D"/>
    <w:rsid w:val="000D390E"/>
    <w:rsid w:val="000D3F0D"/>
    <w:rsid w:val="000D3F3B"/>
    <w:rsid w:val="000D4B03"/>
    <w:rsid w:val="000D4D03"/>
    <w:rsid w:val="000D5113"/>
    <w:rsid w:val="000D5249"/>
    <w:rsid w:val="000D5386"/>
    <w:rsid w:val="000D584F"/>
    <w:rsid w:val="000D5C71"/>
    <w:rsid w:val="000D6752"/>
    <w:rsid w:val="000D68DD"/>
    <w:rsid w:val="000D70B4"/>
    <w:rsid w:val="000D7675"/>
    <w:rsid w:val="000D7932"/>
    <w:rsid w:val="000D7E3A"/>
    <w:rsid w:val="000E002E"/>
    <w:rsid w:val="000E0250"/>
    <w:rsid w:val="000E0324"/>
    <w:rsid w:val="000E0DA3"/>
    <w:rsid w:val="000E0DF4"/>
    <w:rsid w:val="000E1149"/>
    <w:rsid w:val="000E158D"/>
    <w:rsid w:val="000E173F"/>
    <w:rsid w:val="000E17F3"/>
    <w:rsid w:val="000E1B50"/>
    <w:rsid w:val="000E1F44"/>
    <w:rsid w:val="000E218B"/>
    <w:rsid w:val="000E291A"/>
    <w:rsid w:val="000E36B3"/>
    <w:rsid w:val="000E3D5C"/>
    <w:rsid w:val="000E3E80"/>
    <w:rsid w:val="000E45B5"/>
    <w:rsid w:val="000E46FA"/>
    <w:rsid w:val="000E487B"/>
    <w:rsid w:val="000E49C4"/>
    <w:rsid w:val="000E4B54"/>
    <w:rsid w:val="000E4C2E"/>
    <w:rsid w:val="000E5051"/>
    <w:rsid w:val="000E519E"/>
    <w:rsid w:val="000E51D2"/>
    <w:rsid w:val="000E58E7"/>
    <w:rsid w:val="000E5A7E"/>
    <w:rsid w:val="000E5BCD"/>
    <w:rsid w:val="000E5EA2"/>
    <w:rsid w:val="000E5F0E"/>
    <w:rsid w:val="000E6067"/>
    <w:rsid w:val="000E60D4"/>
    <w:rsid w:val="000E6C62"/>
    <w:rsid w:val="000E6EF8"/>
    <w:rsid w:val="000E708F"/>
    <w:rsid w:val="000E7D5D"/>
    <w:rsid w:val="000E7E7F"/>
    <w:rsid w:val="000E7F51"/>
    <w:rsid w:val="000F04E0"/>
    <w:rsid w:val="000F0B2A"/>
    <w:rsid w:val="000F0D39"/>
    <w:rsid w:val="000F0DCF"/>
    <w:rsid w:val="000F0E57"/>
    <w:rsid w:val="000F10ED"/>
    <w:rsid w:val="000F171B"/>
    <w:rsid w:val="000F175D"/>
    <w:rsid w:val="000F1A13"/>
    <w:rsid w:val="000F1E36"/>
    <w:rsid w:val="000F23E0"/>
    <w:rsid w:val="000F2474"/>
    <w:rsid w:val="000F2B4C"/>
    <w:rsid w:val="000F2BD1"/>
    <w:rsid w:val="000F2C83"/>
    <w:rsid w:val="000F2DB4"/>
    <w:rsid w:val="000F2DC8"/>
    <w:rsid w:val="000F3019"/>
    <w:rsid w:val="000F3046"/>
    <w:rsid w:val="000F3550"/>
    <w:rsid w:val="000F3993"/>
    <w:rsid w:val="000F3BB1"/>
    <w:rsid w:val="000F4C24"/>
    <w:rsid w:val="000F4FC5"/>
    <w:rsid w:val="000F5628"/>
    <w:rsid w:val="000F5716"/>
    <w:rsid w:val="000F600D"/>
    <w:rsid w:val="000F67A4"/>
    <w:rsid w:val="000F6B85"/>
    <w:rsid w:val="000F6E21"/>
    <w:rsid w:val="000F6E33"/>
    <w:rsid w:val="000F7466"/>
    <w:rsid w:val="000F7A5A"/>
    <w:rsid w:val="000F7C96"/>
    <w:rsid w:val="000F7D65"/>
    <w:rsid w:val="000F7F8B"/>
    <w:rsid w:val="00100527"/>
    <w:rsid w:val="00100A58"/>
    <w:rsid w:val="00100DE4"/>
    <w:rsid w:val="00100E9C"/>
    <w:rsid w:val="00101922"/>
    <w:rsid w:val="00101F04"/>
    <w:rsid w:val="00102360"/>
    <w:rsid w:val="001026E4"/>
    <w:rsid w:val="001034AA"/>
    <w:rsid w:val="00103711"/>
    <w:rsid w:val="0010397F"/>
    <w:rsid w:val="0010398E"/>
    <w:rsid w:val="00103D41"/>
    <w:rsid w:val="0010436D"/>
    <w:rsid w:val="00104581"/>
    <w:rsid w:val="001049AD"/>
    <w:rsid w:val="00104CEC"/>
    <w:rsid w:val="00105743"/>
    <w:rsid w:val="00105F37"/>
    <w:rsid w:val="00106138"/>
    <w:rsid w:val="00106241"/>
    <w:rsid w:val="001066F2"/>
    <w:rsid w:val="00106C6E"/>
    <w:rsid w:val="001072A6"/>
    <w:rsid w:val="00107C41"/>
    <w:rsid w:val="00110373"/>
    <w:rsid w:val="00110602"/>
    <w:rsid w:val="001107D5"/>
    <w:rsid w:val="00110851"/>
    <w:rsid w:val="00110FC5"/>
    <w:rsid w:val="001110CC"/>
    <w:rsid w:val="001113FD"/>
    <w:rsid w:val="00111698"/>
    <w:rsid w:val="00111859"/>
    <w:rsid w:val="00111B69"/>
    <w:rsid w:val="00111DB9"/>
    <w:rsid w:val="0011206B"/>
    <w:rsid w:val="00112EF9"/>
    <w:rsid w:val="00112F7B"/>
    <w:rsid w:val="001132B5"/>
    <w:rsid w:val="001137CF"/>
    <w:rsid w:val="001138EE"/>
    <w:rsid w:val="0011421E"/>
    <w:rsid w:val="00114405"/>
    <w:rsid w:val="001145A1"/>
    <w:rsid w:val="00114612"/>
    <w:rsid w:val="00114913"/>
    <w:rsid w:val="00114A98"/>
    <w:rsid w:val="00114B8E"/>
    <w:rsid w:val="0011543A"/>
    <w:rsid w:val="0011559F"/>
    <w:rsid w:val="00115E65"/>
    <w:rsid w:val="00115F8E"/>
    <w:rsid w:val="0011641D"/>
    <w:rsid w:val="00116804"/>
    <w:rsid w:val="0011722E"/>
    <w:rsid w:val="0011759F"/>
    <w:rsid w:val="0011767D"/>
    <w:rsid w:val="00117766"/>
    <w:rsid w:val="00117D01"/>
    <w:rsid w:val="00117DA2"/>
    <w:rsid w:val="00117E75"/>
    <w:rsid w:val="0012030A"/>
    <w:rsid w:val="001203A7"/>
    <w:rsid w:val="00120718"/>
    <w:rsid w:val="00120C38"/>
    <w:rsid w:val="0012121D"/>
    <w:rsid w:val="001213E4"/>
    <w:rsid w:val="00121AF3"/>
    <w:rsid w:val="00121E64"/>
    <w:rsid w:val="00122553"/>
    <w:rsid w:val="0012270E"/>
    <w:rsid w:val="00122ABE"/>
    <w:rsid w:val="00122D6A"/>
    <w:rsid w:val="001230E5"/>
    <w:rsid w:val="00123704"/>
    <w:rsid w:val="001239D1"/>
    <w:rsid w:val="00123FDA"/>
    <w:rsid w:val="00124635"/>
    <w:rsid w:val="0012472B"/>
    <w:rsid w:val="0012508A"/>
    <w:rsid w:val="00125472"/>
    <w:rsid w:val="00125574"/>
    <w:rsid w:val="001256D2"/>
    <w:rsid w:val="00125A45"/>
    <w:rsid w:val="00125E8F"/>
    <w:rsid w:val="0012659A"/>
    <w:rsid w:val="00126DFD"/>
    <w:rsid w:val="00127044"/>
    <w:rsid w:val="00127594"/>
    <w:rsid w:val="001275E9"/>
    <w:rsid w:val="00127761"/>
    <w:rsid w:val="00127C4B"/>
    <w:rsid w:val="00127C53"/>
    <w:rsid w:val="00130061"/>
    <w:rsid w:val="00130192"/>
    <w:rsid w:val="0013071E"/>
    <w:rsid w:val="001307B2"/>
    <w:rsid w:val="00130B00"/>
    <w:rsid w:val="00130E77"/>
    <w:rsid w:val="001316C2"/>
    <w:rsid w:val="00131A55"/>
    <w:rsid w:val="00131AD9"/>
    <w:rsid w:val="00131B72"/>
    <w:rsid w:val="00131C9F"/>
    <w:rsid w:val="00131D32"/>
    <w:rsid w:val="00131E92"/>
    <w:rsid w:val="0013228E"/>
    <w:rsid w:val="00132757"/>
    <w:rsid w:val="0013299F"/>
    <w:rsid w:val="00132A3B"/>
    <w:rsid w:val="00132E8D"/>
    <w:rsid w:val="00133316"/>
    <w:rsid w:val="0013351F"/>
    <w:rsid w:val="00133DAC"/>
    <w:rsid w:val="00133E9F"/>
    <w:rsid w:val="0013448F"/>
    <w:rsid w:val="001349C8"/>
    <w:rsid w:val="00134A3C"/>
    <w:rsid w:val="00134A4C"/>
    <w:rsid w:val="00134B85"/>
    <w:rsid w:val="00134FF7"/>
    <w:rsid w:val="00135238"/>
    <w:rsid w:val="0013581A"/>
    <w:rsid w:val="001359BC"/>
    <w:rsid w:val="0013607D"/>
    <w:rsid w:val="001365D7"/>
    <w:rsid w:val="00136A1F"/>
    <w:rsid w:val="00136AA6"/>
    <w:rsid w:val="0013701A"/>
    <w:rsid w:val="00137540"/>
    <w:rsid w:val="001375C5"/>
    <w:rsid w:val="0013763B"/>
    <w:rsid w:val="001377A2"/>
    <w:rsid w:val="00137C66"/>
    <w:rsid w:val="00137E09"/>
    <w:rsid w:val="00140214"/>
    <w:rsid w:val="001404F8"/>
    <w:rsid w:val="00142490"/>
    <w:rsid w:val="00142719"/>
    <w:rsid w:val="001428B2"/>
    <w:rsid w:val="00142FE1"/>
    <w:rsid w:val="001436F5"/>
    <w:rsid w:val="00144671"/>
    <w:rsid w:val="00144B78"/>
    <w:rsid w:val="0014586B"/>
    <w:rsid w:val="00145E09"/>
    <w:rsid w:val="00145FD7"/>
    <w:rsid w:val="00146019"/>
    <w:rsid w:val="0014605E"/>
    <w:rsid w:val="00146D70"/>
    <w:rsid w:val="001472F6"/>
    <w:rsid w:val="00147920"/>
    <w:rsid w:val="001479A6"/>
    <w:rsid w:val="00147ADF"/>
    <w:rsid w:val="00147B40"/>
    <w:rsid w:val="00147E19"/>
    <w:rsid w:val="00150965"/>
    <w:rsid w:val="001509C5"/>
    <w:rsid w:val="00150CD8"/>
    <w:rsid w:val="001515AF"/>
    <w:rsid w:val="00152164"/>
    <w:rsid w:val="001522DE"/>
    <w:rsid w:val="00152561"/>
    <w:rsid w:val="00152ED9"/>
    <w:rsid w:val="001539BA"/>
    <w:rsid w:val="00153E13"/>
    <w:rsid w:val="00154AFE"/>
    <w:rsid w:val="00154D4C"/>
    <w:rsid w:val="00155774"/>
    <w:rsid w:val="001557A9"/>
    <w:rsid w:val="00156415"/>
    <w:rsid w:val="001564FF"/>
    <w:rsid w:val="00156642"/>
    <w:rsid w:val="0015693A"/>
    <w:rsid w:val="001569E1"/>
    <w:rsid w:val="00157136"/>
    <w:rsid w:val="00157286"/>
    <w:rsid w:val="001573AB"/>
    <w:rsid w:val="001573BE"/>
    <w:rsid w:val="00157508"/>
    <w:rsid w:val="00160234"/>
    <w:rsid w:val="00160552"/>
    <w:rsid w:val="001608F3"/>
    <w:rsid w:val="00160E49"/>
    <w:rsid w:val="00160F44"/>
    <w:rsid w:val="00160F9F"/>
    <w:rsid w:val="001619CB"/>
    <w:rsid w:val="001620A0"/>
    <w:rsid w:val="00162283"/>
    <w:rsid w:val="001622EC"/>
    <w:rsid w:val="001625DC"/>
    <w:rsid w:val="00162827"/>
    <w:rsid w:val="00162C70"/>
    <w:rsid w:val="0016335E"/>
    <w:rsid w:val="00163BAD"/>
    <w:rsid w:val="00163D71"/>
    <w:rsid w:val="00163E62"/>
    <w:rsid w:val="001647B9"/>
    <w:rsid w:val="001648BE"/>
    <w:rsid w:val="001658EB"/>
    <w:rsid w:val="00165E3D"/>
    <w:rsid w:val="00165E68"/>
    <w:rsid w:val="00166704"/>
    <w:rsid w:val="0016671E"/>
    <w:rsid w:val="00166C8B"/>
    <w:rsid w:val="00166CB4"/>
    <w:rsid w:val="001672EA"/>
    <w:rsid w:val="001674B1"/>
    <w:rsid w:val="001674D3"/>
    <w:rsid w:val="001675DE"/>
    <w:rsid w:val="00167B5F"/>
    <w:rsid w:val="00167C3C"/>
    <w:rsid w:val="00170469"/>
    <w:rsid w:val="001705F4"/>
    <w:rsid w:val="00170794"/>
    <w:rsid w:val="001709E9"/>
    <w:rsid w:val="00170F64"/>
    <w:rsid w:val="00171058"/>
    <w:rsid w:val="001712E7"/>
    <w:rsid w:val="0017145D"/>
    <w:rsid w:val="00171C36"/>
    <w:rsid w:val="00171DAE"/>
    <w:rsid w:val="00171E01"/>
    <w:rsid w:val="00171E39"/>
    <w:rsid w:val="00172024"/>
    <w:rsid w:val="00172069"/>
    <w:rsid w:val="001720BD"/>
    <w:rsid w:val="0017249F"/>
    <w:rsid w:val="001724BD"/>
    <w:rsid w:val="00172602"/>
    <w:rsid w:val="00172C65"/>
    <w:rsid w:val="00172D31"/>
    <w:rsid w:val="00172EA1"/>
    <w:rsid w:val="001734E4"/>
    <w:rsid w:val="00173997"/>
    <w:rsid w:val="00173C01"/>
    <w:rsid w:val="00173E28"/>
    <w:rsid w:val="0017424F"/>
    <w:rsid w:val="00174A91"/>
    <w:rsid w:val="00174B78"/>
    <w:rsid w:val="00174D06"/>
    <w:rsid w:val="00174D95"/>
    <w:rsid w:val="001759CB"/>
    <w:rsid w:val="00175A83"/>
    <w:rsid w:val="00175BA1"/>
    <w:rsid w:val="00175CA0"/>
    <w:rsid w:val="00175DC6"/>
    <w:rsid w:val="00175DE6"/>
    <w:rsid w:val="00175ECE"/>
    <w:rsid w:val="00175F03"/>
    <w:rsid w:val="00175F83"/>
    <w:rsid w:val="00175FAD"/>
    <w:rsid w:val="00176295"/>
    <w:rsid w:val="001762E5"/>
    <w:rsid w:val="00176D5E"/>
    <w:rsid w:val="00177280"/>
    <w:rsid w:val="0017748C"/>
    <w:rsid w:val="0017752B"/>
    <w:rsid w:val="00177B1D"/>
    <w:rsid w:val="00177CD8"/>
    <w:rsid w:val="00180032"/>
    <w:rsid w:val="001800DE"/>
    <w:rsid w:val="00180455"/>
    <w:rsid w:val="00180711"/>
    <w:rsid w:val="0018074E"/>
    <w:rsid w:val="001808D7"/>
    <w:rsid w:val="00180EC6"/>
    <w:rsid w:val="001810C9"/>
    <w:rsid w:val="00181130"/>
    <w:rsid w:val="001811AE"/>
    <w:rsid w:val="001812D7"/>
    <w:rsid w:val="001815DF"/>
    <w:rsid w:val="00181986"/>
    <w:rsid w:val="001827C6"/>
    <w:rsid w:val="001827E8"/>
    <w:rsid w:val="001828B9"/>
    <w:rsid w:val="00182911"/>
    <w:rsid w:val="0018340B"/>
    <w:rsid w:val="00183630"/>
    <w:rsid w:val="001836CA"/>
    <w:rsid w:val="00184403"/>
    <w:rsid w:val="00184439"/>
    <w:rsid w:val="00184741"/>
    <w:rsid w:val="00184E13"/>
    <w:rsid w:val="00184FF5"/>
    <w:rsid w:val="00185785"/>
    <w:rsid w:val="00185787"/>
    <w:rsid w:val="00185D8F"/>
    <w:rsid w:val="0018639C"/>
    <w:rsid w:val="001868B1"/>
    <w:rsid w:val="00186951"/>
    <w:rsid w:val="001869DE"/>
    <w:rsid w:val="00186D30"/>
    <w:rsid w:val="00186D79"/>
    <w:rsid w:val="001870C4"/>
    <w:rsid w:val="00187142"/>
    <w:rsid w:val="00190317"/>
    <w:rsid w:val="00190793"/>
    <w:rsid w:val="00190865"/>
    <w:rsid w:val="00190A29"/>
    <w:rsid w:val="00190EC2"/>
    <w:rsid w:val="00191786"/>
    <w:rsid w:val="00191853"/>
    <w:rsid w:val="00191975"/>
    <w:rsid w:val="00192509"/>
    <w:rsid w:val="00192794"/>
    <w:rsid w:val="00192883"/>
    <w:rsid w:val="00192966"/>
    <w:rsid w:val="00193AF3"/>
    <w:rsid w:val="00193DA0"/>
    <w:rsid w:val="001947E9"/>
    <w:rsid w:val="00194944"/>
    <w:rsid w:val="00194CED"/>
    <w:rsid w:val="001954F0"/>
    <w:rsid w:val="0019579D"/>
    <w:rsid w:val="00195CE4"/>
    <w:rsid w:val="00195D7F"/>
    <w:rsid w:val="00196197"/>
    <w:rsid w:val="0019623A"/>
    <w:rsid w:val="001962E3"/>
    <w:rsid w:val="00196BA9"/>
    <w:rsid w:val="0019780C"/>
    <w:rsid w:val="00197DDD"/>
    <w:rsid w:val="001A1426"/>
    <w:rsid w:val="001A15C9"/>
    <w:rsid w:val="001A1661"/>
    <w:rsid w:val="001A1715"/>
    <w:rsid w:val="001A18C3"/>
    <w:rsid w:val="001A1930"/>
    <w:rsid w:val="001A1AE2"/>
    <w:rsid w:val="001A1F44"/>
    <w:rsid w:val="001A2083"/>
    <w:rsid w:val="001A2172"/>
    <w:rsid w:val="001A2214"/>
    <w:rsid w:val="001A2544"/>
    <w:rsid w:val="001A25BF"/>
    <w:rsid w:val="001A2C0D"/>
    <w:rsid w:val="001A316B"/>
    <w:rsid w:val="001A3389"/>
    <w:rsid w:val="001A343C"/>
    <w:rsid w:val="001A3B14"/>
    <w:rsid w:val="001A3C8B"/>
    <w:rsid w:val="001A4295"/>
    <w:rsid w:val="001A4347"/>
    <w:rsid w:val="001A4427"/>
    <w:rsid w:val="001A4785"/>
    <w:rsid w:val="001A4A14"/>
    <w:rsid w:val="001A4D79"/>
    <w:rsid w:val="001A5123"/>
    <w:rsid w:val="001A57CD"/>
    <w:rsid w:val="001A5854"/>
    <w:rsid w:val="001A5AF7"/>
    <w:rsid w:val="001A5C08"/>
    <w:rsid w:val="001A63C3"/>
    <w:rsid w:val="001A68A7"/>
    <w:rsid w:val="001A6B83"/>
    <w:rsid w:val="001A703C"/>
    <w:rsid w:val="001A7131"/>
    <w:rsid w:val="001A7289"/>
    <w:rsid w:val="001A796F"/>
    <w:rsid w:val="001A7F20"/>
    <w:rsid w:val="001B0397"/>
    <w:rsid w:val="001B089D"/>
    <w:rsid w:val="001B1551"/>
    <w:rsid w:val="001B2129"/>
    <w:rsid w:val="001B224C"/>
    <w:rsid w:val="001B2376"/>
    <w:rsid w:val="001B2925"/>
    <w:rsid w:val="001B2989"/>
    <w:rsid w:val="001B3013"/>
    <w:rsid w:val="001B38AC"/>
    <w:rsid w:val="001B4556"/>
    <w:rsid w:val="001B490D"/>
    <w:rsid w:val="001B5745"/>
    <w:rsid w:val="001B5B30"/>
    <w:rsid w:val="001B5B5D"/>
    <w:rsid w:val="001B5C2F"/>
    <w:rsid w:val="001B5E10"/>
    <w:rsid w:val="001B6144"/>
    <w:rsid w:val="001B685A"/>
    <w:rsid w:val="001B744A"/>
    <w:rsid w:val="001B76F6"/>
    <w:rsid w:val="001B79B5"/>
    <w:rsid w:val="001B7CA4"/>
    <w:rsid w:val="001C0192"/>
    <w:rsid w:val="001C04ED"/>
    <w:rsid w:val="001C0500"/>
    <w:rsid w:val="001C06B4"/>
    <w:rsid w:val="001C06EA"/>
    <w:rsid w:val="001C0965"/>
    <w:rsid w:val="001C0F95"/>
    <w:rsid w:val="001C0F9D"/>
    <w:rsid w:val="001C0FFC"/>
    <w:rsid w:val="001C1080"/>
    <w:rsid w:val="001C16D4"/>
    <w:rsid w:val="001C1949"/>
    <w:rsid w:val="001C1ED7"/>
    <w:rsid w:val="001C2334"/>
    <w:rsid w:val="001C23D7"/>
    <w:rsid w:val="001C2930"/>
    <w:rsid w:val="001C3679"/>
    <w:rsid w:val="001C3790"/>
    <w:rsid w:val="001C3A4B"/>
    <w:rsid w:val="001C3B11"/>
    <w:rsid w:val="001C3CBB"/>
    <w:rsid w:val="001C3FAE"/>
    <w:rsid w:val="001C483A"/>
    <w:rsid w:val="001C49B8"/>
    <w:rsid w:val="001C4A75"/>
    <w:rsid w:val="001C57BB"/>
    <w:rsid w:val="001C5FFE"/>
    <w:rsid w:val="001C6176"/>
    <w:rsid w:val="001C6251"/>
    <w:rsid w:val="001C6481"/>
    <w:rsid w:val="001C65A9"/>
    <w:rsid w:val="001C6B6B"/>
    <w:rsid w:val="001C6DEB"/>
    <w:rsid w:val="001C7543"/>
    <w:rsid w:val="001C765E"/>
    <w:rsid w:val="001C7896"/>
    <w:rsid w:val="001D00F9"/>
    <w:rsid w:val="001D0704"/>
    <w:rsid w:val="001D0761"/>
    <w:rsid w:val="001D07D5"/>
    <w:rsid w:val="001D0B69"/>
    <w:rsid w:val="001D0C38"/>
    <w:rsid w:val="001D0F40"/>
    <w:rsid w:val="001D164D"/>
    <w:rsid w:val="001D23E4"/>
    <w:rsid w:val="001D2476"/>
    <w:rsid w:val="001D372C"/>
    <w:rsid w:val="001D3AAB"/>
    <w:rsid w:val="001D3BFE"/>
    <w:rsid w:val="001D431F"/>
    <w:rsid w:val="001D4BAD"/>
    <w:rsid w:val="001D4C3C"/>
    <w:rsid w:val="001D4EC9"/>
    <w:rsid w:val="001D575A"/>
    <w:rsid w:val="001D5F9A"/>
    <w:rsid w:val="001D60C1"/>
    <w:rsid w:val="001D618C"/>
    <w:rsid w:val="001D65C7"/>
    <w:rsid w:val="001D66C0"/>
    <w:rsid w:val="001D69EC"/>
    <w:rsid w:val="001D6A2F"/>
    <w:rsid w:val="001D6D71"/>
    <w:rsid w:val="001D73C7"/>
    <w:rsid w:val="001D73D7"/>
    <w:rsid w:val="001D7466"/>
    <w:rsid w:val="001D76F3"/>
    <w:rsid w:val="001D792D"/>
    <w:rsid w:val="001D7BE5"/>
    <w:rsid w:val="001D7F16"/>
    <w:rsid w:val="001D7F38"/>
    <w:rsid w:val="001E009D"/>
    <w:rsid w:val="001E01CF"/>
    <w:rsid w:val="001E08B9"/>
    <w:rsid w:val="001E0918"/>
    <w:rsid w:val="001E1099"/>
    <w:rsid w:val="001E1F77"/>
    <w:rsid w:val="001E258B"/>
    <w:rsid w:val="001E26C7"/>
    <w:rsid w:val="001E2841"/>
    <w:rsid w:val="001E2AA9"/>
    <w:rsid w:val="001E2AAB"/>
    <w:rsid w:val="001E2C95"/>
    <w:rsid w:val="001E3A40"/>
    <w:rsid w:val="001E4B76"/>
    <w:rsid w:val="001E60F0"/>
    <w:rsid w:val="001E6243"/>
    <w:rsid w:val="001E6463"/>
    <w:rsid w:val="001E6CB2"/>
    <w:rsid w:val="001E6D19"/>
    <w:rsid w:val="001E7045"/>
    <w:rsid w:val="001E7199"/>
    <w:rsid w:val="001E726D"/>
    <w:rsid w:val="001E76C1"/>
    <w:rsid w:val="001E7791"/>
    <w:rsid w:val="001E7D93"/>
    <w:rsid w:val="001E7FE8"/>
    <w:rsid w:val="001F08D8"/>
    <w:rsid w:val="001F0928"/>
    <w:rsid w:val="001F0DA6"/>
    <w:rsid w:val="001F1178"/>
    <w:rsid w:val="001F13D4"/>
    <w:rsid w:val="001F1716"/>
    <w:rsid w:val="001F18FC"/>
    <w:rsid w:val="001F1BAF"/>
    <w:rsid w:val="001F1C67"/>
    <w:rsid w:val="001F1E62"/>
    <w:rsid w:val="001F1EC1"/>
    <w:rsid w:val="001F224A"/>
    <w:rsid w:val="001F2703"/>
    <w:rsid w:val="001F2796"/>
    <w:rsid w:val="001F2FE0"/>
    <w:rsid w:val="001F365C"/>
    <w:rsid w:val="001F37E3"/>
    <w:rsid w:val="001F38F5"/>
    <w:rsid w:val="001F3954"/>
    <w:rsid w:val="001F3966"/>
    <w:rsid w:val="001F3987"/>
    <w:rsid w:val="001F3F0F"/>
    <w:rsid w:val="001F45E7"/>
    <w:rsid w:val="001F4721"/>
    <w:rsid w:val="001F4921"/>
    <w:rsid w:val="001F496C"/>
    <w:rsid w:val="001F4FDD"/>
    <w:rsid w:val="001F5945"/>
    <w:rsid w:val="001F5A42"/>
    <w:rsid w:val="001F6094"/>
    <w:rsid w:val="001F64C6"/>
    <w:rsid w:val="001F6611"/>
    <w:rsid w:val="001F6B99"/>
    <w:rsid w:val="001F6BB1"/>
    <w:rsid w:val="001F6DAE"/>
    <w:rsid w:val="001F6E2C"/>
    <w:rsid w:val="001F7F4A"/>
    <w:rsid w:val="00200231"/>
    <w:rsid w:val="002007C9"/>
    <w:rsid w:val="00201209"/>
    <w:rsid w:val="00201705"/>
    <w:rsid w:val="00201DCB"/>
    <w:rsid w:val="00201DEB"/>
    <w:rsid w:val="00201EB2"/>
    <w:rsid w:val="0020206E"/>
    <w:rsid w:val="0020219F"/>
    <w:rsid w:val="002025DD"/>
    <w:rsid w:val="002026B2"/>
    <w:rsid w:val="002028A1"/>
    <w:rsid w:val="0020372B"/>
    <w:rsid w:val="00203D58"/>
    <w:rsid w:val="0020425E"/>
    <w:rsid w:val="0020434E"/>
    <w:rsid w:val="0020442F"/>
    <w:rsid w:val="00204582"/>
    <w:rsid w:val="00204E12"/>
    <w:rsid w:val="00204F5B"/>
    <w:rsid w:val="00204FFE"/>
    <w:rsid w:val="002053DE"/>
    <w:rsid w:val="00205C83"/>
    <w:rsid w:val="00205CCE"/>
    <w:rsid w:val="002061D9"/>
    <w:rsid w:val="0020641A"/>
    <w:rsid w:val="00206576"/>
    <w:rsid w:val="00206593"/>
    <w:rsid w:val="00206B06"/>
    <w:rsid w:val="0020702A"/>
    <w:rsid w:val="00207178"/>
    <w:rsid w:val="002101DE"/>
    <w:rsid w:val="00211220"/>
    <w:rsid w:val="0021123F"/>
    <w:rsid w:val="002114CC"/>
    <w:rsid w:val="0021179E"/>
    <w:rsid w:val="00211F74"/>
    <w:rsid w:val="00211FB9"/>
    <w:rsid w:val="0021218C"/>
    <w:rsid w:val="002123DD"/>
    <w:rsid w:val="0021260A"/>
    <w:rsid w:val="00212ADA"/>
    <w:rsid w:val="00212B70"/>
    <w:rsid w:val="00212E0D"/>
    <w:rsid w:val="002130C9"/>
    <w:rsid w:val="00213356"/>
    <w:rsid w:val="002137B9"/>
    <w:rsid w:val="002138D0"/>
    <w:rsid w:val="002138D3"/>
    <w:rsid w:val="00213985"/>
    <w:rsid w:val="00213C12"/>
    <w:rsid w:val="00213C70"/>
    <w:rsid w:val="00213FE1"/>
    <w:rsid w:val="0021400C"/>
    <w:rsid w:val="002146DA"/>
    <w:rsid w:val="00214893"/>
    <w:rsid w:val="00214DA8"/>
    <w:rsid w:val="00214DC5"/>
    <w:rsid w:val="00215F5A"/>
    <w:rsid w:val="00215F73"/>
    <w:rsid w:val="00216450"/>
    <w:rsid w:val="0021666D"/>
    <w:rsid w:val="002169B9"/>
    <w:rsid w:val="002169C2"/>
    <w:rsid w:val="00216B8F"/>
    <w:rsid w:val="00216D89"/>
    <w:rsid w:val="0021728F"/>
    <w:rsid w:val="0021752E"/>
    <w:rsid w:val="0021765A"/>
    <w:rsid w:val="002178E5"/>
    <w:rsid w:val="00217965"/>
    <w:rsid w:val="00217BCA"/>
    <w:rsid w:val="0022016D"/>
    <w:rsid w:val="00220791"/>
    <w:rsid w:val="002208A2"/>
    <w:rsid w:val="00220F64"/>
    <w:rsid w:val="00221006"/>
    <w:rsid w:val="00221028"/>
    <w:rsid w:val="00221373"/>
    <w:rsid w:val="00221C13"/>
    <w:rsid w:val="0022224A"/>
    <w:rsid w:val="002227AC"/>
    <w:rsid w:val="002229E3"/>
    <w:rsid w:val="00222AAE"/>
    <w:rsid w:val="0022307D"/>
    <w:rsid w:val="0022321F"/>
    <w:rsid w:val="00223613"/>
    <w:rsid w:val="00223616"/>
    <w:rsid w:val="002236D4"/>
    <w:rsid w:val="00223808"/>
    <w:rsid w:val="002238CC"/>
    <w:rsid w:val="00223BE7"/>
    <w:rsid w:val="00224187"/>
    <w:rsid w:val="002243A5"/>
    <w:rsid w:val="002245E7"/>
    <w:rsid w:val="00224601"/>
    <w:rsid w:val="00224B7F"/>
    <w:rsid w:val="00224C4C"/>
    <w:rsid w:val="00224EEE"/>
    <w:rsid w:val="0022537E"/>
    <w:rsid w:val="002256AF"/>
    <w:rsid w:val="00225CA7"/>
    <w:rsid w:val="00225CEB"/>
    <w:rsid w:val="00225F00"/>
    <w:rsid w:val="00227098"/>
    <w:rsid w:val="002270AA"/>
    <w:rsid w:val="002271C7"/>
    <w:rsid w:val="0022755C"/>
    <w:rsid w:val="002277DD"/>
    <w:rsid w:val="00227C6F"/>
    <w:rsid w:val="00227EFE"/>
    <w:rsid w:val="00227FFE"/>
    <w:rsid w:val="00230216"/>
    <w:rsid w:val="0023044B"/>
    <w:rsid w:val="00231168"/>
    <w:rsid w:val="0023132E"/>
    <w:rsid w:val="00231740"/>
    <w:rsid w:val="002318A9"/>
    <w:rsid w:val="00231A1F"/>
    <w:rsid w:val="00231CA8"/>
    <w:rsid w:val="00232028"/>
    <w:rsid w:val="002327C2"/>
    <w:rsid w:val="00232E6D"/>
    <w:rsid w:val="00232EBA"/>
    <w:rsid w:val="00233436"/>
    <w:rsid w:val="0023352C"/>
    <w:rsid w:val="00233677"/>
    <w:rsid w:val="0023382B"/>
    <w:rsid w:val="00233A57"/>
    <w:rsid w:val="00234142"/>
    <w:rsid w:val="0023427A"/>
    <w:rsid w:val="0023441D"/>
    <w:rsid w:val="002348FA"/>
    <w:rsid w:val="00234B05"/>
    <w:rsid w:val="00234C7A"/>
    <w:rsid w:val="00234FE1"/>
    <w:rsid w:val="0023537E"/>
    <w:rsid w:val="00235BB4"/>
    <w:rsid w:val="00235BF6"/>
    <w:rsid w:val="00236413"/>
    <w:rsid w:val="002364F6"/>
    <w:rsid w:val="00236576"/>
    <w:rsid w:val="00236B16"/>
    <w:rsid w:val="00236C97"/>
    <w:rsid w:val="00236E1B"/>
    <w:rsid w:val="00236E44"/>
    <w:rsid w:val="00237006"/>
    <w:rsid w:val="002371A2"/>
    <w:rsid w:val="00237908"/>
    <w:rsid w:val="00237C1B"/>
    <w:rsid w:val="00237D73"/>
    <w:rsid w:val="0024009E"/>
    <w:rsid w:val="002400DB"/>
    <w:rsid w:val="0024018F"/>
    <w:rsid w:val="00240242"/>
    <w:rsid w:val="00240D98"/>
    <w:rsid w:val="0024103D"/>
    <w:rsid w:val="00241099"/>
    <w:rsid w:val="00241AC8"/>
    <w:rsid w:val="00241CCA"/>
    <w:rsid w:val="00241D54"/>
    <w:rsid w:val="00241E6F"/>
    <w:rsid w:val="00242E77"/>
    <w:rsid w:val="00243315"/>
    <w:rsid w:val="00243427"/>
    <w:rsid w:val="00243EA7"/>
    <w:rsid w:val="00244016"/>
    <w:rsid w:val="0024435F"/>
    <w:rsid w:val="0024441D"/>
    <w:rsid w:val="00244767"/>
    <w:rsid w:val="002447E2"/>
    <w:rsid w:val="00244BAF"/>
    <w:rsid w:val="0024519F"/>
    <w:rsid w:val="0024554C"/>
    <w:rsid w:val="0024558A"/>
    <w:rsid w:val="0024568B"/>
    <w:rsid w:val="00245767"/>
    <w:rsid w:val="00245961"/>
    <w:rsid w:val="00245A3A"/>
    <w:rsid w:val="00245C57"/>
    <w:rsid w:val="00245FAF"/>
    <w:rsid w:val="00246188"/>
    <w:rsid w:val="00246425"/>
    <w:rsid w:val="00246613"/>
    <w:rsid w:val="00246652"/>
    <w:rsid w:val="002466C5"/>
    <w:rsid w:val="00246A32"/>
    <w:rsid w:val="00246AF1"/>
    <w:rsid w:val="00246C0C"/>
    <w:rsid w:val="00246FE0"/>
    <w:rsid w:val="00247129"/>
    <w:rsid w:val="002476B2"/>
    <w:rsid w:val="00247BE4"/>
    <w:rsid w:val="00250074"/>
    <w:rsid w:val="002501C6"/>
    <w:rsid w:val="00250296"/>
    <w:rsid w:val="00250E62"/>
    <w:rsid w:val="0025188F"/>
    <w:rsid w:val="00251B5C"/>
    <w:rsid w:val="00252043"/>
    <w:rsid w:val="002523D1"/>
    <w:rsid w:val="00252483"/>
    <w:rsid w:val="00252902"/>
    <w:rsid w:val="00252E6F"/>
    <w:rsid w:val="00252FF5"/>
    <w:rsid w:val="0025301B"/>
    <w:rsid w:val="002530E1"/>
    <w:rsid w:val="002533DB"/>
    <w:rsid w:val="002536AF"/>
    <w:rsid w:val="00253A81"/>
    <w:rsid w:val="00253ED8"/>
    <w:rsid w:val="00254532"/>
    <w:rsid w:val="0025481A"/>
    <w:rsid w:val="0025511A"/>
    <w:rsid w:val="0025543B"/>
    <w:rsid w:val="0025568A"/>
    <w:rsid w:val="002558CB"/>
    <w:rsid w:val="0025591F"/>
    <w:rsid w:val="00255AD2"/>
    <w:rsid w:val="00256204"/>
    <w:rsid w:val="00256601"/>
    <w:rsid w:val="00257257"/>
    <w:rsid w:val="0025725F"/>
    <w:rsid w:val="002575C1"/>
    <w:rsid w:val="00257692"/>
    <w:rsid w:val="0025775D"/>
    <w:rsid w:val="00257B63"/>
    <w:rsid w:val="00257CB0"/>
    <w:rsid w:val="00260214"/>
    <w:rsid w:val="0026045C"/>
    <w:rsid w:val="00260491"/>
    <w:rsid w:val="002606AE"/>
    <w:rsid w:val="00260792"/>
    <w:rsid w:val="002607BC"/>
    <w:rsid w:val="0026083E"/>
    <w:rsid w:val="00260913"/>
    <w:rsid w:val="00260DD4"/>
    <w:rsid w:val="0026114D"/>
    <w:rsid w:val="00261616"/>
    <w:rsid w:val="00261A9E"/>
    <w:rsid w:val="00261BDF"/>
    <w:rsid w:val="002626E1"/>
    <w:rsid w:val="00262F6E"/>
    <w:rsid w:val="00263967"/>
    <w:rsid w:val="00263B64"/>
    <w:rsid w:val="00263FC2"/>
    <w:rsid w:val="002648E5"/>
    <w:rsid w:val="00264927"/>
    <w:rsid w:val="00264FAD"/>
    <w:rsid w:val="002652F8"/>
    <w:rsid w:val="0026557A"/>
    <w:rsid w:val="00265981"/>
    <w:rsid w:val="00266116"/>
    <w:rsid w:val="00266214"/>
    <w:rsid w:val="00266CDD"/>
    <w:rsid w:val="0026727E"/>
    <w:rsid w:val="00267AFC"/>
    <w:rsid w:val="00267E47"/>
    <w:rsid w:val="002707EA"/>
    <w:rsid w:val="00271815"/>
    <w:rsid w:val="00271A07"/>
    <w:rsid w:val="00271EBD"/>
    <w:rsid w:val="0027238A"/>
    <w:rsid w:val="00272948"/>
    <w:rsid w:val="00272B5A"/>
    <w:rsid w:val="00272F38"/>
    <w:rsid w:val="00272FA3"/>
    <w:rsid w:val="00273DC7"/>
    <w:rsid w:val="00273EA7"/>
    <w:rsid w:val="00274817"/>
    <w:rsid w:val="002750EF"/>
    <w:rsid w:val="00275337"/>
    <w:rsid w:val="002756C1"/>
    <w:rsid w:val="002756EB"/>
    <w:rsid w:val="0027578E"/>
    <w:rsid w:val="0027587D"/>
    <w:rsid w:val="00275A30"/>
    <w:rsid w:val="00275D88"/>
    <w:rsid w:val="00276236"/>
    <w:rsid w:val="002763B7"/>
    <w:rsid w:val="00276F82"/>
    <w:rsid w:val="00277685"/>
    <w:rsid w:val="002776DD"/>
    <w:rsid w:val="00277934"/>
    <w:rsid w:val="0027799F"/>
    <w:rsid w:val="00280700"/>
    <w:rsid w:val="002815C3"/>
    <w:rsid w:val="00281719"/>
    <w:rsid w:val="00281D8C"/>
    <w:rsid w:val="00281EC7"/>
    <w:rsid w:val="00282640"/>
    <w:rsid w:val="002826F1"/>
    <w:rsid w:val="0028289F"/>
    <w:rsid w:val="00283D2C"/>
    <w:rsid w:val="00283E6B"/>
    <w:rsid w:val="0028414F"/>
    <w:rsid w:val="00284312"/>
    <w:rsid w:val="00284316"/>
    <w:rsid w:val="0028442F"/>
    <w:rsid w:val="00284530"/>
    <w:rsid w:val="00284F97"/>
    <w:rsid w:val="00285D39"/>
    <w:rsid w:val="00285F75"/>
    <w:rsid w:val="00285F87"/>
    <w:rsid w:val="00286839"/>
    <w:rsid w:val="00286D00"/>
    <w:rsid w:val="00286D0F"/>
    <w:rsid w:val="00286F26"/>
    <w:rsid w:val="00286F70"/>
    <w:rsid w:val="0028706B"/>
    <w:rsid w:val="0028737D"/>
    <w:rsid w:val="00287502"/>
    <w:rsid w:val="00287C58"/>
    <w:rsid w:val="00287DF3"/>
    <w:rsid w:val="00290362"/>
    <w:rsid w:val="002903F5"/>
    <w:rsid w:val="002908BE"/>
    <w:rsid w:val="00290979"/>
    <w:rsid w:val="00290BE6"/>
    <w:rsid w:val="00290D64"/>
    <w:rsid w:val="00290D91"/>
    <w:rsid w:val="0029106A"/>
    <w:rsid w:val="00291233"/>
    <w:rsid w:val="00291412"/>
    <w:rsid w:val="0029188E"/>
    <w:rsid w:val="00291CAD"/>
    <w:rsid w:val="0029205E"/>
    <w:rsid w:val="00292077"/>
    <w:rsid w:val="00292D6C"/>
    <w:rsid w:val="00292D7A"/>
    <w:rsid w:val="00292D91"/>
    <w:rsid w:val="00292EA9"/>
    <w:rsid w:val="00293310"/>
    <w:rsid w:val="00293AF5"/>
    <w:rsid w:val="00293B69"/>
    <w:rsid w:val="00293F8F"/>
    <w:rsid w:val="002944F4"/>
    <w:rsid w:val="00294780"/>
    <w:rsid w:val="0029501C"/>
    <w:rsid w:val="00295250"/>
    <w:rsid w:val="002953E7"/>
    <w:rsid w:val="00295F63"/>
    <w:rsid w:val="00295F85"/>
    <w:rsid w:val="00296CDB"/>
    <w:rsid w:val="0029703D"/>
    <w:rsid w:val="00297071"/>
    <w:rsid w:val="002971D5"/>
    <w:rsid w:val="00297943"/>
    <w:rsid w:val="00297B5C"/>
    <w:rsid w:val="00297FE9"/>
    <w:rsid w:val="002A084D"/>
    <w:rsid w:val="002A0962"/>
    <w:rsid w:val="002A0AB2"/>
    <w:rsid w:val="002A0B01"/>
    <w:rsid w:val="002A0B1C"/>
    <w:rsid w:val="002A0BDE"/>
    <w:rsid w:val="002A14DC"/>
    <w:rsid w:val="002A1678"/>
    <w:rsid w:val="002A18A6"/>
    <w:rsid w:val="002A19CD"/>
    <w:rsid w:val="002A1AF3"/>
    <w:rsid w:val="002A1C22"/>
    <w:rsid w:val="002A2356"/>
    <w:rsid w:val="002A259D"/>
    <w:rsid w:val="002A2820"/>
    <w:rsid w:val="002A2B44"/>
    <w:rsid w:val="002A2E9A"/>
    <w:rsid w:val="002A2F14"/>
    <w:rsid w:val="002A31B0"/>
    <w:rsid w:val="002A41FC"/>
    <w:rsid w:val="002A430C"/>
    <w:rsid w:val="002A43A8"/>
    <w:rsid w:val="002A5127"/>
    <w:rsid w:val="002A5FA1"/>
    <w:rsid w:val="002A6066"/>
    <w:rsid w:val="002A65C9"/>
    <w:rsid w:val="002A6613"/>
    <w:rsid w:val="002A668F"/>
    <w:rsid w:val="002A753F"/>
    <w:rsid w:val="002A7F3B"/>
    <w:rsid w:val="002B0278"/>
    <w:rsid w:val="002B05B4"/>
    <w:rsid w:val="002B07C8"/>
    <w:rsid w:val="002B0826"/>
    <w:rsid w:val="002B0A4A"/>
    <w:rsid w:val="002B0C2A"/>
    <w:rsid w:val="002B1F64"/>
    <w:rsid w:val="002B21A5"/>
    <w:rsid w:val="002B2BFE"/>
    <w:rsid w:val="002B2CF9"/>
    <w:rsid w:val="002B302E"/>
    <w:rsid w:val="002B3211"/>
    <w:rsid w:val="002B38D1"/>
    <w:rsid w:val="002B3AF0"/>
    <w:rsid w:val="002B3BCE"/>
    <w:rsid w:val="002B3D5B"/>
    <w:rsid w:val="002B4120"/>
    <w:rsid w:val="002B41AF"/>
    <w:rsid w:val="002B4407"/>
    <w:rsid w:val="002B4914"/>
    <w:rsid w:val="002B4B5C"/>
    <w:rsid w:val="002B4E2F"/>
    <w:rsid w:val="002B506E"/>
    <w:rsid w:val="002B5836"/>
    <w:rsid w:val="002B5B7E"/>
    <w:rsid w:val="002B5D3C"/>
    <w:rsid w:val="002B6340"/>
    <w:rsid w:val="002B6B39"/>
    <w:rsid w:val="002B6D39"/>
    <w:rsid w:val="002B71CA"/>
    <w:rsid w:val="002B767E"/>
    <w:rsid w:val="002B77A3"/>
    <w:rsid w:val="002B786B"/>
    <w:rsid w:val="002B79B6"/>
    <w:rsid w:val="002B7F80"/>
    <w:rsid w:val="002B7F8C"/>
    <w:rsid w:val="002C0825"/>
    <w:rsid w:val="002C0A58"/>
    <w:rsid w:val="002C0FC9"/>
    <w:rsid w:val="002C1C52"/>
    <w:rsid w:val="002C238D"/>
    <w:rsid w:val="002C2805"/>
    <w:rsid w:val="002C2995"/>
    <w:rsid w:val="002C2E8A"/>
    <w:rsid w:val="002C32A8"/>
    <w:rsid w:val="002C36C1"/>
    <w:rsid w:val="002C4296"/>
    <w:rsid w:val="002C43F8"/>
    <w:rsid w:val="002C47EE"/>
    <w:rsid w:val="002C4C29"/>
    <w:rsid w:val="002C4DDE"/>
    <w:rsid w:val="002C573E"/>
    <w:rsid w:val="002C5BCD"/>
    <w:rsid w:val="002C5BF0"/>
    <w:rsid w:val="002C5FB6"/>
    <w:rsid w:val="002C6179"/>
    <w:rsid w:val="002C6C92"/>
    <w:rsid w:val="002C7032"/>
    <w:rsid w:val="002C70AE"/>
    <w:rsid w:val="002C742A"/>
    <w:rsid w:val="002C7A27"/>
    <w:rsid w:val="002C7C27"/>
    <w:rsid w:val="002D0042"/>
    <w:rsid w:val="002D01B3"/>
    <w:rsid w:val="002D0317"/>
    <w:rsid w:val="002D0380"/>
    <w:rsid w:val="002D0859"/>
    <w:rsid w:val="002D13F2"/>
    <w:rsid w:val="002D164C"/>
    <w:rsid w:val="002D1732"/>
    <w:rsid w:val="002D176A"/>
    <w:rsid w:val="002D188E"/>
    <w:rsid w:val="002D20EB"/>
    <w:rsid w:val="002D269C"/>
    <w:rsid w:val="002D2AF2"/>
    <w:rsid w:val="002D2DA6"/>
    <w:rsid w:val="002D3767"/>
    <w:rsid w:val="002D3E81"/>
    <w:rsid w:val="002D41BF"/>
    <w:rsid w:val="002D4266"/>
    <w:rsid w:val="002D432C"/>
    <w:rsid w:val="002D5220"/>
    <w:rsid w:val="002D524B"/>
    <w:rsid w:val="002D5366"/>
    <w:rsid w:val="002D55DF"/>
    <w:rsid w:val="002D650E"/>
    <w:rsid w:val="002D6C0B"/>
    <w:rsid w:val="002D6D19"/>
    <w:rsid w:val="002D6D5D"/>
    <w:rsid w:val="002D6DF2"/>
    <w:rsid w:val="002D6E36"/>
    <w:rsid w:val="002D72D3"/>
    <w:rsid w:val="002D75ED"/>
    <w:rsid w:val="002D7D2D"/>
    <w:rsid w:val="002E0170"/>
    <w:rsid w:val="002E04E6"/>
    <w:rsid w:val="002E0890"/>
    <w:rsid w:val="002E12AA"/>
    <w:rsid w:val="002E1443"/>
    <w:rsid w:val="002E1816"/>
    <w:rsid w:val="002E1C9B"/>
    <w:rsid w:val="002E1D3F"/>
    <w:rsid w:val="002E1E43"/>
    <w:rsid w:val="002E2234"/>
    <w:rsid w:val="002E223C"/>
    <w:rsid w:val="002E2255"/>
    <w:rsid w:val="002E2E87"/>
    <w:rsid w:val="002E3014"/>
    <w:rsid w:val="002E3251"/>
    <w:rsid w:val="002E328F"/>
    <w:rsid w:val="002E34A6"/>
    <w:rsid w:val="002E378D"/>
    <w:rsid w:val="002E3AC8"/>
    <w:rsid w:val="002E3FDD"/>
    <w:rsid w:val="002E4409"/>
    <w:rsid w:val="002E45A0"/>
    <w:rsid w:val="002E49AB"/>
    <w:rsid w:val="002E5281"/>
    <w:rsid w:val="002E5319"/>
    <w:rsid w:val="002E53F3"/>
    <w:rsid w:val="002E5486"/>
    <w:rsid w:val="002E55B7"/>
    <w:rsid w:val="002E59FA"/>
    <w:rsid w:val="002E5BAE"/>
    <w:rsid w:val="002E5EBA"/>
    <w:rsid w:val="002E5F1D"/>
    <w:rsid w:val="002E647C"/>
    <w:rsid w:val="002E6508"/>
    <w:rsid w:val="002E675E"/>
    <w:rsid w:val="002E68AB"/>
    <w:rsid w:val="002E6944"/>
    <w:rsid w:val="002E6D2D"/>
    <w:rsid w:val="002E6DC9"/>
    <w:rsid w:val="002E7237"/>
    <w:rsid w:val="002E75E1"/>
    <w:rsid w:val="002E78A9"/>
    <w:rsid w:val="002E7977"/>
    <w:rsid w:val="002E79BA"/>
    <w:rsid w:val="002E7AC4"/>
    <w:rsid w:val="002E7AF4"/>
    <w:rsid w:val="002E7C97"/>
    <w:rsid w:val="002F02A2"/>
    <w:rsid w:val="002F0719"/>
    <w:rsid w:val="002F0AB2"/>
    <w:rsid w:val="002F1682"/>
    <w:rsid w:val="002F1ACD"/>
    <w:rsid w:val="002F1C99"/>
    <w:rsid w:val="002F1CAB"/>
    <w:rsid w:val="002F2155"/>
    <w:rsid w:val="002F244B"/>
    <w:rsid w:val="002F2462"/>
    <w:rsid w:val="002F2997"/>
    <w:rsid w:val="002F2FF8"/>
    <w:rsid w:val="002F302F"/>
    <w:rsid w:val="002F3295"/>
    <w:rsid w:val="002F34A3"/>
    <w:rsid w:val="002F3563"/>
    <w:rsid w:val="002F366A"/>
    <w:rsid w:val="002F369C"/>
    <w:rsid w:val="002F386A"/>
    <w:rsid w:val="002F3A58"/>
    <w:rsid w:val="002F44AF"/>
    <w:rsid w:val="002F45C8"/>
    <w:rsid w:val="002F45EE"/>
    <w:rsid w:val="002F48DE"/>
    <w:rsid w:val="002F4AA0"/>
    <w:rsid w:val="002F4FF0"/>
    <w:rsid w:val="002F537C"/>
    <w:rsid w:val="002F56F6"/>
    <w:rsid w:val="002F5771"/>
    <w:rsid w:val="002F5A88"/>
    <w:rsid w:val="002F5C13"/>
    <w:rsid w:val="002F5D85"/>
    <w:rsid w:val="002F61E9"/>
    <w:rsid w:val="002F6628"/>
    <w:rsid w:val="002F68FE"/>
    <w:rsid w:val="002F6F56"/>
    <w:rsid w:val="002F6FC8"/>
    <w:rsid w:val="002F7155"/>
    <w:rsid w:val="002F7F7A"/>
    <w:rsid w:val="00300BE4"/>
    <w:rsid w:val="00300E5C"/>
    <w:rsid w:val="00300F93"/>
    <w:rsid w:val="00301111"/>
    <w:rsid w:val="003011D7"/>
    <w:rsid w:val="003014C1"/>
    <w:rsid w:val="003014FB"/>
    <w:rsid w:val="00301919"/>
    <w:rsid w:val="00301AEC"/>
    <w:rsid w:val="0030248C"/>
    <w:rsid w:val="00303596"/>
    <w:rsid w:val="00303AC0"/>
    <w:rsid w:val="00303B8C"/>
    <w:rsid w:val="00303F57"/>
    <w:rsid w:val="0030412E"/>
    <w:rsid w:val="003048C9"/>
    <w:rsid w:val="00305167"/>
    <w:rsid w:val="003054DF"/>
    <w:rsid w:val="00305864"/>
    <w:rsid w:val="00305CF1"/>
    <w:rsid w:val="00305EF9"/>
    <w:rsid w:val="003065CC"/>
    <w:rsid w:val="00306EFB"/>
    <w:rsid w:val="003070AF"/>
    <w:rsid w:val="003076CA"/>
    <w:rsid w:val="00307A02"/>
    <w:rsid w:val="00307D64"/>
    <w:rsid w:val="00310058"/>
    <w:rsid w:val="003100FC"/>
    <w:rsid w:val="003101A8"/>
    <w:rsid w:val="00310356"/>
    <w:rsid w:val="00310602"/>
    <w:rsid w:val="003106DA"/>
    <w:rsid w:val="00310C76"/>
    <w:rsid w:val="0031119F"/>
    <w:rsid w:val="003112B1"/>
    <w:rsid w:val="003113D8"/>
    <w:rsid w:val="003113FD"/>
    <w:rsid w:val="003114AD"/>
    <w:rsid w:val="0031164B"/>
    <w:rsid w:val="00312324"/>
    <w:rsid w:val="00312342"/>
    <w:rsid w:val="0031285F"/>
    <w:rsid w:val="003128D3"/>
    <w:rsid w:val="00312B11"/>
    <w:rsid w:val="00312DD0"/>
    <w:rsid w:val="003133CA"/>
    <w:rsid w:val="0031389C"/>
    <w:rsid w:val="00313E14"/>
    <w:rsid w:val="00313F69"/>
    <w:rsid w:val="00314987"/>
    <w:rsid w:val="003155C2"/>
    <w:rsid w:val="00315F7D"/>
    <w:rsid w:val="00316286"/>
    <w:rsid w:val="003170DE"/>
    <w:rsid w:val="0031712B"/>
    <w:rsid w:val="003171A7"/>
    <w:rsid w:val="003174C5"/>
    <w:rsid w:val="00317699"/>
    <w:rsid w:val="00317750"/>
    <w:rsid w:val="00317823"/>
    <w:rsid w:val="00320820"/>
    <w:rsid w:val="003218C3"/>
    <w:rsid w:val="003219FC"/>
    <w:rsid w:val="00321D98"/>
    <w:rsid w:val="00322176"/>
    <w:rsid w:val="0032221B"/>
    <w:rsid w:val="0032254D"/>
    <w:rsid w:val="003226B3"/>
    <w:rsid w:val="00322FE3"/>
    <w:rsid w:val="0032330B"/>
    <w:rsid w:val="0032348C"/>
    <w:rsid w:val="0032349D"/>
    <w:rsid w:val="003234AD"/>
    <w:rsid w:val="0032362F"/>
    <w:rsid w:val="003242B6"/>
    <w:rsid w:val="00324AE7"/>
    <w:rsid w:val="003252E0"/>
    <w:rsid w:val="003254CE"/>
    <w:rsid w:val="00325778"/>
    <w:rsid w:val="00325809"/>
    <w:rsid w:val="0032585C"/>
    <w:rsid w:val="0032595D"/>
    <w:rsid w:val="00325C9A"/>
    <w:rsid w:val="00325D1E"/>
    <w:rsid w:val="00326242"/>
    <w:rsid w:val="00326587"/>
    <w:rsid w:val="003269A0"/>
    <w:rsid w:val="00326E5A"/>
    <w:rsid w:val="0032710E"/>
    <w:rsid w:val="003272FD"/>
    <w:rsid w:val="003277ED"/>
    <w:rsid w:val="003279D4"/>
    <w:rsid w:val="00327FF0"/>
    <w:rsid w:val="00330184"/>
    <w:rsid w:val="00330210"/>
    <w:rsid w:val="003304D9"/>
    <w:rsid w:val="00330CBE"/>
    <w:rsid w:val="00331006"/>
    <w:rsid w:val="00331516"/>
    <w:rsid w:val="00331810"/>
    <w:rsid w:val="00331A25"/>
    <w:rsid w:val="00332135"/>
    <w:rsid w:val="00332161"/>
    <w:rsid w:val="00332C4E"/>
    <w:rsid w:val="00332CF0"/>
    <w:rsid w:val="0033378D"/>
    <w:rsid w:val="00333920"/>
    <w:rsid w:val="003340E8"/>
    <w:rsid w:val="003342B6"/>
    <w:rsid w:val="00334307"/>
    <w:rsid w:val="003346F5"/>
    <w:rsid w:val="00334D17"/>
    <w:rsid w:val="00334D1C"/>
    <w:rsid w:val="0033511C"/>
    <w:rsid w:val="003352E4"/>
    <w:rsid w:val="003353FA"/>
    <w:rsid w:val="003362FF"/>
    <w:rsid w:val="00336701"/>
    <w:rsid w:val="00336DB2"/>
    <w:rsid w:val="00336F34"/>
    <w:rsid w:val="003378A8"/>
    <w:rsid w:val="003378F7"/>
    <w:rsid w:val="00337A2F"/>
    <w:rsid w:val="00340033"/>
    <w:rsid w:val="003403D6"/>
    <w:rsid w:val="003408BB"/>
    <w:rsid w:val="00340918"/>
    <w:rsid w:val="003409C6"/>
    <w:rsid w:val="00340DAE"/>
    <w:rsid w:val="00341678"/>
    <w:rsid w:val="00341A97"/>
    <w:rsid w:val="00341B6D"/>
    <w:rsid w:val="00341D61"/>
    <w:rsid w:val="0034217C"/>
    <w:rsid w:val="00342239"/>
    <w:rsid w:val="003423BE"/>
    <w:rsid w:val="00342B45"/>
    <w:rsid w:val="00342BA4"/>
    <w:rsid w:val="00343327"/>
    <w:rsid w:val="0034399A"/>
    <w:rsid w:val="00343B12"/>
    <w:rsid w:val="00343D26"/>
    <w:rsid w:val="00344008"/>
    <w:rsid w:val="00344010"/>
    <w:rsid w:val="00344218"/>
    <w:rsid w:val="0034439D"/>
    <w:rsid w:val="00344719"/>
    <w:rsid w:val="00344A6C"/>
    <w:rsid w:val="00344FF6"/>
    <w:rsid w:val="003450DA"/>
    <w:rsid w:val="003458F0"/>
    <w:rsid w:val="00345A50"/>
    <w:rsid w:val="0034601A"/>
    <w:rsid w:val="00346071"/>
    <w:rsid w:val="00346390"/>
    <w:rsid w:val="0034740B"/>
    <w:rsid w:val="003474E4"/>
    <w:rsid w:val="00347ACB"/>
    <w:rsid w:val="00347B8C"/>
    <w:rsid w:val="0035004F"/>
    <w:rsid w:val="00351DA3"/>
    <w:rsid w:val="00351FBE"/>
    <w:rsid w:val="0035208B"/>
    <w:rsid w:val="00353AB9"/>
    <w:rsid w:val="00353BA8"/>
    <w:rsid w:val="0035426B"/>
    <w:rsid w:val="00354F27"/>
    <w:rsid w:val="003552A1"/>
    <w:rsid w:val="00355396"/>
    <w:rsid w:val="003554B5"/>
    <w:rsid w:val="00355E9F"/>
    <w:rsid w:val="00356149"/>
    <w:rsid w:val="0035620F"/>
    <w:rsid w:val="003562BE"/>
    <w:rsid w:val="003565C0"/>
    <w:rsid w:val="0035674D"/>
    <w:rsid w:val="003568DD"/>
    <w:rsid w:val="00356BD9"/>
    <w:rsid w:val="00356EC5"/>
    <w:rsid w:val="00356FD4"/>
    <w:rsid w:val="003572D0"/>
    <w:rsid w:val="00357968"/>
    <w:rsid w:val="003606C9"/>
    <w:rsid w:val="00361106"/>
    <w:rsid w:val="0036140A"/>
    <w:rsid w:val="0036174E"/>
    <w:rsid w:val="0036198C"/>
    <w:rsid w:val="003619BD"/>
    <w:rsid w:val="00361CF6"/>
    <w:rsid w:val="00361DB8"/>
    <w:rsid w:val="00361EC6"/>
    <w:rsid w:val="00361F45"/>
    <w:rsid w:val="00361F61"/>
    <w:rsid w:val="00361FAC"/>
    <w:rsid w:val="0036213D"/>
    <w:rsid w:val="00362266"/>
    <w:rsid w:val="0036266C"/>
    <w:rsid w:val="00362B45"/>
    <w:rsid w:val="0036344A"/>
    <w:rsid w:val="00363FFC"/>
    <w:rsid w:val="00364213"/>
    <w:rsid w:val="0036486C"/>
    <w:rsid w:val="00364953"/>
    <w:rsid w:val="00364D1D"/>
    <w:rsid w:val="00364F52"/>
    <w:rsid w:val="00365B8C"/>
    <w:rsid w:val="0036605E"/>
    <w:rsid w:val="003662F4"/>
    <w:rsid w:val="0036630C"/>
    <w:rsid w:val="003664CD"/>
    <w:rsid w:val="0036656D"/>
    <w:rsid w:val="003670A6"/>
    <w:rsid w:val="00367115"/>
    <w:rsid w:val="00367237"/>
    <w:rsid w:val="00367427"/>
    <w:rsid w:val="003677BE"/>
    <w:rsid w:val="00367A03"/>
    <w:rsid w:val="00367F02"/>
    <w:rsid w:val="0037011B"/>
    <w:rsid w:val="00370D94"/>
    <w:rsid w:val="003712D7"/>
    <w:rsid w:val="00371412"/>
    <w:rsid w:val="003716DC"/>
    <w:rsid w:val="0037178F"/>
    <w:rsid w:val="00371A39"/>
    <w:rsid w:val="00371AEA"/>
    <w:rsid w:val="003723F1"/>
    <w:rsid w:val="00372966"/>
    <w:rsid w:val="00372984"/>
    <w:rsid w:val="00372B58"/>
    <w:rsid w:val="00372F6E"/>
    <w:rsid w:val="00373011"/>
    <w:rsid w:val="003739F2"/>
    <w:rsid w:val="00373EC4"/>
    <w:rsid w:val="0037404F"/>
    <w:rsid w:val="0037465F"/>
    <w:rsid w:val="00374753"/>
    <w:rsid w:val="00374E3B"/>
    <w:rsid w:val="00374E7D"/>
    <w:rsid w:val="00375395"/>
    <w:rsid w:val="00375524"/>
    <w:rsid w:val="00376201"/>
    <w:rsid w:val="00376D61"/>
    <w:rsid w:val="00376DAD"/>
    <w:rsid w:val="003770C2"/>
    <w:rsid w:val="00377443"/>
    <w:rsid w:val="003774D0"/>
    <w:rsid w:val="00377D39"/>
    <w:rsid w:val="00377F1D"/>
    <w:rsid w:val="00380400"/>
    <w:rsid w:val="00380482"/>
    <w:rsid w:val="00380784"/>
    <w:rsid w:val="00380D5C"/>
    <w:rsid w:val="00380E34"/>
    <w:rsid w:val="0038173F"/>
    <w:rsid w:val="00381792"/>
    <w:rsid w:val="003818FC"/>
    <w:rsid w:val="00381AA6"/>
    <w:rsid w:val="00381F9D"/>
    <w:rsid w:val="00382CDB"/>
    <w:rsid w:val="00382EC6"/>
    <w:rsid w:val="00383033"/>
    <w:rsid w:val="003839F1"/>
    <w:rsid w:val="00383C1F"/>
    <w:rsid w:val="0038453A"/>
    <w:rsid w:val="00384A29"/>
    <w:rsid w:val="00384D71"/>
    <w:rsid w:val="00384F10"/>
    <w:rsid w:val="003855B7"/>
    <w:rsid w:val="0038575A"/>
    <w:rsid w:val="00385772"/>
    <w:rsid w:val="003858A3"/>
    <w:rsid w:val="003858B7"/>
    <w:rsid w:val="00385B5D"/>
    <w:rsid w:val="00385DDC"/>
    <w:rsid w:val="0038631B"/>
    <w:rsid w:val="003869D8"/>
    <w:rsid w:val="00386A4A"/>
    <w:rsid w:val="00386CD0"/>
    <w:rsid w:val="00386CDE"/>
    <w:rsid w:val="00386FA1"/>
    <w:rsid w:val="00387858"/>
    <w:rsid w:val="00387872"/>
    <w:rsid w:val="00387C35"/>
    <w:rsid w:val="00387C7A"/>
    <w:rsid w:val="003901D8"/>
    <w:rsid w:val="0039046E"/>
    <w:rsid w:val="00390A84"/>
    <w:rsid w:val="00390CB1"/>
    <w:rsid w:val="00390DA3"/>
    <w:rsid w:val="00391052"/>
    <w:rsid w:val="00391357"/>
    <w:rsid w:val="003913EF"/>
    <w:rsid w:val="00391821"/>
    <w:rsid w:val="00391E24"/>
    <w:rsid w:val="003927D8"/>
    <w:rsid w:val="00392961"/>
    <w:rsid w:val="00392C7B"/>
    <w:rsid w:val="00392D5D"/>
    <w:rsid w:val="00392FC5"/>
    <w:rsid w:val="00393169"/>
    <w:rsid w:val="00393223"/>
    <w:rsid w:val="00393492"/>
    <w:rsid w:val="003934BE"/>
    <w:rsid w:val="003939F2"/>
    <w:rsid w:val="00393D42"/>
    <w:rsid w:val="00393D47"/>
    <w:rsid w:val="00394110"/>
    <w:rsid w:val="0039424D"/>
    <w:rsid w:val="00394323"/>
    <w:rsid w:val="00394852"/>
    <w:rsid w:val="0039495A"/>
    <w:rsid w:val="00394B1B"/>
    <w:rsid w:val="00394C54"/>
    <w:rsid w:val="00394F16"/>
    <w:rsid w:val="00394FCF"/>
    <w:rsid w:val="0039528F"/>
    <w:rsid w:val="003954E8"/>
    <w:rsid w:val="003957FF"/>
    <w:rsid w:val="00395A3D"/>
    <w:rsid w:val="00395F29"/>
    <w:rsid w:val="00396002"/>
    <w:rsid w:val="003960AD"/>
    <w:rsid w:val="00396562"/>
    <w:rsid w:val="00396728"/>
    <w:rsid w:val="003967A6"/>
    <w:rsid w:val="00396B05"/>
    <w:rsid w:val="00396F32"/>
    <w:rsid w:val="003974E6"/>
    <w:rsid w:val="00397EA1"/>
    <w:rsid w:val="003A008E"/>
    <w:rsid w:val="003A0409"/>
    <w:rsid w:val="003A0BC1"/>
    <w:rsid w:val="003A0EE7"/>
    <w:rsid w:val="003A10E2"/>
    <w:rsid w:val="003A13FA"/>
    <w:rsid w:val="003A1A76"/>
    <w:rsid w:val="003A20D4"/>
    <w:rsid w:val="003A212D"/>
    <w:rsid w:val="003A2275"/>
    <w:rsid w:val="003A270B"/>
    <w:rsid w:val="003A2755"/>
    <w:rsid w:val="003A2DCD"/>
    <w:rsid w:val="003A3281"/>
    <w:rsid w:val="003A38D3"/>
    <w:rsid w:val="003A39A7"/>
    <w:rsid w:val="003A3AEA"/>
    <w:rsid w:val="003A3D22"/>
    <w:rsid w:val="003A4C44"/>
    <w:rsid w:val="003A4CA9"/>
    <w:rsid w:val="003A4E0C"/>
    <w:rsid w:val="003A52EC"/>
    <w:rsid w:val="003A5449"/>
    <w:rsid w:val="003A56CF"/>
    <w:rsid w:val="003A587F"/>
    <w:rsid w:val="003A5D73"/>
    <w:rsid w:val="003A5F83"/>
    <w:rsid w:val="003A606C"/>
    <w:rsid w:val="003A6470"/>
    <w:rsid w:val="003A656C"/>
    <w:rsid w:val="003A6606"/>
    <w:rsid w:val="003A6879"/>
    <w:rsid w:val="003A69EC"/>
    <w:rsid w:val="003A6C64"/>
    <w:rsid w:val="003A732C"/>
    <w:rsid w:val="003A73FC"/>
    <w:rsid w:val="003A750E"/>
    <w:rsid w:val="003A79E4"/>
    <w:rsid w:val="003A7D3F"/>
    <w:rsid w:val="003A7E2D"/>
    <w:rsid w:val="003B03F0"/>
    <w:rsid w:val="003B0626"/>
    <w:rsid w:val="003B0751"/>
    <w:rsid w:val="003B075B"/>
    <w:rsid w:val="003B0A3B"/>
    <w:rsid w:val="003B11F5"/>
    <w:rsid w:val="003B131A"/>
    <w:rsid w:val="003B1A74"/>
    <w:rsid w:val="003B1B36"/>
    <w:rsid w:val="003B20D1"/>
    <w:rsid w:val="003B225C"/>
    <w:rsid w:val="003B291C"/>
    <w:rsid w:val="003B29D7"/>
    <w:rsid w:val="003B2DE6"/>
    <w:rsid w:val="003B3373"/>
    <w:rsid w:val="003B398A"/>
    <w:rsid w:val="003B43E5"/>
    <w:rsid w:val="003B4466"/>
    <w:rsid w:val="003B46B6"/>
    <w:rsid w:val="003B47B4"/>
    <w:rsid w:val="003B48FD"/>
    <w:rsid w:val="003B4F32"/>
    <w:rsid w:val="003B4FD4"/>
    <w:rsid w:val="003B5364"/>
    <w:rsid w:val="003B5FEC"/>
    <w:rsid w:val="003B606C"/>
    <w:rsid w:val="003B6400"/>
    <w:rsid w:val="003B6CBC"/>
    <w:rsid w:val="003B6D8C"/>
    <w:rsid w:val="003B716C"/>
    <w:rsid w:val="003B71F1"/>
    <w:rsid w:val="003B75D0"/>
    <w:rsid w:val="003B762E"/>
    <w:rsid w:val="003C000C"/>
    <w:rsid w:val="003C05AD"/>
    <w:rsid w:val="003C0778"/>
    <w:rsid w:val="003C08F4"/>
    <w:rsid w:val="003C0C39"/>
    <w:rsid w:val="003C0C47"/>
    <w:rsid w:val="003C12FD"/>
    <w:rsid w:val="003C1831"/>
    <w:rsid w:val="003C1BAB"/>
    <w:rsid w:val="003C1D7A"/>
    <w:rsid w:val="003C21D0"/>
    <w:rsid w:val="003C22ED"/>
    <w:rsid w:val="003C29A4"/>
    <w:rsid w:val="003C2FC8"/>
    <w:rsid w:val="003C3916"/>
    <w:rsid w:val="003C3945"/>
    <w:rsid w:val="003C3E3F"/>
    <w:rsid w:val="003C3EA4"/>
    <w:rsid w:val="003C4171"/>
    <w:rsid w:val="003C4806"/>
    <w:rsid w:val="003C6253"/>
    <w:rsid w:val="003C62F4"/>
    <w:rsid w:val="003C63BD"/>
    <w:rsid w:val="003C664B"/>
    <w:rsid w:val="003C69F6"/>
    <w:rsid w:val="003C7187"/>
    <w:rsid w:val="003C7450"/>
    <w:rsid w:val="003C78B3"/>
    <w:rsid w:val="003C7998"/>
    <w:rsid w:val="003D02D9"/>
    <w:rsid w:val="003D030B"/>
    <w:rsid w:val="003D06E9"/>
    <w:rsid w:val="003D1957"/>
    <w:rsid w:val="003D251A"/>
    <w:rsid w:val="003D26DE"/>
    <w:rsid w:val="003D2B89"/>
    <w:rsid w:val="003D33E4"/>
    <w:rsid w:val="003D3653"/>
    <w:rsid w:val="003D386C"/>
    <w:rsid w:val="003D39D1"/>
    <w:rsid w:val="003D3B16"/>
    <w:rsid w:val="003D3EB1"/>
    <w:rsid w:val="003D440F"/>
    <w:rsid w:val="003D45FE"/>
    <w:rsid w:val="003D4A89"/>
    <w:rsid w:val="003D4FF6"/>
    <w:rsid w:val="003D513B"/>
    <w:rsid w:val="003D51B5"/>
    <w:rsid w:val="003D54DE"/>
    <w:rsid w:val="003D5C2D"/>
    <w:rsid w:val="003D5DBC"/>
    <w:rsid w:val="003D649F"/>
    <w:rsid w:val="003D6967"/>
    <w:rsid w:val="003D6BB7"/>
    <w:rsid w:val="003D6F42"/>
    <w:rsid w:val="003D6FF5"/>
    <w:rsid w:val="003D74BF"/>
    <w:rsid w:val="003D75A9"/>
    <w:rsid w:val="003D76D1"/>
    <w:rsid w:val="003D795B"/>
    <w:rsid w:val="003D79F7"/>
    <w:rsid w:val="003D7C8B"/>
    <w:rsid w:val="003D7CAA"/>
    <w:rsid w:val="003E0454"/>
    <w:rsid w:val="003E0503"/>
    <w:rsid w:val="003E09A7"/>
    <w:rsid w:val="003E0B6E"/>
    <w:rsid w:val="003E0E67"/>
    <w:rsid w:val="003E0E69"/>
    <w:rsid w:val="003E1357"/>
    <w:rsid w:val="003E1B8E"/>
    <w:rsid w:val="003E1F75"/>
    <w:rsid w:val="003E21BB"/>
    <w:rsid w:val="003E33D8"/>
    <w:rsid w:val="003E3529"/>
    <w:rsid w:val="003E36CC"/>
    <w:rsid w:val="003E399D"/>
    <w:rsid w:val="003E3E30"/>
    <w:rsid w:val="003E40ED"/>
    <w:rsid w:val="003E4668"/>
    <w:rsid w:val="003E4B1E"/>
    <w:rsid w:val="003E4DFF"/>
    <w:rsid w:val="003E5014"/>
    <w:rsid w:val="003E51B6"/>
    <w:rsid w:val="003E5891"/>
    <w:rsid w:val="003E5B51"/>
    <w:rsid w:val="003E5CA4"/>
    <w:rsid w:val="003E5F6E"/>
    <w:rsid w:val="003E603B"/>
    <w:rsid w:val="003E633D"/>
    <w:rsid w:val="003E7247"/>
    <w:rsid w:val="003E749F"/>
    <w:rsid w:val="003E7619"/>
    <w:rsid w:val="003E7AB3"/>
    <w:rsid w:val="003F0A98"/>
    <w:rsid w:val="003F0D5B"/>
    <w:rsid w:val="003F0EFE"/>
    <w:rsid w:val="003F129C"/>
    <w:rsid w:val="003F130B"/>
    <w:rsid w:val="003F1401"/>
    <w:rsid w:val="003F1662"/>
    <w:rsid w:val="003F1739"/>
    <w:rsid w:val="003F1D03"/>
    <w:rsid w:val="003F25ED"/>
    <w:rsid w:val="003F2F4A"/>
    <w:rsid w:val="003F3411"/>
    <w:rsid w:val="003F35B8"/>
    <w:rsid w:val="003F35E4"/>
    <w:rsid w:val="003F371A"/>
    <w:rsid w:val="003F3929"/>
    <w:rsid w:val="003F3AB2"/>
    <w:rsid w:val="003F4022"/>
    <w:rsid w:val="003F4437"/>
    <w:rsid w:val="003F44F4"/>
    <w:rsid w:val="003F4620"/>
    <w:rsid w:val="003F47B5"/>
    <w:rsid w:val="003F4A99"/>
    <w:rsid w:val="003F4EAA"/>
    <w:rsid w:val="003F5028"/>
    <w:rsid w:val="003F580D"/>
    <w:rsid w:val="003F5CF2"/>
    <w:rsid w:val="003F668B"/>
    <w:rsid w:val="003F6C30"/>
    <w:rsid w:val="003F75BD"/>
    <w:rsid w:val="003F75D9"/>
    <w:rsid w:val="003F771B"/>
    <w:rsid w:val="003F78D7"/>
    <w:rsid w:val="003F79FA"/>
    <w:rsid w:val="003F7A73"/>
    <w:rsid w:val="003F7ABA"/>
    <w:rsid w:val="003F7C0F"/>
    <w:rsid w:val="00400FCC"/>
    <w:rsid w:val="004010D3"/>
    <w:rsid w:val="004018D6"/>
    <w:rsid w:val="00401999"/>
    <w:rsid w:val="004021E2"/>
    <w:rsid w:val="0040318F"/>
    <w:rsid w:val="00403223"/>
    <w:rsid w:val="0040355D"/>
    <w:rsid w:val="0040359B"/>
    <w:rsid w:val="004036D5"/>
    <w:rsid w:val="00403BF5"/>
    <w:rsid w:val="00403F9B"/>
    <w:rsid w:val="00404104"/>
    <w:rsid w:val="004043DB"/>
    <w:rsid w:val="00404847"/>
    <w:rsid w:val="00405335"/>
    <w:rsid w:val="0040558E"/>
    <w:rsid w:val="00405FF3"/>
    <w:rsid w:val="00406787"/>
    <w:rsid w:val="004067B7"/>
    <w:rsid w:val="0040694C"/>
    <w:rsid w:val="00406D9B"/>
    <w:rsid w:val="00406F94"/>
    <w:rsid w:val="00407224"/>
    <w:rsid w:val="00407B48"/>
    <w:rsid w:val="00407B5E"/>
    <w:rsid w:val="00407F46"/>
    <w:rsid w:val="00410715"/>
    <w:rsid w:val="00410774"/>
    <w:rsid w:val="004108E5"/>
    <w:rsid w:val="00410960"/>
    <w:rsid w:val="00411264"/>
    <w:rsid w:val="004112A6"/>
    <w:rsid w:val="004112F6"/>
    <w:rsid w:val="0041155D"/>
    <w:rsid w:val="00411581"/>
    <w:rsid w:val="00411C57"/>
    <w:rsid w:val="00412C23"/>
    <w:rsid w:val="004132E0"/>
    <w:rsid w:val="00413A9B"/>
    <w:rsid w:val="00413D3E"/>
    <w:rsid w:val="00413EA4"/>
    <w:rsid w:val="00414080"/>
    <w:rsid w:val="004140F7"/>
    <w:rsid w:val="00414934"/>
    <w:rsid w:val="0041537B"/>
    <w:rsid w:val="004156CD"/>
    <w:rsid w:val="004165D1"/>
    <w:rsid w:val="004167C8"/>
    <w:rsid w:val="00416E98"/>
    <w:rsid w:val="004170F1"/>
    <w:rsid w:val="0041757A"/>
    <w:rsid w:val="00417AAB"/>
    <w:rsid w:val="00417D5F"/>
    <w:rsid w:val="00417D7E"/>
    <w:rsid w:val="00420E33"/>
    <w:rsid w:val="00421402"/>
    <w:rsid w:val="004215C2"/>
    <w:rsid w:val="004222FF"/>
    <w:rsid w:val="00422466"/>
    <w:rsid w:val="00422AE7"/>
    <w:rsid w:val="00422C34"/>
    <w:rsid w:val="00422DAB"/>
    <w:rsid w:val="00422DF8"/>
    <w:rsid w:val="00423AAD"/>
    <w:rsid w:val="00423B5A"/>
    <w:rsid w:val="004243F6"/>
    <w:rsid w:val="00424C6F"/>
    <w:rsid w:val="00424CED"/>
    <w:rsid w:val="00424F51"/>
    <w:rsid w:val="00424FAE"/>
    <w:rsid w:val="004253D5"/>
    <w:rsid w:val="00425925"/>
    <w:rsid w:val="0042592C"/>
    <w:rsid w:val="00425C92"/>
    <w:rsid w:val="00425D11"/>
    <w:rsid w:val="00425D2F"/>
    <w:rsid w:val="00426286"/>
    <w:rsid w:val="004262AA"/>
    <w:rsid w:val="00426336"/>
    <w:rsid w:val="004265E8"/>
    <w:rsid w:val="00426706"/>
    <w:rsid w:val="004268BC"/>
    <w:rsid w:val="00426A30"/>
    <w:rsid w:val="00426A5D"/>
    <w:rsid w:val="00426ECE"/>
    <w:rsid w:val="00427051"/>
    <w:rsid w:val="00427159"/>
    <w:rsid w:val="00427A08"/>
    <w:rsid w:val="00427DF1"/>
    <w:rsid w:val="00427E1C"/>
    <w:rsid w:val="0043006B"/>
    <w:rsid w:val="004301DF"/>
    <w:rsid w:val="00430962"/>
    <w:rsid w:val="00430C62"/>
    <w:rsid w:val="00430CD9"/>
    <w:rsid w:val="00430F7B"/>
    <w:rsid w:val="00431756"/>
    <w:rsid w:val="00431760"/>
    <w:rsid w:val="004319C3"/>
    <w:rsid w:val="00431E89"/>
    <w:rsid w:val="00432043"/>
    <w:rsid w:val="0043206C"/>
    <w:rsid w:val="00432361"/>
    <w:rsid w:val="00432481"/>
    <w:rsid w:val="00432536"/>
    <w:rsid w:val="004325FA"/>
    <w:rsid w:val="004326BE"/>
    <w:rsid w:val="004326C8"/>
    <w:rsid w:val="00432BEC"/>
    <w:rsid w:val="00432C86"/>
    <w:rsid w:val="00433013"/>
    <w:rsid w:val="004337B6"/>
    <w:rsid w:val="004337E7"/>
    <w:rsid w:val="0043396B"/>
    <w:rsid w:val="00433D3E"/>
    <w:rsid w:val="00434597"/>
    <w:rsid w:val="0043484D"/>
    <w:rsid w:val="00434B92"/>
    <w:rsid w:val="00434BCE"/>
    <w:rsid w:val="00434C87"/>
    <w:rsid w:val="00435404"/>
    <w:rsid w:val="004359F9"/>
    <w:rsid w:val="00435A48"/>
    <w:rsid w:val="00435C8F"/>
    <w:rsid w:val="00435D3B"/>
    <w:rsid w:val="00436174"/>
    <w:rsid w:val="004361AF"/>
    <w:rsid w:val="0043629D"/>
    <w:rsid w:val="00436556"/>
    <w:rsid w:val="004372C7"/>
    <w:rsid w:val="00437390"/>
    <w:rsid w:val="00437529"/>
    <w:rsid w:val="00437797"/>
    <w:rsid w:val="00437980"/>
    <w:rsid w:val="00437986"/>
    <w:rsid w:val="00437DFA"/>
    <w:rsid w:val="0044009E"/>
    <w:rsid w:val="00440360"/>
    <w:rsid w:val="0044064E"/>
    <w:rsid w:val="0044066A"/>
    <w:rsid w:val="004406BC"/>
    <w:rsid w:val="0044077A"/>
    <w:rsid w:val="00440CAB"/>
    <w:rsid w:val="00440CE9"/>
    <w:rsid w:val="00441537"/>
    <w:rsid w:val="00441B45"/>
    <w:rsid w:val="004425B5"/>
    <w:rsid w:val="00442644"/>
    <w:rsid w:val="004427D0"/>
    <w:rsid w:val="00442A9C"/>
    <w:rsid w:val="00442AED"/>
    <w:rsid w:val="00442B9C"/>
    <w:rsid w:val="00442E5E"/>
    <w:rsid w:val="00443B67"/>
    <w:rsid w:val="0044407A"/>
    <w:rsid w:val="00444186"/>
    <w:rsid w:val="004441E8"/>
    <w:rsid w:val="0044427B"/>
    <w:rsid w:val="0044428F"/>
    <w:rsid w:val="00444494"/>
    <w:rsid w:val="0044462F"/>
    <w:rsid w:val="00444C46"/>
    <w:rsid w:val="00444DB7"/>
    <w:rsid w:val="00444FE3"/>
    <w:rsid w:val="00445936"/>
    <w:rsid w:val="004459C6"/>
    <w:rsid w:val="00445CA3"/>
    <w:rsid w:val="00445FD1"/>
    <w:rsid w:val="0044602E"/>
    <w:rsid w:val="0044604C"/>
    <w:rsid w:val="00446322"/>
    <w:rsid w:val="00446396"/>
    <w:rsid w:val="0044650B"/>
    <w:rsid w:val="0044654F"/>
    <w:rsid w:val="00446592"/>
    <w:rsid w:val="0044668A"/>
    <w:rsid w:val="00446B18"/>
    <w:rsid w:val="00446EEE"/>
    <w:rsid w:val="00447239"/>
    <w:rsid w:val="0044755F"/>
    <w:rsid w:val="004479FD"/>
    <w:rsid w:val="00447CB9"/>
    <w:rsid w:val="00450080"/>
    <w:rsid w:val="0045025F"/>
    <w:rsid w:val="00450AB6"/>
    <w:rsid w:val="00450EF4"/>
    <w:rsid w:val="004519FD"/>
    <w:rsid w:val="00451E7A"/>
    <w:rsid w:val="00451FC7"/>
    <w:rsid w:val="004522CC"/>
    <w:rsid w:val="00452AF9"/>
    <w:rsid w:val="00452F34"/>
    <w:rsid w:val="0045387E"/>
    <w:rsid w:val="00453B30"/>
    <w:rsid w:val="00454039"/>
    <w:rsid w:val="004541CC"/>
    <w:rsid w:val="004541DB"/>
    <w:rsid w:val="00454470"/>
    <w:rsid w:val="0045493D"/>
    <w:rsid w:val="00454976"/>
    <w:rsid w:val="00454998"/>
    <w:rsid w:val="00455A4D"/>
    <w:rsid w:val="00455E0D"/>
    <w:rsid w:val="004561EB"/>
    <w:rsid w:val="00456AB4"/>
    <w:rsid w:val="00456B4A"/>
    <w:rsid w:val="00456FD9"/>
    <w:rsid w:val="004573E9"/>
    <w:rsid w:val="00457A8F"/>
    <w:rsid w:val="00457E09"/>
    <w:rsid w:val="004600E7"/>
    <w:rsid w:val="00460296"/>
    <w:rsid w:val="004602AE"/>
    <w:rsid w:val="0046071C"/>
    <w:rsid w:val="0046073F"/>
    <w:rsid w:val="00461192"/>
    <w:rsid w:val="004612E7"/>
    <w:rsid w:val="004615A6"/>
    <w:rsid w:val="0046161E"/>
    <w:rsid w:val="0046168B"/>
    <w:rsid w:val="004621CE"/>
    <w:rsid w:val="004622DE"/>
    <w:rsid w:val="004624B3"/>
    <w:rsid w:val="00462D8C"/>
    <w:rsid w:val="00462EE5"/>
    <w:rsid w:val="004632D5"/>
    <w:rsid w:val="00463600"/>
    <w:rsid w:val="0046373B"/>
    <w:rsid w:val="004639FC"/>
    <w:rsid w:val="00463E52"/>
    <w:rsid w:val="004644C9"/>
    <w:rsid w:val="00464A63"/>
    <w:rsid w:val="00464BC3"/>
    <w:rsid w:val="004651DC"/>
    <w:rsid w:val="00465613"/>
    <w:rsid w:val="00465C3D"/>
    <w:rsid w:val="004666AE"/>
    <w:rsid w:val="004666D6"/>
    <w:rsid w:val="00467404"/>
    <w:rsid w:val="004675D4"/>
    <w:rsid w:val="0046792D"/>
    <w:rsid w:val="0046797A"/>
    <w:rsid w:val="00467C50"/>
    <w:rsid w:val="00467E44"/>
    <w:rsid w:val="004701A6"/>
    <w:rsid w:val="0047023C"/>
    <w:rsid w:val="00470526"/>
    <w:rsid w:val="00470605"/>
    <w:rsid w:val="00471D6D"/>
    <w:rsid w:val="004725F7"/>
    <w:rsid w:val="00472BA4"/>
    <w:rsid w:val="0047331B"/>
    <w:rsid w:val="004734E8"/>
    <w:rsid w:val="0047357D"/>
    <w:rsid w:val="0047432C"/>
    <w:rsid w:val="004745CB"/>
    <w:rsid w:val="00474D2D"/>
    <w:rsid w:val="00475B28"/>
    <w:rsid w:val="00475D9F"/>
    <w:rsid w:val="00475F0A"/>
    <w:rsid w:val="00476C5A"/>
    <w:rsid w:val="00476EF3"/>
    <w:rsid w:val="0047759D"/>
    <w:rsid w:val="0047772A"/>
    <w:rsid w:val="004801EB"/>
    <w:rsid w:val="004804C9"/>
    <w:rsid w:val="00480524"/>
    <w:rsid w:val="00480A2F"/>
    <w:rsid w:val="00480CB6"/>
    <w:rsid w:val="00481007"/>
    <w:rsid w:val="004815B3"/>
    <w:rsid w:val="00481CD8"/>
    <w:rsid w:val="00481F7F"/>
    <w:rsid w:val="0048211B"/>
    <w:rsid w:val="00482FEC"/>
    <w:rsid w:val="00483E54"/>
    <w:rsid w:val="00484506"/>
    <w:rsid w:val="00484E00"/>
    <w:rsid w:val="00484F4C"/>
    <w:rsid w:val="004850CC"/>
    <w:rsid w:val="004855F0"/>
    <w:rsid w:val="00485B76"/>
    <w:rsid w:val="00486311"/>
    <w:rsid w:val="0048670F"/>
    <w:rsid w:val="00486743"/>
    <w:rsid w:val="004868FA"/>
    <w:rsid w:val="00486D1D"/>
    <w:rsid w:val="00486D64"/>
    <w:rsid w:val="00486F0D"/>
    <w:rsid w:val="004871DE"/>
    <w:rsid w:val="00487D32"/>
    <w:rsid w:val="00487FD8"/>
    <w:rsid w:val="00487FFB"/>
    <w:rsid w:val="00490194"/>
    <w:rsid w:val="00490516"/>
    <w:rsid w:val="00490968"/>
    <w:rsid w:val="00490F40"/>
    <w:rsid w:val="00490FD0"/>
    <w:rsid w:val="004913D4"/>
    <w:rsid w:val="00491ACD"/>
    <w:rsid w:val="00492B64"/>
    <w:rsid w:val="00492C39"/>
    <w:rsid w:val="00492CC4"/>
    <w:rsid w:val="00492CE1"/>
    <w:rsid w:val="0049399A"/>
    <w:rsid w:val="00494512"/>
    <w:rsid w:val="00494A0F"/>
    <w:rsid w:val="00494C6E"/>
    <w:rsid w:val="00494D98"/>
    <w:rsid w:val="00495433"/>
    <w:rsid w:val="004959C9"/>
    <w:rsid w:val="00495CCA"/>
    <w:rsid w:val="004965AE"/>
    <w:rsid w:val="00496824"/>
    <w:rsid w:val="00496A1F"/>
    <w:rsid w:val="00496A5E"/>
    <w:rsid w:val="00496C7A"/>
    <w:rsid w:val="00496C7C"/>
    <w:rsid w:val="00497118"/>
    <w:rsid w:val="004972E5"/>
    <w:rsid w:val="004972EB"/>
    <w:rsid w:val="0049777A"/>
    <w:rsid w:val="004977A7"/>
    <w:rsid w:val="00497ADA"/>
    <w:rsid w:val="004A0094"/>
    <w:rsid w:val="004A0358"/>
    <w:rsid w:val="004A0AF7"/>
    <w:rsid w:val="004A0E63"/>
    <w:rsid w:val="004A1060"/>
    <w:rsid w:val="004A1CC6"/>
    <w:rsid w:val="004A1E17"/>
    <w:rsid w:val="004A1FEE"/>
    <w:rsid w:val="004A2458"/>
    <w:rsid w:val="004A2539"/>
    <w:rsid w:val="004A3002"/>
    <w:rsid w:val="004A30E6"/>
    <w:rsid w:val="004A38FB"/>
    <w:rsid w:val="004A3E46"/>
    <w:rsid w:val="004A41E6"/>
    <w:rsid w:val="004A444C"/>
    <w:rsid w:val="004A4C5E"/>
    <w:rsid w:val="004A4CC3"/>
    <w:rsid w:val="004A4D34"/>
    <w:rsid w:val="004A4E83"/>
    <w:rsid w:val="004A52EF"/>
    <w:rsid w:val="004A534E"/>
    <w:rsid w:val="004A573B"/>
    <w:rsid w:val="004A5910"/>
    <w:rsid w:val="004A5EF0"/>
    <w:rsid w:val="004A6044"/>
    <w:rsid w:val="004A61DB"/>
    <w:rsid w:val="004A63D8"/>
    <w:rsid w:val="004A7E2D"/>
    <w:rsid w:val="004A7F03"/>
    <w:rsid w:val="004B01C0"/>
    <w:rsid w:val="004B091F"/>
    <w:rsid w:val="004B1051"/>
    <w:rsid w:val="004B14D4"/>
    <w:rsid w:val="004B17B8"/>
    <w:rsid w:val="004B1FD4"/>
    <w:rsid w:val="004B20E7"/>
    <w:rsid w:val="004B216F"/>
    <w:rsid w:val="004B248C"/>
    <w:rsid w:val="004B2543"/>
    <w:rsid w:val="004B2756"/>
    <w:rsid w:val="004B2957"/>
    <w:rsid w:val="004B2A0A"/>
    <w:rsid w:val="004B2DBA"/>
    <w:rsid w:val="004B2FA6"/>
    <w:rsid w:val="004B3371"/>
    <w:rsid w:val="004B368E"/>
    <w:rsid w:val="004B37EF"/>
    <w:rsid w:val="004B3BC5"/>
    <w:rsid w:val="004B3ED9"/>
    <w:rsid w:val="004B4284"/>
    <w:rsid w:val="004B4387"/>
    <w:rsid w:val="004B459D"/>
    <w:rsid w:val="004B49CE"/>
    <w:rsid w:val="004B4E2F"/>
    <w:rsid w:val="004B553A"/>
    <w:rsid w:val="004B567A"/>
    <w:rsid w:val="004B5688"/>
    <w:rsid w:val="004B5A0B"/>
    <w:rsid w:val="004B5A16"/>
    <w:rsid w:val="004B5CE1"/>
    <w:rsid w:val="004B6EDA"/>
    <w:rsid w:val="004B6F8E"/>
    <w:rsid w:val="004B722F"/>
    <w:rsid w:val="004B7358"/>
    <w:rsid w:val="004B7881"/>
    <w:rsid w:val="004C007B"/>
    <w:rsid w:val="004C0855"/>
    <w:rsid w:val="004C092A"/>
    <w:rsid w:val="004C1BD1"/>
    <w:rsid w:val="004C27F1"/>
    <w:rsid w:val="004C28F1"/>
    <w:rsid w:val="004C2B8F"/>
    <w:rsid w:val="004C30EF"/>
    <w:rsid w:val="004C337B"/>
    <w:rsid w:val="004C36F5"/>
    <w:rsid w:val="004C3766"/>
    <w:rsid w:val="004C3A9A"/>
    <w:rsid w:val="004C3DFB"/>
    <w:rsid w:val="004C4542"/>
    <w:rsid w:val="004C4828"/>
    <w:rsid w:val="004C4AA4"/>
    <w:rsid w:val="004C4BE2"/>
    <w:rsid w:val="004C502F"/>
    <w:rsid w:val="004C51CE"/>
    <w:rsid w:val="004C5966"/>
    <w:rsid w:val="004C5AD1"/>
    <w:rsid w:val="004C5D2E"/>
    <w:rsid w:val="004C5D33"/>
    <w:rsid w:val="004C6159"/>
    <w:rsid w:val="004C641B"/>
    <w:rsid w:val="004C6436"/>
    <w:rsid w:val="004C6706"/>
    <w:rsid w:val="004C6ECF"/>
    <w:rsid w:val="004C76C9"/>
    <w:rsid w:val="004C7711"/>
    <w:rsid w:val="004C79BD"/>
    <w:rsid w:val="004D009E"/>
    <w:rsid w:val="004D0DA2"/>
    <w:rsid w:val="004D10A5"/>
    <w:rsid w:val="004D123C"/>
    <w:rsid w:val="004D169F"/>
    <w:rsid w:val="004D234E"/>
    <w:rsid w:val="004D2598"/>
    <w:rsid w:val="004D298F"/>
    <w:rsid w:val="004D32FB"/>
    <w:rsid w:val="004D335C"/>
    <w:rsid w:val="004D3494"/>
    <w:rsid w:val="004D3561"/>
    <w:rsid w:val="004D3B3C"/>
    <w:rsid w:val="004D3B65"/>
    <w:rsid w:val="004D3BF9"/>
    <w:rsid w:val="004D3EE0"/>
    <w:rsid w:val="004D4B63"/>
    <w:rsid w:val="004D4C83"/>
    <w:rsid w:val="004D4E8F"/>
    <w:rsid w:val="004D50DF"/>
    <w:rsid w:val="004D5AA1"/>
    <w:rsid w:val="004D5B9A"/>
    <w:rsid w:val="004D5F0F"/>
    <w:rsid w:val="004D666D"/>
    <w:rsid w:val="004D6675"/>
    <w:rsid w:val="004D6786"/>
    <w:rsid w:val="004D6A27"/>
    <w:rsid w:val="004D6EA5"/>
    <w:rsid w:val="004D7026"/>
    <w:rsid w:val="004D7545"/>
    <w:rsid w:val="004D76E0"/>
    <w:rsid w:val="004D7CED"/>
    <w:rsid w:val="004D7DDD"/>
    <w:rsid w:val="004E0625"/>
    <w:rsid w:val="004E07D8"/>
    <w:rsid w:val="004E07EC"/>
    <w:rsid w:val="004E0875"/>
    <w:rsid w:val="004E0D6A"/>
    <w:rsid w:val="004E0E1E"/>
    <w:rsid w:val="004E1707"/>
    <w:rsid w:val="004E17B6"/>
    <w:rsid w:val="004E21B1"/>
    <w:rsid w:val="004E23C1"/>
    <w:rsid w:val="004E26C1"/>
    <w:rsid w:val="004E2D4A"/>
    <w:rsid w:val="004E3028"/>
    <w:rsid w:val="004E3374"/>
    <w:rsid w:val="004E3D01"/>
    <w:rsid w:val="004E3DD8"/>
    <w:rsid w:val="004E4037"/>
    <w:rsid w:val="004E4212"/>
    <w:rsid w:val="004E4291"/>
    <w:rsid w:val="004E42CC"/>
    <w:rsid w:val="004E475C"/>
    <w:rsid w:val="004E5228"/>
    <w:rsid w:val="004E5861"/>
    <w:rsid w:val="004E5C46"/>
    <w:rsid w:val="004E62AD"/>
    <w:rsid w:val="004E6522"/>
    <w:rsid w:val="004E6537"/>
    <w:rsid w:val="004E6928"/>
    <w:rsid w:val="004E6AC4"/>
    <w:rsid w:val="004E6E7F"/>
    <w:rsid w:val="004E6F9D"/>
    <w:rsid w:val="004E7156"/>
    <w:rsid w:val="004E73A6"/>
    <w:rsid w:val="004E73F1"/>
    <w:rsid w:val="004E76B5"/>
    <w:rsid w:val="004E7C9F"/>
    <w:rsid w:val="004F025B"/>
    <w:rsid w:val="004F09C8"/>
    <w:rsid w:val="004F0DEE"/>
    <w:rsid w:val="004F0E33"/>
    <w:rsid w:val="004F1A84"/>
    <w:rsid w:val="004F1A94"/>
    <w:rsid w:val="004F1B42"/>
    <w:rsid w:val="004F1CE4"/>
    <w:rsid w:val="004F1D9E"/>
    <w:rsid w:val="004F1ED2"/>
    <w:rsid w:val="004F2057"/>
    <w:rsid w:val="004F2118"/>
    <w:rsid w:val="004F21ED"/>
    <w:rsid w:val="004F2ABB"/>
    <w:rsid w:val="004F2DCD"/>
    <w:rsid w:val="004F37AD"/>
    <w:rsid w:val="004F3C54"/>
    <w:rsid w:val="004F3DAD"/>
    <w:rsid w:val="004F3FAC"/>
    <w:rsid w:val="004F44D6"/>
    <w:rsid w:val="004F4518"/>
    <w:rsid w:val="004F4F42"/>
    <w:rsid w:val="004F5105"/>
    <w:rsid w:val="004F519F"/>
    <w:rsid w:val="004F555D"/>
    <w:rsid w:val="004F5626"/>
    <w:rsid w:val="004F5B5A"/>
    <w:rsid w:val="004F5C17"/>
    <w:rsid w:val="004F5D48"/>
    <w:rsid w:val="004F5F98"/>
    <w:rsid w:val="004F6079"/>
    <w:rsid w:val="004F6226"/>
    <w:rsid w:val="004F6484"/>
    <w:rsid w:val="004F6859"/>
    <w:rsid w:val="004F6E4E"/>
    <w:rsid w:val="004F7165"/>
    <w:rsid w:val="004F791E"/>
    <w:rsid w:val="004F7D81"/>
    <w:rsid w:val="00500232"/>
    <w:rsid w:val="005003BA"/>
    <w:rsid w:val="0050068C"/>
    <w:rsid w:val="0050115D"/>
    <w:rsid w:val="0050121D"/>
    <w:rsid w:val="00501D13"/>
    <w:rsid w:val="00501FCC"/>
    <w:rsid w:val="00502441"/>
    <w:rsid w:val="00502469"/>
    <w:rsid w:val="005028FA"/>
    <w:rsid w:val="00502CF5"/>
    <w:rsid w:val="005030D3"/>
    <w:rsid w:val="0050325F"/>
    <w:rsid w:val="0050360B"/>
    <w:rsid w:val="005038D6"/>
    <w:rsid w:val="00503EBA"/>
    <w:rsid w:val="0050403C"/>
    <w:rsid w:val="005041D2"/>
    <w:rsid w:val="0050442F"/>
    <w:rsid w:val="005049C9"/>
    <w:rsid w:val="00504A8E"/>
    <w:rsid w:val="00504E09"/>
    <w:rsid w:val="00504E93"/>
    <w:rsid w:val="005051D0"/>
    <w:rsid w:val="005052C8"/>
    <w:rsid w:val="005052E8"/>
    <w:rsid w:val="0050556A"/>
    <w:rsid w:val="005062AB"/>
    <w:rsid w:val="0050630F"/>
    <w:rsid w:val="00506467"/>
    <w:rsid w:val="00506D36"/>
    <w:rsid w:val="00507078"/>
    <w:rsid w:val="00507346"/>
    <w:rsid w:val="0050791C"/>
    <w:rsid w:val="00507B28"/>
    <w:rsid w:val="00507BD0"/>
    <w:rsid w:val="00507D39"/>
    <w:rsid w:val="00507D47"/>
    <w:rsid w:val="005104B4"/>
    <w:rsid w:val="0051086A"/>
    <w:rsid w:val="005109F7"/>
    <w:rsid w:val="00510DBD"/>
    <w:rsid w:val="0051137D"/>
    <w:rsid w:val="0051141B"/>
    <w:rsid w:val="005114B3"/>
    <w:rsid w:val="00511627"/>
    <w:rsid w:val="0051209D"/>
    <w:rsid w:val="0051268E"/>
    <w:rsid w:val="005130C1"/>
    <w:rsid w:val="005139A8"/>
    <w:rsid w:val="00514155"/>
    <w:rsid w:val="005149E3"/>
    <w:rsid w:val="00514A4B"/>
    <w:rsid w:val="00515135"/>
    <w:rsid w:val="0051539F"/>
    <w:rsid w:val="00515613"/>
    <w:rsid w:val="00515824"/>
    <w:rsid w:val="00515899"/>
    <w:rsid w:val="00515C99"/>
    <w:rsid w:val="00515CBD"/>
    <w:rsid w:val="00515CCD"/>
    <w:rsid w:val="00515F40"/>
    <w:rsid w:val="0051690A"/>
    <w:rsid w:val="005173C6"/>
    <w:rsid w:val="00517FDB"/>
    <w:rsid w:val="00520345"/>
    <w:rsid w:val="00520432"/>
    <w:rsid w:val="00520443"/>
    <w:rsid w:val="0052073D"/>
    <w:rsid w:val="00520845"/>
    <w:rsid w:val="00520F32"/>
    <w:rsid w:val="00521878"/>
    <w:rsid w:val="00521E12"/>
    <w:rsid w:val="00521FEC"/>
    <w:rsid w:val="00522717"/>
    <w:rsid w:val="005227F6"/>
    <w:rsid w:val="005229AA"/>
    <w:rsid w:val="00522D92"/>
    <w:rsid w:val="00522FDA"/>
    <w:rsid w:val="005233A7"/>
    <w:rsid w:val="00523D84"/>
    <w:rsid w:val="0052482C"/>
    <w:rsid w:val="00524DBC"/>
    <w:rsid w:val="00524E50"/>
    <w:rsid w:val="00524FC8"/>
    <w:rsid w:val="00524FF6"/>
    <w:rsid w:val="00525110"/>
    <w:rsid w:val="0052546C"/>
    <w:rsid w:val="00525E40"/>
    <w:rsid w:val="005261CA"/>
    <w:rsid w:val="00526690"/>
    <w:rsid w:val="005268ED"/>
    <w:rsid w:val="00527983"/>
    <w:rsid w:val="00530172"/>
    <w:rsid w:val="005304E4"/>
    <w:rsid w:val="00530504"/>
    <w:rsid w:val="00530BAC"/>
    <w:rsid w:val="00530C3E"/>
    <w:rsid w:val="0053138E"/>
    <w:rsid w:val="00531957"/>
    <w:rsid w:val="0053244F"/>
    <w:rsid w:val="005328E6"/>
    <w:rsid w:val="0053299A"/>
    <w:rsid w:val="00532C44"/>
    <w:rsid w:val="005335F6"/>
    <w:rsid w:val="0053398E"/>
    <w:rsid w:val="00533B3E"/>
    <w:rsid w:val="00533B71"/>
    <w:rsid w:val="00533C95"/>
    <w:rsid w:val="005352F5"/>
    <w:rsid w:val="00535300"/>
    <w:rsid w:val="005353CF"/>
    <w:rsid w:val="00535F92"/>
    <w:rsid w:val="005361B9"/>
    <w:rsid w:val="00536800"/>
    <w:rsid w:val="00536D50"/>
    <w:rsid w:val="00536D5A"/>
    <w:rsid w:val="00536D7B"/>
    <w:rsid w:val="00537016"/>
    <w:rsid w:val="00537379"/>
    <w:rsid w:val="005374A0"/>
    <w:rsid w:val="00537CB0"/>
    <w:rsid w:val="0054066D"/>
    <w:rsid w:val="00540C2C"/>
    <w:rsid w:val="00540CBC"/>
    <w:rsid w:val="00540DC1"/>
    <w:rsid w:val="00540FF0"/>
    <w:rsid w:val="00541402"/>
    <w:rsid w:val="0054143A"/>
    <w:rsid w:val="00541597"/>
    <w:rsid w:val="0054191F"/>
    <w:rsid w:val="00541963"/>
    <w:rsid w:val="005419D4"/>
    <w:rsid w:val="00541A47"/>
    <w:rsid w:val="00541F3B"/>
    <w:rsid w:val="00541F65"/>
    <w:rsid w:val="005422ED"/>
    <w:rsid w:val="00542585"/>
    <w:rsid w:val="00542D94"/>
    <w:rsid w:val="0054302E"/>
    <w:rsid w:val="005433C1"/>
    <w:rsid w:val="005437E7"/>
    <w:rsid w:val="005439CF"/>
    <w:rsid w:val="005440BB"/>
    <w:rsid w:val="0054458C"/>
    <w:rsid w:val="00544817"/>
    <w:rsid w:val="00544C48"/>
    <w:rsid w:val="0054511C"/>
    <w:rsid w:val="005451C9"/>
    <w:rsid w:val="00545370"/>
    <w:rsid w:val="00545A6A"/>
    <w:rsid w:val="00545D1C"/>
    <w:rsid w:val="00545EF3"/>
    <w:rsid w:val="0054655F"/>
    <w:rsid w:val="00546613"/>
    <w:rsid w:val="005466C9"/>
    <w:rsid w:val="0055028F"/>
    <w:rsid w:val="005502FD"/>
    <w:rsid w:val="0055057B"/>
    <w:rsid w:val="005505D5"/>
    <w:rsid w:val="0055065A"/>
    <w:rsid w:val="00550796"/>
    <w:rsid w:val="00550AA3"/>
    <w:rsid w:val="00550B6C"/>
    <w:rsid w:val="005510A3"/>
    <w:rsid w:val="005512E7"/>
    <w:rsid w:val="0055177F"/>
    <w:rsid w:val="00551A34"/>
    <w:rsid w:val="00551AC6"/>
    <w:rsid w:val="00551D87"/>
    <w:rsid w:val="00552786"/>
    <w:rsid w:val="00552B2C"/>
    <w:rsid w:val="00552D60"/>
    <w:rsid w:val="00553785"/>
    <w:rsid w:val="00553A47"/>
    <w:rsid w:val="00553C11"/>
    <w:rsid w:val="005549A4"/>
    <w:rsid w:val="00554A0C"/>
    <w:rsid w:val="00554C3F"/>
    <w:rsid w:val="00554C47"/>
    <w:rsid w:val="00554C4F"/>
    <w:rsid w:val="00554C53"/>
    <w:rsid w:val="00554C75"/>
    <w:rsid w:val="00555078"/>
    <w:rsid w:val="0055510E"/>
    <w:rsid w:val="00555509"/>
    <w:rsid w:val="0055552C"/>
    <w:rsid w:val="00555DC9"/>
    <w:rsid w:val="005561A3"/>
    <w:rsid w:val="0055658A"/>
    <w:rsid w:val="005565ED"/>
    <w:rsid w:val="0055698E"/>
    <w:rsid w:val="00557289"/>
    <w:rsid w:val="00557975"/>
    <w:rsid w:val="00557B4B"/>
    <w:rsid w:val="00557CAF"/>
    <w:rsid w:val="00557D4D"/>
    <w:rsid w:val="00557F3F"/>
    <w:rsid w:val="00557FFC"/>
    <w:rsid w:val="005607CC"/>
    <w:rsid w:val="00560CDF"/>
    <w:rsid w:val="0056104B"/>
    <w:rsid w:val="005611E4"/>
    <w:rsid w:val="00561219"/>
    <w:rsid w:val="00561553"/>
    <w:rsid w:val="0056161E"/>
    <w:rsid w:val="00561965"/>
    <w:rsid w:val="00561DBE"/>
    <w:rsid w:val="00562353"/>
    <w:rsid w:val="00562369"/>
    <w:rsid w:val="00562395"/>
    <w:rsid w:val="0056290E"/>
    <w:rsid w:val="00563116"/>
    <w:rsid w:val="0056368E"/>
    <w:rsid w:val="00563F6F"/>
    <w:rsid w:val="005642F9"/>
    <w:rsid w:val="0056436C"/>
    <w:rsid w:val="00564478"/>
    <w:rsid w:val="00564543"/>
    <w:rsid w:val="0056464C"/>
    <w:rsid w:val="00564C2B"/>
    <w:rsid w:val="00565041"/>
    <w:rsid w:val="00565085"/>
    <w:rsid w:val="0056516A"/>
    <w:rsid w:val="0056537B"/>
    <w:rsid w:val="00565964"/>
    <w:rsid w:val="00565C08"/>
    <w:rsid w:val="0056600E"/>
    <w:rsid w:val="005664A6"/>
    <w:rsid w:val="0056674A"/>
    <w:rsid w:val="005669E8"/>
    <w:rsid w:val="0056713F"/>
    <w:rsid w:val="0056736C"/>
    <w:rsid w:val="0056743E"/>
    <w:rsid w:val="005679A7"/>
    <w:rsid w:val="00567A74"/>
    <w:rsid w:val="00567AED"/>
    <w:rsid w:val="00567E9E"/>
    <w:rsid w:val="0057068A"/>
    <w:rsid w:val="00570744"/>
    <w:rsid w:val="005707C6"/>
    <w:rsid w:val="0057093D"/>
    <w:rsid w:val="00570D3D"/>
    <w:rsid w:val="00570E30"/>
    <w:rsid w:val="005710F9"/>
    <w:rsid w:val="00571175"/>
    <w:rsid w:val="0057117E"/>
    <w:rsid w:val="00571CE8"/>
    <w:rsid w:val="0057253A"/>
    <w:rsid w:val="005728FD"/>
    <w:rsid w:val="00572956"/>
    <w:rsid w:val="005729EC"/>
    <w:rsid w:val="0057319E"/>
    <w:rsid w:val="00573204"/>
    <w:rsid w:val="00573248"/>
    <w:rsid w:val="0057366D"/>
    <w:rsid w:val="00573997"/>
    <w:rsid w:val="00573AD7"/>
    <w:rsid w:val="00573F08"/>
    <w:rsid w:val="00574501"/>
    <w:rsid w:val="00574F3F"/>
    <w:rsid w:val="00575B10"/>
    <w:rsid w:val="00576346"/>
    <w:rsid w:val="0057690C"/>
    <w:rsid w:val="00576A5A"/>
    <w:rsid w:val="00576C80"/>
    <w:rsid w:val="00576D8F"/>
    <w:rsid w:val="00576E7F"/>
    <w:rsid w:val="00577178"/>
    <w:rsid w:val="0057732B"/>
    <w:rsid w:val="00577709"/>
    <w:rsid w:val="0057790E"/>
    <w:rsid w:val="00577FA9"/>
    <w:rsid w:val="005801C3"/>
    <w:rsid w:val="00580405"/>
    <w:rsid w:val="00580487"/>
    <w:rsid w:val="005814E4"/>
    <w:rsid w:val="00581B8C"/>
    <w:rsid w:val="00581FFB"/>
    <w:rsid w:val="005824A6"/>
    <w:rsid w:val="00582921"/>
    <w:rsid w:val="00583047"/>
    <w:rsid w:val="0058304B"/>
    <w:rsid w:val="0058319E"/>
    <w:rsid w:val="00583609"/>
    <w:rsid w:val="00583BD0"/>
    <w:rsid w:val="00583CFE"/>
    <w:rsid w:val="00583DE9"/>
    <w:rsid w:val="00583E23"/>
    <w:rsid w:val="005841B5"/>
    <w:rsid w:val="00584751"/>
    <w:rsid w:val="00584A85"/>
    <w:rsid w:val="005850EE"/>
    <w:rsid w:val="005851F4"/>
    <w:rsid w:val="00585204"/>
    <w:rsid w:val="005853D2"/>
    <w:rsid w:val="00585418"/>
    <w:rsid w:val="00585E20"/>
    <w:rsid w:val="00586543"/>
    <w:rsid w:val="00586D62"/>
    <w:rsid w:val="0058774C"/>
    <w:rsid w:val="00587826"/>
    <w:rsid w:val="00587BBE"/>
    <w:rsid w:val="005905C7"/>
    <w:rsid w:val="005907F0"/>
    <w:rsid w:val="0059157F"/>
    <w:rsid w:val="00591C2D"/>
    <w:rsid w:val="00591C96"/>
    <w:rsid w:val="00592A88"/>
    <w:rsid w:val="00592D5B"/>
    <w:rsid w:val="00592FF6"/>
    <w:rsid w:val="00593833"/>
    <w:rsid w:val="00593DCA"/>
    <w:rsid w:val="00593ECC"/>
    <w:rsid w:val="00594B71"/>
    <w:rsid w:val="00594B74"/>
    <w:rsid w:val="00594F47"/>
    <w:rsid w:val="00595153"/>
    <w:rsid w:val="00595977"/>
    <w:rsid w:val="00595B57"/>
    <w:rsid w:val="00595CA4"/>
    <w:rsid w:val="0059600F"/>
    <w:rsid w:val="00596687"/>
    <w:rsid w:val="005970A8"/>
    <w:rsid w:val="00597C1E"/>
    <w:rsid w:val="00597FCD"/>
    <w:rsid w:val="005A0864"/>
    <w:rsid w:val="005A098B"/>
    <w:rsid w:val="005A0F74"/>
    <w:rsid w:val="005A15C6"/>
    <w:rsid w:val="005A1AAA"/>
    <w:rsid w:val="005A1B57"/>
    <w:rsid w:val="005A1DE5"/>
    <w:rsid w:val="005A227D"/>
    <w:rsid w:val="005A22F1"/>
    <w:rsid w:val="005A22F4"/>
    <w:rsid w:val="005A2938"/>
    <w:rsid w:val="005A2C9E"/>
    <w:rsid w:val="005A2FFE"/>
    <w:rsid w:val="005A32A2"/>
    <w:rsid w:val="005A335B"/>
    <w:rsid w:val="005A3B9E"/>
    <w:rsid w:val="005A4299"/>
    <w:rsid w:val="005A43F0"/>
    <w:rsid w:val="005A4912"/>
    <w:rsid w:val="005A4983"/>
    <w:rsid w:val="005A49F0"/>
    <w:rsid w:val="005A4C79"/>
    <w:rsid w:val="005A514A"/>
    <w:rsid w:val="005A51AD"/>
    <w:rsid w:val="005A524F"/>
    <w:rsid w:val="005A6873"/>
    <w:rsid w:val="005A6B5E"/>
    <w:rsid w:val="005A6C54"/>
    <w:rsid w:val="005A78DC"/>
    <w:rsid w:val="005A79A0"/>
    <w:rsid w:val="005A7D0B"/>
    <w:rsid w:val="005A7E3C"/>
    <w:rsid w:val="005A7F5B"/>
    <w:rsid w:val="005B01B4"/>
    <w:rsid w:val="005B08E2"/>
    <w:rsid w:val="005B0E0A"/>
    <w:rsid w:val="005B0E6C"/>
    <w:rsid w:val="005B1442"/>
    <w:rsid w:val="005B1480"/>
    <w:rsid w:val="005B15B7"/>
    <w:rsid w:val="005B1862"/>
    <w:rsid w:val="005B18B4"/>
    <w:rsid w:val="005B1E90"/>
    <w:rsid w:val="005B2067"/>
    <w:rsid w:val="005B22F6"/>
    <w:rsid w:val="005B28B9"/>
    <w:rsid w:val="005B2FA0"/>
    <w:rsid w:val="005B30AC"/>
    <w:rsid w:val="005B32F6"/>
    <w:rsid w:val="005B34BB"/>
    <w:rsid w:val="005B3556"/>
    <w:rsid w:val="005B385A"/>
    <w:rsid w:val="005B3AED"/>
    <w:rsid w:val="005B423F"/>
    <w:rsid w:val="005B4693"/>
    <w:rsid w:val="005B4B95"/>
    <w:rsid w:val="005B4D12"/>
    <w:rsid w:val="005B4D78"/>
    <w:rsid w:val="005B4F0E"/>
    <w:rsid w:val="005B5417"/>
    <w:rsid w:val="005B598D"/>
    <w:rsid w:val="005B6389"/>
    <w:rsid w:val="005B66FD"/>
    <w:rsid w:val="005B6985"/>
    <w:rsid w:val="005B6A17"/>
    <w:rsid w:val="005B6D77"/>
    <w:rsid w:val="005B7474"/>
    <w:rsid w:val="005B79F0"/>
    <w:rsid w:val="005B7AC3"/>
    <w:rsid w:val="005B7BF2"/>
    <w:rsid w:val="005B7E06"/>
    <w:rsid w:val="005C00D0"/>
    <w:rsid w:val="005C02F8"/>
    <w:rsid w:val="005C034D"/>
    <w:rsid w:val="005C0374"/>
    <w:rsid w:val="005C0639"/>
    <w:rsid w:val="005C0847"/>
    <w:rsid w:val="005C0F77"/>
    <w:rsid w:val="005C0FB1"/>
    <w:rsid w:val="005C10A4"/>
    <w:rsid w:val="005C189A"/>
    <w:rsid w:val="005C1B74"/>
    <w:rsid w:val="005C2A40"/>
    <w:rsid w:val="005C2EA0"/>
    <w:rsid w:val="005C3057"/>
    <w:rsid w:val="005C3311"/>
    <w:rsid w:val="005C3690"/>
    <w:rsid w:val="005C3F9B"/>
    <w:rsid w:val="005C3FE9"/>
    <w:rsid w:val="005C440A"/>
    <w:rsid w:val="005C452C"/>
    <w:rsid w:val="005C4CC3"/>
    <w:rsid w:val="005C4D07"/>
    <w:rsid w:val="005C5048"/>
    <w:rsid w:val="005C53D3"/>
    <w:rsid w:val="005C5819"/>
    <w:rsid w:val="005C58A5"/>
    <w:rsid w:val="005C5E36"/>
    <w:rsid w:val="005C60CA"/>
    <w:rsid w:val="005C6402"/>
    <w:rsid w:val="005C65E4"/>
    <w:rsid w:val="005C67F6"/>
    <w:rsid w:val="005C6D87"/>
    <w:rsid w:val="005C6E92"/>
    <w:rsid w:val="005C6FF0"/>
    <w:rsid w:val="005C7180"/>
    <w:rsid w:val="005C7BBB"/>
    <w:rsid w:val="005D0069"/>
    <w:rsid w:val="005D0121"/>
    <w:rsid w:val="005D0147"/>
    <w:rsid w:val="005D0DC7"/>
    <w:rsid w:val="005D0F36"/>
    <w:rsid w:val="005D0F80"/>
    <w:rsid w:val="005D1750"/>
    <w:rsid w:val="005D1A63"/>
    <w:rsid w:val="005D2793"/>
    <w:rsid w:val="005D2B46"/>
    <w:rsid w:val="005D2C54"/>
    <w:rsid w:val="005D3420"/>
    <w:rsid w:val="005D3F5F"/>
    <w:rsid w:val="005D4889"/>
    <w:rsid w:val="005D49EB"/>
    <w:rsid w:val="005D5205"/>
    <w:rsid w:val="005D52E7"/>
    <w:rsid w:val="005D5894"/>
    <w:rsid w:val="005D64BF"/>
    <w:rsid w:val="005D6C68"/>
    <w:rsid w:val="005D6CD6"/>
    <w:rsid w:val="005D6EEE"/>
    <w:rsid w:val="005D7024"/>
    <w:rsid w:val="005D704E"/>
    <w:rsid w:val="005D7144"/>
    <w:rsid w:val="005D7186"/>
    <w:rsid w:val="005D7955"/>
    <w:rsid w:val="005E08CF"/>
    <w:rsid w:val="005E0C16"/>
    <w:rsid w:val="005E0E70"/>
    <w:rsid w:val="005E187E"/>
    <w:rsid w:val="005E197F"/>
    <w:rsid w:val="005E1E12"/>
    <w:rsid w:val="005E2142"/>
    <w:rsid w:val="005E29C1"/>
    <w:rsid w:val="005E2C81"/>
    <w:rsid w:val="005E2E83"/>
    <w:rsid w:val="005E368A"/>
    <w:rsid w:val="005E39AF"/>
    <w:rsid w:val="005E39E9"/>
    <w:rsid w:val="005E45B9"/>
    <w:rsid w:val="005E51DE"/>
    <w:rsid w:val="005E5210"/>
    <w:rsid w:val="005E54EC"/>
    <w:rsid w:val="005E5981"/>
    <w:rsid w:val="005E5D17"/>
    <w:rsid w:val="005E6B2E"/>
    <w:rsid w:val="005E6D0B"/>
    <w:rsid w:val="005E7135"/>
    <w:rsid w:val="005E76D1"/>
    <w:rsid w:val="005E79D8"/>
    <w:rsid w:val="005E7CFE"/>
    <w:rsid w:val="005E7FA9"/>
    <w:rsid w:val="005F118F"/>
    <w:rsid w:val="005F11A3"/>
    <w:rsid w:val="005F124E"/>
    <w:rsid w:val="005F142A"/>
    <w:rsid w:val="005F1DF6"/>
    <w:rsid w:val="005F1FE9"/>
    <w:rsid w:val="005F227F"/>
    <w:rsid w:val="005F24B0"/>
    <w:rsid w:val="005F24B1"/>
    <w:rsid w:val="005F2602"/>
    <w:rsid w:val="005F2A50"/>
    <w:rsid w:val="005F303E"/>
    <w:rsid w:val="005F3069"/>
    <w:rsid w:val="005F3254"/>
    <w:rsid w:val="005F32B1"/>
    <w:rsid w:val="005F34EE"/>
    <w:rsid w:val="005F3603"/>
    <w:rsid w:val="005F3959"/>
    <w:rsid w:val="005F3D5D"/>
    <w:rsid w:val="005F3D8D"/>
    <w:rsid w:val="005F3F76"/>
    <w:rsid w:val="005F41CD"/>
    <w:rsid w:val="005F4463"/>
    <w:rsid w:val="005F4640"/>
    <w:rsid w:val="005F475B"/>
    <w:rsid w:val="005F4A0E"/>
    <w:rsid w:val="005F4A7A"/>
    <w:rsid w:val="005F4BF5"/>
    <w:rsid w:val="005F4FCD"/>
    <w:rsid w:val="005F4FE2"/>
    <w:rsid w:val="005F5D03"/>
    <w:rsid w:val="005F5D1A"/>
    <w:rsid w:val="005F665E"/>
    <w:rsid w:val="005F6D0C"/>
    <w:rsid w:val="005F6F91"/>
    <w:rsid w:val="005F7425"/>
    <w:rsid w:val="005F78B1"/>
    <w:rsid w:val="005F790C"/>
    <w:rsid w:val="005F7986"/>
    <w:rsid w:val="005F7BDC"/>
    <w:rsid w:val="005F7D25"/>
    <w:rsid w:val="006000CC"/>
    <w:rsid w:val="006001C9"/>
    <w:rsid w:val="006003B5"/>
    <w:rsid w:val="006005D5"/>
    <w:rsid w:val="006006FF"/>
    <w:rsid w:val="00600725"/>
    <w:rsid w:val="00600CCF"/>
    <w:rsid w:val="00601211"/>
    <w:rsid w:val="00601514"/>
    <w:rsid w:val="006019E7"/>
    <w:rsid w:val="00601AB8"/>
    <w:rsid w:val="00601F32"/>
    <w:rsid w:val="0060208D"/>
    <w:rsid w:val="00602780"/>
    <w:rsid w:val="00602C51"/>
    <w:rsid w:val="00602C91"/>
    <w:rsid w:val="00602D32"/>
    <w:rsid w:val="006033C7"/>
    <w:rsid w:val="006043BD"/>
    <w:rsid w:val="006043C1"/>
    <w:rsid w:val="0060440A"/>
    <w:rsid w:val="0060458A"/>
    <w:rsid w:val="006045C8"/>
    <w:rsid w:val="00604732"/>
    <w:rsid w:val="00604DD8"/>
    <w:rsid w:val="00604DEE"/>
    <w:rsid w:val="00606132"/>
    <w:rsid w:val="0060616E"/>
    <w:rsid w:val="00606181"/>
    <w:rsid w:val="006062F5"/>
    <w:rsid w:val="00606461"/>
    <w:rsid w:val="006066FA"/>
    <w:rsid w:val="006067F7"/>
    <w:rsid w:val="00606897"/>
    <w:rsid w:val="00607016"/>
    <w:rsid w:val="00607357"/>
    <w:rsid w:val="006078E3"/>
    <w:rsid w:val="00607AF5"/>
    <w:rsid w:val="00607D28"/>
    <w:rsid w:val="0061039A"/>
    <w:rsid w:val="0061048E"/>
    <w:rsid w:val="00610AAB"/>
    <w:rsid w:val="00610D3A"/>
    <w:rsid w:val="006112FD"/>
    <w:rsid w:val="006114CC"/>
    <w:rsid w:val="00611896"/>
    <w:rsid w:val="006119CF"/>
    <w:rsid w:val="00611C8B"/>
    <w:rsid w:val="00612238"/>
    <w:rsid w:val="0061253F"/>
    <w:rsid w:val="0061293B"/>
    <w:rsid w:val="006129FC"/>
    <w:rsid w:val="00612B77"/>
    <w:rsid w:val="00612BFF"/>
    <w:rsid w:val="00612E11"/>
    <w:rsid w:val="0061318A"/>
    <w:rsid w:val="0061335E"/>
    <w:rsid w:val="006133D3"/>
    <w:rsid w:val="00613D37"/>
    <w:rsid w:val="006146D4"/>
    <w:rsid w:val="006148D7"/>
    <w:rsid w:val="00615283"/>
    <w:rsid w:val="00615414"/>
    <w:rsid w:val="00615537"/>
    <w:rsid w:val="00615829"/>
    <w:rsid w:val="006165FE"/>
    <w:rsid w:val="0061697F"/>
    <w:rsid w:val="00616E0C"/>
    <w:rsid w:val="00616EB1"/>
    <w:rsid w:val="006171B0"/>
    <w:rsid w:val="006174D3"/>
    <w:rsid w:val="00617799"/>
    <w:rsid w:val="0061798A"/>
    <w:rsid w:val="00617A33"/>
    <w:rsid w:val="00617C7F"/>
    <w:rsid w:val="0062053A"/>
    <w:rsid w:val="00620F06"/>
    <w:rsid w:val="006215A6"/>
    <w:rsid w:val="00621769"/>
    <w:rsid w:val="00621924"/>
    <w:rsid w:val="00622680"/>
    <w:rsid w:val="00622B86"/>
    <w:rsid w:val="0062305D"/>
    <w:rsid w:val="00623808"/>
    <w:rsid w:val="00623851"/>
    <w:rsid w:val="00624356"/>
    <w:rsid w:val="00624C22"/>
    <w:rsid w:val="00624DB7"/>
    <w:rsid w:val="006255E9"/>
    <w:rsid w:val="0062581E"/>
    <w:rsid w:val="0062591D"/>
    <w:rsid w:val="00625B6A"/>
    <w:rsid w:val="00625B7D"/>
    <w:rsid w:val="0062628B"/>
    <w:rsid w:val="00626800"/>
    <w:rsid w:val="006268F5"/>
    <w:rsid w:val="0062708D"/>
    <w:rsid w:val="0062756D"/>
    <w:rsid w:val="00627D19"/>
    <w:rsid w:val="006303B0"/>
    <w:rsid w:val="006307EF"/>
    <w:rsid w:val="00630C3C"/>
    <w:rsid w:val="006311EB"/>
    <w:rsid w:val="00631350"/>
    <w:rsid w:val="0063143E"/>
    <w:rsid w:val="006314EB"/>
    <w:rsid w:val="006315EC"/>
    <w:rsid w:val="0063184E"/>
    <w:rsid w:val="00631B7E"/>
    <w:rsid w:val="006322E3"/>
    <w:rsid w:val="00632622"/>
    <w:rsid w:val="006330EF"/>
    <w:rsid w:val="00633299"/>
    <w:rsid w:val="0063345A"/>
    <w:rsid w:val="00633D23"/>
    <w:rsid w:val="00634013"/>
    <w:rsid w:val="0063438E"/>
    <w:rsid w:val="00634472"/>
    <w:rsid w:val="006344C7"/>
    <w:rsid w:val="006344E4"/>
    <w:rsid w:val="0063452F"/>
    <w:rsid w:val="00634709"/>
    <w:rsid w:val="00634915"/>
    <w:rsid w:val="00634970"/>
    <w:rsid w:val="00634E01"/>
    <w:rsid w:val="00635328"/>
    <w:rsid w:val="00635EA5"/>
    <w:rsid w:val="0063670F"/>
    <w:rsid w:val="00636765"/>
    <w:rsid w:val="0063689B"/>
    <w:rsid w:val="00636A14"/>
    <w:rsid w:val="00636A90"/>
    <w:rsid w:val="00636B3E"/>
    <w:rsid w:val="00637456"/>
    <w:rsid w:val="006378BB"/>
    <w:rsid w:val="006379B8"/>
    <w:rsid w:val="00637B70"/>
    <w:rsid w:val="00637BA2"/>
    <w:rsid w:val="00637C4A"/>
    <w:rsid w:val="006402D8"/>
    <w:rsid w:val="00640494"/>
    <w:rsid w:val="0064076D"/>
    <w:rsid w:val="00640A41"/>
    <w:rsid w:val="00640A48"/>
    <w:rsid w:val="00640E10"/>
    <w:rsid w:val="00641876"/>
    <w:rsid w:val="0064201B"/>
    <w:rsid w:val="006429A1"/>
    <w:rsid w:val="00642C88"/>
    <w:rsid w:val="00642DA8"/>
    <w:rsid w:val="00642DE4"/>
    <w:rsid w:val="00642E88"/>
    <w:rsid w:val="00643A75"/>
    <w:rsid w:val="00643F76"/>
    <w:rsid w:val="00644526"/>
    <w:rsid w:val="00644644"/>
    <w:rsid w:val="00644ADD"/>
    <w:rsid w:val="00644B48"/>
    <w:rsid w:val="00644E2D"/>
    <w:rsid w:val="00644E46"/>
    <w:rsid w:val="006459F1"/>
    <w:rsid w:val="006460BC"/>
    <w:rsid w:val="00646AA3"/>
    <w:rsid w:val="00646DCB"/>
    <w:rsid w:val="00647188"/>
    <w:rsid w:val="0064720D"/>
    <w:rsid w:val="006473E6"/>
    <w:rsid w:val="00647500"/>
    <w:rsid w:val="006477CD"/>
    <w:rsid w:val="00647ABD"/>
    <w:rsid w:val="006503F9"/>
    <w:rsid w:val="00650DE8"/>
    <w:rsid w:val="00650FE0"/>
    <w:rsid w:val="006510F1"/>
    <w:rsid w:val="0065129E"/>
    <w:rsid w:val="00651331"/>
    <w:rsid w:val="006517B7"/>
    <w:rsid w:val="006518E7"/>
    <w:rsid w:val="006519F5"/>
    <w:rsid w:val="00651A81"/>
    <w:rsid w:val="00651E5B"/>
    <w:rsid w:val="006522BC"/>
    <w:rsid w:val="00652393"/>
    <w:rsid w:val="006523D2"/>
    <w:rsid w:val="006528AE"/>
    <w:rsid w:val="00652B55"/>
    <w:rsid w:val="00653001"/>
    <w:rsid w:val="00653649"/>
    <w:rsid w:val="006538C1"/>
    <w:rsid w:val="00653B97"/>
    <w:rsid w:val="00654546"/>
    <w:rsid w:val="006545EA"/>
    <w:rsid w:val="0065460C"/>
    <w:rsid w:val="006549FE"/>
    <w:rsid w:val="00654B93"/>
    <w:rsid w:val="006554FF"/>
    <w:rsid w:val="006559D7"/>
    <w:rsid w:val="00655C2D"/>
    <w:rsid w:val="00655DE9"/>
    <w:rsid w:val="006564A5"/>
    <w:rsid w:val="00657C24"/>
    <w:rsid w:val="00657F65"/>
    <w:rsid w:val="00660044"/>
    <w:rsid w:val="00660668"/>
    <w:rsid w:val="00660859"/>
    <w:rsid w:val="00660B3F"/>
    <w:rsid w:val="00660BC7"/>
    <w:rsid w:val="00661121"/>
    <w:rsid w:val="006618DA"/>
    <w:rsid w:val="00661920"/>
    <w:rsid w:val="0066198D"/>
    <w:rsid w:val="006619FA"/>
    <w:rsid w:val="00661BEA"/>
    <w:rsid w:val="006621B1"/>
    <w:rsid w:val="00662441"/>
    <w:rsid w:val="0066245A"/>
    <w:rsid w:val="00662492"/>
    <w:rsid w:val="0066267B"/>
    <w:rsid w:val="00662ADB"/>
    <w:rsid w:val="00662B96"/>
    <w:rsid w:val="00663EF9"/>
    <w:rsid w:val="00664C70"/>
    <w:rsid w:val="00665080"/>
    <w:rsid w:val="0066521C"/>
    <w:rsid w:val="006656D2"/>
    <w:rsid w:val="0066590A"/>
    <w:rsid w:val="00665B07"/>
    <w:rsid w:val="006660B2"/>
    <w:rsid w:val="00666106"/>
    <w:rsid w:val="006665A3"/>
    <w:rsid w:val="00666646"/>
    <w:rsid w:val="00666A65"/>
    <w:rsid w:val="00666BCF"/>
    <w:rsid w:val="00666E57"/>
    <w:rsid w:val="00667240"/>
    <w:rsid w:val="00667353"/>
    <w:rsid w:val="0066736D"/>
    <w:rsid w:val="006679D4"/>
    <w:rsid w:val="00667B36"/>
    <w:rsid w:val="00667F81"/>
    <w:rsid w:val="00670107"/>
    <w:rsid w:val="00670619"/>
    <w:rsid w:val="0067063C"/>
    <w:rsid w:val="006709E2"/>
    <w:rsid w:val="00670D16"/>
    <w:rsid w:val="006712C0"/>
    <w:rsid w:val="006719DF"/>
    <w:rsid w:val="00672197"/>
    <w:rsid w:val="006721FC"/>
    <w:rsid w:val="006726FF"/>
    <w:rsid w:val="00672859"/>
    <w:rsid w:val="006728DD"/>
    <w:rsid w:val="00672DFF"/>
    <w:rsid w:val="00672EB5"/>
    <w:rsid w:val="00673077"/>
    <w:rsid w:val="00673574"/>
    <w:rsid w:val="0067383D"/>
    <w:rsid w:val="006740D8"/>
    <w:rsid w:val="006742C2"/>
    <w:rsid w:val="006742F3"/>
    <w:rsid w:val="00674566"/>
    <w:rsid w:val="00674FC1"/>
    <w:rsid w:val="006750C0"/>
    <w:rsid w:val="0067510F"/>
    <w:rsid w:val="006753B1"/>
    <w:rsid w:val="00675656"/>
    <w:rsid w:val="00675C22"/>
    <w:rsid w:val="006762A9"/>
    <w:rsid w:val="0067648D"/>
    <w:rsid w:val="00676B46"/>
    <w:rsid w:val="0067706A"/>
    <w:rsid w:val="00677191"/>
    <w:rsid w:val="0067770D"/>
    <w:rsid w:val="00677718"/>
    <w:rsid w:val="0067778B"/>
    <w:rsid w:val="00677E70"/>
    <w:rsid w:val="00680446"/>
    <w:rsid w:val="006805FA"/>
    <w:rsid w:val="00680BF1"/>
    <w:rsid w:val="00680C9C"/>
    <w:rsid w:val="00681075"/>
    <w:rsid w:val="0068151A"/>
    <w:rsid w:val="006815B2"/>
    <w:rsid w:val="00681706"/>
    <w:rsid w:val="00681C80"/>
    <w:rsid w:val="00682004"/>
    <w:rsid w:val="006822A4"/>
    <w:rsid w:val="0068263A"/>
    <w:rsid w:val="006833AB"/>
    <w:rsid w:val="006833CE"/>
    <w:rsid w:val="006836A0"/>
    <w:rsid w:val="0068376E"/>
    <w:rsid w:val="00683A3A"/>
    <w:rsid w:val="00683A78"/>
    <w:rsid w:val="00683CA5"/>
    <w:rsid w:val="006842D6"/>
    <w:rsid w:val="00684AFE"/>
    <w:rsid w:val="00684B02"/>
    <w:rsid w:val="0068509B"/>
    <w:rsid w:val="00685124"/>
    <w:rsid w:val="006854D4"/>
    <w:rsid w:val="00685C5E"/>
    <w:rsid w:val="00685FF1"/>
    <w:rsid w:val="00686050"/>
    <w:rsid w:val="006870CD"/>
    <w:rsid w:val="00687204"/>
    <w:rsid w:val="006874B2"/>
    <w:rsid w:val="0068768D"/>
    <w:rsid w:val="006877DF"/>
    <w:rsid w:val="0068780B"/>
    <w:rsid w:val="00687EEB"/>
    <w:rsid w:val="00687F2C"/>
    <w:rsid w:val="00687FBB"/>
    <w:rsid w:val="006900EA"/>
    <w:rsid w:val="00690276"/>
    <w:rsid w:val="00690B2E"/>
    <w:rsid w:val="00690B42"/>
    <w:rsid w:val="00690D32"/>
    <w:rsid w:val="0069114C"/>
    <w:rsid w:val="00691DAC"/>
    <w:rsid w:val="00692088"/>
    <w:rsid w:val="0069250B"/>
    <w:rsid w:val="00692E2F"/>
    <w:rsid w:val="00692FBF"/>
    <w:rsid w:val="00693288"/>
    <w:rsid w:val="0069329D"/>
    <w:rsid w:val="006933A6"/>
    <w:rsid w:val="00694472"/>
    <w:rsid w:val="00694819"/>
    <w:rsid w:val="00694A19"/>
    <w:rsid w:val="006952F9"/>
    <w:rsid w:val="006953E2"/>
    <w:rsid w:val="0069553A"/>
    <w:rsid w:val="00695A62"/>
    <w:rsid w:val="00695BAC"/>
    <w:rsid w:val="00695DB8"/>
    <w:rsid w:val="00695E11"/>
    <w:rsid w:val="00695E12"/>
    <w:rsid w:val="006961C0"/>
    <w:rsid w:val="0069675E"/>
    <w:rsid w:val="006967E4"/>
    <w:rsid w:val="00696B01"/>
    <w:rsid w:val="00696B29"/>
    <w:rsid w:val="00696D4D"/>
    <w:rsid w:val="00697121"/>
    <w:rsid w:val="00697282"/>
    <w:rsid w:val="006972B7"/>
    <w:rsid w:val="00697FC5"/>
    <w:rsid w:val="006A03BF"/>
    <w:rsid w:val="006A08EC"/>
    <w:rsid w:val="006A0D68"/>
    <w:rsid w:val="006A0E6F"/>
    <w:rsid w:val="006A13AC"/>
    <w:rsid w:val="006A13ED"/>
    <w:rsid w:val="006A2648"/>
    <w:rsid w:val="006A2E57"/>
    <w:rsid w:val="006A3305"/>
    <w:rsid w:val="006A3523"/>
    <w:rsid w:val="006A36BF"/>
    <w:rsid w:val="006A3AFC"/>
    <w:rsid w:val="006A3B4C"/>
    <w:rsid w:val="006A3FAB"/>
    <w:rsid w:val="006A4063"/>
    <w:rsid w:val="006A4591"/>
    <w:rsid w:val="006A46AC"/>
    <w:rsid w:val="006A47C7"/>
    <w:rsid w:val="006A4865"/>
    <w:rsid w:val="006A4967"/>
    <w:rsid w:val="006A4C9A"/>
    <w:rsid w:val="006A504F"/>
    <w:rsid w:val="006A533E"/>
    <w:rsid w:val="006A5430"/>
    <w:rsid w:val="006A6190"/>
    <w:rsid w:val="006A63BA"/>
    <w:rsid w:val="006A6625"/>
    <w:rsid w:val="006A69B7"/>
    <w:rsid w:val="006A69E4"/>
    <w:rsid w:val="006A6A15"/>
    <w:rsid w:val="006A7A5F"/>
    <w:rsid w:val="006A7F7E"/>
    <w:rsid w:val="006B0059"/>
    <w:rsid w:val="006B0083"/>
    <w:rsid w:val="006B02E1"/>
    <w:rsid w:val="006B0E64"/>
    <w:rsid w:val="006B129F"/>
    <w:rsid w:val="006B12F6"/>
    <w:rsid w:val="006B155E"/>
    <w:rsid w:val="006B1C0E"/>
    <w:rsid w:val="006B1CAB"/>
    <w:rsid w:val="006B2186"/>
    <w:rsid w:val="006B23C5"/>
    <w:rsid w:val="006B23C8"/>
    <w:rsid w:val="006B2459"/>
    <w:rsid w:val="006B25F6"/>
    <w:rsid w:val="006B2681"/>
    <w:rsid w:val="006B2E36"/>
    <w:rsid w:val="006B2E64"/>
    <w:rsid w:val="006B30CB"/>
    <w:rsid w:val="006B31EF"/>
    <w:rsid w:val="006B340F"/>
    <w:rsid w:val="006B3613"/>
    <w:rsid w:val="006B3718"/>
    <w:rsid w:val="006B3A8E"/>
    <w:rsid w:val="006B3B60"/>
    <w:rsid w:val="006B3CFF"/>
    <w:rsid w:val="006B3EFE"/>
    <w:rsid w:val="006B41ED"/>
    <w:rsid w:val="006B4614"/>
    <w:rsid w:val="006B48F0"/>
    <w:rsid w:val="006B49F4"/>
    <w:rsid w:val="006B4D37"/>
    <w:rsid w:val="006B5607"/>
    <w:rsid w:val="006B5B10"/>
    <w:rsid w:val="006B5C1E"/>
    <w:rsid w:val="006B6490"/>
    <w:rsid w:val="006B64A9"/>
    <w:rsid w:val="006B66EA"/>
    <w:rsid w:val="006B6A61"/>
    <w:rsid w:val="006B6CAC"/>
    <w:rsid w:val="006B728F"/>
    <w:rsid w:val="006C0714"/>
    <w:rsid w:val="006C071F"/>
    <w:rsid w:val="006C0979"/>
    <w:rsid w:val="006C0A5D"/>
    <w:rsid w:val="006C0C95"/>
    <w:rsid w:val="006C1263"/>
    <w:rsid w:val="006C126B"/>
    <w:rsid w:val="006C1E8F"/>
    <w:rsid w:val="006C1F06"/>
    <w:rsid w:val="006C1F99"/>
    <w:rsid w:val="006C205A"/>
    <w:rsid w:val="006C2076"/>
    <w:rsid w:val="006C241D"/>
    <w:rsid w:val="006C2460"/>
    <w:rsid w:val="006C3004"/>
    <w:rsid w:val="006C325C"/>
    <w:rsid w:val="006C3283"/>
    <w:rsid w:val="006C341C"/>
    <w:rsid w:val="006C3482"/>
    <w:rsid w:val="006C36A0"/>
    <w:rsid w:val="006C3C5A"/>
    <w:rsid w:val="006C4098"/>
    <w:rsid w:val="006C40C6"/>
    <w:rsid w:val="006C4120"/>
    <w:rsid w:val="006C427F"/>
    <w:rsid w:val="006C4315"/>
    <w:rsid w:val="006C4830"/>
    <w:rsid w:val="006C5B28"/>
    <w:rsid w:val="006C5C65"/>
    <w:rsid w:val="006C5D11"/>
    <w:rsid w:val="006C5DE3"/>
    <w:rsid w:val="006C5F9B"/>
    <w:rsid w:val="006C68F7"/>
    <w:rsid w:val="006C690E"/>
    <w:rsid w:val="006C6FD5"/>
    <w:rsid w:val="006C7002"/>
    <w:rsid w:val="006C7218"/>
    <w:rsid w:val="006C72B8"/>
    <w:rsid w:val="006C72F7"/>
    <w:rsid w:val="006C77B0"/>
    <w:rsid w:val="006C7AC1"/>
    <w:rsid w:val="006D029C"/>
    <w:rsid w:val="006D0424"/>
    <w:rsid w:val="006D0552"/>
    <w:rsid w:val="006D0682"/>
    <w:rsid w:val="006D0943"/>
    <w:rsid w:val="006D09EC"/>
    <w:rsid w:val="006D0F3A"/>
    <w:rsid w:val="006D1047"/>
    <w:rsid w:val="006D1445"/>
    <w:rsid w:val="006D148A"/>
    <w:rsid w:val="006D1D8A"/>
    <w:rsid w:val="006D2061"/>
    <w:rsid w:val="006D20BE"/>
    <w:rsid w:val="006D22D3"/>
    <w:rsid w:val="006D2A2A"/>
    <w:rsid w:val="006D2EC1"/>
    <w:rsid w:val="006D3133"/>
    <w:rsid w:val="006D3676"/>
    <w:rsid w:val="006D3F84"/>
    <w:rsid w:val="006D4002"/>
    <w:rsid w:val="006D4057"/>
    <w:rsid w:val="006D414B"/>
    <w:rsid w:val="006D4443"/>
    <w:rsid w:val="006D48B3"/>
    <w:rsid w:val="006D49A8"/>
    <w:rsid w:val="006D4A7F"/>
    <w:rsid w:val="006D4B6F"/>
    <w:rsid w:val="006D4DBD"/>
    <w:rsid w:val="006D5EA9"/>
    <w:rsid w:val="006D666D"/>
    <w:rsid w:val="006D69FA"/>
    <w:rsid w:val="006D6BD2"/>
    <w:rsid w:val="006D6C2E"/>
    <w:rsid w:val="006D7211"/>
    <w:rsid w:val="006D7394"/>
    <w:rsid w:val="006D7426"/>
    <w:rsid w:val="006D7475"/>
    <w:rsid w:val="006D74D0"/>
    <w:rsid w:val="006D78E3"/>
    <w:rsid w:val="006D7AAB"/>
    <w:rsid w:val="006E016F"/>
    <w:rsid w:val="006E05A2"/>
    <w:rsid w:val="006E0A75"/>
    <w:rsid w:val="006E0FDE"/>
    <w:rsid w:val="006E12A3"/>
    <w:rsid w:val="006E12D0"/>
    <w:rsid w:val="006E145B"/>
    <w:rsid w:val="006E15D3"/>
    <w:rsid w:val="006E1619"/>
    <w:rsid w:val="006E1A3E"/>
    <w:rsid w:val="006E1CF4"/>
    <w:rsid w:val="006E219C"/>
    <w:rsid w:val="006E24F5"/>
    <w:rsid w:val="006E2C86"/>
    <w:rsid w:val="006E2F42"/>
    <w:rsid w:val="006E2F51"/>
    <w:rsid w:val="006E313C"/>
    <w:rsid w:val="006E3494"/>
    <w:rsid w:val="006E3DD9"/>
    <w:rsid w:val="006E3FCB"/>
    <w:rsid w:val="006E40AD"/>
    <w:rsid w:val="006E4BF9"/>
    <w:rsid w:val="006E50FD"/>
    <w:rsid w:val="006E5190"/>
    <w:rsid w:val="006E51C3"/>
    <w:rsid w:val="006E5974"/>
    <w:rsid w:val="006E5D7C"/>
    <w:rsid w:val="006E63A4"/>
    <w:rsid w:val="006E6754"/>
    <w:rsid w:val="006E6917"/>
    <w:rsid w:val="006E6A00"/>
    <w:rsid w:val="006E6B86"/>
    <w:rsid w:val="006E6DFB"/>
    <w:rsid w:val="006E6FEF"/>
    <w:rsid w:val="006E70EC"/>
    <w:rsid w:val="006E721C"/>
    <w:rsid w:val="006E7290"/>
    <w:rsid w:val="006E777F"/>
    <w:rsid w:val="006E7A60"/>
    <w:rsid w:val="006E7DB7"/>
    <w:rsid w:val="006F00C1"/>
    <w:rsid w:val="006F0299"/>
    <w:rsid w:val="006F05F6"/>
    <w:rsid w:val="006F07AA"/>
    <w:rsid w:val="006F12CC"/>
    <w:rsid w:val="006F12EC"/>
    <w:rsid w:val="006F17D6"/>
    <w:rsid w:val="006F1814"/>
    <w:rsid w:val="006F19E2"/>
    <w:rsid w:val="006F1A12"/>
    <w:rsid w:val="006F2357"/>
    <w:rsid w:val="006F2F53"/>
    <w:rsid w:val="006F3183"/>
    <w:rsid w:val="006F3801"/>
    <w:rsid w:val="006F3A5D"/>
    <w:rsid w:val="006F3C5A"/>
    <w:rsid w:val="006F3D2B"/>
    <w:rsid w:val="006F4AEE"/>
    <w:rsid w:val="006F4DDB"/>
    <w:rsid w:val="006F515F"/>
    <w:rsid w:val="006F51B0"/>
    <w:rsid w:val="006F544E"/>
    <w:rsid w:val="006F5AFF"/>
    <w:rsid w:val="006F5FCB"/>
    <w:rsid w:val="006F631D"/>
    <w:rsid w:val="006F64C3"/>
    <w:rsid w:val="006F64E9"/>
    <w:rsid w:val="006F6653"/>
    <w:rsid w:val="006F66AB"/>
    <w:rsid w:val="006F67A9"/>
    <w:rsid w:val="006F6CDE"/>
    <w:rsid w:val="006F6F6F"/>
    <w:rsid w:val="006F7386"/>
    <w:rsid w:val="006F776A"/>
    <w:rsid w:val="00700124"/>
    <w:rsid w:val="0070019E"/>
    <w:rsid w:val="007007D6"/>
    <w:rsid w:val="00700993"/>
    <w:rsid w:val="007012AD"/>
    <w:rsid w:val="007017D8"/>
    <w:rsid w:val="0070197C"/>
    <w:rsid w:val="00701FA6"/>
    <w:rsid w:val="007022ED"/>
    <w:rsid w:val="0070254C"/>
    <w:rsid w:val="00702BF2"/>
    <w:rsid w:val="007031F2"/>
    <w:rsid w:val="00703797"/>
    <w:rsid w:val="007038BD"/>
    <w:rsid w:val="0070395D"/>
    <w:rsid w:val="00703A4E"/>
    <w:rsid w:val="00704143"/>
    <w:rsid w:val="007042D2"/>
    <w:rsid w:val="0070497C"/>
    <w:rsid w:val="00704E33"/>
    <w:rsid w:val="00704ED0"/>
    <w:rsid w:val="007051F3"/>
    <w:rsid w:val="0070522C"/>
    <w:rsid w:val="0070548E"/>
    <w:rsid w:val="00705491"/>
    <w:rsid w:val="00706302"/>
    <w:rsid w:val="00706A9B"/>
    <w:rsid w:val="00706B25"/>
    <w:rsid w:val="00706D35"/>
    <w:rsid w:val="0070701C"/>
    <w:rsid w:val="00707460"/>
    <w:rsid w:val="00707706"/>
    <w:rsid w:val="00707835"/>
    <w:rsid w:val="007079BF"/>
    <w:rsid w:val="00707B05"/>
    <w:rsid w:val="0071032E"/>
    <w:rsid w:val="007106A3"/>
    <w:rsid w:val="0071093F"/>
    <w:rsid w:val="00710A1D"/>
    <w:rsid w:val="007115AB"/>
    <w:rsid w:val="00711841"/>
    <w:rsid w:val="0071198C"/>
    <w:rsid w:val="00711D38"/>
    <w:rsid w:val="007120F9"/>
    <w:rsid w:val="0071248B"/>
    <w:rsid w:val="0071250F"/>
    <w:rsid w:val="00712774"/>
    <w:rsid w:val="007127A2"/>
    <w:rsid w:val="00712C28"/>
    <w:rsid w:val="00712C66"/>
    <w:rsid w:val="007138B1"/>
    <w:rsid w:val="00714477"/>
    <w:rsid w:val="00714667"/>
    <w:rsid w:val="00714844"/>
    <w:rsid w:val="0071495F"/>
    <w:rsid w:val="00714C2A"/>
    <w:rsid w:val="0071585F"/>
    <w:rsid w:val="00715A72"/>
    <w:rsid w:val="00715ED8"/>
    <w:rsid w:val="00715EF5"/>
    <w:rsid w:val="00716068"/>
    <w:rsid w:val="00716324"/>
    <w:rsid w:val="00716570"/>
    <w:rsid w:val="00716DCA"/>
    <w:rsid w:val="00717121"/>
    <w:rsid w:val="0071712B"/>
    <w:rsid w:val="00717411"/>
    <w:rsid w:val="00717DAE"/>
    <w:rsid w:val="00717E64"/>
    <w:rsid w:val="007201DE"/>
    <w:rsid w:val="00720592"/>
    <w:rsid w:val="00720EEE"/>
    <w:rsid w:val="007212F1"/>
    <w:rsid w:val="00721D68"/>
    <w:rsid w:val="00721D74"/>
    <w:rsid w:val="00721D90"/>
    <w:rsid w:val="00722085"/>
    <w:rsid w:val="007223EE"/>
    <w:rsid w:val="007226D4"/>
    <w:rsid w:val="0072293A"/>
    <w:rsid w:val="007232BD"/>
    <w:rsid w:val="007234EB"/>
    <w:rsid w:val="00723731"/>
    <w:rsid w:val="00723C6B"/>
    <w:rsid w:val="0072400F"/>
    <w:rsid w:val="00724DE2"/>
    <w:rsid w:val="00724EB6"/>
    <w:rsid w:val="00725119"/>
    <w:rsid w:val="0072552F"/>
    <w:rsid w:val="007257D1"/>
    <w:rsid w:val="00725889"/>
    <w:rsid w:val="00725AF6"/>
    <w:rsid w:val="00725B18"/>
    <w:rsid w:val="00725FE5"/>
    <w:rsid w:val="007264DA"/>
    <w:rsid w:val="00726776"/>
    <w:rsid w:val="007270E2"/>
    <w:rsid w:val="007270E6"/>
    <w:rsid w:val="007304B4"/>
    <w:rsid w:val="007304F5"/>
    <w:rsid w:val="0073069E"/>
    <w:rsid w:val="0073078D"/>
    <w:rsid w:val="00730854"/>
    <w:rsid w:val="00730CE0"/>
    <w:rsid w:val="0073112C"/>
    <w:rsid w:val="007316B3"/>
    <w:rsid w:val="00731C71"/>
    <w:rsid w:val="00731FA7"/>
    <w:rsid w:val="007322DD"/>
    <w:rsid w:val="007322EF"/>
    <w:rsid w:val="0073250F"/>
    <w:rsid w:val="007328B6"/>
    <w:rsid w:val="00732B11"/>
    <w:rsid w:val="00732F43"/>
    <w:rsid w:val="0073308D"/>
    <w:rsid w:val="007335E5"/>
    <w:rsid w:val="00733B91"/>
    <w:rsid w:val="00733E52"/>
    <w:rsid w:val="0073408E"/>
    <w:rsid w:val="007348F0"/>
    <w:rsid w:val="00734BB1"/>
    <w:rsid w:val="0073578B"/>
    <w:rsid w:val="007357FE"/>
    <w:rsid w:val="007369B0"/>
    <w:rsid w:val="00736A2E"/>
    <w:rsid w:val="00736BD6"/>
    <w:rsid w:val="00736C7C"/>
    <w:rsid w:val="00736E15"/>
    <w:rsid w:val="00736EF7"/>
    <w:rsid w:val="00736F9C"/>
    <w:rsid w:val="007372F6"/>
    <w:rsid w:val="007379FA"/>
    <w:rsid w:val="00737B6E"/>
    <w:rsid w:val="00737BCD"/>
    <w:rsid w:val="00740010"/>
    <w:rsid w:val="0074036E"/>
    <w:rsid w:val="0074037A"/>
    <w:rsid w:val="00740407"/>
    <w:rsid w:val="00740A15"/>
    <w:rsid w:val="00740B35"/>
    <w:rsid w:val="00740C3B"/>
    <w:rsid w:val="00740E50"/>
    <w:rsid w:val="00740E9D"/>
    <w:rsid w:val="00741174"/>
    <w:rsid w:val="007412D1"/>
    <w:rsid w:val="007412DA"/>
    <w:rsid w:val="007419F4"/>
    <w:rsid w:val="00741B2F"/>
    <w:rsid w:val="00741C1D"/>
    <w:rsid w:val="00741D8D"/>
    <w:rsid w:val="00741DA0"/>
    <w:rsid w:val="00741E3E"/>
    <w:rsid w:val="00741E55"/>
    <w:rsid w:val="00742091"/>
    <w:rsid w:val="007422EF"/>
    <w:rsid w:val="0074276E"/>
    <w:rsid w:val="00742DA8"/>
    <w:rsid w:val="007432D5"/>
    <w:rsid w:val="0074331B"/>
    <w:rsid w:val="00743528"/>
    <w:rsid w:val="0074396B"/>
    <w:rsid w:val="00743B09"/>
    <w:rsid w:val="00744584"/>
    <w:rsid w:val="007447EE"/>
    <w:rsid w:val="00744889"/>
    <w:rsid w:val="00744B76"/>
    <w:rsid w:val="00745861"/>
    <w:rsid w:val="00745949"/>
    <w:rsid w:val="00745B07"/>
    <w:rsid w:val="00745CC7"/>
    <w:rsid w:val="007461EB"/>
    <w:rsid w:val="0074668E"/>
    <w:rsid w:val="0074675F"/>
    <w:rsid w:val="00747196"/>
    <w:rsid w:val="00747317"/>
    <w:rsid w:val="007474C6"/>
    <w:rsid w:val="0074751D"/>
    <w:rsid w:val="0074776B"/>
    <w:rsid w:val="007478C4"/>
    <w:rsid w:val="00747946"/>
    <w:rsid w:val="00747D5B"/>
    <w:rsid w:val="00750488"/>
    <w:rsid w:val="007505E9"/>
    <w:rsid w:val="00750F2B"/>
    <w:rsid w:val="00750F6B"/>
    <w:rsid w:val="007510D3"/>
    <w:rsid w:val="00751276"/>
    <w:rsid w:val="00751A79"/>
    <w:rsid w:val="00751FA4"/>
    <w:rsid w:val="007524F6"/>
    <w:rsid w:val="00752B18"/>
    <w:rsid w:val="00752B2F"/>
    <w:rsid w:val="00754162"/>
    <w:rsid w:val="0075427C"/>
    <w:rsid w:val="0075449C"/>
    <w:rsid w:val="00754677"/>
    <w:rsid w:val="00754A6E"/>
    <w:rsid w:val="00754BE2"/>
    <w:rsid w:val="00754D4C"/>
    <w:rsid w:val="00754E46"/>
    <w:rsid w:val="00754F7B"/>
    <w:rsid w:val="00755075"/>
    <w:rsid w:val="00755307"/>
    <w:rsid w:val="007554AC"/>
    <w:rsid w:val="00755550"/>
    <w:rsid w:val="007556DE"/>
    <w:rsid w:val="00755B76"/>
    <w:rsid w:val="00756171"/>
    <w:rsid w:val="007569B6"/>
    <w:rsid w:val="0075714C"/>
    <w:rsid w:val="0075714F"/>
    <w:rsid w:val="007604C6"/>
    <w:rsid w:val="00760B0B"/>
    <w:rsid w:val="00760C9B"/>
    <w:rsid w:val="0076109D"/>
    <w:rsid w:val="0076149B"/>
    <w:rsid w:val="007616E7"/>
    <w:rsid w:val="00761C13"/>
    <w:rsid w:val="00761C4E"/>
    <w:rsid w:val="00761EDC"/>
    <w:rsid w:val="00761F5B"/>
    <w:rsid w:val="00762373"/>
    <w:rsid w:val="0076251A"/>
    <w:rsid w:val="0076274F"/>
    <w:rsid w:val="007630A1"/>
    <w:rsid w:val="00763122"/>
    <w:rsid w:val="00763643"/>
    <w:rsid w:val="0076385E"/>
    <w:rsid w:val="00764346"/>
    <w:rsid w:val="0076478A"/>
    <w:rsid w:val="00764E10"/>
    <w:rsid w:val="00764EB4"/>
    <w:rsid w:val="0076502A"/>
    <w:rsid w:val="00765183"/>
    <w:rsid w:val="007651DF"/>
    <w:rsid w:val="00765721"/>
    <w:rsid w:val="00765736"/>
    <w:rsid w:val="0076586A"/>
    <w:rsid w:val="007658ED"/>
    <w:rsid w:val="00765F93"/>
    <w:rsid w:val="00766358"/>
    <w:rsid w:val="007663C6"/>
    <w:rsid w:val="007663D0"/>
    <w:rsid w:val="00766423"/>
    <w:rsid w:val="0076650A"/>
    <w:rsid w:val="00766819"/>
    <w:rsid w:val="00766943"/>
    <w:rsid w:val="00766D06"/>
    <w:rsid w:val="00766DBE"/>
    <w:rsid w:val="0076702F"/>
    <w:rsid w:val="00767241"/>
    <w:rsid w:val="007672F3"/>
    <w:rsid w:val="0076745D"/>
    <w:rsid w:val="007678C9"/>
    <w:rsid w:val="00767B6F"/>
    <w:rsid w:val="007701AE"/>
    <w:rsid w:val="00770740"/>
    <w:rsid w:val="00770BF6"/>
    <w:rsid w:val="00770C06"/>
    <w:rsid w:val="00770D9D"/>
    <w:rsid w:val="00771001"/>
    <w:rsid w:val="00771052"/>
    <w:rsid w:val="007710BF"/>
    <w:rsid w:val="00771624"/>
    <w:rsid w:val="00771807"/>
    <w:rsid w:val="00771924"/>
    <w:rsid w:val="00771FED"/>
    <w:rsid w:val="0077242F"/>
    <w:rsid w:val="00772B2E"/>
    <w:rsid w:val="00772F80"/>
    <w:rsid w:val="00772FEC"/>
    <w:rsid w:val="00773326"/>
    <w:rsid w:val="00773437"/>
    <w:rsid w:val="00773462"/>
    <w:rsid w:val="00773AA7"/>
    <w:rsid w:val="00773BDB"/>
    <w:rsid w:val="00774285"/>
    <w:rsid w:val="00774975"/>
    <w:rsid w:val="0077514B"/>
    <w:rsid w:val="00775D7F"/>
    <w:rsid w:val="00775F05"/>
    <w:rsid w:val="0077635C"/>
    <w:rsid w:val="0077654E"/>
    <w:rsid w:val="00776C92"/>
    <w:rsid w:val="00776E61"/>
    <w:rsid w:val="0077758A"/>
    <w:rsid w:val="007809C7"/>
    <w:rsid w:val="0078155F"/>
    <w:rsid w:val="007818D8"/>
    <w:rsid w:val="00781B9D"/>
    <w:rsid w:val="00781E5B"/>
    <w:rsid w:val="007827AC"/>
    <w:rsid w:val="00782D0C"/>
    <w:rsid w:val="00782D8E"/>
    <w:rsid w:val="007830FA"/>
    <w:rsid w:val="007832DE"/>
    <w:rsid w:val="00783402"/>
    <w:rsid w:val="0078345D"/>
    <w:rsid w:val="007834D2"/>
    <w:rsid w:val="00783525"/>
    <w:rsid w:val="007835EC"/>
    <w:rsid w:val="00783A34"/>
    <w:rsid w:val="00783F9C"/>
    <w:rsid w:val="00783FA6"/>
    <w:rsid w:val="00784A05"/>
    <w:rsid w:val="00784B9E"/>
    <w:rsid w:val="00784EB5"/>
    <w:rsid w:val="00785079"/>
    <w:rsid w:val="00785107"/>
    <w:rsid w:val="0078526F"/>
    <w:rsid w:val="00785273"/>
    <w:rsid w:val="00785420"/>
    <w:rsid w:val="0078581A"/>
    <w:rsid w:val="00785979"/>
    <w:rsid w:val="00786897"/>
    <w:rsid w:val="00787127"/>
    <w:rsid w:val="00787B0E"/>
    <w:rsid w:val="00787F47"/>
    <w:rsid w:val="00790141"/>
    <w:rsid w:val="0079032C"/>
    <w:rsid w:val="007907E1"/>
    <w:rsid w:val="00791296"/>
    <w:rsid w:val="007913D5"/>
    <w:rsid w:val="00791DEE"/>
    <w:rsid w:val="00792936"/>
    <w:rsid w:val="00792988"/>
    <w:rsid w:val="00792AC9"/>
    <w:rsid w:val="00792AD3"/>
    <w:rsid w:val="00792E4A"/>
    <w:rsid w:val="00792FE3"/>
    <w:rsid w:val="00793230"/>
    <w:rsid w:val="00793266"/>
    <w:rsid w:val="007935E4"/>
    <w:rsid w:val="00793B71"/>
    <w:rsid w:val="00793B73"/>
    <w:rsid w:val="00793D34"/>
    <w:rsid w:val="00793E2B"/>
    <w:rsid w:val="00794231"/>
    <w:rsid w:val="00794465"/>
    <w:rsid w:val="0079450C"/>
    <w:rsid w:val="007949A9"/>
    <w:rsid w:val="00794DC0"/>
    <w:rsid w:val="00794E6B"/>
    <w:rsid w:val="0079507E"/>
    <w:rsid w:val="0079561F"/>
    <w:rsid w:val="0079590C"/>
    <w:rsid w:val="00795A54"/>
    <w:rsid w:val="00796546"/>
    <w:rsid w:val="007965C2"/>
    <w:rsid w:val="00796A7E"/>
    <w:rsid w:val="00796D01"/>
    <w:rsid w:val="00797495"/>
    <w:rsid w:val="00797679"/>
    <w:rsid w:val="007978E4"/>
    <w:rsid w:val="007A0060"/>
    <w:rsid w:val="007A0199"/>
    <w:rsid w:val="007A06F5"/>
    <w:rsid w:val="007A07FA"/>
    <w:rsid w:val="007A0D44"/>
    <w:rsid w:val="007A0DE4"/>
    <w:rsid w:val="007A106B"/>
    <w:rsid w:val="007A122A"/>
    <w:rsid w:val="007A13E6"/>
    <w:rsid w:val="007A1BBA"/>
    <w:rsid w:val="007A1E08"/>
    <w:rsid w:val="007A1E55"/>
    <w:rsid w:val="007A1FAC"/>
    <w:rsid w:val="007A24A1"/>
    <w:rsid w:val="007A2957"/>
    <w:rsid w:val="007A2AE2"/>
    <w:rsid w:val="007A2F71"/>
    <w:rsid w:val="007A3508"/>
    <w:rsid w:val="007A47A3"/>
    <w:rsid w:val="007A57EA"/>
    <w:rsid w:val="007A5979"/>
    <w:rsid w:val="007A5AFC"/>
    <w:rsid w:val="007A5F90"/>
    <w:rsid w:val="007A6373"/>
    <w:rsid w:val="007A6697"/>
    <w:rsid w:val="007A66B7"/>
    <w:rsid w:val="007A685E"/>
    <w:rsid w:val="007A68A8"/>
    <w:rsid w:val="007A7322"/>
    <w:rsid w:val="007A73A8"/>
    <w:rsid w:val="007A7464"/>
    <w:rsid w:val="007A751B"/>
    <w:rsid w:val="007A770C"/>
    <w:rsid w:val="007A7A39"/>
    <w:rsid w:val="007A7C80"/>
    <w:rsid w:val="007B00B7"/>
    <w:rsid w:val="007B026A"/>
    <w:rsid w:val="007B0464"/>
    <w:rsid w:val="007B068D"/>
    <w:rsid w:val="007B087E"/>
    <w:rsid w:val="007B0936"/>
    <w:rsid w:val="007B122A"/>
    <w:rsid w:val="007B1456"/>
    <w:rsid w:val="007B1770"/>
    <w:rsid w:val="007B18F2"/>
    <w:rsid w:val="007B1F48"/>
    <w:rsid w:val="007B2AAB"/>
    <w:rsid w:val="007B30D0"/>
    <w:rsid w:val="007B31F6"/>
    <w:rsid w:val="007B3281"/>
    <w:rsid w:val="007B369D"/>
    <w:rsid w:val="007B37CB"/>
    <w:rsid w:val="007B40AB"/>
    <w:rsid w:val="007B4449"/>
    <w:rsid w:val="007B4B13"/>
    <w:rsid w:val="007B4BE4"/>
    <w:rsid w:val="007B4BFC"/>
    <w:rsid w:val="007B502B"/>
    <w:rsid w:val="007B52EC"/>
    <w:rsid w:val="007B55AC"/>
    <w:rsid w:val="007B59C9"/>
    <w:rsid w:val="007B5CA1"/>
    <w:rsid w:val="007B5D4B"/>
    <w:rsid w:val="007B61F0"/>
    <w:rsid w:val="007B72B0"/>
    <w:rsid w:val="007B73C5"/>
    <w:rsid w:val="007B75E4"/>
    <w:rsid w:val="007B7A3A"/>
    <w:rsid w:val="007B7A8B"/>
    <w:rsid w:val="007B7EF6"/>
    <w:rsid w:val="007C00E5"/>
    <w:rsid w:val="007C0273"/>
    <w:rsid w:val="007C0D1B"/>
    <w:rsid w:val="007C0E06"/>
    <w:rsid w:val="007C0E83"/>
    <w:rsid w:val="007C1230"/>
    <w:rsid w:val="007C12BE"/>
    <w:rsid w:val="007C1380"/>
    <w:rsid w:val="007C1469"/>
    <w:rsid w:val="007C14BD"/>
    <w:rsid w:val="007C2894"/>
    <w:rsid w:val="007C291F"/>
    <w:rsid w:val="007C323A"/>
    <w:rsid w:val="007C3973"/>
    <w:rsid w:val="007C3A24"/>
    <w:rsid w:val="007C3B4B"/>
    <w:rsid w:val="007C46D8"/>
    <w:rsid w:val="007C49BE"/>
    <w:rsid w:val="007C4AA5"/>
    <w:rsid w:val="007C4F06"/>
    <w:rsid w:val="007C5011"/>
    <w:rsid w:val="007C585E"/>
    <w:rsid w:val="007C5F21"/>
    <w:rsid w:val="007C63FB"/>
    <w:rsid w:val="007C6575"/>
    <w:rsid w:val="007C6CA9"/>
    <w:rsid w:val="007C6FF6"/>
    <w:rsid w:val="007C7E2F"/>
    <w:rsid w:val="007D0355"/>
    <w:rsid w:val="007D0830"/>
    <w:rsid w:val="007D099A"/>
    <w:rsid w:val="007D0B60"/>
    <w:rsid w:val="007D0C12"/>
    <w:rsid w:val="007D0D2F"/>
    <w:rsid w:val="007D13D1"/>
    <w:rsid w:val="007D1A41"/>
    <w:rsid w:val="007D2E37"/>
    <w:rsid w:val="007D3405"/>
    <w:rsid w:val="007D341A"/>
    <w:rsid w:val="007D3896"/>
    <w:rsid w:val="007D3D53"/>
    <w:rsid w:val="007D3DE5"/>
    <w:rsid w:val="007D3E0D"/>
    <w:rsid w:val="007D401C"/>
    <w:rsid w:val="007D450F"/>
    <w:rsid w:val="007D45E5"/>
    <w:rsid w:val="007D464D"/>
    <w:rsid w:val="007D484A"/>
    <w:rsid w:val="007D4B27"/>
    <w:rsid w:val="007D4D8F"/>
    <w:rsid w:val="007D4E8F"/>
    <w:rsid w:val="007D50E2"/>
    <w:rsid w:val="007D54DF"/>
    <w:rsid w:val="007D5A54"/>
    <w:rsid w:val="007D5B34"/>
    <w:rsid w:val="007D6105"/>
    <w:rsid w:val="007D62CF"/>
    <w:rsid w:val="007D65A4"/>
    <w:rsid w:val="007D6B0A"/>
    <w:rsid w:val="007D6CD6"/>
    <w:rsid w:val="007D6D4A"/>
    <w:rsid w:val="007D6F69"/>
    <w:rsid w:val="007D765F"/>
    <w:rsid w:val="007D7D32"/>
    <w:rsid w:val="007D7DF7"/>
    <w:rsid w:val="007E011B"/>
    <w:rsid w:val="007E03A6"/>
    <w:rsid w:val="007E049E"/>
    <w:rsid w:val="007E0734"/>
    <w:rsid w:val="007E0BD2"/>
    <w:rsid w:val="007E0D97"/>
    <w:rsid w:val="007E176B"/>
    <w:rsid w:val="007E1805"/>
    <w:rsid w:val="007E1D63"/>
    <w:rsid w:val="007E1F4B"/>
    <w:rsid w:val="007E2951"/>
    <w:rsid w:val="007E295B"/>
    <w:rsid w:val="007E3505"/>
    <w:rsid w:val="007E37B6"/>
    <w:rsid w:val="007E3A9D"/>
    <w:rsid w:val="007E3DF2"/>
    <w:rsid w:val="007E4ABA"/>
    <w:rsid w:val="007E5559"/>
    <w:rsid w:val="007E5A24"/>
    <w:rsid w:val="007E5B62"/>
    <w:rsid w:val="007E5CF5"/>
    <w:rsid w:val="007E5ED6"/>
    <w:rsid w:val="007E64E0"/>
    <w:rsid w:val="007E682C"/>
    <w:rsid w:val="007E68F2"/>
    <w:rsid w:val="007E6D5D"/>
    <w:rsid w:val="007E72FB"/>
    <w:rsid w:val="007E738D"/>
    <w:rsid w:val="007E7966"/>
    <w:rsid w:val="007F0270"/>
    <w:rsid w:val="007F056A"/>
    <w:rsid w:val="007F08F5"/>
    <w:rsid w:val="007F0D13"/>
    <w:rsid w:val="007F117F"/>
    <w:rsid w:val="007F11A6"/>
    <w:rsid w:val="007F1672"/>
    <w:rsid w:val="007F1A6D"/>
    <w:rsid w:val="007F1E29"/>
    <w:rsid w:val="007F2112"/>
    <w:rsid w:val="007F21A2"/>
    <w:rsid w:val="007F23FF"/>
    <w:rsid w:val="007F29B9"/>
    <w:rsid w:val="007F2ACE"/>
    <w:rsid w:val="007F2DD6"/>
    <w:rsid w:val="007F30BC"/>
    <w:rsid w:val="007F33E3"/>
    <w:rsid w:val="007F3AE7"/>
    <w:rsid w:val="007F3B90"/>
    <w:rsid w:val="007F3E1C"/>
    <w:rsid w:val="007F4523"/>
    <w:rsid w:val="007F4CC3"/>
    <w:rsid w:val="007F4FAB"/>
    <w:rsid w:val="007F55B5"/>
    <w:rsid w:val="007F56D2"/>
    <w:rsid w:val="007F5832"/>
    <w:rsid w:val="007F5F0B"/>
    <w:rsid w:val="007F6345"/>
    <w:rsid w:val="007F653C"/>
    <w:rsid w:val="007F6AE4"/>
    <w:rsid w:val="007F6C14"/>
    <w:rsid w:val="007F73A3"/>
    <w:rsid w:val="007F7A03"/>
    <w:rsid w:val="007F7A0F"/>
    <w:rsid w:val="007F7ADB"/>
    <w:rsid w:val="007F7E92"/>
    <w:rsid w:val="007F7EDF"/>
    <w:rsid w:val="00800077"/>
    <w:rsid w:val="0080025C"/>
    <w:rsid w:val="008003ED"/>
    <w:rsid w:val="00800AFA"/>
    <w:rsid w:val="00800B03"/>
    <w:rsid w:val="00800CE7"/>
    <w:rsid w:val="008010D7"/>
    <w:rsid w:val="008019E6"/>
    <w:rsid w:val="00802206"/>
    <w:rsid w:val="00802231"/>
    <w:rsid w:val="00802483"/>
    <w:rsid w:val="00802A32"/>
    <w:rsid w:val="00802CA5"/>
    <w:rsid w:val="00803597"/>
    <w:rsid w:val="00803B28"/>
    <w:rsid w:val="00803FC7"/>
    <w:rsid w:val="00804853"/>
    <w:rsid w:val="008054BB"/>
    <w:rsid w:val="00805AAD"/>
    <w:rsid w:val="00805F08"/>
    <w:rsid w:val="00806272"/>
    <w:rsid w:val="0080633B"/>
    <w:rsid w:val="00806A57"/>
    <w:rsid w:val="00807157"/>
    <w:rsid w:val="008079A7"/>
    <w:rsid w:val="00807BED"/>
    <w:rsid w:val="00807DC6"/>
    <w:rsid w:val="008101FA"/>
    <w:rsid w:val="00810372"/>
    <w:rsid w:val="008106B3"/>
    <w:rsid w:val="00810776"/>
    <w:rsid w:val="008109A0"/>
    <w:rsid w:val="00810C37"/>
    <w:rsid w:val="00810C8D"/>
    <w:rsid w:val="00810CF6"/>
    <w:rsid w:val="0081173B"/>
    <w:rsid w:val="00811C73"/>
    <w:rsid w:val="00811F07"/>
    <w:rsid w:val="008123A2"/>
    <w:rsid w:val="00812755"/>
    <w:rsid w:val="00812776"/>
    <w:rsid w:val="008129C8"/>
    <w:rsid w:val="00812B0D"/>
    <w:rsid w:val="00812E6A"/>
    <w:rsid w:val="008130F0"/>
    <w:rsid w:val="00813426"/>
    <w:rsid w:val="008134C7"/>
    <w:rsid w:val="008139F9"/>
    <w:rsid w:val="00813C90"/>
    <w:rsid w:val="00813E05"/>
    <w:rsid w:val="008145F5"/>
    <w:rsid w:val="008146A6"/>
    <w:rsid w:val="00815571"/>
    <w:rsid w:val="00815C2D"/>
    <w:rsid w:val="00815FB0"/>
    <w:rsid w:val="008162B9"/>
    <w:rsid w:val="00816784"/>
    <w:rsid w:val="00816AE8"/>
    <w:rsid w:val="00816B0F"/>
    <w:rsid w:val="00816DC1"/>
    <w:rsid w:val="00816E19"/>
    <w:rsid w:val="00817913"/>
    <w:rsid w:val="00817DD5"/>
    <w:rsid w:val="00817E2B"/>
    <w:rsid w:val="00817EFE"/>
    <w:rsid w:val="00820232"/>
    <w:rsid w:val="0082047F"/>
    <w:rsid w:val="008205B9"/>
    <w:rsid w:val="00820870"/>
    <w:rsid w:val="00820A4D"/>
    <w:rsid w:val="008210FD"/>
    <w:rsid w:val="00821410"/>
    <w:rsid w:val="008214C1"/>
    <w:rsid w:val="00821521"/>
    <w:rsid w:val="0082153B"/>
    <w:rsid w:val="00821A73"/>
    <w:rsid w:val="00821B13"/>
    <w:rsid w:val="00821D5B"/>
    <w:rsid w:val="00821F85"/>
    <w:rsid w:val="00822CDB"/>
    <w:rsid w:val="008231C8"/>
    <w:rsid w:val="00823282"/>
    <w:rsid w:val="00823BE2"/>
    <w:rsid w:val="00823CB0"/>
    <w:rsid w:val="00823CE0"/>
    <w:rsid w:val="00824123"/>
    <w:rsid w:val="0082457D"/>
    <w:rsid w:val="0082491D"/>
    <w:rsid w:val="00824C92"/>
    <w:rsid w:val="00824CE9"/>
    <w:rsid w:val="00825585"/>
    <w:rsid w:val="00825FAC"/>
    <w:rsid w:val="00826267"/>
    <w:rsid w:val="008264AC"/>
    <w:rsid w:val="008264CF"/>
    <w:rsid w:val="008265E1"/>
    <w:rsid w:val="008270C5"/>
    <w:rsid w:val="00827969"/>
    <w:rsid w:val="00827EF4"/>
    <w:rsid w:val="0083004F"/>
    <w:rsid w:val="0083044B"/>
    <w:rsid w:val="008307EE"/>
    <w:rsid w:val="0083089E"/>
    <w:rsid w:val="008309C7"/>
    <w:rsid w:val="008311BF"/>
    <w:rsid w:val="0083178D"/>
    <w:rsid w:val="00831C17"/>
    <w:rsid w:val="00832D26"/>
    <w:rsid w:val="00832D60"/>
    <w:rsid w:val="00833401"/>
    <w:rsid w:val="00833DEA"/>
    <w:rsid w:val="00833F0C"/>
    <w:rsid w:val="00833FEB"/>
    <w:rsid w:val="008345D5"/>
    <w:rsid w:val="0083468F"/>
    <w:rsid w:val="0083497A"/>
    <w:rsid w:val="00834E64"/>
    <w:rsid w:val="0083543E"/>
    <w:rsid w:val="00835EBA"/>
    <w:rsid w:val="00835FAC"/>
    <w:rsid w:val="008366B4"/>
    <w:rsid w:val="00836D54"/>
    <w:rsid w:val="00836E71"/>
    <w:rsid w:val="00836F66"/>
    <w:rsid w:val="0083789B"/>
    <w:rsid w:val="00837CA2"/>
    <w:rsid w:val="00837D8E"/>
    <w:rsid w:val="00837E97"/>
    <w:rsid w:val="0084032A"/>
    <w:rsid w:val="0084036E"/>
    <w:rsid w:val="00840503"/>
    <w:rsid w:val="008405F3"/>
    <w:rsid w:val="00840DCE"/>
    <w:rsid w:val="00841218"/>
    <w:rsid w:val="0084146D"/>
    <w:rsid w:val="008415D9"/>
    <w:rsid w:val="008416D7"/>
    <w:rsid w:val="0084212F"/>
    <w:rsid w:val="0084240E"/>
    <w:rsid w:val="00842596"/>
    <w:rsid w:val="00842897"/>
    <w:rsid w:val="00842AF3"/>
    <w:rsid w:val="00843A53"/>
    <w:rsid w:val="00843BC3"/>
    <w:rsid w:val="00843CD4"/>
    <w:rsid w:val="00844114"/>
    <w:rsid w:val="0084417F"/>
    <w:rsid w:val="008447A8"/>
    <w:rsid w:val="00844DB3"/>
    <w:rsid w:val="00844EA0"/>
    <w:rsid w:val="00845932"/>
    <w:rsid w:val="00845CF8"/>
    <w:rsid w:val="00846085"/>
    <w:rsid w:val="00846290"/>
    <w:rsid w:val="008465D3"/>
    <w:rsid w:val="00846DBD"/>
    <w:rsid w:val="00847360"/>
    <w:rsid w:val="00847A18"/>
    <w:rsid w:val="00850663"/>
    <w:rsid w:val="008506CA"/>
    <w:rsid w:val="00850C48"/>
    <w:rsid w:val="00850F82"/>
    <w:rsid w:val="008513AB"/>
    <w:rsid w:val="00851C49"/>
    <w:rsid w:val="00851D3F"/>
    <w:rsid w:val="00851DC8"/>
    <w:rsid w:val="00852AE9"/>
    <w:rsid w:val="00852F2F"/>
    <w:rsid w:val="0085331D"/>
    <w:rsid w:val="00853580"/>
    <w:rsid w:val="00853703"/>
    <w:rsid w:val="00853904"/>
    <w:rsid w:val="00853D15"/>
    <w:rsid w:val="00854306"/>
    <w:rsid w:val="00854499"/>
    <w:rsid w:val="008544AB"/>
    <w:rsid w:val="00854C99"/>
    <w:rsid w:val="00854D3A"/>
    <w:rsid w:val="0085523C"/>
    <w:rsid w:val="0085559F"/>
    <w:rsid w:val="00855BEB"/>
    <w:rsid w:val="00855C29"/>
    <w:rsid w:val="00855D54"/>
    <w:rsid w:val="008561A4"/>
    <w:rsid w:val="00856239"/>
    <w:rsid w:val="008562F2"/>
    <w:rsid w:val="008564B9"/>
    <w:rsid w:val="008566ED"/>
    <w:rsid w:val="00856A34"/>
    <w:rsid w:val="00856AD7"/>
    <w:rsid w:val="00856C48"/>
    <w:rsid w:val="00856E61"/>
    <w:rsid w:val="00856F23"/>
    <w:rsid w:val="00856FD0"/>
    <w:rsid w:val="00857073"/>
    <w:rsid w:val="0085747C"/>
    <w:rsid w:val="00857907"/>
    <w:rsid w:val="0085799D"/>
    <w:rsid w:val="00857D01"/>
    <w:rsid w:val="00860312"/>
    <w:rsid w:val="0086077A"/>
    <w:rsid w:val="00860B34"/>
    <w:rsid w:val="0086177C"/>
    <w:rsid w:val="008617E2"/>
    <w:rsid w:val="008618A0"/>
    <w:rsid w:val="0086203E"/>
    <w:rsid w:val="00862317"/>
    <w:rsid w:val="008624DE"/>
    <w:rsid w:val="00862A81"/>
    <w:rsid w:val="00862CFE"/>
    <w:rsid w:val="00863AC9"/>
    <w:rsid w:val="00863EED"/>
    <w:rsid w:val="00863F07"/>
    <w:rsid w:val="0086455D"/>
    <w:rsid w:val="00864963"/>
    <w:rsid w:val="00864B86"/>
    <w:rsid w:val="00864BC6"/>
    <w:rsid w:val="00864BCF"/>
    <w:rsid w:val="00864D0F"/>
    <w:rsid w:val="00865496"/>
    <w:rsid w:val="00865542"/>
    <w:rsid w:val="00865702"/>
    <w:rsid w:val="008658CE"/>
    <w:rsid w:val="00865A32"/>
    <w:rsid w:val="00865BF4"/>
    <w:rsid w:val="00865C88"/>
    <w:rsid w:val="00865D35"/>
    <w:rsid w:val="00865EE4"/>
    <w:rsid w:val="0086639C"/>
    <w:rsid w:val="00866926"/>
    <w:rsid w:val="00866C82"/>
    <w:rsid w:val="00866D56"/>
    <w:rsid w:val="00867C5F"/>
    <w:rsid w:val="00867D41"/>
    <w:rsid w:val="00870E18"/>
    <w:rsid w:val="00870FA7"/>
    <w:rsid w:val="0087140C"/>
    <w:rsid w:val="00871A96"/>
    <w:rsid w:val="00871E59"/>
    <w:rsid w:val="00871EA8"/>
    <w:rsid w:val="0087271F"/>
    <w:rsid w:val="0087281D"/>
    <w:rsid w:val="00872D23"/>
    <w:rsid w:val="008733AF"/>
    <w:rsid w:val="00873589"/>
    <w:rsid w:val="00873949"/>
    <w:rsid w:val="00874225"/>
    <w:rsid w:val="0087445F"/>
    <w:rsid w:val="008745D4"/>
    <w:rsid w:val="008749ED"/>
    <w:rsid w:val="00874D21"/>
    <w:rsid w:val="00874D5F"/>
    <w:rsid w:val="00875167"/>
    <w:rsid w:val="00875574"/>
    <w:rsid w:val="008757A3"/>
    <w:rsid w:val="008757FE"/>
    <w:rsid w:val="00875BA1"/>
    <w:rsid w:val="00875C45"/>
    <w:rsid w:val="008760B9"/>
    <w:rsid w:val="00876857"/>
    <w:rsid w:val="00876F17"/>
    <w:rsid w:val="008775B1"/>
    <w:rsid w:val="00880068"/>
    <w:rsid w:val="00880257"/>
    <w:rsid w:val="008804CC"/>
    <w:rsid w:val="00880D93"/>
    <w:rsid w:val="00880D9F"/>
    <w:rsid w:val="00880F4F"/>
    <w:rsid w:val="0088144E"/>
    <w:rsid w:val="00881563"/>
    <w:rsid w:val="00881D96"/>
    <w:rsid w:val="00882300"/>
    <w:rsid w:val="008823C3"/>
    <w:rsid w:val="00882CE8"/>
    <w:rsid w:val="00882D8A"/>
    <w:rsid w:val="00882E1F"/>
    <w:rsid w:val="00882FBC"/>
    <w:rsid w:val="00884689"/>
    <w:rsid w:val="008850A4"/>
    <w:rsid w:val="008852C7"/>
    <w:rsid w:val="00885BDD"/>
    <w:rsid w:val="00885FCE"/>
    <w:rsid w:val="0088683C"/>
    <w:rsid w:val="008868D3"/>
    <w:rsid w:val="00886926"/>
    <w:rsid w:val="00886B77"/>
    <w:rsid w:val="00886C5D"/>
    <w:rsid w:val="00886E3E"/>
    <w:rsid w:val="00887682"/>
    <w:rsid w:val="008876F2"/>
    <w:rsid w:val="0088774B"/>
    <w:rsid w:val="00887BB2"/>
    <w:rsid w:val="00887CBE"/>
    <w:rsid w:val="00887FD5"/>
    <w:rsid w:val="00890100"/>
    <w:rsid w:val="00890317"/>
    <w:rsid w:val="008903A6"/>
    <w:rsid w:val="00890B11"/>
    <w:rsid w:val="00891168"/>
    <w:rsid w:val="008912F7"/>
    <w:rsid w:val="00891B5C"/>
    <w:rsid w:val="00891BC8"/>
    <w:rsid w:val="00891DC7"/>
    <w:rsid w:val="008920CB"/>
    <w:rsid w:val="0089231E"/>
    <w:rsid w:val="00892614"/>
    <w:rsid w:val="0089283C"/>
    <w:rsid w:val="00893164"/>
    <w:rsid w:val="00893A0C"/>
    <w:rsid w:val="00893FC8"/>
    <w:rsid w:val="008952B3"/>
    <w:rsid w:val="00895511"/>
    <w:rsid w:val="008955E0"/>
    <w:rsid w:val="00895E14"/>
    <w:rsid w:val="00895EC8"/>
    <w:rsid w:val="0089615A"/>
    <w:rsid w:val="008962E7"/>
    <w:rsid w:val="00896F27"/>
    <w:rsid w:val="008974B6"/>
    <w:rsid w:val="0089795D"/>
    <w:rsid w:val="00897BA6"/>
    <w:rsid w:val="00897E58"/>
    <w:rsid w:val="008A0678"/>
    <w:rsid w:val="008A0757"/>
    <w:rsid w:val="008A077C"/>
    <w:rsid w:val="008A0C17"/>
    <w:rsid w:val="008A0EAC"/>
    <w:rsid w:val="008A1165"/>
    <w:rsid w:val="008A13F6"/>
    <w:rsid w:val="008A17D7"/>
    <w:rsid w:val="008A1E21"/>
    <w:rsid w:val="008A1F15"/>
    <w:rsid w:val="008A2271"/>
    <w:rsid w:val="008A2F06"/>
    <w:rsid w:val="008A341A"/>
    <w:rsid w:val="008A3A7A"/>
    <w:rsid w:val="008A3CF6"/>
    <w:rsid w:val="008A3E5A"/>
    <w:rsid w:val="008A4247"/>
    <w:rsid w:val="008A4B62"/>
    <w:rsid w:val="008A5424"/>
    <w:rsid w:val="008A5CE3"/>
    <w:rsid w:val="008A5D31"/>
    <w:rsid w:val="008A6214"/>
    <w:rsid w:val="008A6279"/>
    <w:rsid w:val="008A668C"/>
    <w:rsid w:val="008A67E2"/>
    <w:rsid w:val="008A6B24"/>
    <w:rsid w:val="008A6F23"/>
    <w:rsid w:val="008A70C1"/>
    <w:rsid w:val="008A71C7"/>
    <w:rsid w:val="008A7619"/>
    <w:rsid w:val="008A7DF9"/>
    <w:rsid w:val="008B03E2"/>
    <w:rsid w:val="008B0C01"/>
    <w:rsid w:val="008B2306"/>
    <w:rsid w:val="008B26EE"/>
    <w:rsid w:val="008B2F24"/>
    <w:rsid w:val="008B323E"/>
    <w:rsid w:val="008B3464"/>
    <w:rsid w:val="008B346A"/>
    <w:rsid w:val="008B4102"/>
    <w:rsid w:val="008B45D7"/>
    <w:rsid w:val="008B4619"/>
    <w:rsid w:val="008B4730"/>
    <w:rsid w:val="008B4D25"/>
    <w:rsid w:val="008B4F4F"/>
    <w:rsid w:val="008B4FDB"/>
    <w:rsid w:val="008B52FB"/>
    <w:rsid w:val="008B5A20"/>
    <w:rsid w:val="008B5B39"/>
    <w:rsid w:val="008B60A2"/>
    <w:rsid w:val="008B659C"/>
    <w:rsid w:val="008B6D83"/>
    <w:rsid w:val="008B7CE9"/>
    <w:rsid w:val="008B7E70"/>
    <w:rsid w:val="008C0B1A"/>
    <w:rsid w:val="008C0E03"/>
    <w:rsid w:val="008C1014"/>
    <w:rsid w:val="008C1737"/>
    <w:rsid w:val="008C1C69"/>
    <w:rsid w:val="008C1E02"/>
    <w:rsid w:val="008C1F3A"/>
    <w:rsid w:val="008C1FBB"/>
    <w:rsid w:val="008C23B5"/>
    <w:rsid w:val="008C2589"/>
    <w:rsid w:val="008C2AC9"/>
    <w:rsid w:val="008C2B72"/>
    <w:rsid w:val="008C2E4B"/>
    <w:rsid w:val="008C349F"/>
    <w:rsid w:val="008C3CDB"/>
    <w:rsid w:val="008C3DF3"/>
    <w:rsid w:val="008C3E6C"/>
    <w:rsid w:val="008C406B"/>
    <w:rsid w:val="008C4698"/>
    <w:rsid w:val="008C46C7"/>
    <w:rsid w:val="008C480D"/>
    <w:rsid w:val="008C49F5"/>
    <w:rsid w:val="008C4A20"/>
    <w:rsid w:val="008C4A3A"/>
    <w:rsid w:val="008C4A9B"/>
    <w:rsid w:val="008C4DDE"/>
    <w:rsid w:val="008C5723"/>
    <w:rsid w:val="008C5A64"/>
    <w:rsid w:val="008C5FD8"/>
    <w:rsid w:val="008C60C8"/>
    <w:rsid w:val="008C611A"/>
    <w:rsid w:val="008C6A0E"/>
    <w:rsid w:val="008C6B33"/>
    <w:rsid w:val="008C6B59"/>
    <w:rsid w:val="008C6C64"/>
    <w:rsid w:val="008C7934"/>
    <w:rsid w:val="008C7D68"/>
    <w:rsid w:val="008C7FED"/>
    <w:rsid w:val="008D0077"/>
    <w:rsid w:val="008D007C"/>
    <w:rsid w:val="008D02DC"/>
    <w:rsid w:val="008D0BC5"/>
    <w:rsid w:val="008D1416"/>
    <w:rsid w:val="008D1A0F"/>
    <w:rsid w:val="008D1ACB"/>
    <w:rsid w:val="008D1B3B"/>
    <w:rsid w:val="008D1DB1"/>
    <w:rsid w:val="008D22E6"/>
    <w:rsid w:val="008D26EE"/>
    <w:rsid w:val="008D32B4"/>
    <w:rsid w:val="008D32CB"/>
    <w:rsid w:val="008D32D7"/>
    <w:rsid w:val="008D36B8"/>
    <w:rsid w:val="008D3F88"/>
    <w:rsid w:val="008D4466"/>
    <w:rsid w:val="008D453A"/>
    <w:rsid w:val="008D47B1"/>
    <w:rsid w:val="008D48A7"/>
    <w:rsid w:val="008D4AA4"/>
    <w:rsid w:val="008D52D5"/>
    <w:rsid w:val="008D5A49"/>
    <w:rsid w:val="008D5C9C"/>
    <w:rsid w:val="008D6124"/>
    <w:rsid w:val="008D6698"/>
    <w:rsid w:val="008D6A9B"/>
    <w:rsid w:val="008D6BF1"/>
    <w:rsid w:val="008D6C13"/>
    <w:rsid w:val="008D6C9C"/>
    <w:rsid w:val="008D6E54"/>
    <w:rsid w:val="008D6E63"/>
    <w:rsid w:val="008D6FF8"/>
    <w:rsid w:val="008D72F5"/>
    <w:rsid w:val="008D758A"/>
    <w:rsid w:val="008D788E"/>
    <w:rsid w:val="008D7A40"/>
    <w:rsid w:val="008D7AE6"/>
    <w:rsid w:val="008D7BC7"/>
    <w:rsid w:val="008D7E76"/>
    <w:rsid w:val="008E078C"/>
    <w:rsid w:val="008E11B2"/>
    <w:rsid w:val="008E1959"/>
    <w:rsid w:val="008E1C83"/>
    <w:rsid w:val="008E1FF3"/>
    <w:rsid w:val="008E2092"/>
    <w:rsid w:val="008E2191"/>
    <w:rsid w:val="008E22E9"/>
    <w:rsid w:val="008E2B25"/>
    <w:rsid w:val="008E2F38"/>
    <w:rsid w:val="008E4173"/>
    <w:rsid w:val="008E4239"/>
    <w:rsid w:val="008E444C"/>
    <w:rsid w:val="008E4C95"/>
    <w:rsid w:val="008E5EAB"/>
    <w:rsid w:val="008E6395"/>
    <w:rsid w:val="008E6574"/>
    <w:rsid w:val="008E66A6"/>
    <w:rsid w:val="008E6B43"/>
    <w:rsid w:val="008E7735"/>
    <w:rsid w:val="008E7FA6"/>
    <w:rsid w:val="008F0528"/>
    <w:rsid w:val="008F070A"/>
    <w:rsid w:val="008F1004"/>
    <w:rsid w:val="008F1150"/>
    <w:rsid w:val="008F1951"/>
    <w:rsid w:val="008F1C25"/>
    <w:rsid w:val="008F1EC0"/>
    <w:rsid w:val="008F26CF"/>
    <w:rsid w:val="008F27C1"/>
    <w:rsid w:val="008F29BA"/>
    <w:rsid w:val="008F348F"/>
    <w:rsid w:val="008F35FF"/>
    <w:rsid w:val="008F38F8"/>
    <w:rsid w:val="008F3BDE"/>
    <w:rsid w:val="008F3C40"/>
    <w:rsid w:val="008F4213"/>
    <w:rsid w:val="008F42EC"/>
    <w:rsid w:val="008F43F7"/>
    <w:rsid w:val="008F4532"/>
    <w:rsid w:val="008F46C9"/>
    <w:rsid w:val="008F508E"/>
    <w:rsid w:val="008F50BE"/>
    <w:rsid w:val="008F5A49"/>
    <w:rsid w:val="008F5B03"/>
    <w:rsid w:val="008F5C29"/>
    <w:rsid w:val="008F5C58"/>
    <w:rsid w:val="008F61E3"/>
    <w:rsid w:val="008F621B"/>
    <w:rsid w:val="008F6AAA"/>
    <w:rsid w:val="008F6ACB"/>
    <w:rsid w:val="008F75CC"/>
    <w:rsid w:val="008F7A1B"/>
    <w:rsid w:val="008F7DC8"/>
    <w:rsid w:val="00900578"/>
    <w:rsid w:val="00900634"/>
    <w:rsid w:val="00900A35"/>
    <w:rsid w:val="00900AE2"/>
    <w:rsid w:val="00900E08"/>
    <w:rsid w:val="0090112C"/>
    <w:rsid w:val="0090219A"/>
    <w:rsid w:val="00902B42"/>
    <w:rsid w:val="00903151"/>
    <w:rsid w:val="0090324F"/>
    <w:rsid w:val="00903797"/>
    <w:rsid w:val="0090407B"/>
    <w:rsid w:val="00904415"/>
    <w:rsid w:val="00904EB5"/>
    <w:rsid w:val="00905628"/>
    <w:rsid w:val="0090599C"/>
    <w:rsid w:val="00905C8E"/>
    <w:rsid w:val="009060B3"/>
    <w:rsid w:val="0090693C"/>
    <w:rsid w:val="00906B94"/>
    <w:rsid w:val="00906E3E"/>
    <w:rsid w:val="009074BF"/>
    <w:rsid w:val="00907941"/>
    <w:rsid w:val="00907AF5"/>
    <w:rsid w:val="00907BC5"/>
    <w:rsid w:val="00907C4F"/>
    <w:rsid w:val="00907DB9"/>
    <w:rsid w:val="009104B1"/>
    <w:rsid w:val="0091065F"/>
    <w:rsid w:val="009106E1"/>
    <w:rsid w:val="0091082D"/>
    <w:rsid w:val="00910938"/>
    <w:rsid w:val="00910EA4"/>
    <w:rsid w:val="00911044"/>
    <w:rsid w:val="0091114A"/>
    <w:rsid w:val="00911873"/>
    <w:rsid w:val="00911DEE"/>
    <w:rsid w:val="0091223B"/>
    <w:rsid w:val="0091255E"/>
    <w:rsid w:val="00912593"/>
    <w:rsid w:val="009128F1"/>
    <w:rsid w:val="00912BAB"/>
    <w:rsid w:val="00912CBB"/>
    <w:rsid w:val="0091393F"/>
    <w:rsid w:val="00913CF1"/>
    <w:rsid w:val="0091411B"/>
    <w:rsid w:val="009143C4"/>
    <w:rsid w:val="0091443F"/>
    <w:rsid w:val="00914852"/>
    <w:rsid w:val="00914893"/>
    <w:rsid w:val="009148A3"/>
    <w:rsid w:val="009149C3"/>
    <w:rsid w:val="00914F65"/>
    <w:rsid w:val="00914FC6"/>
    <w:rsid w:val="0091543C"/>
    <w:rsid w:val="00915BEF"/>
    <w:rsid w:val="00915DE4"/>
    <w:rsid w:val="00915E66"/>
    <w:rsid w:val="00916363"/>
    <w:rsid w:val="00916957"/>
    <w:rsid w:val="00916D97"/>
    <w:rsid w:val="009171FA"/>
    <w:rsid w:val="00917211"/>
    <w:rsid w:val="00917B39"/>
    <w:rsid w:val="00917E51"/>
    <w:rsid w:val="0092010A"/>
    <w:rsid w:val="009208E2"/>
    <w:rsid w:val="00920EE1"/>
    <w:rsid w:val="009216EC"/>
    <w:rsid w:val="009218F6"/>
    <w:rsid w:val="009219A8"/>
    <w:rsid w:val="00921BA5"/>
    <w:rsid w:val="00921C3F"/>
    <w:rsid w:val="00921E52"/>
    <w:rsid w:val="0092240A"/>
    <w:rsid w:val="00922672"/>
    <w:rsid w:val="00922CCC"/>
    <w:rsid w:val="00922D70"/>
    <w:rsid w:val="00922E5A"/>
    <w:rsid w:val="0092336D"/>
    <w:rsid w:val="009242BC"/>
    <w:rsid w:val="009242EF"/>
    <w:rsid w:val="00924373"/>
    <w:rsid w:val="009245F2"/>
    <w:rsid w:val="00924816"/>
    <w:rsid w:val="00924EA5"/>
    <w:rsid w:val="0092503A"/>
    <w:rsid w:val="009253C8"/>
    <w:rsid w:val="009256BF"/>
    <w:rsid w:val="009256DF"/>
    <w:rsid w:val="00925B7A"/>
    <w:rsid w:val="00925E88"/>
    <w:rsid w:val="00926479"/>
    <w:rsid w:val="00926527"/>
    <w:rsid w:val="00926BAF"/>
    <w:rsid w:val="00926DD8"/>
    <w:rsid w:val="0093038E"/>
    <w:rsid w:val="0093055D"/>
    <w:rsid w:val="009314AC"/>
    <w:rsid w:val="009318DB"/>
    <w:rsid w:val="00932776"/>
    <w:rsid w:val="009328F2"/>
    <w:rsid w:val="00932D7E"/>
    <w:rsid w:val="0093342A"/>
    <w:rsid w:val="00933508"/>
    <w:rsid w:val="009338A8"/>
    <w:rsid w:val="00933F1F"/>
    <w:rsid w:val="00934028"/>
    <w:rsid w:val="00934196"/>
    <w:rsid w:val="009346BC"/>
    <w:rsid w:val="00934C07"/>
    <w:rsid w:val="00934D70"/>
    <w:rsid w:val="00934F8E"/>
    <w:rsid w:val="00934FEB"/>
    <w:rsid w:val="0093531E"/>
    <w:rsid w:val="009359BF"/>
    <w:rsid w:val="00936193"/>
    <w:rsid w:val="00936430"/>
    <w:rsid w:val="00936A96"/>
    <w:rsid w:val="00936BA7"/>
    <w:rsid w:val="00936BF3"/>
    <w:rsid w:val="00937876"/>
    <w:rsid w:val="00937F49"/>
    <w:rsid w:val="0094001E"/>
    <w:rsid w:val="00940129"/>
    <w:rsid w:val="0094016E"/>
    <w:rsid w:val="009403B1"/>
    <w:rsid w:val="009404BC"/>
    <w:rsid w:val="0094053C"/>
    <w:rsid w:val="009410BB"/>
    <w:rsid w:val="009411DE"/>
    <w:rsid w:val="009413DB"/>
    <w:rsid w:val="009414F6"/>
    <w:rsid w:val="00941A8F"/>
    <w:rsid w:val="00941FF0"/>
    <w:rsid w:val="00942033"/>
    <w:rsid w:val="00942277"/>
    <w:rsid w:val="009425A2"/>
    <w:rsid w:val="00942B52"/>
    <w:rsid w:val="0094307A"/>
    <w:rsid w:val="009433ED"/>
    <w:rsid w:val="009436A3"/>
    <w:rsid w:val="0094370C"/>
    <w:rsid w:val="00943E65"/>
    <w:rsid w:val="00943EC2"/>
    <w:rsid w:val="00944555"/>
    <w:rsid w:val="00944907"/>
    <w:rsid w:val="009449BB"/>
    <w:rsid w:val="00944E2D"/>
    <w:rsid w:val="00944F00"/>
    <w:rsid w:val="00944F69"/>
    <w:rsid w:val="00945059"/>
    <w:rsid w:val="00945EB8"/>
    <w:rsid w:val="00946171"/>
    <w:rsid w:val="009463EB"/>
    <w:rsid w:val="00946492"/>
    <w:rsid w:val="00946554"/>
    <w:rsid w:val="00946A0F"/>
    <w:rsid w:val="00946BD5"/>
    <w:rsid w:val="00946CEF"/>
    <w:rsid w:val="00947B76"/>
    <w:rsid w:val="00950726"/>
    <w:rsid w:val="00950B16"/>
    <w:rsid w:val="00950BFE"/>
    <w:rsid w:val="00950E71"/>
    <w:rsid w:val="0095198B"/>
    <w:rsid w:val="00951ADD"/>
    <w:rsid w:val="00951ECB"/>
    <w:rsid w:val="00951F50"/>
    <w:rsid w:val="0095222B"/>
    <w:rsid w:val="009529D2"/>
    <w:rsid w:val="009537B3"/>
    <w:rsid w:val="009543D6"/>
    <w:rsid w:val="00954412"/>
    <w:rsid w:val="009546E6"/>
    <w:rsid w:val="00954739"/>
    <w:rsid w:val="00954797"/>
    <w:rsid w:val="00954C5E"/>
    <w:rsid w:val="00954C99"/>
    <w:rsid w:val="00955271"/>
    <w:rsid w:val="00955302"/>
    <w:rsid w:val="00955411"/>
    <w:rsid w:val="00955A2D"/>
    <w:rsid w:val="0095680C"/>
    <w:rsid w:val="00956A30"/>
    <w:rsid w:val="00956A98"/>
    <w:rsid w:val="00956F0F"/>
    <w:rsid w:val="00957470"/>
    <w:rsid w:val="009576B1"/>
    <w:rsid w:val="0095784D"/>
    <w:rsid w:val="00957CAB"/>
    <w:rsid w:val="009600DA"/>
    <w:rsid w:val="009614EB"/>
    <w:rsid w:val="009619DD"/>
    <w:rsid w:val="00961B74"/>
    <w:rsid w:val="00962157"/>
    <w:rsid w:val="00962D6D"/>
    <w:rsid w:val="00962DE6"/>
    <w:rsid w:val="0096356B"/>
    <w:rsid w:val="009636DE"/>
    <w:rsid w:val="0096394F"/>
    <w:rsid w:val="009639CE"/>
    <w:rsid w:val="00963B01"/>
    <w:rsid w:val="00963F7C"/>
    <w:rsid w:val="00964A2D"/>
    <w:rsid w:val="00964C9D"/>
    <w:rsid w:val="00964EEA"/>
    <w:rsid w:val="0096504C"/>
    <w:rsid w:val="0096549C"/>
    <w:rsid w:val="0096573D"/>
    <w:rsid w:val="009658A3"/>
    <w:rsid w:val="00966334"/>
    <w:rsid w:val="00966585"/>
    <w:rsid w:val="00966A58"/>
    <w:rsid w:val="00966BA5"/>
    <w:rsid w:val="0096700B"/>
    <w:rsid w:val="009670E6"/>
    <w:rsid w:val="009673F5"/>
    <w:rsid w:val="00967421"/>
    <w:rsid w:val="00967A2A"/>
    <w:rsid w:val="00967F47"/>
    <w:rsid w:val="00970135"/>
    <w:rsid w:val="0097030B"/>
    <w:rsid w:val="00970840"/>
    <w:rsid w:val="00970881"/>
    <w:rsid w:val="0097097D"/>
    <w:rsid w:val="009709C2"/>
    <w:rsid w:val="009709C9"/>
    <w:rsid w:val="00970C84"/>
    <w:rsid w:val="00971126"/>
    <w:rsid w:val="009711E1"/>
    <w:rsid w:val="00971A81"/>
    <w:rsid w:val="00971AFA"/>
    <w:rsid w:val="00971E36"/>
    <w:rsid w:val="0097229F"/>
    <w:rsid w:val="009722D9"/>
    <w:rsid w:val="0097316B"/>
    <w:rsid w:val="00973A1F"/>
    <w:rsid w:val="0097410F"/>
    <w:rsid w:val="00974182"/>
    <w:rsid w:val="00974199"/>
    <w:rsid w:val="00974276"/>
    <w:rsid w:val="009746B4"/>
    <w:rsid w:val="009746CE"/>
    <w:rsid w:val="00974A12"/>
    <w:rsid w:val="009751E0"/>
    <w:rsid w:val="009752C9"/>
    <w:rsid w:val="00975EC5"/>
    <w:rsid w:val="00976032"/>
    <w:rsid w:val="00976515"/>
    <w:rsid w:val="00976D0C"/>
    <w:rsid w:val="00976E38"/>
    <w:rsid w:val="009770CF"/>
    <w:rsid w:val="00977171"/>
    <w:rsid w:val="00977523"/>
    <w:rsid w:val="0097761B"/>
    <w:rsid w:val="00977B3A"/>
    <w:rsid w:val="00977E64"/>
    <w:rsid w:val="009800B0"/>
    <w:rsid w:val="00980598"/>
    <w:rsid w:val="00980B38"/>
    <w:rsid w:val="00980DF1"/>
    <w:rsid w:val="009811F1"/>
    <w:rsid w:val="00981867"/>
    <w:rsid w:val="00983517"/>
    <w:rsid w:val="00983AC9"/>
    <w:rsid w:val="00983C7E"/>
    <w:rsid w:val="00983CEF"/>
    <w:rsid w:val="00983E13"/>
    <w:rsid w:val="00984B6B"/>
    <w:rsid w:val="00984F09"/>
    <w:rsid w:val="009852A2"/>
    <w:rsid w:val="00985387"/>
    <w:rsid w:val="00985952"/>
    <w:rsid w:val="00986653"/>
    <w:rsid w:val="00986B5E"/>
    <w:rsid w:val="00986FF9"/>
    <w:rsid w:val="00987239"/>
    <w:rsid w:val="0098738E"/>
    <w:rsid w:val="009874B8"/>
    <w:rsid w:val="00987651"/>
    <w:rsid w:val="00987A67"/>
    <w:rsid w:val="009906C3"/>
    <w:rsid w:val="00990DCA"/>
    <w:rsid w:val="00990E5B"/>
    <w:rsid w:val="00990F74"/>
    <w:rsid w:val="00991400"/>
    <w:rsid w:val="0099149C"/>
    <w:rsid w:val="0099166E"/>
    <w:rsid w:val="009916E9"/>
    <w:rsid w:val="00991ACA"/>
    <w:rsid w:val="00991B6E"/>
    <w:rsid w:val="0099212E"/>
    <w:rsid w:val="00992914"/>
    <w:rsid w:val="00992C24"/>
    <w:rsid w:val="00992D48"/>
    <w:rsid w:val="00992F88"/>
    <w:rsid w:val="00992FD1"/>
    <w:rsid w:val="00993367"/>
    <w:rsid w:val="00993794"/>
    <w:rsid w:val="009937BA"/>
    <w:rsid w:val="00993B9D"/>
    <w:rsid w:val="00993BBF"/>
    <w:rsid w:val="00993EA7"/>
    <w:rsid w:val="00993EE8"/>
    <w:rsid w:val="00993FD8"/>
    <w:rsid w:val="00994445"/>
    <w:rsid w:val="00994555"/>
    <w:rsid w:val="0099476C"/>
    <w:rsid w:val="00994BBF"/>
    <w:rsid w:val="00994F91"/>
    <w:rsid w:val="00995370"/>
    <w:rsid w:val="009955EA"/>
    <w:rsid w:val="0099567A"/>
    <w:rsid w:val="009967EB"/>
    <w:rsid w:val="00996B4A"/>
    <w:rsid w:val="0099763A"/>
    <w:rsid w:val="00997665"/>
    <w:rsid w:val="0099773B"/>
    <w:rsid w:val="009977C6"/>
    <w:rsid w:val="00997BEA"/>
    <w:rsid w:val="00997EEA"/>
    <w:rsid w:val="00997EF5"/>
    <w:rsid w:val="009A0042"/>
    <w:rsid w:val="009A0100"/>
    <w:rsid w:val="009A0655"/>
    <w:rsid w:val="009A07E8"/>
    <w:rsid w:val="009A083D"/>
    <w:rsid w:val="009A138C"/>
    <w:rsid w:val="009A1631"/>
    <w:rsid w:val="009A190A"/>
    <w:rsid w:val="009A1969"/>
    <w:rsid w:val="009A19A3"/>
    <w:rsid w:val="009A1A5C"/>
    <w:rsid w:val="009A1BB4"/>
    <w:rsid w:val="009A2050"/>
    <w:rsid w:val="009A2A89"/>
    <w:rsid w:val="009A410E"/>
    <w:rsid w:val="009A41C5"/>
    <w:rsid w:val="009A4A04"/>
    <w:rsid w:val="009A4A2E"/>
    <w:rsid w:val="009A4AEF"/>
    <w:rsid w:val="009A4C02"/>
    <w:rsid w:val="009A4FFF"/>
    <w:rsid w:val="009A540E"/>
    <w:rsid w:val="009A5AEB"/>
    <w:rsid w:val="009A5B78"/>
    <w:rsid w:val="009A5BC0"/>
    <w:rsid w:val="009A5C47"/>
    <w:rsid w:val="009A6523"/>
    <w:rsid w:val="009A6CA0"/>
    <w:rsid w:val="009A7664"/>
    <w:rsid w:val="009A76C9"/>
    <w:rsid w:val="009A78C6"/>
    <w:rsid w:val="009A7EC7"/>
    <w:rsid w:val="009B0256"/>
    <w:rsid w:val="009B068E"/>
    <w:rsid w:val="009B0766"/>
    <w:rsid w:val="009B089C"/>
    <w:rsid w:val="009B08E5"/>
    <w:rsid w:val="009B0994"/>
    <w:rsid w:val="009B0EF1"/>
    <w:rsid w:val="009B16B4"/>
    <w:rsid w:val="009B1E09"/>
    <w:rsid w:val="009B29FC"/>
    <w:rsid w:val="009B3145"/>
    <w:rsid w:val="009B3454"/>
    <w:rsid w:val="009B39B3"/>
    <w:rsid w:val="009B3C5D"/>
    <w:rsid w:val="009B43F4"/>
    <w:rsid w:val="009B4896"/>
    <w:rsid w:val="009B48DC"/>
    <w:rsid w:val="009B4C1F"/>
    <w:rsid w:val="009B4C22"/>
    <w:rsid w:val="009B53DD"/>
    <w:rsid w:val="009B545A"/>
    <w:rsid w:val="009B5621"/>
    <w:rsid w:val="009B59F0"/>
    <w:rsid w:val="009B5B79"/>
    <w:rsid w:val="009B601F"/>
    <w:rsid w:val="009B66AD"/>
    <w:rsid w:val="009B6AA0"/>
    <w:rsid w:val="009B7088"/>
    <w:rsid w:val="009B7775"/>
    <w:rsid w:val="009B7845"/>
    <w:rsid w:val="009B7BF5"/>
    <w:rsid w:val="009B7C85"/>
    <w:rsid w:val="009C039D"/>
    <w:rsid w:val="009C067A"/>
    <w:rsid w:val="009C087C"/>
    <w:rsid w:val="009C0BC5"/>
    <w:rsid w:val="009C129B"/>
    <w:rsid w:val="009C21BE"/>
    <w:rsid w:val="009C2246"/>
    <w:rsid w:val="009C2378"/>
    <w:rsid w:val="009C244B"/>
    <w:rsid w:val="009C250D"/>
    <w:rsid w:val="009C277F"/>
    <w:rsid w:val="009C28D6"/>
    <w:rsid w:val="009C2C69"/>
    <w:rsid w:val="009C2C8A"/>
    <w:rsid w:val="009C2D8F"/>
    <w:rsid w:val="009C322A"/>
    <w:rsid w:val="009C32C4"/>
    <w:rsid w:val="009C379A"/>
    <w:rsid w:val="009C3FE1"/>
    <w:rsid w:val="009C4400"/>
    <w:rsid w:val="009C4604"/>
    <w:rsid w:val="009C4606"/>
    <w:rsid w:val="009C4784"/>
    <w:rsid w:val="009C47C4"/>
    <w:rsid w:val="009C49CB"/>
    <w:rsid w:val="009C4CB1"/>
    <w:rsid w:val="009C4D75"/>
    <w:rsid w:val="009C4E49"/>
    <w:rsid w:val="009C4F9B"/>
    <w:rsid w:val="009C558E"/>
    <w:rsid w:val="009C573C"/>
    <w:rsid w:val="009C5987"/>
    <w:rsid w:val="009C5DAA"/>
    <w:rsid w:val="009C5E52"/>
    <w:rsid w:val="009C6433"/>
    <w:rsid w:val="009C643B"/>
    <w:rsid w:val="009C6741"/>
    <w:rsid w:val="009C6B55"/>
    <w:rsid w:val="009C713F"/>
    <w:rsid w:val="009C7BA7"/>
    <w:rsid w:val="009D0115"/>
    <w:rsid w:val="009D0184"/>
    <w:rsid w:val="009D06D0"/>
    <w:rsid w:val="009D07AA"/>
    <w:rsid w:val="009D0A8D"/>
    <w:rsid w:val="009D0B05"/>
    <w:rsid w:val="009D0C35"/>
    <w:rsid w:val="009D16E9"/>
    <w:rsid w:val="009D1F61"/>
    <w:rsid w:val="009D20AD"/>
    <w:rsid w:val="009D2487"/>
    <w:rsid w:val="009D2665"/>
    <w:rsid w:val="009D26D1"/>
    <w:rsid w:val="009D2D67"/>
    <w:rsid w:val="009D2F9B"/>
    <w:rsid w:val="009D319A"/>
    <w:rsid w:val="009D355E"/>
    <w:rsid w:val="009D35D6"/>
    <w:rsid w:val="009D4136"/>
    <w:rsid w:val="009D4269"/>
    <w:rsid w:val="009D44C8"/>
    <w:rsid w:val="009D4698"/>
    <w:rsid w:val="009D4D05"/>
    <w:rsid w:val="009D4D10"/>
    <w:rsid w:val="009D515F"/>
    <w:rsid w:val="009D5400"/>
    <w:rsid w:val="009D574C"/>
    <w:rsid w:val="009D577F"/>
    <w:rsid w:val="009D5A15"/>
    <w:rsid w:val="009D6366"/>
    <w:rsid w:val="009D6604"/>
    <w:rsid w:val="009D66BE"/>
    <w:rsid w:val="009D672B"/>
    <w:rsid w:val="009D673F"/>
    <w:rsid w:val="009D6C04"/>
    <w:rsid w:val="009D6C4B"/>
    <w:rsid w:val="009D6F74"/>
    <w:rsid w:val="009D711A"/>
    <w:rsid w:val="009D734F"/>
    <w:rsid w:val="009D74EB"/>
    <w:rsid w:val="009D7741"/>
    <w:rsid w:val="009D77CC"/>
    <w:rsid w:val="009D7877"/>
    <w:rsid w:val="009D7891"/>
    <w:rsid w:val="009D78BC"/>
    <w:rsid w:val="009D793D"/>
    <w:rsid w:val="009D7996"/>
    <w:rsid w:val="009D7B8B"/>
    <w:rsid w:val="009D7EAF"/>
    <w:rsid w:val="009D7EF9"/>
    <w:rsid w:val="009E0A9C"/>
    <w:rsid w:val="009E10AF"/>
    <w:rsid w:val="009E1442"/>
    <w:rsid w:val="009E14AC"/>
    <w:rsid w:val="009E1D89"/>
    <w:rsid w:val="009E1E57"/>
    <w:rsid w:val="009E20E4"/>
    <w:rsid w:val="009E21F4"/>
    <w:rsid w:val="009E295E"/>
    <w:rsid w:val="009E2C36"/>
    <w:rsid w:val="009E2EDB"/>
    <w:rsid w:val="009E3145"/>
    <w:rsid w:val="009E3697"/>
    <w:rsid w:val="009E394E"/>
    <w:rsid w:val="009E3A8F"/>
    <w:rsid w:val="009E3CC1"/>
    <w:rsid w:val="009E4150"/>
    <w:rsid w:val="009E4797"/>
    <w:rsid w:val="009E48EA"/>
    <w:rsid w:val="009E4921"/>
    <w:rsid w:val="009E493F"/>
    <w:rsid w:val="009E50BA"/>
    <w:rsid w:val="009E518A"/>
    <w:rsid w:val="009E51B1"/>
    <w:rsid w:val="009E57EE"/>
    <w:rsid w:val="009E5FB1"/>
    <w:rsid w:val="009E63E5"/>
    <w:rsid w:val="009E6745"/>
    <w:rsid w:val="009E69CD"/>
    <w:rsid w:val="009E744C"/>
    <w:rsid w:val="009E763E"/>
    <w:rsid w:val="009E779E"/>
    <w:rsid w:val="009F03AA"/>
    <w:rsid w:val="009F0F8E"/>
    <w:rsid w:val="009F2061"/>
    <w:rsid w:val="009F20D0"/>
    <w:rsid w:val="009F215A"/>
    <w:rsid w:val="009F2EB8"/>
    <w:rsid w:val="009F348D"/>
    <w:rsid w:val="009F3491"/>
    <w:rsid w:val="009F39D2"/>
    <w:rsid w:val="009F42C2"/>
    <w:rsid w:val="009F4492"/>
    <w:rsid w:val="009F4C43"/>
    <w:rsid w:val="009F519B"/>
    <w:rsid w:val="009F5261"/>
    <w:rsid w:val="009F53AD"/>
    <w:rsid w:val="009F5632"/>
    <w:rsid w:val="009F5AEB"/>
    <w:rsid w:val="009F5E9B"/>
    <w:rsid w:val="009F632E"/>
    <w:rsid w:val="009F680F"/>
    <w:rsid w:val="009F693C"/>
    <w:rsid w:val="009F70EC"/>
    <w:rsid w:val="009F711A"/>
    <w:rsid w:val="009F73E2"/>
    <w:rsid w:val="009F7BB3"/>
    <w:rsid w:val="00A003CF"/>
    <w:rsid w:val="00A004C8"/>
    <w:rsid w:val="00A006DF"/>
    <w:rsid w:val="00A00BD2"/>
    <w:rsid w:val="00A01238"/>
    <w:rsid w:val="00A017B8"/>
    <w:rsid w:val="00A021A8"/>
    <w:rsid w:val="00A022E1"/>
    <w:rsid w:val="00A02326"/>
    <w:rsid w:val="00A02394"/>
    <w:rsid w:val="00A023A8"/>
    <w:rsid w:val="00A02B98"/>
    <w:rsid w:val="00A02D61"/>
    <w:rsid w:val="00A02F7C"/>
    <w:rsid w:val="00A03AE1"/>
    <w:rsid w:val="00A03B9F"/>
    <w:rsid w:val="00A0460C"/>
    <w:rsid w:val="00A05034"/>
    <w:rsid w:val="00A055DD"/>
    <w:rsid w:val="00A05790"/>
    <w:rsid w:val="00A06025"/>
    <w:rsid w:val="00A062DB"/>
    <w:rsid w:val="00A06319"/>
    <w:rsid w:val="00A0663B"/>
    <w:rsid w:val="00A06927"/>
    <w:rsid w:val="00A06B7E"/>
    <w:rsid w:val="00A070A9"/>
    <w:rsid w:val="00A073E5"/>
    <w:rsid w:val="00A07831"/>
    <w:rsid w:val="00A07D0F"/>
    <w:rsid w:val="00A07DAF"/>
    <w:rsid w:val="00A1019E"/>
    <w:rsid w:val="00A104C8"/>
    <w:rsid w:val="00A10672"/>
    <w:rsid w:val="00A11148"/>
    <w:rsid w:val="00A1118C"/>
    <w:rsid w:val="00A1138A"/>
    <w:rsid w:val="00A11778"/>
    <w:rsid w:val="00A1185B"/>
    <w:rsid w:val="00A11DF4"/>
    <w:rsid w:val="00A120AD"/>
    <w:rsid w:val="00A128BF"/>
    <w:rsid w:val="00A131B8"/>
    <w:rsid w:val="00A13364"/>
    <w:rsid w:val="00A1359A"/>
    <w:rsid w:val="00A1385C"/>
    <w:rsid w:val="00A13A75"/>
    <w:rsid w:val="00A13D03"/>
    <w:rsid w:val="00A141CB"/>
    <w:rsid w:val="00A14322"/>
    <w:rsid w:val="00A146DB"/>
    <w:rsid w:val="00A147CD"/>
    <w:rsid w:val="00A14D05"/>
    <w:rsid w:val="00A14EDD"/>
    <w:rsid w:val="00A14FF4"/>
    <w:rsid w:val="00A1560D"/>
    <w:rsid w:val="00A15A04"/>
    <w:rsid w:val="00A16420"/>
    <w:rsid w:val="00A171F9"/>
    <w:rsid w:val="00A17307"/>
    <w:rsid w:val="00A174FB"/>
    <w:rsid w:val="00A176E5"/>
    <w:rsid w:val="00A1771D"/>
    <w:rsid w:val="00A179A1"/>
    <w:rsid w:val="00A17D90"/>
    <w:rsid w:val="00A17E2C"/>
    <w:rsid w:val="00A20397"/>
    <w:rsid w:val="00A20400"/>
    <w:rsid w:val="00A206BA"/>
    <w:rsid w:val="00A21FE4"/>
    <w:rsid w:val="00A221CF"/>
    <w:rsid w:val="00A22576"/>
    <w:rsid w:val="00A226EE"/>
    <w:rsid w:val="00A22790"/>
    <w:rsid w:val="00A229B4"/>
    <w:rsid w:val="00A22D80"/>
    <w:rsid w:val="00A234CD"/>
    <w:rsid w:val="00A23548"/>
    <w:rsid w:val="00A23C4D"/>
    <w:rsid w:val="00A24367"/>
    <w:rsid w:val="00A2535E"/>
    <w:rsid w:val="00A256D6"/>
    <w:rsid w:val="00A25C41"/>
    <w:rsid w:val="00A25C9C"/>
    <w:rsid w:val="00A26329"/>
    <w:rsid w:val="00A264F7"/>
    <w:rsid w:val="00A26C3E"/>
    <w:rsid w:val="00A26C74"/>
    <w:rsid w:val="00A26E8C"/>
    <w:rsid w:val="00A26EE8"/>
    <w:rsid w:val="00A2742E"/>
    <w:rsid w:val="00A2758D"/>
    <w:rsid w:val="00A27646"/>
    <w:rsid w:val="00A27C52"/>
    <w:rsid w:val="00A27EEA"/>
    <w:rsid w:val="00A30913"/>
    <w:rsid w:val="00A30B01"/>
    <w:rsid w:val="00A30BDB"/>
    <w:rsid w:val="00A30FAD"/>
    <w:rsid w:val="00A31026"/>
    <w:rsid w:val="00A316AD"/>
    <w:rsid w:val="00A32418"/>
    <w:rsid w:val="00A32DDE"/>
    <w:rsid w:val="00A3308E"/>
    <w:rsid w:val="00A336C7"/>
    <w:rsid w:val="00A33CD8"/>
    <w:rsid w:val="00A33DF4"/>
    <w:rsid w:val="00A3417E"/>
    <w:rsid w:val="00A34604"/>
    <w:rsid w:val="00A35008"/>
    <w:rsid w:val="00A3502B"/>
    <w:rsid w:val="00A35213"/>
    <w:rsid w:val="00A358A9"/>
    <w:rsid w:val="00A364F1"/>
    <w:rsid w:val="00A3697A"/>
    <w:rsid w:val="00A36C1E"/>
    <w:rsid w:val="00A36E74"/>
    <w:rsid w:val="00A37B9D"/>
    <w:rsid w:val="00A37BDC"/>
    <w:rsid w:val="00A37CA7"/>
    <w:rsid w:val="00A4021F"/>
    <w:rsid w:val="00A405DA"/>
    <w:rsid w:val="00A40968"/>
    <w:rsid w:val="00A40D4D"/>
    <w:rsid w:val="00A40E8A"/>
    <w:rsid w:val="00A411D8"/>
    <w:rsid w:val="00A41A18"/>
    <w:rsid w:val="00A41BCE"/>
    <w:rsid w:val="00A42098"/>
    <w:rsid w:val="00A42171"/>
    <w:rsid w:val="00A425EB"/>
    <w:rsid w:val="00A42696"/>
    <w:rsid w:val="00A42E08"/>
    <w:rsid w:val="00A43357"/>
    <w:rsid w:val="00A43614"/>
    <w:rsid w:val="00A437B9"/>
    <w:rsid w:val="00A43836"/>
    <w:rsid w:val="00A438AB"/>
    <w:rsid w:val="00A43A46"/>
    <w:rsid w:val="00A43A62"/>
    <w:rsid w:val="00A43EC9"/>
    <w:rsid w:val="00A44180"/>
    <w:rsid w:val="00A44A76"/>
    <w:rsid w:val="00A4535F"/>
    <w:rsid w:val="00A45418"/>
    <w:rsid w:val="00A455CC"/>
    <w:rsid w:val="00A46418"/>
    <w:rsid w:val="00A464F5"/>
    <w:rsid w:val="00A4686F"/>
    <w:rsid w:val="00A46B61"/>
    <w:rsid w:val="00A46EB2"/>
    <w:rsid w:val="00A46F3C"/>
    <w:rsid w:val="00A47D50"/>
    <w:rsid w:val="00A47D98"/>
    <w:rsid w:val="00A50AC5"/>
    <w:rsid w:val="00A515ED"/>
    <w:rsid w:val="00A51BDE"/>
    <w:rsid w:val="00A521B2"/>
    <w:rsid w:val="00A52333"/>
    <w:rsid w:val="00A525A0"/>
    <w:rsid w:val="00A5276E"/>
    <w:rsid w:val="00A52C84"/>
    <w:rsid w:val="00A5343F"/>
    <w:rsid w:val="00A535E3"/>
    <w:rsid w:val="00A53F36"/>
    <w:rsid w:val="00A54291"/>
    <w:rsid w:val="00A5463F"/>
    <w:rsid w:val="00A5496E"/>
    <w:rsid w:val="00A54BCF"/>
    <w:rsid w:val="00A54C66"/>
    <w:rsid w:val="00A55588"/>
    <w:rsid w:val="00A5590D"/>
    <w:rsid w:val="00A55AAC"/>
    <w:rsid w:val="00A55E3A"/>
    <w:rsid w:val="00A55E95"/>
    <w:rsid w:val="00A56832"/>
    <w:rsid w:val="00A57214"/>
    <w:rsid w:val="00A57532"/>
    <w:rsid w:val="00A57753"/>
    <w:rsid w:val="00A57784"/>
    <w:rsid w:val="00A57D22"/>
    <w:rsid w:val="00A57D6E"/>
    <w:rsid w:val="00A57DA7"/>
    <w:rsid w:val="00A6036F"/>
    <w:rsid w:val="00A6054B"/>
    <w:rsid w:val="00A609F8"/>
    <w:rsid w:val="00A60D8C"/>
    <w:rsid w:val="00A6145C"/>
    <w:rsid w:val="00A61D72"/>
    <w:rsid w:val="00A62049"/>
    <w:rsid w:val="00A62A12"/>
    <w:rsid w:val="00A62B38"/>
    <w:rsid w:val="00A62F55"/>
    <w:rsid w:val="00A6341A"/>
    <w:rsid w:val="00A6397C"/>
    <w:rsid w:val="00A641AD"/>
    <w:rsid w:val="00A64356"/>
    <w:rsid w:val="00A6466F"/>
    <w:rsid w:val="00A6484C"/>
    <w:rsid w:val="00A64EBB"/>
    <w:rsid w:val="00A650A5"/>
    <w:rsid w:val="00A652D5"/>
    <w:rsid w:val="00A652F5"/>
    <w:rsid w:val="00A65E7C"/>
    <w:rsid w:val="00A662DF"/>
    <w:rsid w:val="00A66C4D"/>
    <w:rsid w:val="00A66D3B"/>
    <w:rsid w:val="00A66FAC"/>
    <w:rsid w:val="00A6715A"/>
    <w:rsid w:val="00A67330"/>
    <w:rsid w:val="00A67758"/>
    <w:rsid w:val="00A677A4"/>
    <w:rsid w:val="00A6781F"/>
    <w:rsid w:val="00A703F0"/>
    <w:rsid w:val="00A704CC"/>
    <w:rsid w:val="00A709BE"/>
    <w:rsid w:val="00A70C1B"/>
    <w:rsid w:val="00A70DA9"/>
    <w:rsid w:val="00A70DAD"/>
    <w:rsid w:val="00A71415"/>
    <w:rsid w:val="00A71A3D"/>
    <w:rsid w:val="00A71BC2"/>
    <w:rsid w:val="00A71D6C"/>
    <w:rsid w:val="00A7218C"/>
    <w:rsid w:val="00A72B74"/>
    <w:rsid w:val="00A72D8E"/>
    <w:rsid w:val="00A72E6F"/>
    <w:rsid w:val="00A72F99"/>
    <w:rsid w:val="00A731E0"/>
    <w:rsid w:val="00A731F7"/>
    <w:rsid w:val="00A73253"/>
    <w:rsid w:val="00A737D1"/>
    <w:rsid w:val="00A739B3"/>
    <w:rsid w:val="00A74162"/>
    <w:rsid w:val="00A745B6"/>
    <w:rsid w:val="00A746B3"/>
    <w:rsid w:val="00A7475B"/>
    <w:rsid w:val="00A748D4"/>
    <w:rsid w:val="00A74AE2"/>
    <w:rsid w:val="00A7591B"/>
    <w:rsid w:val="00A75CAA"/>
    <w:rsid w:val="00A75F1D"/>
    <w:rsid w:val="00A76374"/>
    <w:rsid w:val="00A76A06"/>
    <w:rsid w:val="00A76C60"/>
    <w:rsid w:val="00A76CB2"/>
    <w:rsid w:val="00A77427"/>
    <w:rsid w:val="00A779DB"/>
    <w:rsid w:val="00A77DBD"/>
    <w:rsid w:val="00A80ADE"/>
    <w:rsid w:val="00A80CB2"/>
    <w:rsid w:val="00A80F2D"/>
    <w:rsid w:val="00A81299"/>
    <w:rsid w:val="00A81321"/>
    <w:rsid w:val="00A81455"/>
    <w:rsid w:val="00A816A5"/>
    <w:rsid w:val="00A820E1"/>
    <w:rsid w:val="00A82513"/>
    <w:rsid w:val="00A8259E"/>
    <w:rsid w:val="00A826E3"/>
    <w:rsid w:val="00A82850"/>
    <w:rsid w:val="00A82A74"/>
    <w:rsid w:val="00A82B5A"/>
    <w:rsid w:val="00A82D8A"/>
    <w:rsid w:val="00A83015"/>
    <w:rsid w:val="00A832EE"/>
    <w:rsid w:val="00A83566"/>
    <w:rsid w:val="00A83B99"/>
    <w:rsid w:val="00A83D4A"/>
    <w:rsid w:val="00A83D7D"/>
    <w:rsid w:val="00A842BD"/>
    <w:rsid w:val="00A84302"/>
    <w:rsid w:val="00A84AE5"/>
    <w:rsid w:val="00A84BAB"/>
    <w:rsid w:val="00A84BD2"/>
    <w:rsid w:val="00A84E3C"/>
    <w:rsid w:val="00A85176"/>
    <w:rsid w:val="00A851D6"/>
    <w:rsid w:val="00A85374"/>
    <w:rsid w:val="00A8537C"/>
    <w:rsid w:val="00A853EF"/>
    <w:rsid w:val="00A854CA"/>
    <w:rsid w:val="00A8577E"/>
    <w:rsid w:val="00A85870"/>
    <w:rsid w:val="00A85CEF"/>
    <w:rsid w:val="00A86325"/>
    <w:rsid w:val="00A8651B"/>
    <w:rsid w:val="00A8654D"/>
    <w:rsid w:val="00A86EF3"/>
    <w:rsid w:val="00A870A8"/>
    <w:rsid w:val="00A870BD"/>
    <w:rsid w:val="00A87975"/>
    <w:rsid w:val="00A87B87"/>
    <w:rsid w:val="00A87D6A"/>
    <w:rsid w:val="00A9070F"/>
    <w:rsid w:val="00A9114E"/>
    <w:rsid w:val="00A91317"/>
    <w:rsid w:val="00A91329"/>
    <w:rsid w:val="00A91730"/>
    <w:rsid w:val="00A91EB1"/>
    <w:rsid w:val="00A91FC8"/>
    <w:rsid w:val="00A92207"/>
    <w:rsid w:val="00A926BD"/>
    <w:rsid w:val="00A92AD3"/>
    <w:rsid w:val="00A92FA3"/>
    <w:rsid w:val="00A935A7"/>
    <w:rsid w:val="00A9387A"/>
    <w:rsid w:val="00A93B04"/>
    <w:rsid w:val="00A93C7D"/>
    <w:rsid w:val="00A93DAB"/>
    <w:rsid w:val="00A93E9F"/>
    <w:rsid w:val="00A940F6"/>
    <w:rsid w:val="00A947D6"/>
    <w:rsid w:val="00A94B15"/>
    <w:rsid w:val="00A9598E"/>
    <w:rsid w:val="00A960BE"/>
    <w:rsid w:val="00A96826"/>
    <w:rsid w:val="00A96A70"/>
    <w:rsid w:val="00A96A97"/>
    <w:rsid w:val="00A96D75"/>
    <w:rsid w:val="00A974F8"/>
    <w:rsid w:val="00AA024F"/>
    <w:rsid w:val="00AA02AB"/>
    <w:rsid w:val="00AA0578"/>
    <w:rsid w:val="00AA0682"/>
    <w:rsid w:val="00AA0C01"/>
    <w:rsid w:val="00AA0CC9"/>
    <w:rsid w:val="00AA0DD4"/>
    <w:rsid w:val="00AA0E8E"/>
    <w:rsid w:val="00AA1268"/>
    <w:rsid w:val="00AA12F8"/>
    <w:rsid w:val="00AA175F"/>
    <w:rsid w:val="00AA1DA1"/>
    <w:rsid w:val="00AA2795"/>
    <w:rsid w:val="00AA2CB9"/>
    <w:rsid w:val="00AA3333"/>
    <w:rsid w:val="00AA3853"/>
    <w:rsid w:val="00AA3970"/>
    <w:rsid w:val="00AA3A5F"/>
    <w:rsid w:val="00AA4A0F"/>
    <w:rsid w:val="00AA4BB0"/>
    <w:rsid w:val="00AA5253"/>
    <w:rsid w:val="00AA5602"/>
    <w:rsid w:val="00AA57CF"/>
    <w:rsid w:val="00AA5C28"/>
    <w:rsid w:val="00AA5FC5"/>
    <w:rsid w:val="00AA6254"/>
    <w:rsid w:val="00AA63D8"/>
    <w:rsid w:val="00AA664B"/>
    <w:rsid w:val="00AA6653"/>
    <w:rsid w:val="00AA7C4B"/>
    <w:rsid w:val="00AA7E46"/>
    <w:rsid w:val="00AA7E59"/>
    <w:rsid w:val="00AB035A"/>
    <w:rsid w:val="00AB098D"/>
    <w:rsid w:val="00AB0A72"/>
    <w:rsid w:val="00AB0D1A"/>
    <w:rsid w:val="00AB0EFE"/>
    <w:rsid w:val="00AB19EC"/>
    <w:rsid w:val="00AB1C58"/>
    <w:rsid w:val="00AB20B8"/>
    <w:rsid w:val="00AB2438"/>
    <w:rsid w:val="00AB28F9"/>
    <w:rsid w:val="00AB2BAD"/>
    <w:rsid w:val="00AB3048"/>
    <w:rsid w:val="00AB32E4"/>
    <w:rsid w:val="00AB33C8"/>
    <w:rsid w:val="00AB3F9B"/>
    <w:rsid w:val="00AB41C1"/>
    <w:rsid w:val="00AB4404"/>
    <w:rsid w:val="00AB460F"/>
    <w:rsid w:val="00AB46D4"/>
    <w:rsid w:val="00AB5141"/>
    <w:rsid w:val="00AB518C"/>
    <w:rsid w:val="00AB51BD"/>
    <w:rsid w:val="00AB5226"/>
    <w:rsid w:val="00AB563D"/>
    <w:rsid w:val="00AB574A"/>
    <w:rsid w:val="00AB5A31"/>
    <w:rsid w:val="00AB5FA5"/>
    <w:rsid w:val="00AB6296"/>
    <w:rsid w:val="00AB6C2B"/>
    <w:rsid w:val="00AB6D13"/>
    <w:rsid w:val="00AB6D9A"/>
    <w:rsid w:val="00AB705C"/>
    <w:rsid w:val="00AB725F"/>
    <w:rsid w:val="00AB76A0"/>
    <w:rsid w:val="00AB76EA"/>
    <w:rsid w:val="00AB77AD"/>
    <w:rsid w:val="00AB7D85"/>
    <w:rsid w:val="00AC09DD"/>
    <w:rsid w:val="00AC0CDA"/>
    <w:rsid w:val="00AC1B60"/>
    <w:rsid w:val="00AC1E86"/>
    <w:rsid w:val="00AC1F6B"/>
    <w:rsid w:val="00AC27D6"/>
    <w:rsid w:val="00AC2B38"/>
    <w:rsid w:val="00AC2C7F"/>
    <w:rsid w:val="00AC2EB7"/>
    <w:rsid w:val="00AC2FAD"/>
    <w:rsid w:val="00AC44FD"/>
    <w:rsid w:val="00AC45C1"/>
    <w:rsid w:val="00AC472F"/>
    <w:rsid w:val="00AC48ED"/>
    <w:rsid w:val="00AC4CE6"/>
    <w:rsid w:val="00AC5189"/>
    <w:rsid w:val="00AC5473"/>
    <w:rsid w:val="00AC65A0"/>
    <w:rsid w:val="00AC662D"/>
    <w:rsid w:val="00AC6867"/>
    <w:rsid w:val="00AC6A8B"/>
    <w:rsid w:val="00AC6E11"/>
    <w:rsid w:val="00AC713F"/>
    <w:rsid w:val="00AC765E"/>
    <w:rsid w:val="00AC770D"/>
    <w:rsid w:val="00AD0176"/>
    <w:rsid w:val="00AD0A2C"/>
    <w:rsid w:val="00AD0B23"/>
    <w:rsid w:val="00AD0FD3"/>
    <w:rsid w:val="00AD127D"/>
    <w:rsid w:val="00AD14B3"/>
    <w:rsid w:val="00AD1680"/>
    <w:rsid w:val="00AD18D5"/>
    <w:rsid w:val="00AD1A42"/>
    <w:rsid w:val="00AD2006"/>
    <w:rsid w:val="00AD2326"/>
    <w:rsid w:val="00AD2A96"/>
    <w:rsid w:val="00AD3258"/>
    <w:rsid w:val="00AD33EA"/>
    <w:rsid w:val="00AD3BFB"/>
    <w:rsid w:val="00AD3CBE"/>
    <w:rsid w:val="00AD4020"/>
    <w:rsid w:val="00AD4305"/>
    <w:rsid w:val="00AD48FB"/>
    <w:rsid w:val="00AD50FB"/>
    <w:rsid w:val="00AD51AD"/>
    <w:rsid w:val="00AD5D75"/>
    <w:rsid w:val="00AD6338"/>
    <w:rsid w:val="00AD7AA6"/>
    <w:rsid w:val="00AD7C7C"/>
    <w:rsid w:val="00AD7CD6"/>
    <w:rsid w:val="00AD7D8F"/>
    <w:rsid w:val="00AD7DFB"/>
    <w:rsid w:val="00AE0662"/>
    <w:rsid w:val="00AE0962"/>
    <w:rsid w:val="00AE11BE"/>
    <w:rsid w:val="00AE122A"/>
    <w:rsid w:val="00AE1399"/>
    <w:rsid w:val="00AE1741"/>
    <w:rsid w:val="00AE1A7C"/>
    <w:rsid w:val="00AE256D"/>
    <w:rsid w:val="00AE2ECC"/>
    <w:rsid w:val="00AE32EF"/>
    <w:rsid w:val="00AE34B0"/>
    <w:rsid w:val="00AE3503"/>
    <w:rsid w:val="00AE3C98"/>
    <w:rsid w:val="00AE4556"/>
    <w:rsid w:val="00AE47B5"/>
    <w:rsid w:val="00AE4ABA"/>
    <w:rsid w:val="00AE4E4A"/>
    <w:rsid w:val="00AE5426"/>
    <w:rsid w:val="00AE5530"/>
    <w:rsid w:val="00AE5629"/>
    <w:rsid w:val="00AE6505"/>
    <w:rsid w:val="00AE6C42"/>
    <w:rsid w:val="00AE6D41"/>
    <w:rsid w:val="00AE6DFD"/>
    <w:rsid w:val="00AE6F42"/>
    <w:rsid w:val="00AE7054"/>
    <w:rsid w:val="00AE7451"/>
    <w:rsid w:val="00AE7490"/>
    <w:rsid w:val="00AE762F"/>
    <w:rsid w:val="00AE7865"/>
    <w:rsid w:val="00AE7CA1"/>
    <w:rsid w:val="00AE7D10"/>
    <w:rsid w:val="00AE7DDE"/>
    <w:rsid w:val="00AE7F6D"/>
    <w:rsid w:val="00AE7FA3"/>
    <w:rsid w:val="00AF065E"/>
    <w:rsid w:val="00AF0A73"/>
    <w:rsid w:val="00AF0BCD"/>
    <w:rsid w:val="00AF0C56"/>
    <w:rsid w:val="00AF10C5"/>
    <w:rsid w:val="00AF1281"/>
    <w:rsid w:val="00AF1AB2"/>
    <w:rsid w:val="00AF1E04"/>
    <w:rsid w:val="00AF2174"/>
    <w:rsid w:val="00AF2287"/>
    <w:rsid w:val="00AF2CB2"/>
    <w:rsid w:val="00AF2F13"/>
    <w:rsid w:val="00AF345F"/>
    <w:rsid w:val="00AF35D0"/>
    <w:rsid w:val="00AF365E"/>
    <w:rsid w:val="00AF410E"/>
    <w:rsid w:val="00AF417A"/>
    <w:rsid w:val="00AF497F"/>
    <w:rsid w:val="00AF51A4"/>
    <w:rsid w:val="00AF5454"/>
    <w:rsid w:val="00AF5796"/>
    <w:rsid w:val="00AF642F"/>
    <w:rsid w:val="00AF65AB"/>
    <w:rsid w:val="00AF6D91"/>
    <w:rsid w:val="00AF72A2"/>
    <w:rsid w:val="00AF7341"/>
    <w:rsid w:val="00AF752A"/>
    <w:rsid w:val="00AF7878"/>
    <w:rsid w:val="00AF7C35"/>
    <w:rsid w:val="00AF7D00"/>
    <w:rsid w:val="00B00372"/>
    <w:rsid w:val="00B00396"/>
    <w:rsid w:val="00B0055B"/>
    <w:rsid w:val="00B00863"/>
    <w:rsid w:val="00B00E64"/>
    <w:rsid w:val="00B0103F"/>
    <w:rsid w:val="00B01C63"/>
    <w:rsid w:val="00B02630"/>
    <w:rsid w:val="00B029B0"/>
    <w:rsid w:val="00B0389D"/>
    <w:rsid w:val="00B0418B"/>
    <w:rsid w:val="00B04668"/>
    <w:rsid w:val="00B04AAC"/>
    <w:rsid w:val="00B04D90"/>
    <w:rsid w:val="00B04FB2"/>
    <w:rsid w:val="00B050CF"/>
    <w:rsid w:val="00B052E8"/>
    <w:rsid w:val="00B05520"/>
    <w:rsid w:val="00B056BF"/>
    <w:rsid w:val="00B05806"/>
    <w:rsid w:val="00B05A46"/>
    <w:rsid w:val="00B05B8E"/>
    <w:rsid w:val="00B06360"/>
    <w:rsid w:val="00B063E9"/>
    <w:rsid w:val="00B06942"/>
    <w:rsid w:val="00B06DD0"/>
    <w:rsid w:val="00B06EBA"/>
    <w:rsid w:val="00B0734D"/>
    <w:rsid w:val="00B07ACB"/>
    <w:rsid w:val="00B10743"/>
    <w:rsid w:val="00B10C03"/>
    <w:rsid w:val="00B10DD4"/>
    <w:rsid w:val="00B11689"/>
    <w:rsid w:val="00B116F1"/>
    <w:rsid w:val="00B117D1"/>
    <w:rsid w:val="00B119D4"/>
    <w:rsid w:val="00B11A23"/>
    <w:rsid w:val="00B11B24"/>
    <w:rsid w:val="00B12172"/>
    <w:rsid w:val="00B1219D"/>
    <w:rsid w:val="00B1265D"/>
    <w:rsid w:val="00B12A0B"/>
    <w:rsid w:val="00B12DC3"/>
    <w:rsid w:val="00B12EB1"/>
    <w:rsid w:val="00B13013"/>
    <w:rsid w:val="00B130A3"/>
    <w:rsid w:val="00B13834"/>
    <w:rsid w:val="00B13B1E"/>
    <w:rsid w:val="00B13B3C"/>
    <w:rsid w:val="00B13CB9"/>
    <w:rsid w:val="00B1430F"/>
    <w:rsid w:val="00B144F4"/>
    <w:rsid w:val="00B14648"/>
    <w:rsid w:val="00B149F1"/>
    <w:rsid w:val="00B15649"/>
    <w:rsid w:val="00B15A74"/>
    <w:rsid w:val="00B160D1"/>
    <w:rsid w:val="00B16719"/>
    <w:rsid w:val="00B16A13"/>
    <w:rsid w:val="00B16E74"/>
    <w:rsid w:val="00B1724B"/>
    <w:rsid w:val="00B172A4"/>
    <w:rsid w:val="00B174BA"/>
    <w:rsid w:val="00B176B1"/>
    <w:rsid w:val="00B20005"/>
    <w:rsid w:val="00B200FB"/>
    <w:rsid w:val="00B2016A"/>
    <w:rsid w:val="00B20300"/>
    <w:rsid w:val="00B205C9"/>
    <w:rsid w:val="00B205E8"/>
    <w:rsid w:val="00B205F7"/>
    <w:rsid w:val="00B209E1"/>
    <w:rsid w:val="00B20A90"/>
    <w:rsid w:val="00B20B9C"/>
    <w:rsid w:val="00B20CE2"/>
    <w:rsid w:val="00B20DA6"/>
    <w:rsid w:val="00B20FAD"/>
    <w:rsid w:val="00B2119F"/>
    <w:rsid w:val="00B21286"/>
    <w:rsid w:val="00B2147B"/>
    <w:rsid w:val="00B216DF"/>
    <w:rsid w:val="00B21DA2"/>
    <w:rsid w:val="00B2208C"/>
    <w:rsid w:val="00B22E79"/>
    <w:rsid w:val="00B2328E"/>
    <w:rsid w:val="00B2366E"/>
    <w:rsid w:val="00B245A4"/>
    <w:rsid w:val="00B24951"/>
    <w:rsid w:val="00B24CEC"/>
    <w:rsid w:val="00B24E3B"/>
    <w:rsid w:val="00B2541F"/>
    <w:rsid w:val="00B2562B"/>
    <w:rsid w:val="00B257C3"/>
    <w:rsid w:val="00B258BC"/>
    <w:rsid w:val="00B25962"/>
    <w:rsid w:val="00B259A4"/>
    <w:rsid w:val="00B26744"/>
    <w:rsid w:val="00B2697D"/>
    <w:rsid w:val="00B26EC5"/>
    <w:rsid w:val="00B274CE"/>
    <w:rsid w:val="00B27ADB"/>
    <w:rsid w:val="00B27FCE"/>
    <w:rsid w:val="00B3016D"/>
    <w:rsid w:val="00B301C4"/>
    <w:rsid w:val="00B30245"/>
    <w:rsid w:val="00B30852"/>
    <w:rsid w:val="00B3133D"/>
    <w:rsid w:val="00B3137D"/>
    <w:rsid w:val="00B31467"/>
    <w:rsid w:val="00B319AD"/>
    <w:rsid w:val="00B32011"/>
    <w:rsid w:val="00B3230E"/>
    <w:rsid w:val="00B3242D"/>
    <w:rsid w:val="00B32601"/>
    <w:rsid w:val="00B32B61"/>
    <w:rsid w:val="00B32BE3"/>
    <w:rsid w:val="00B3360E"/>
    <w:rsid w:val="00B33869"/>
    <w:rsid w:val="00B33BCB"/>
    <w:rsid w:val="00B33E7B"/>
    <w:rsid w:val="00B34138"/>
    <w:rsid w:val="00B342B2"/>
    <w:rsid w:val="00B345B0"/>
    <w:rsid w:val="00B348C7"/>
    <w:rsid w:val="00B349B0"/>
    <w:rsid w:val="00B349C3"/>
    <w:rsid w:val="00B34B47"/>
    <w:rsid w:val="00B34CA8"/>
    <w:rsid w:val="00B35145"/>
    <w:rsid w:val="00B35446"/>
    <w:rsid w:val="00B358B5"/>
    <w:rsid w:val="00B36033"/>
    <w:rsid w:val="00B36473"/>
    <w:rsid w:val="00B368AB"/>
    <w:rsid w:val="00B370B2"/>
    <w:rsid w:val="00B37539"/>
    <w:rsid w:val="00B37962"/>
    <w:rsid w:val="00B37D80"/>
    <w:rsid w:val="00B37E0B"/>
    <w:rsid w:val="00B40814"/>
    <w:rsid w:val="00B41626"/>
    <w:rsid w:val="00B41658"/>
    <w:rsid w:val="00B41868"/>
    <w:rsid w:val="00B41BFF"/>
    <w:rsid w:val="00B41D3A"/>
    <w:rsid w:val="00B41D63"/>
    <w:rsid w:val="00B4220C"/>
    <w:rsid w:val="00B424AD"/>
    <w:rsid w:val="00B424F2"/>
    <w:rsid w:val="00B42BAA"/>
    <w:rsid w:val="00B42C2E"/>
    <w:rsid w:val="00B42E7C"/>
    <w:rsid w:val="00B42F5B"/>
    <w:rsid w:val="00B430D7"/>
    <w:rsid w:val="00B43124"/>
    <w:rsid w:val="00B43AA3"/>
    <w:rsid w:val="00B43B9B"/>
    <w:rsid w:val="00B43D8A"/>
    <w:rsid w:val="00B44052"/>
    <w:rsid w:val="00B44411"/>
    <w:rsid w:val="00B449E7"/>
    <w:rsid w:val="00B44A5C"/>
    <w:rsid w:val="00B44A67"/>
    <w:rsid w:val="00B44F23"/>
    <w:rsid w:val="00B45000"/>
    <w:rsid w:val="00B450B8"/>
    <w:rsid w:val="00B454B8"/>
    <w:rsid w:val="00B460CF"/>
    <w:rsid w:val="00B4632F"/>
    <w:rsid w:val="00B464B5"/>
    <w:rsid w:val="00B4658C"/>
    <w:rsid w:val="00B46751"/>
    <w:rsid w:val="00B46D48"/>
    <w:rsid w:val="00B46F3F"/>
    <w:rsid w:val="00B471DA"/>
    <w:rsid w:val="00B4746B"/>
    <w:rsid w:val="00B476B8"/>
    <w:rsid w:val="00B47748"/>
    <w:rsid w:val="00B477E6"/>
    <w:rsid w:val="00B500C4"/>
    <w:rsid w:val="00B5074E"/>
    <w:rsid w:val="00B50AB2"/>
    <w:rsid w:val="00B50E93"/>
    <w:rsid w:val="00B5149B"/>
    <w:rsid w:val="00B51553"/>
    <w:rsid w:val="00B519AF"/>
    <w:rsid w:val="00B520B6"/>
    <w:rsid w:val="00B5241B"/>
    <w:rsid w:val="00B52450"/>
    <w:rsid w:val="00B52B13"/>
    <w:rsid w:val="00B52D39"/>
    <w:rsid w:val="00B52FD3"/>
    <w:rsid w:val="00B5318E"/>
    <w:rsid w:val="00B53486"/>
    <w:rsid w:val="00B53C22"/>
    <w:rsid w:val="00B540AA"/>
    <w:rsid w:val="00B540B7"/>
    <w:rsid w:val="00B54285"/>
    <w:rsid w:val="00B54792"/>
    <w:rsid w:val="00B548A1"/>
    <w:rsid w:val="00B5521C"/>
    <w:rsid w:val="00B55305"/>
    <w:rsid w:val="00B55429"/>
    <w:rsid w:val="00B5548F"/>
    <w:rsid w:val="00B55827"/>
    <w:rsid w:val="00B55828"/>
    <w:rsid w:val="00B55AD4"/>
    <w:rsid w:val="00B55B90"/>
    <w:rsid w:val="00B55C3B"/>
    <w:rsid w:val="00B55D87"/>
    <w:rsid w:val="00B56112"/>
    <w:rsid w:val="00B56A7F"/>
    <w:rsid w:val="00B56B09"/>
    <w:rsid w:val="00B56E63"/>
    <w:rsid w:val="00B57274"/>
    <w:rsid w:val="00B575BD"/>
    <w:rsid w:val="00B5764F"/>
    <w:rsid w:val="00B57A6A"/>
    <w:rsid w:val="00B57A99"/>
    <w:rsid w:val="00B6075B"/>
    <w:rsid w:val="00B60807"/>
    <w:rsid w:val="00B60B58"/>
    <w:rsid w:val="00B60B95"/>
    <w:rsid w:val="00B60DE1"/>
    <w:rsid w:val="00B61291"/>
    <w:rsid w:val="00B613CF"/>
    <w:rsid w:val="00B61B18"/>
    <w:rsid w:val="00B61F84"/>
    <w:rsid w:val="00B62235"/>
    <w:rsid w:val="00B63518"/>
    <w:rsid w:val="00B6368D"/>
    <w:rsid w:val="00B6371B"/>
    <w:rsid w:val="00B645B3"/>
    <w:rsid w:val="00B64BF8"/>
    <w:rsid w:val="00B64CD7"/>
    <w:rsid w:val="00B659BA"/>
    <w:rsid w:val="00B65AA2"/>
    <w:rsid w:val="00B65C2D"/>
    <w:rsid w:val="00B6622B"/>
    <w:rsid w:val="00B66281"/>
    <w:rsid w:val="00B66513"/>
    <w:rsid w:val="00B66840"/>
    <w:rsid w:val="00B6687C"/>
    <w:rsid w:val="00B669CE"/>
    <w:rsid w:val="00B66C4C"/>
    <w:rsid w:val="00B670AC"/>
    <w:rsid w:val="00B672FF"/>
    <w:rsid w:val="00B67605"/>
    <w:rsid w:val="00B6799C"/>
    <w:rsid w:val="00B67AB8"/>
    <w:rsid w:val="00B706E4"/>
    <w:rsid w:val="00B70F8A"/>
    <w:rsid w:val="00B71AB3"/>
    <w:rsid w:val="00B71F39"/>
    <w:rsid w:val="00B71F4E"/>
    <w:rsid w:val="00B722C2"/>
    <w:rsid w:val="00B725D4"/>
    <w:rsid w:val="00B726E1"/>
    <w:rsid w:val="00B72990"/>
    <w:rsid w:val="00B72AC3"/>
    <w:rsid w:val="00B73910"/>
    <w:rsid w:val="00B73EFD"/>
    <w:rsid w:val="00B74143"/>
    <w:rsid w:val="00B7509C"/>
    <w:rsid w:val="00B75149"/>
    <w:rsid w:val="00B759F0"/>
    <w:rsid w:val="00B75CB2"/>
    <w:rsid w:val="00B76961"/>
    <w:rsid w:val="00B769F0"/>
    <w:rsid w:val="00B76BF3"/>
    <w:rsid w:val="00B7711B"/>
    <w:rsid w:val="00B77667"/>
    <w:rsid w:val="00B77723"/>
    <w:rsid w:val="00B77924"/>
    <w:rsid w:val="00B77BAB"/>
    <w:rsid w:val="00B80A31"/>
    <w:rsid w:val="00B80FD7"/>
    <w:rsid w:val="00B813D3"/>
    <w:rsid w:val="00B81B28"/>
    <w:rsid w:val="00B81B32"/>
    <w:rsid w:val="00B81B95"/>
    <w:rsid w:val="00B821F8"/>
    <w:rsid w:val="00B82DF8"/>
    <w:rsid w:val="00B82E05"/>
    <w:rsid w:val="00B838B7"/>
    <w:rsid w:val="00B83B34"/>
    <w:rsid w:val="00B83F77"/>
    <w:rsid w:val="00B8420E"/>
    <w:rsid w:val="00B842A7"/>
    <w:rsid w:val="00B84473"/>
    <w:rsid w:val="00B8471E"/>
    <w:rsid w:val="00B84E99"/>
    <w:rsid w:val="00B84F57"/>
    <w:rsid w:val="00B855F6"/>
    <w:rsid w:val="00B857E8"/>
    <w:rsid w:val="00B85B4E"/>
    <w:rsid w:val="00B86723"/>
    <w:rsid w:val="00B870BD"/>
    <w:rsid w:val="00B87110"/>
    <w:rsid w:val="00B871F6"/>
    <w:rsid w:val="00B8747E"/>
    <w:rsid w:val="00B875BC"/>
    <w:rsid w:val="00B900DF"/>
    <w:rsid w:val="00B9079A"/>
    <w:rsid w:val="00B90B27"/>
    <w:rsid w:val="00B90CE5"/>
    <w:rsid w:val="00B91359"/>
    <w:rsid w:val="00B91826"/>
    <w:rsid w:val="00B91842"/>
    <w:rsid w:val="00B91AFE"/>
    <w:rsid w:val="00B9201A"/>
    <w:rsid w:val="00B924BC"/>
    <w:rsid w:val="00B92511"/>
    <w:rsid w:val="00B929FD"/>
    <w:rsid w:val="00B92B3C"/>
    <w:rsid w:val="00B92F43"/>
    <w:rsid w:val="00B9304D"/>
    <w:rsid w:val="00B9362E"/>
    <w:rsid w:val="00B93670"/>
    <w:rsid w:val="00B937C8"/>
    <w:rsid w:val="00B938BB"/>
    <w:rsid w:val="00B9394E"/>
    <w:rsid w:val="00B93D52"/>
    <w:rsid w:val="00B9487E"/>
    <w:rsid w:val="00B94899"/>
    <w:rsid w:val="00B949D5"/>
    <w:rsid w:val="00B950BB"/>
    <w:rsid w:val="00B9535A"/>
    <w:rsid w:val="00B95465"/>
    <w:rsid w:val="00B954CE"/>
    <w:rsid w:val="00B9555B"/>
    <w:rsid w:val="00B95599"/>
    <w:rsid w:val="00B95C75"/>
    <w:rsid w:val="00B95E78"/>
    <w:rsid w:val="00B963B7"/>
    <w:rsid w:val="00B96AA6"/>
    <w:rsid w:val="00B96F16"/>
    <w:rsid w:val="00B96F46"/>
    <w:rsid w:val="00B972CD"/>
    <w:rsid w:val="00B97624"/>
    <w:rsid w:val="00B97D1F"/>
    <w:rsid w:val="00BA01D5"/>
    <w:rsid w:val="00BA0706"/>
    <w:rsid w:val="00BA0E5C"/>
    <w:rsid w:val="00BA1233"/>
    <w:rsid w:val="00BA1CC7"/>
    <w:rsid w:val="00BA1D27"/>
    <w:rsid w:val="00BA2507"/>
    <w:rsid w:val="00BA28FD"/>
    <w:rsid w:val="00BA295C"/>
    <w:rsid w:val="00BA2A1A"/>
    <w:rsid w:val="00BA2DBD"/>
    <w:rsid w:val="00BA3136"/>
    <w:rsid w:val="00BA319F"/>
    <w:rsid w:val="00BA31C3"/>
    <w:rsid w:val="00BA3298"/>
    <w:rsid w:val="00BA3B5A"/>
    <w:rsid w:val="00BA3BB6"/>
    <w:rsid w:val="00BA4468"/>
    <w:rsid w:val="00BA4AF7"/>
    <w:rsid w:val="00BA51E1"/>
    <w:rsid w:val="00BA52D4"/>
    <w:rsid w:val="00BA5430"/>
    <w:rsid w:val="00BA55D1"/>
    <w:rsid w:val="00BA5C56"/>
    <w:rsid w:val="00BA5E34"/>
    <w:rsid w:val="00BA60CA"/>
    <w:rsid w:val="00BA64C8"/>
    <w:rsid w:val="00BA65F7"/>
    <w:rsid w:val="00BA6899"/>
    <w:rsid w:val="00BA6D9D"/>
    <w:rsid w:val="00BA787B"/>
    <w:rsid w:val="00BA79CD"/>
    <w:rsid w:val="00BB0CD1"/>
    <w:rsid w:val="00BB117C"/>
    <w:rsid w:val="00BB1F1D"/>
    <w:rsid w:val="00BB2028"/>
    <w:rsid w:val="00BB2129"/>
    <w:rsid w:val="00BB2634"/>
    <w:rsid w:val="00BB28F3"/>
    <w:rsid w:val="00BB2AC4"/>
    <w:rsid w:val="00BB2C7E"/>
    <w:rsid w:val="00BB2CF4"/>
    <w:rsid w:val="00BB2EDB"/>
    <w:rsid w:val="00BB318D"/>
    <w:rsid w:val="00BB35FF"/>
    <w:rsid w:val="00BB3FD1"/>
    <w:rsid w:val="00BB408F"/>
    <w:rsid w:val="00BB4861"/>
    <w:rsid w:val="00BB4FDC"/>
    <w:rsid w:val="00BB525C"/>
    <w:rsid w:val="00BB5344"/>
    <w:rsid w:val="00BB572A"/>
    <w:rsid w:val="00BB5A3E"/>
    <w:rsid w:val="00BB5F09"/>
    <w:rsid w:val="00BB5F76"/>
    <w:rsid w:val="00BB5FDA"/>
    <w:rsid w:val="00BB6429"/>
    <w:rsid w:val="00BB66C0"/>
    <w:rsid w:val="00BB6D51"/>
    <w:rsid w:val="00BB71A3"/>
    <w:rsid w:val="00BB7584"/>
    <w:rsid w:val="00BB78D3"/>
    <w:rsid w:val="00BC0E96"/>
    <w:rsid w:val="00BC10F4"/>
    <w:rsid w:val="00BC1117"/>
    <w:rsid w:val="00BC145E"/>
    <w:rsid w:val="00BC1CF3"/>
    <w:rsid w:val="00BC2181"/>
    <w:rsid w:val="00BC21B6"/>
    <w:rsid w:val="00BC253F"/>
    <w:rsid w:val="00BC2609"/>
    <w:rsid w:val="00BC2658"/>
    <w:rsid w:val="00BC2A21"/>
    <w:rsid w:val="00BC2A47"/>
    <w:rsid w:val="00BC3195"/>
    <w:rsid w:val="00BC39FE"/>
    <w:rsid w:val="00BC4427"/>
    <w:rsid w:val="00BC47C3"/>
    <w:rsid w:val="00BC483E"/>
    <w:rsid w:val="00BC513F"/>
    <w:rsid w:val="00BC52EC"/>
    <w:rsid w:val="00BC58AF"/>
    <w:rsid w:val="00BC5917"/>
    <w:rsid w:val="00BC594B"/>
    <w:rsid w:val="00BC59AD"/>
    <w:rsid w:val="00BC6833"/>
    <w:rsid w:val="00BC78FE"/>
    <w:rsid w:val="00BC7B48"/>
    <w:rsid w:val="00BC7DBB"/>
    <w:rsid w:val="00BC7FD7"/>
    <w:rsid w:val="00BD0B1A"/>
    <w:rsid w:val="00BD0BDE"/>
    <w:rsid w:val="00BD0CBE"/>
    <w:rsid w:val="00BD0CEA"/>
    <w:rsid w:val="00BD126B"/>
    <w:rsid w:val="00BD14B1"/>
    <w:rsid w:val="00BD17C1"/>
    <w:rsid w:val="00BD17ED"/>
    <w:rsid w:val="00BD19F4"/>
    <w:rsid w:val="00BD1FC2"/>
    <w:rsid w:val="00BD236A"/>
    <w:rsid w:val="00BD238B"/>
    <w:rsid w:val="00BD2BB2"/>
    <w:rsid w:val="00BD2D5E"/>
    <w:rsid w:val="00BD301A"/>
    <w:rsid w:val="00BD35B0"/>
    <w:rsid w:val="00BD3763"/>
    <w:rsid w:val="00BD3776"/>
    <w:rsid w:val="00BD3780"/>
    <w:rsid w:val="00BD3D58"/>
    <w:rsid w:val="00BD3DE2"/>
    <w:rsid w:val="00BD3E77"/>
    <w:rsid w:val="00BD45B6"/>
    <w:rsid w:val="00BD4971"/>
    <w:rsid w:val="00BD4FBD"/>
    <w:rsid w:val="00BD5078"/>
    <w:rsid w:val="00BD52A9"/>
    <w:rsid w:val="00BD55B4"/>
    <w:rsid w:val="00BD5794"/>
    <w:rsid w:val="00BD5B0B"/>
    <w:rsid w:val="00BD6582"/>
    <w:rsid w:val="00BD6B0C"/>
    <w:rsid w:val="00BD6C27"/>
    <w:rsid w:val="00BD7394"/>
    <w:rsid w:val="00BD7D59"/>
    <w:rsid w:val="00BE031E"/>
    <w:rsid w:val="00BE08AB"/>
    <w:rsid w:val="00BE0BAA"/>
    <w:rsid w:val="00BE0DCD"/>
    <w:rsid w:val="00BE0FE3"/>
    <w:rsid w:val="00BE113D"/>
    <w:rsid w:val="00BE1479"/>
    <w:rsid w:val="00BE17F3"/>
    <w:rsid w:val="00BE182B"/>
    <w:rsid w:val="00BE1881"/>
    <w:rsid w:val="00BE1D3C"/>
    <w:rsid w:val="00BE1E95"/>
    <w:rsid w:val="00BE1F21"/>
    <w:rsid w:val="00BE20D0"/>
    <w:rsid w:val="00BE2557"/>
    <w:rsid w:val="00BE2C2A"/>
    <w:rsid w:val="00BE30CA"/>
    <w:rsid w:val="00BE3201"/>
    <w:rsid w:val="00BE3223"/>
    <w:rsid w:val="00BE3E3E"/>
    <w:rsid w:val="00BE3E40"/>
    <w:rsid w:val="00BE3F40"/>
    <w:rsid w:val="00BE3FCB"/>
    <w:rsid w:val="00BE433E"/>
    <w:rsid w:val="00BE471F"/>
    <w:rsid w:val="00BE47B7"/>
    <w:rsid w:val="00BE48D5"/>
    <w:rsid w:val="00BE4AB8"/>
    <w:rsid w:val="00BE4F56"/>
    <w:rsid w:val="00BE52C7"/>
    <w:rsid w:val="00BE5B08"/>
    <w:rsid w:val="00BE640C"/>
    <w:rsid w:val="00BE6EAD"/>
    <w:rsid w:val="00BE7AED"/>
    <w:rsid w:val="00BF0D31"/>
    <w:rsid w:val="00BF0EC2"/>
    <w:rsid w:val="00BF1477"/>
    <w:rsid w:val="00BF16E7"/>
    <w:rsid w:val="00BF280A"/>
    <w:rsid w:val="00BF2B8C"/>
    <w:rsid w:val="00BF324A"/>
    <w:rsid w:val="00BF3C54"/>
    <w:rsid w:val="00BF3EAA"/>
    <w:rsid w:val="00BF43E0"/>
    <w:rsid w:val="00BF490E"/>
    <w:rsid w:val="00BF4AC5"/>
    <w:rsid w:val="00BF4CB8"/>
    <w:rsid w:val="00BF4ED9"/>
    <w:rsid w:val="00BF4F9A"/>
    <w:rsid w:val="00BF51A0"/>
    <w:rsid w:val="00BF5564"/>
    <w:rsid w:val="00BF5729"/>
    <w:rsid w:val="00BF5963"/>
    <w:rsid w:val="00BF5A6A"/>
    <w:rsid w:val="00BF5D4A"/>
    <w:rsid w:val="00BF5ED8"/>
    <w:rsid w:val="00BF65CE"/>
    <w:rsid w:val="00BF66E2"/>
    <w:rsid w:val="00BF6A67"/>
    <w:rsid w:val="00BF6B25"/>
    <w:rsid w:val="00BF7037"/>
    <w:rsid w:val="00BF7803"/>
    <w:rsid w:val="00BF78A9"/>
    <w:rsid w:val="00BF799D"/>
    <w:rsid w:val="00BF7C10"/>
    <w:rsid w:val="00C002AB"/>
    <w:rsid w:val="00C00928"/>
    <w:rsid w:val="00C009DA"/>
    <w:rsid w:val="00C0104E"/>
    <w:rsid w:val="00C0132F"/>
    <w:rsid w:val="00C01343"/>
    <w:rsid w:val="00C016D7"/>
    <w:rsid w:val="00C01763"/>
    <w:rsid w:val="00C0198A"/>
    <w:rsid w:val="00C01A96"/>
    <w:rsid w:val="00C01AB0"/>
    <w:rsid w:val="00C01D96"/>
    <w:rsid w:val="00C0271E"/>
    <w:rsid w:val="00C02756"/>
    <w:rsid w:val="00C027D0"/>
    <w:rsid w:val="00C02F28"/>
    <w:rsid w:val="00C034EE"/>
    <w:rsid w:val="00C0364B"/>
    <w:rsid w:val="00C03D71"/>
    <w:rsid w:val="00C03DA0"/>
    <w:rsid w:val="00C0475F"/>
    <w:rsid w:val="00C0482C"/>
    <w:rsid w:val="00C048FE"/>
    <w:rsid w:val="00C049A4"/>
    <w:rsid w:val="00C05082"/>
    <w:rsid w:val="00C05351"/>
    <w:rsid w:val="00C0541A"/>
    <w:rsid w:val="00C056F9"/>
    <w:rsid w:val="00C05F8E"/>
    <w:rsid w:val="00C0604D"/>
    <w:rsid w:val="00C065B8"/>
    <w:rsid w:val="00C065D2"/>
    <w:rsid w:val="00C0675D"/>
    <w:rsid w:val="00C06D10"/>
    <w:rsid w:val="00C076B6"/>
    <w:rsid w:val="00C077D4"/>
    <w:rsid w:val="00C07C39"/>
    <w:rsid w:val="00C1035F"/>
    <w:rsid w:val="00C106EE"/>
    <w:rsid w:val="00C10772"/>
    <w:rsid w:val="00C1084E"/>
    <w:rsid w:val="00C10863"/>
    <w:rsid w:val="00C10D90"/>
    <w:rsid w:val="00C10DF5"/>
    <w:rsid w:val="00C1109C"/>
    <w:rsid w:val="00C114CB"/>
    <w:rsid w:val="00C115E9"/>
    <w:rsid w:val="00C1176F"/>
    <w:rsid w:val="00C11BA9"/>
    <w:rsid w:val="00C1233C"/>
    <w:rsid w:val="00C12463"/>
    <w:rsid w:val="00C126EE"/>
    <w:rsid w:val="00C12836"/>
    <w:rsid w:val="00C1314B"/>
    <w:rsid w:val="00C131CE"/>
    <w:rsid w:val="00C137EF"/>
    <w:rsid w:val="00C13B54"/>
    <w:rsid w:val="00C13B7F"/>
    <w:rsid w:val="00C1456E"/>
    <w:rsid w:val="00C14A1E"/>
    <w:rsid w:val="00C14CA2"/>
    <w:rsid w:val="00C14EAD"/>
    <w:rsid w:val="00C150E1"/>
    <w:rsid w:val="00C15A79"/>
    <w:rsid w:val="00C15E35"/>
    <w:rsid w:val="00C15FE7"/>
    <w:rsid w:val="00C1611B"/>
    <w:rsid w:val="00C1659A"/>
    <w:rsid w:val="00C168B2"/>
    <w:rsid w:val="00C16AB2"/>
    <w:rsid w:val="00C16E3D"/>
    <w:rsid w:val="00C16F31"/>
    <w:rsid w:val="00C178DD"/>
    <w:rsid w:val="00C17B3D"/>
    <w:rsid w:val="00C201C9"/>
    <w:rsid w:val="00C203A4"/>
    <w:rsid w:val="00C2047E"/>
    <w:rsid w:val="00C207F4"/>
    <w:rsid w:val="00C20851"/>
    <w:rsid w:val="00C208F0"/>
    <w:rsid w:val="00C2090B"/>
    <w:rsid w:val="00C20B85"/>
    <w:rsid w:val="00C20EBA"/>
    <w:rsid w:val="00C21009"/>
    <w:rsid w:val="00C21526"/>
    <w:rsid w:val="00C2184F"/>
    <w:rsid w:val="00C21A80"/>
    <w:rsid w:val="00C21B84"/>
    <w:rsid w:val="00C21E6C"/>
    <w:rsid w:val="00C2251E"/>
    <w:rsid w:val="00C231C6"/>
    <w:rsid w:val="00C23487"/>
    <w:rsid w:val="00C235B8"/>
    <w:rsid w:val="00C23979"/>
    <w:rsid w:val="00C23B49"/>
    <w:rsid w:val="00C24027"/>
    <w:rsid w:val="00C24138"/>
    <w:rsid w:val="00C24217"/>
    <w:rsid w:val="00C24459"/>
    <w:rsid w:val="00C2455C"/>
    <w:rsid w:val="00C24695"/>
    <w:rsid w:val="00C246B1"/>
    <w:rsid w:val="00C24A01"/>
    <w:rsid w:val="00C24C28"/>
    <w:rsid w:val="00C24F1F"/>
    <w:rsid w:val="00C256CB"/>
    <w:rsid w:val="00C25A5B"/>
    <w:rsid w:val="00C25ACB"/>
    <w:rsid w:val="00C25DA3"/>
    <w:rsid w:val="00C25E9D"/>
    <w:rsid w:val="00C2618F"/>
    <w:rsid w:val="00C264EC"/>
    <w:rsid w:val="00C26A05"/>
    <w:rsid w:val="00C26E75"/>
    <w:rsid w:val="00C276AB"/>
    <w:rsid w:val="00C276B4"/>
    <w:rsid w:val="00C27710"/>
    <w:rsid w:val="00C27885"/>
    <w:rsid w:val="00C27B50"/>
    <w:rsid w:val="00C27CFA"/>
    <w:rsid w:val="00C27D55"/>
    <w:rsid w:val="00C27DAA"/>
    <w:rsid w:val="00C3016A"/>
    <w:rsid w:val="00C30397"/>
    <w:rsid w:val="00C30439"/>
    <w:rsid w:val="00C30645"/>
    <w:rsid w:val="00C306B0"/>
    <w:rsid w:val="00C30ED1"/>
    <w:rsid w:val="00C31567"/>
    <w:rsid w:val="00C31E0D"/>
    <w:rsid w:val="00C32B78"/>
    <w:rsid w:val="00C3342B"/>
    <w:rsid w:val="00C33599"/>
    <w:rsid w:val="00C3420F"/>
    <w:rsid w:val="00C3495A"/>
    <w:rsid w:val="00C34BF2"/>
    <w:rsid w:val="00C34D0E"/>
    <w:rsid w:val="00C351AA"/>
    <w:rsid w:val="00C351EC"/>
    <w:rsid w:val="00C35738"/>
    <w:rsid w:val="00C357F2"/>
    <w:rsid w:val="00C359F5"/>
    <w:rsid w:val="00C35C3E"/>
    <w:rsid w:val="00C35C88"/>
    <w:rsid w:val="00C35CA7"/>
    <w:rsid w:val="00C36795"/>
    <w:rsid w:val="00C3691A"/>
    <w:rsid w:val="00C36A1A"/>
    <w:rsid w:val="00C36F6D"/>
    <w:rsid w:val="00C36F7B"/>
    <w:rsid w:val="00C37236"/>
    <w:rsid w:val="00C3774C"/>
    <w:rsid w:val="00C37B30"/>
    <w:rsid w:val="00C4032B"/>
    <w:rsid w:val="00C40853"/>
    <w:rsid w:val="00C40D54"/>
    <w:rsid w:val="00C41A4D"/>
    <w:rsid w:val="00C41BE5"/>
    <w:rsid w:val="00C4229D"/>
    <w:rsid w:val="00C423D5"/>
    <w:rsid w:val="00C42479"/>
    <w:rsid w:val="00C42A75"/>
    <w:rsid w:val="00C42B29"/>
    <w:rsid w:val="00C42E1B"/>
    <w:rsid w:val="00C42F7A"/>
    <w:rsid w:val="00C42F93"/>
    <w:rsid w:val="00C43155"/>
    <w:rsid w:val="00C431FC"/>
    <w:rsid w:val="00C436B6"/>
    <w:rsid w:val="00C43E19"/>
    <w:rsid w:val="00C44557"/>
    <w:rsid w:val="00C44C03"/>
    <w:rsid w:val="00C4524D"/>
    <w:rsid w:val="00C457CC"/>
    <w:rsid w:val="00C4593C"/>
    <w:rsid w:val="00C466C4"/>
    <w:rsid w:val="00C467B5"/>
    <w:rsid w:val="00C46DD3"/>
    <w:rsid w:val="00C46EB9"/>
    <w:rsid w:val="00C4788E"/>
    <w:rsid w:val="00C47B36"/>
    <w:rsid w:val="00C50018"/>
    <w:rsid w:val="00C50A86"/>
    <w:rsid w:val="00C51046"/>
    <w:rsid w:val="00C5117A"/>
    <w:rsid w:val="00C517D5"/>
    <w:rsid w:val="00C51B93"/>
    <w:rsid w:val="00C52237"/>
    <w:rsid w:val="00C52873"/>
    <w:rsid w:val="00C52BCD"/>
    <w:rsid w:val="00C52ED4"/>
    <w:rsid w:val="00C5313C"/>
    <w:rsid w:val="00C53564"/>
    <w:rsid w:val="00C53904"/>
    <w:rsid w:val="00C541CE"/>
    <w:rsid w:val="00C5443D"/>
    <w:rsid w:val="00C54E77"/>
    <w:rsid w:val="00C55476"/>
    <w:rsid w:val="00C55A83"/>
    <w:rsid w:val="00C55C99"/>
    <w:rsid w:val="00C55D47"/>
    <w:rsid w:val="00C56044"/>
    <w:rsid w:val="00C560F0"/>
    <w:rsid w:val="00C56DA8"/>
    <w:rsid w:val="00C5726E"/>
    <w:rsid w:val="00C5731C"/>
    <w:rsid w:val="00C5733F"/>
    <w:rsid w:val="00C575C8"/>
    <w:rsid w:val="00C579BA"/>
    <w:rsid w:val="00C6028C"/>
    <w:rsid w:val="00C607CC"/>
    <w:rsid w:val="00C60842"/>
    <w:rsid w:val="00C60AD8"/>
    <w:rsid w:val="00C60BC7"/>
    <w:rsid w:val="00C60C6E"/>
    <w:rsid w:val="00C615A7"/>
    <w:rsid w:val="00C6187B"/>
    <w:rsid w:val="00C61917"/>
    <w:rsid w:val="00C61CE2"/>
    <w:rsid w:val="00C62232"/>
    <w:rsid w:val="00C6271C"/>
    <w:rsid w:val="00C62A6A"/>
    <w:rsid w:val="00C6343D"/>
    <w:rsid w:val="00C636BC"/>
    <w:rsid w:val="00C63CB3"/>
    <w:rsid w:val="00C63E9E"/>
    <w:rsid w:val="00C64624"/>
    <w:rsid w:val="00C64E4E"/>
    <w:rsid w:val="00C651B5"/>
    <w:rsid w:val="00C65287"/>
    <w:rsid w:val="00C65427"/>
    <w:rsid w:val="00C65D03"/>
    <w:rsid w:val="00C65D60"/>
    <w:rsid w:val="00C6628E"/>
    <w:rsid w:val="00C66B45"/>
    <w:rsid w:val="00C67532"/>
    <w:rsid w:val="00C6792D"/>
    <w:rsid w:val="00C67DA8"/>
    <w:rsid w:val="00C706A3"/>
    <w:rsid w:val="00C70830"/>
    <w:rsid w:val="00C70DA0"/>
    <w:rsid w:val="00C71754"/>
    <w:rsid w:val="00C71C09"/>
    <w:rsid w:val="00C71FE8"/>
    <w:rsid w:val="00C7259B"/>
    <w:rsid w:val="00C72CAE"/>
    <w:rsid w:val="00C72E3B"/>
    <w:rsid w:val="00C72F53"/>
    <w:rsid w:val="00C7359E"/>
    <w:rsid w:val="00C73D76"/>
    <w:rsid w:val="00C73E68"/>
    <w:rsid w:val="00C74148"/>
    <w:rsid w:val="00C74664"/>
    <w:rsid w:val="00C7475A"/>
    <w:rsid w:val="00C7555E"/>
    <w:rsid w:val="00C75776"/>
    <w:rsid w:val="00C75B70"/>
    <w:rsid w:val="00C75EE6"/>
    <w:rsid w:val="00C7618C"/>
    <w:rsid w:val="00C768F1"/>
    <w:rsid w:val="00C76E23"/>
    <w:rsid w:val="00C774E0"/>
    <w:rsid w:val="00C77D2A"/>
    <w:rsid w:val="00C77FAF"/>
    <w:rsid w:val="00C808D1"/>
    <w:rsid w:val="00C80D73"/>
    <w:rsid w:val="00C816E0"/>
    <w:rsid w:val="00C81A88"/>
    <w:rsid w:val="00C81D14"/>
    <w:rsid w:val="00C82077"/>
    <w:rsid w:val="00C824CF"/>
    <w:rsid w:val="00C829BC"/>
    <w:rsid w:val="00C82F34"/>
    <w:rsid w:val="00C83219"/>
    <w:rsid w:val="00C83336"/>
    <w:rsid w:val="00C83922"/>
    <w:rsid w:val="00C83A22"/>
    <w:rsid w:val="00C83BF8"/>
    <w:rsid w:val="00C84604"/>
    <w:rsid w:val="00C84697"/>
    <w:rsid w:val="00C847E4"/>
    <w:rsid w:val="00C84BD3"/>
    <w:rsid w:val="00C84CE7"/>
    <w:rsid w:val="00C84CF4"/>
    <w:rsid w:val="00C84DAB"/>
    <w:rsid w:val="00C84F36"/>
    <w:rsid w:val="00C85126"/>
    <w:rsid w:val="00C85504"/>
    <w:rsid w:val="00C85747"/>
    <w:rsid w:val="00C85915"/>
    <w:rsid w:val="00C85CE1"/>
    <w:rsid w:val="00C85D2A"/>
    <w:rsid w:val="00C85E32"/>
    <w:rsid w:val="00C85E5C"/>
    <w:rsid w:val="00C86365"/>
    <w:rsid w:val="00C86387"/>
    <w:rsid w:val="00C86538"/>
    <w:rsid w:val="00C86948"/>
    <w:rsid w:val="00C86E06"/>
    <w:rsid w:val="00C878F1"/>
    <w:rsid w:val="00C87BD3"/>
    <w:rsid w:val="00C87C58"/>
    <w:rsid w:val="00C87E40"/>
    <w:rsid w:val="00C90279"/>
    <w:rsid w:val="00C90B75"/>
    <w:rsid w:val="00C90BDA"/>
    <w:rsid w:val="00C90ED3"/>
    <w:rsid w:val="00C912D5"/>
    <w:rsid w:val="00C91700"/>
    <w:rsid w:val="00C9182B"/>
    <w:rsid w:val="00C91B31"/>
    <w:rsid w:val="00C91D5C"/>
    <w:rsid w:val="00C9204C"/>
    <w:rsid w:val="00C92A25"/>
    <w:rsid w:val="00C92A2C"/>
    <w:rsid w:val="00C92E4B"/>
    <w:rsid w:val="00C92F87"/>
    <w:rsid w:val="00C92F8B"/>
    <w:rsid w:val="00C93069"/>
    <w:rsid w:val="00C930FC"/>
    <w:rsid w:val="00C931CF"/>
    <w:rsid w:val="00C93489"/>
    <w:rsid w:val="00C936D2"/>
    <w:rsid w:val="00C93B8A"/>
    <w:rsid w:val="00C93D8D"/>
    <w:rsid w:val="00C93FD1"/>
    <w:rsid w:val="00C94159"/>
    <w:rsid w:val="00C94190"/>
    <w:rsid w:val="00C941C3"/>
    <w:rsid w:val="00C9433F"/>
    <w:rsid w:val="00C947B1"/>
    <w:rsid w:val="00C94C95"/>
    <w:rsid w:val="00C94EF2"/>
    <w:rsid w:val="00C9516C"/>
    <w:rsid w:val="00C951FB"/>
    <w:rsid w:val="00C95A20"/>
    <w:rsid w:val="00C95D1D"/>
    <w:rsid w:val="00C95ECE"/>
    <w:rsid w:val="00C96203"/>
    <w:rsid w:val="00C9672C"/>
    <w:rsid w:val="00C96D41"/>
    <w:rsid w:val="00C97216"/>
    <w:rsid w:val="00C973DE"/>
    <w:rsid w:val="00C97878"/>
    <w:rsid w:val="00C97E8F"/>
    <w:rsid w:val="00C97EF8"/>
    <w:rsid w:val="00C97F47"/>
    <w:rsid w:val="00CA010D"/>
    <w:rsid w:val="00CA190E"/>
    <w:rsid w:val="00CA1D19"/>
    <w:rsid w:val="00CA25F0"/>
    <w:rsid w:val="00CA26ED"/>
    <w:rsid w:val="00CA2720"/>
    <w:rsid w:val="00CA2B5D"/>
    <w:rsid w:val="00CA2CB3"/>
    <w:rsid w:val="00CA3008"/>
    <w:rsid w:val="00CA31AC"/>
    <w:rsid w:val="00CA31B7"/>
    <w:rsid w:val="00CA3237"/>
    <w:rsid w:val="00CA33DE"/>
    <w:rsid w:val="00CA3AB0"/>
    <w:rsid w:val="00CA4917"/>
    <w:rsid w:val="00CA4DEB"/>
    <w:rsid w:val="00CA5002"/>
    <w:rsid w:val="00CA5736"/>
    <w:rsid w:val="00CA577D"/>
    <w:rsid w:val="00CA5D04"/>
    <w:rsid w:val="00CA6A78"/>
    <w:rsid w:val="00CA6B23"/>
    <w:rsid w:val="00CA6B65"/>
    <w:rsid w:val="00CA6F2A"/>
    <w:rsid w:val="00CA7039"/>
    <w:rsid w:val="00CA7506"/>
    <w:rsid w:val="00CA7681"/>
    <w:rsid w:val="00CA7695"/>
    <w:rsid w:val="00CB0363"/>
    <w:rsid w:val="00CB06CE"/>
    <w:rsid w:val="00CB07D9"/>
    <w:rsid w:val="00CB0916"/>
    <w:rsid w:val="00CB0CF5"/>
    <w:rsid w:val="00CB210B"/>
    <w:rsid w:val="00CB21C9"/>
    <w:rsid w:val="00CB2665"/>
    <w:rsid w:val="00CB29A6"/>
    <w:rsid w:val="00CB2ED6"/>
    <w:rsid w:val="00CB31DE"/>
    <w:rsid w:val="00CB3A13"/>
    <w:rsid w:val="00CB40D6"/>
    <w:rsid w:val="00CB4187"/>
    <w:rsid w:val="00CB4F9E"/>
    <w:rsid w:val="00CB4FB1"/>
    <w:rsid w:val="00CB52F6"/>
    <w:rsid w:val="00CB5375"/>
    <w:rsid w:val="00CB56D1"/>
    <w:rsid w:val="00CB5AEC"/>
    <w:rsid w:val="00CB5CA4"/>
    <w:rsid w:val="00CB5DF4"/>
    <w:rsid w:val="00CB61A8"/>
    <w:rsid w:val="00CB6C3D"/>
    <w:rsid w:val="00CB7236"/>
    <w:rsid w:val="00CB72C3"/>
    <w:rsid w:val="00CB7645"/>
    <w:rsid w:val="00CB7760"/>
    <w:rsid w:val="00CB7D90"/>
    <w:rsid w:val="00CC0195"/>
    <w:rsid w:val="00CC0539"/>
    <w:rsid w:val="00CC0582"/>
    <w:rsid w:val="00CC0901"/>
    <w:rsid w:val="00CC0B94"/>
    <w:rsid w:val="00CC0BD0"/>
    <w:rsid w:val="00CC0E02"/>
    <w:rsid w:val="00CC10A9"/>
    <w:rsid w:val="00CC10FF"/>
    <w:rsid w:val="00CC1F12"/>
    <w:rsid w:val="00CC2000"/>
    <w:rsid w:val="00CC222A"/>
    <w:rsid w:val="00CC2333"/>
    <w:rsid w:val="00CC2383"/>
    <w:rsid w:val="00CC23DB"/>
    <w:rsid w:val="00CC2AF1"/>
    <w:rsid w:val="00CC3174"/>
    <w:rsid w:val="00CC35D4"/>
    <w:rsid w:val="00CC379A"/>
    <w:rsid w:val="00CC38D6"/>
    <w:rsid w:val="00CC3EB5"/>
    <w:rsid w:val="00CC401C"/>
    <w:rsid w:val="00CC45DE"/>
    <w:rsid w:val="00CC4658"/>
    <w:rsid w:val="00CC5085"/>
    <w:rsid w:val="00CC51FE"/>
    <w:rsid w:val="00CC5A70"/>
    <w:rsid w:val="00CC5D9C"/>
    <w:rsid w:val="00CC6388"/>
    <w:rsid w:val="00CC6400"/>
    <w:rsid w:val="00CC668E"/>
    <w:rsid w:val="00CC6B97"/>
    <w:rsid w:val="00CC7043"/>
    <w:rsid w:val="00CC7258"/>
    <w:rsid w:val="00CC7834"/>
    <w:rsid w:val="00CC7A57"/>
    <w:rsid w:val="00CC7ADC"/>
    <w:rsid w:val="00CD0DE6"/>
    <w:rsid w:val="00CD152C"/>
    <w:rsid w:val="00CD1C38"/>
    <w:rsid w:val="00CD1C4E"/>
    <w:rsid w:val="00CD1CAE"/>
    <w:rsid w:val="00CD1CEC"/>
    <w:rsid w:val="00CD22D4"/>
    <w:rsid w:val="00CD2C7A"/>
    <w:rsid w:val="00CD2EB7"/>
    <w:rsid w:val="00CD31E0"/>
    <w:rsid w:val="00CD3961"/>
    <w:rsid w:val="00CD4448"/>
    <w:rsid w:val="00CD4566"/>
    <w:rsid w:val="00CD45DF"/>
    <w:rsid w:val="00CD46E2"/>
    <w:rsid w:val="00CD4A22"/>
    <w:rsid w:val="00CD4A2C"/>
    <w:rsid w:val="00CD4BA9"/>
    <w:rsid w:val="00CD4C4B"/>
    <w:rsid w:val="00CD4D03"/>
    <w:rsid w:val="00CD5121"/>
    <w:rsid w:val="00CD516E"/>
    <w:rsid w:val="00CD5B01"/>
    <w:rsid w:val="00CD66F8"/>
    <w:rsid w:val="00CD6A56"/>
    <w:rsid w:val="00CD6EF0"/>
    <w:rsid w:val="00CD6F37"/>
    <w:rsid w:val="00CD6F80"/>
    <w:rsid w:val="00CD70A4"/>
    <w:rsid w:val="00CD7256"/>
    <w:rsid w:val="00CD791D"/>
    <w:rsid w:val="00CD79D6"/>
    <w:rsid w:val="00CD7E49"/>
    <w:rsid w:val="00CE034F"/>
    <w:rsid w:val="00CE08F3"/>
    <w:rsid w:val="00CE0BFD"/>
    <w:rsid w:val="00CE1383"/>
    <w:rsid w:val="00CE175C"/>
    <w:rsid w:val="00CE1779"/>
    <w:rsid w:val="00CE1BB6"/>
    <w:rsid w:val="00CE1CDF"/>
    <w:rsid w:val="00CE2098"/>
    <w:rsid w:val="00CE22A1"/>
    <w:rsid w:val="00CE2799"/>
    <w:rsid w:val="00CE3AEA"/>
    <w:rsid w:val="00CE43D4"/>
    <w:rsid w:val="00CE45E0"/>
    <w:rsid w:val="00CE4632"/>
    <w:rsid w:val="00CE495A"/>
    <w:rsid w:val="00CE4FDA"/>
    <w:rsid w:val="00CE50BF"/>
    <w:rsid w:val="00CE5412"/>
    <w:rsid w:val="00CE58BD"/>
    <w:rsid w:val="00CE59D2"/>
    <w:rsid w:val="00CE5FED"/>
    <w:rsid w:val="00CE630F"/>
    <w:rsid w:val="00CE65C4"/>
    <w:rsid w:val="00CE6C3F"/>
    <w:rsid w:val="00CE6D81"/>
    <w:rsid w:val="00CE74E0"/>
    <w:rsid w:val="00CE7552"/>
    <w:rsid w:val="00CE76C5"/>
    <w:rsid w:val="00CE7A10"/>
    <w:rsid w:val="00CE7E1B"/>
    <w:rsid w:val="00CE7F28"/>
    <w:rsid w:val="00CE7FC5"/>
    <w:rsid w:val="00CF064B"/>
    <w:rsid w:val="00CF0750"/>
    <w:rsid w:val="00CF07C5"/>
    <w:rsid w:val="00CF0C5F"/>
    <w:rsid w:val="00CF142E"/>
    <w:rsid w:val="00CF149C"/>
    <w:rsid w:val="00CF27F0"/>
    <w:rsid w:val="00CF2E09"/>
    <w:rsid w:val="00CF30E9"/>
    <w:rsid w:val="00CF3502"/>
    <w:rsid w:val="00CF3950"/>
    <w:rsid w:val="00CF40E4"/>
    <w:rsid w:val="00CF4D43"/>
    <w:rsid w:val="00CF4D7C"/>
    <w:rsid w:val="00CF4DCD"/>
    <w:rsid w:val="00CF4E0F"/>
    <w:rsid w:val="00CF53BA"/>
    <w:rsid w:val="00CF53E0"/>
    <w:rsid w:val="00CF5AE7"/>
    <w:rsid w:val="00CF5C77"/>
    <w:rsid w:val="00CF5D23"/>
    <w:rsid w:val="00CF6682"/>
    <w:rsid w:val="00CF6966"/>
    <w:rsid w:val="00CF6BEE"/>
    <w:rsid w:val="00CF6DE7"/>
    <w:rsid w:val="00CF6E43"/>
    <w:rsid w:val="00CF6F3D"/>
    <w:rsid w:val="00CF704B"/>
    <w:rsid w:val="00CF74B2"/>
    <w:rsid w:val="00CF76E3"/>
    <w:rsid w:val="00CF77F4"/>
    <w:rsid w:val="00CF7B07"/>
    <w:rsid w:val="00CF7E11"/>
    <w:rsid w:val="00D00BA6"/>
    <w:rsid w:val="00D00E73"/>
    <w:rsid w:val="00D00F26"/>
    <w:rsid w:val="00D017C9"/>
    <w:rsid w:val="00D01A68"/>
    <w:rsid w:val="00D01D58"/>
    <w:rsid w:val="00D01E7F"/>
    <w:rsid w:val="00D029E6"/>
    <w:rsid w:val="00D0301A"/>
    <w:rsid w:val="00D03676"/>
    <w:rsid w:val="00D03A8C"/>
    <w:rsid w:val="00D041BC"/>
    <w:rsid w:val="00D0458A"/>
    <w:rsid w:val="00D047AA"/>
    <w:rsid w:val="00D055D3"/>
    <w:rsid w:val="00D05605"/>
    <w:rsid w:val="00D05711"/>
    <w:rsid w:val="00D05970"/>
    <w:rsid w:val="00D06223"/>
    <w:rsid w:val="00D062B2"/>
    <w:rsid w:val="00D0632F"/>
    <w:rsid w:val="00D069E6"/>
    <w:rsid w:val="00D06E48"/>
    <w:rsid w:val="00D06EF9"/>
    <w:rsid w:val="00D0743D"/>
    <w:rsid w:val="00D0757D"/>
    <w:rsid w:val="00D077D0"/>
    <w:rsid w:val="00D07DB9"/>
    <w:rsid w:val="00D10249"/>
    <w:rsid w:val="00D104FD"/>
    <w:rsid w:val="00D1067A"/>
    <w:rsid w:val="00D11789"/>
    <w:rsid w:val="00D11A20"/>
    <w:rsid w:val="00D11BE0"/>
    <w:rsid w:val="00D11DD8"/>
    <w:rsid w:val="00D12662"/>
    <w:rsid w:val="00D126E6"/>
    <w:rsid w:val="00D1298E"/>
    <w:rsid w:val="00D12B85"/>
    <w:rsid w:val="00D1374F"/>
    <w:rsid w:val="00D13902"/>
    <w:rsid w:val="00D14420"/>
    <w:rsid w:val="00D14C4C"/>
    <w:rsid w:val="00D1515C"/>
    <w:rsid w:val="00D15189"/>
    <w:rsid w:val="00D151D1"/>
    <w:rsid w:val="00D15410"/>
    <w:rsid w:val="00D15602"/>
    <w:rsid w:val="00D1565A"/>
    <w:rsid w:val="00D15D38"/>
    <w:rsid w:val="00D162FB"/>
    <w:rsid w:val="00D1658A"/>
    <w:rsid w:val="00D16C49"/>
    <w:rsid w:val="00D178F1"/>
    <w:rsid w:val="00D2012A"/>
    <w:rsid w:val="00D2036C"/>
    <w:rsid w:val="00D2056F"/>
    <w:rsid w:val="00D20687"/>
    <w:rsid w:val="00D20E48"/>
    <w:rsid w:val="00D210F1"/>
    <w:rsid w:val="00D21AB6"/>
    <w:rsid w:val="00D21FEB"/>
    <w:rsid w:val="00D22216"/>
    <w:rsid w:val="00D224F7"/>
    <w:rsid w:val="00D227A3"/>
    <w:rsid w:val="00D2286B"/>
    <w:rsid w:val="00D22E28"/>
    <w:rsid w:val="00D22F32"/>
    <w:rsid w:val="00D23437"/>
    <w:rsid w:val="00D23784"/>
    <w:rsid w:val="00D23804"/>
    <w:rsid w:val="00D23C3E"/>
    <w:rsid w:val="00D23CD5"/>
    <w:rsid w:val="00D242FD"/>
    <w:rsid w:val="00D245AB"/>
    <w:rsid w:val="00D248A4"/>
    <w:rsid w:val="00D24B57"/>
    <w:rsid w:val="00D24D43"/>
    <w:rsid w:val="00D2546E"/>
    <w:rsid w:val="00D2579D"/>
    <w:rsid w:val="00D25BD6"/>
    <w:rsid w:val="00D25FA4"/>
    <w:rsid w:val="00D26CF2"/>
    <w:rsid w:val="00D26F1A"/>
    <w:rsid w:val="00D26F26"/>
    <w:rsid w:val="00D27163"/>
    <w:rsid w:val="00D279F2"/>
    <w:rsid w:val="00D27C1A"/>
    <w:rsid w:val="00D27C7F"/>
    <w:rsid w:val="00D27D2E"/>
    <w:rsid w:val="00D30194"/>
    <w:rsid w:val="00D30833"/>
    <w:rsid w:val="00D30B27"/>
    <w:rsid w:val="00D31053"/>
    <w:rsid w:val="00D31441"/>
    <w:rsid w:val="00D31531"/>
    <w:rsid w:val="00D31603"/>
    <w:rsid w:val="00D3198C"/>
    <w:rsid w:val="00D31AB8"/>
    <w:rsid w:val="00D31B50"/>
    <w:rsid w:val="00D31B53"/>
    <w:rsid w:val="00D3238B"/>
    <w:rsid w:val="00D32C9C"/>
    <w:rsid w:val="00D33901"/>
    <w:rsid w:val="00D33B16"/>
    <w:rsid w:val="00D33F15"/>
    <w:rsid w:val="00D34689"/>
    <w:rsid w:val="00D3486F"/>
    <w:rsid w:val="00D34CFF"/>
    <w:rsid w:val="00D34F08"/>
    <w:rsid w:val="00D35122"/>
    <w:rsid w:val="00D35391"/>
    <w:rsid w:val="00D35A8F"/>
    <w:rsid w:val="00D36694"/>
    <w:rsid w:val="00D36894"/>
    <w:rsid w:val="00D36955"/>
    <w:rsid w:val="00D36AB1"/>
    <w:rsid w:val="00D37806"/>
    <w:rsid w:val="00D37AC8"/>
    <w:rsid w:val="00D37E58"/>
    <w:rsid w:val="00D40153"/>
    <w:rsid w:val="00D40242"/>
    <w:rsid w:val="00D40799"/>
    <w:rsid w:val="00D410D5"/>
    <w:rsid w:val="00D41343"/>
    <w:rsid w:val="00D41B29"/>
    <w:rsid w:val="00D41E34"/>
    <w:rsid w:val="00D42432"/>
    <w:rsid w:val="00D42901"/>
    <w:rsid w:val="00D42AE2"/>
    <w:rsid w:val="00D433CB"/>
    <w:rsid w:val="00D4343A"/>
    <w:rsid w:val="00D43BAE"/>
    <w:rsid w:val="00D44266"/>
    <w:rsid w:val="00D44B68"/>
    <w:rsid w:val="00D450CA"/>
    <w:rsid w:val="00D46958"/>
    <w:rsid w:val="00D46FEA"/>
    <w:rsid w:val="00D47370"/>
    <w:rsid w:val="00D4760A"/>
    <w:rsid w:val="00D478E2"/>
    <w:rsid w:val="00D47945"/>
    <w:rsid w:val="00D50253"/>
    <w:rsid w:val="00D504E1"/>
    <w:rsid w:val="00D508DC"/>
    <w:rsid w:val="00D509DA"/>
    <w:rsid w:val="00D50BB4"/>
    <w:rsid w:val="00D50C20"/>
    <w:rsid w:val="00D5133A"/>
    <w:rsid w:val="00D5187D"/>
    <w:rsid w:val="00D51A8D"/>
    <w:rsid w:val="00D51B01"/>
    <w:rsid w:val="00D51CD3"/>
    <w:rsid w:val="00D52750"/>
    <w:rsid w:val="00D535B6"/>
    <w:rsid w:val="00D535F9"/>
    <w:rsid w:val="00D53701"/>
    <w:rsid w:val="00D53C80"/>
    <w:rsid w:val="00D5494F"/>
    <w:rsid w:val="00D54B6B"/>
    <w:rsid w:val="00D55241"/>
    <w:rsid w:val="00D5538E"/>
    <w:rsid w:val="00D553BF"/>
    <w:rsid w:val="00D5592C"/>
    <w:rsid w:val="00D55C4A"/>
    <w:rsid w:val="00D55D96"/>
    <w:rsid w:val="00D55FCF"/>
    <w:rsid w:val="00D560D9"/>
    <w:rsid w:val="00D56259"/>
    <w:rsid w:val="00D5647F"/>
    <w:rsid w:val="00D56612"/>
    <w:rsid w:val="00D56719"/>
    <w:rsid w:val="00D5672B"/>
    <w:rsid w:val="00D56E1C"/>
    <w:rsid w:val="00D574FA"/>
    <w:rsid w:val="00D57B7F"/>
    <w:rsid w:val="00D57C19"/>
    <w:rsid w:val="00D57C9E"/>
    <w:rsid w:val="00D57DD4"/>
    <w:rsid w:val="00D61480"/>
    <w:rsid w:val="00D61DD1"/>
    <w:rsid w:val="00D624AB"/>
    <w:rsid w:val="00D6265D"/>
    <w:rsid w:val="00D631C0"/>
    <w:rsid w:val="00D632B3"/>
    <w:rsid w:val="00D637C4"/>
    <w:rsid w:val="00D63B0F"/>
    <w:rsid w:val="00D647F3"/>
    <w:rsid w:val="00D64AC6"/>
    <w:rsid w:val="00D65097"/>
    <w:rsid w:val="00D65119"/>
    <w:rsid w:val="00D6520E"/>
    <w:rsid w:val="00D65476"/>
    <w:rsid w:val="00D65FD4"/>
    <w:rsid w:val="00D66170"/>
    <w:rsid w:val="00D661BE"/>
    <w:rsid w:val="00D66DF4"/>
    <w:rsid w:val="00D67083"/>
    <w:rsid w:val="00D673A5"/>
    <w:rsid w:val="00D67910"/>
    <w:rsid w:val="00D702AC"/>
    <w:rsid w:val="00D7091E"/>
    <w:rsid w:val="00D70CDA"/>
    <w:rsid w:val="00D71122"/>
    <w:rsid w:val="00D71162"/>
    <w:rsid w:val="00D711F6"/>
    <w:rsid w:val="00D71445"/>
    <w:rsid w:val="00D7179B"/>
    <w:rsid w:val="00D717AB"/>
    <w:rsid w:val="00D71B37"/>
    <w:rsid w:val="00D71D5F"/>
    <w:rsid w:val="00D720F0"/>
    <w:rsid w:val="00D72804"/>
    <w:rsid w:val="00D729C9"/>
    <w:rsid w:val="00D731C5"/>
    <w:rsid w:val="00D7327F"/>
    <w:rsid w:val="00D73496"/>
    <w:rsid w:val="00D73A28"/>
    <w:rsid w:val="00D73FF7"/>
    <w:rsid w:val="00D744FF"/>
    <w:rsid w:val="00D74574"/>
    <w:rsid w:val="00D7467D"/>
    <w:rsid w:val="00D74EA1"/>
    <w:rsid w:val="00D75206"/>
    <w:rsid w:val="00D75457"/>
    <w:rsid w:val="00D75871"/>
    <w:rsid w:val="00D76593"/>
    <w:rsid w:val="00D76E02"/>
    <w:rsid w:val="00D76F79"/>
    <w:rsid w:val="00D772A8"/>
    <w:rsid w:val="00D77374"/>
    <w:rsid w:val="00D774F5"/>
    <w:rsid w:val="00D77D44"/>
    <w:rsid w:val="00D80072"/>
    <w:rsid w:val="00D802AF"/>
    <w:rsid w:val="00D80654"/>
    <w:rsid w:val="00D8072B"/>
    <w:rsid w:val="00D80953"/>
    <w:rsid w:val="00D80C0D"/>
    <w:rsid w:val="00D80DBE"/>
    <w:rsid w:val="00D80F05"/>
    <w:rsid w:val="00D80F4A"/>
    <w:rsid w:val="00D81033"/>
    <w:rsid w:val="00D8125C"/>
    <w:rsid w:val="00D8129A"/>
    <w:rsid w:val="00D81C91"/>
    <w:rsid w:val="00D82BD7"/>
    <w:rsid w:val="00D82F90"/>
    <w:rsid w:val="00D83BD2"/>
    <w:rsid w:val="00D83BFE"/>
    <w:rsid w:val="00D83D75"/>
    <w:rsid w:val="00D83F61"/>
    <w:rsid w:val="00D8407F"/>
    <w:rsid w:val="00D846B1"/>
    <w:rsid w:val="00D846FA"/>
    <w:rsid w:val="00D849AB"/>
    <w:rsid w:val="00D849E6"/>
    <w:rsid w:val="00D84DCB"/>
    <w:rsid w:val="00D84E68"/>
    <w:rsid w:val="00D84F3B"/>
    <w:rsid w:val="00D85073"/>
    <w:rsid w:val="00D850BD"/>
    <w:rsid w:val="00D85A25"/>
    <w:rsid w:val="00D85C8F"/>
    <w:rsid w:val="00D862B6"/>
    <w:rsid w:val="00D8687E"/>
    <w:rsid w:val="00D868D3"/>
    <w:rsid w:val="00D86BB4"/>
    <w:rsid w:val="00D86FC8"/>
    <w:rsid w:val="00D877E7"/>
    <w:rsid w:val="00D87A47"/>
    <w:rsid w:val="00D87B0D"/>
    <w:rsid w:val="00D90176"/>
    <w:rsid w:val="00D90813"/>
    <w:rsid w:val="00D90909"/>
    <w:rsid w:val="00D90946"/>
    <w:rsid w:val="00D90CE5"/>
    <w:rsid w:val="00D9135A"/>
    <w:rsid w:val="00D917C9"/>
    <w:rsid w:val="00D91A45"/>
    <w:rsid w:val="00D91E15"/>
    <w:rsid w:val="00D91F23"/>
    <w:rsid w:val="00D92405"/>
    <w:rsid w:val="00D927E9"/>
    <w:rsid w:val="00D92862"/>
    <w:rsid w:val="00D92AD5"/>
    <w:rsid w:val="00D9306F"/>
    <w:rsid w:val="00D93473"/>
    <w:rsid w:val="00D934B7"/>
    <w:rsid w:val="00D934C1"/>
    <w:rsid w:val="00D936FB"/>
    <w:rsid w:val="00D9378A"/>
    <w:rsid w:val="00D939E0"/>
    <w:rsid w:val="00D93CB6"/>
    <w:rsid w:val="00D93F3F"/>
    <w:rsid w:val="00D9435F"/>
    <w:rsid w:val="00D9444F"/>
    <w:rsid w:val="00D94510"/>
    <w:rsid w:val="00D94551"/>
    <w:rsid w:val="00D94F10"/>
    <w:rsid w:val="00D9503A"/>
    <w:rsid w:val="00D95518"/>
    <w:rsid w:val="00D95648"/>
    <w:rsid w:val="00D958DD"/>
    <w:rsid w:val="00D95FA1"/>
    <w:rsid w:val="00D96248"/>
    <w:rsid w:val="00D96FFE"/>
    <w:rsid w:val="00D975D8"/>
    <w:rsid w:val="00D977D9"/>
    <w:rsid w:val="00D97A16"/>
    <w:rsid w:val="00D97DDD"/>
    <w:rsid w:val="00DA0500"/>
    <w:rsid w:val="00DA067F"/>
    <w:rsid w:val="00DA13D5"/>
    <w:rsid w:val="00DA1B2C"/>
    <w:rsid w:val="00DA1D0E"/>
    <w:rsid w:val="00DA1F2A"/>
    <w:rsid w:val="00DA250D"/>
    <w:rsid w:val="00DA2BB0"/>
    <w:rsid w:val="00DA3AB7"/>
    <w:rsid w:val="00DA4048"/>
    <w:rsid w:val="00DA4672"/>
    <w:rsid w:val="00DA48D1"/>
    <w:rsid w:val="00DA49C5"/>
    <w:rsid w:val="00DA4B1B"/>
    <w:rsid w:val="00DA5710"/>
    <w:rsid w:val="00DA5C35"/>
    <w:rsid w:val="00DA6C29"/>
    <w:rsid w:val="00DA6EF0"/>
    <w:rsid w:val="00DA6F1F"/>
    <w:rsid w:val="00DA7943"/>
    <w:rsid w:val="00DA7F60"/>
    <w:rsid w:val="00DB00EE"/>
    <w:rsid w:val="00DB0273"/>
    <w:rsid w:val="00DB04CA"/>
    <w:rsid w:val="00DB076C"/>
    <w:rsid w:val="00DB098E"/>
    <w:rsid w:val="00DB0AE1"/>
    <w:rsid w:val="00DB0B1E"/>
    <w:rsid w:val="00DB0CE2"/>
    <w:rsid w:val="00DB0E96"/>
    <w:rsid w:val="00DB11FF"/>
    <w:rsid w:val="00DB1BF2"/>
    <w:rsid w:val="00DB1C5C"/>
    <w:rsid w:val="00DB23EF"/>
    <w:rsid w:val="00DB2B3D"/>
    <w:rsid w:val="00DB3392"/>
    <w:rsid w:val="00DB3CAD"/>
    <w:rsid w:val="00DB49CB"/>
    <w:rsid w:val="00DB4C8B"/>
    <w:rsid w:val="00DB4C97"/>
    <w:rsid w:val="00DB4CF2"/>
    <w:rsid w:val="00DB4EDE"/>
    <w:rsid w:val="00DB5259"/>
    <w:rsid w:val="00DB534B"/>
    <w:rsid w:val="00DB566B"/>
    <w:rsid w:val="00DB5832"/>
    <w:rsid w:val="00DB58BD"/>
    <w:rsid w:val="00DB5966"/>
    <w:rsid w:val="00DB59AC"/>
    <w:rsid w:val="00DB5C9E"/>
    <w:rsid w:val="00DB64E0"/>
    <w:rsid w:val="00DB69F1"/>
    <w:rsid w:val="00DB6EF2"/>
    <w:rsid w:val="00DB7336"/>
    <w:rsid w:val="00DB7671"/>
    <w:rsid w:val="00DB77BC"/>
    <w:rsid w:val="00DB7AEE"/>
    <w:rsid w:val="00DB7D60"/>
    <w:rsid w:val="00DC0209"/>
    <w:rsid w:val="00DC0429"/>
    <w:rsid w:val="00DC0583"/>
    <w:rsid w:val="00DC0CEB"/>
    <w:rsid w:val="00DC0EDE"/>
    <w:rsid w:val="00DC1250"/>
    <w:rsid w:val="00DC1262"/>
    <w:rsid w:val="00DC143C"/>
    <w:rsid w:val="00DC1CFC"/>
    <w:rsid w:val="00DC204C"/>
    <w:rsid w:val="00DC27CB"/>
    <w:rsid w:val="00DC2D41"/>
    <w:rsid w:val="00DC3122"/>
    <w:rsid w:val="00DC323D"/>
    <w:rsid w:val="00DC35DA"/>
    <w:rsid w:val="00DC391E"/>
    <w:rsid w:val="00DC3C4C"/>
    <w:rsid w:val="00DC3D92"/>
    <w:rsid w:val="00DC3D9B"/>
    <w:rsid w:val="00DC470C"/>
    <w:rsid w:val="00DC4EEB"/>
    <w:rsid w:val="00DC5048"/>
    <w:rsid w:val="00DC57C1"/>
    <w:rsid w:val="00DC5BFF"/>
    <w:rsid w:val="00DC5D55"/>
    <w:rsid w:val="00DC5FB3"/>
    <w:rsid w:val="00DC672C"/>
    <w:rsid w:val="00DC6BC5"/>
    <w:rsid w:val="00DC6D52"/>
    <w:rsid w:val="00DC7489"/>
    <w:rsid w:val="00DC7F34"/>
    <w:rsid w:val="00DD008B"/>
    <w:rsid w:val="00DD00B5"/>
    <w:rsid w:val="00DD089F"/>
    <w:rsid w:val="00DD12F4"/>
    <w:rsid w:val="00DD349C"/>
    <w:rsid w:val="00DD3652"/>
    <w:rsid w:val="00DD36AD"/>
    <w:rsid w:val="00DD374A"/>
    <w:rsid w:val="00DD3810"/>
    <w:rsid w:val="00DD3914"/>
    <w:rsid w:val="00DD3AF4"/>
    <w:rsid w:val="00DD3CD6"/>
    <w:rsid w:val="00DD3E65"/>
    <w:rsid w:val="00DD432C"/>
    <w:rsid w:val="00DD4344"/>
    <w:rsid w:val="00DD4A9C"/>
    <w:rsid w:val="00DD4CD3"/>
    <w:rsid w:val="00DD560D"/>
    <w:rsid w:val="00DD5A1D"/>
    <w:rsid w:val="00DD5A1E"/>
    <w:rsid w:val="00DD5EC9"/>
    <w:rsid w:val="00DD5FBB"/>
    <w:rsid w:val="00DD7291"/>
    <w:rsid w:val="00DD76A4"/>
    <w:rsid w:val="00DD79B8"/>
    <w:rsid w:val="00DE01C0"/>
    <w:rsid w:val="00DE0662"/>
    <w:rsid w:val="00DE0833"/>
    <w:rsid w:val="00DE10A7"/>
    <w:rsid w:val="00DE1340"/>
    <w:rsid w:val="00DE1432"/>
    <w:rsid w:val="00DE1511"/>
    <w:rsid w:val="00DE2D26"/>
    <w:rsid w:val="00DE3837"/>
    <w:rsid w:val="00DE3AB3"/>
    <w:rsid w:val="00DE42BF"/>
    <w:rsid w:val="00DE44E1"/>
    <w:rsid w:val="00DE4620"/>
    <w:rsid w:val="00DE48FA"/>
    <w:rsid w:val="00DE49C9"/>
    <w:rsid w:val="00DE52B7"/>
    <w:rsid w:val="00DE52BB"/>
    <w:rsid w:val="00DE5602"/>
    <w:rsid w:val="00DE5C1D"/>
    <w:rsid w:val="00DE5C89"/>
    <w:rsid w:val="00DE61E5"/>
    <w:rsid w:val="00DE6566"/>
    <w:rsid w:val="00DE65C0"/>
    <w:rsid w:val="00DE65FE"/>
    <w:rsid w:val="00DE6873"/>
    <w:rsid w:val="00DE6E73"/>
    <w:rsid w:val="00DE6FFE"/>
    <w:rsid w:val="00DE72F0"/>
    <w:rsid w:val="00DE73AC"/>
    <w:rsid w:val="00DE75E7"/>
    <w:rsid w:val="00DE7A77"/>
    <w:rsid w:val="00DE7CA3"/>
    <w:rsid w:val="00DE7E2C"/>
    <w:rsid w:val="00DE7F53"/>
    <w:rsid w:val="00DE7F65"/>
    <w:rsid w:val="00DF0414"/>
    <w:rsid w:val="00DF121B"/>
    <w:rsid w:val="00DF13D7"/>
    <w:rsid w:val="00DF15B4"/>
    <w:rsid w:val="00DF287D"/>
    <w:rsid w:val="00DF2D4B"/>
    <w:rsid w:val="00DF2E4F"/>
    <w:rsid w:val="00DF41DE"/>
    <w:rsid w:val="00DF4218"/>
    <w:rsid w:val="00DF44B0"/>
    <w:rsid w:val="00DF45BA"/>
    <w:rsid w:val="00DF466F"/>
    <w:rsid w:val="00DF53FE"/>
    <w:rsid w:val="00DF56D7"/>
    <w:rsid w:val="00DF5D10"/>
    <w:rsid w:val="00DF6367"/>
    <w:rsid w:val="00DF64C5"/>
    <w:rsid w:val="00DF653F"/>
    <w:rsid w:val="00DF686A"/>
    <w:rsid w:val="00DF68FD"/>
    <w:rsid w:val="00DF6A8F"/>
    <w:rsid w:val="00DF717E"/>
    <w:rsid w:val="00DF7D5C"/>
    <w:rsid w:val="00DF7E40"/>
    <w:rsid w:val="00E0032F"/>
    <w:rsid w:val="00E00649"/>
    <w:rsid w:val="00E01AA6"/>
    <w:rsid w:val="00E01EC9"/>
    <w:rsid w:val="00E02146"/>
    <w:rsid w:val="00E022FF"/>
    <w:rsid w:val="00E023EA"/>
    <w:rsid w:val="00E02979"/>
    <w:rsid w:val="00E02BC5"/>
    <w:rsid w:val="00E02CAE"/>
    <w:rsid w:val="00E02F4B"/>
    <w:rsid w:val="00E02F9B"/>
    <w:rsid w:val="00E03276"/>
    <w:rsid w:val="00E035AB"/>
    <w:rsid w:val="00E0360A"/>
    <w:rsid w:val="00E03D5F"/>
    <w:rsid w:val="00E03DBD"/>
    <w:rsid w:val="00E03F8F"/>
    <w:rsid w:val="00E0456C"/>
    <w:rsid w:val="00E04903"/>
    <w:rsid w:val="00E04BA3"/>
    <w:rsid w:val="00E052A4"/>
    <w:rsid w:val="00E05454"/>
    <w:rsid w:val="00E05506"/>
    <w:rsid w:val="00E05766"/>
    <w:rsid w:val="00E05858"/>
    <w:rsid w:val="00E05D58"/>
    <w:rsid w:val="00E05FC6"/>
    <w:rsid w:val="00E06237"/>
    <w:rsid w:val="00E06448"/>
    <w:rsid w:val="00E0651F"/>
    <w:rsid w:val="00E066BD"/>
    <w:rsid w:val="00E0674D"/>
    <w:rsid w:val="00E06AE5"/>
    <w:rsid w:val="00E06E0E"/>
    <w:rsid w:val="00E07EFE"/>
    <w:rsid w:val="00E10006"/>
    <w:rsid w:val="00E10306"/>
    <w:rsid w:val="00E1091E"/>
    <w:rsid w:val="00E10A25"/>
    <w:rsid w:val="00E110C0"/>
    <w:rsid w:val="00E1190B"/>
    <w:rsid w:val="00E11938"/>
    <w:rsid w:val="00E11C65"/>
    <w:rsid w:val="00E12065"/>
    <w:rsid w:val="00E1217D"/>
    <w:rsid w:val="00E121B2"/>
    <w:rsid w:val="00E123D6"/>
    <w:rsid w:val="00E1271C"/>
    <w:rsid w:val="00E1274B"/>
    <w:rsid w:val="00E12A80"/>
    <w:rsid w:val="00E12AC1"/>
    <w:rsid w:val="00E12EB7"/>
    <w:rsid w:val="00E12F12"/>
    <w:rsid w:val="00E12FC8"/>
    <w:rsid w:val="00E132EE"/>
    <w:rsid w:val="00E13569"/>
    <w:rsid w:val="00E13C0C"/>
    <w:rsid w:val="00E13E9E"/>
    <w:rsid w:val="00E144DD"/>
    <w:rsid w:val="00E148D4"/>
    <w:rsid w:val="00E14924"/>
    <w:rsid w:val="00E14D4F"/>
    <w:rsid w:val="00E15106"/>
    <w:rsid w:val="00E15CBF"/>
    <w:rsid w:val="00E164A1"/>
    <w:rsid w:val="00E164B2"/>
    <w:rsid w:val="00E1691D"/>
    <w:rsid w:val="00E16CB1"/>
    <w:rsid w:val="00E17021"/>
    <w:rsid w:val="00E17033"/>
    <w:rsid w:val="00E171BF"/>
    <w:rsid w:val="00E17706"/>
    <w:rsid w:val="00E20166"/>
    <w:rsid w:val="00E201D9"/>
    <w:rsid w:val="00E202BD"/>
    <w:rsid w:val="00E20945"/>
    <w:rsid w:val="00E20E75"/>
    <w:rsid w:val="00E20FE2"/>
    <w:rsid w:val="00E217C4"/>
    <w:rsid w:val="00E21869"/>
    <w:rsid w:val="00E21B11"/>
    <w:rsid w:val="00E22ADA"/>
    <w:rsid w:val="00E22DC4"/>
    <w:rsid w:val="00E22E40"/>
    <w:rsid w:val="00E22FF1"/>
    <w:rsid w:val="00E23509"/>
    <w:rsid w:val="00E2379F"/>
    <w:rsid w:val="00E23B91"/>
    <w:rsid w:val="00E25238"/>
    <w:rsid w:val="00E25319"/>
    <w:rsid w:val="00E2573A"/>
    <w:rsid w:val="00E257DC"/>
    <w:rsid w:val="00E261A3"/>
    <w:rsid w:val="00E2683E"/>
    <w:rsid w:val="00E26AFB"/>
    <w:rsid w:val="00E26BA6"/>
    <w:rsid w:val="00E26DE8"/>
    <w:rsid w:val="00E2717D"/>
    <w:rsid w:val="00E273BC"/>
    <w:rsid w:val="00E27489"/>
    <w:rsid w:val="00E27638"/>
    <w:rsid w:val="00E276FB"/>
    <w:rsid w:val="00E27CF2"/>
    <w:rsid w:val="00E27F98"/>
    <w:rsid w:val="00E30433"/>
    <w:rsid w:val="00E308F0"/>
    <w:rsid w:val="00E30D12"/>
    <w:rsid w:val="00E31648"/>
    <w:rsid w:val="00E31ADF"/>
    <w:rsid w:val="00E31B13"/>
    <w:rsid w:val="00E31DB3"/>
    <w:rsid w:val="00E31DC7"/>
    <w:rsid w:val="00E31FDD"/>
    <w:rsid w:val="00E3213E"/>
    <w:rsid w:val="00E32169"/>
    <w:rsid w:val="00E323C9"/>
    <w:rsid w:val="00E32855"/>
    <w:rsid w:val="00E32959"/>
    <w:rsid w:val="00E335A4"/>
    <w:rsid w:val="00E33AAB"/>
    <w:rsid w:val="00E34075"/>
    <w:rsid w:val="00E34456"/>
    <w:rsid w:val="00E3450E"/>
    <w:rsid w:val="00E348FC"/>
    <w:rsid w:val="00E34ACA"/>
    <w:rsid w:val="00E34B0E"/>
    <w:rsid w:val="00E34B29"/>
    <w:rsid w:val="00E34C6D"/>
    <w:rsid w:val="00E350C1"/>
    <w:rsid w:val="00E3570F"/>
    <w:rsid w:val="00E36524"/>
    <w:rsid w:val="00E36DB4"/>
    <w:rsid w:val="00E3700E"/>
    <w:rsid w:val="00E37069"/>
    <w:rsid w:val="00E37166"/>
    <w:rsid w:val="00E3762B"/>
    <w:rsid w:val="00E37FA3"/>
    <w:rsid w:val="00E40389"/>
    <w:rsid w:val="00E404CB"/>
    <w:rsid w:val="00E40C11"/>
    <w:rsid w:val="00E40F73"/>
    <w:rsid w:val="00E412A7"/>
    <w:rsid w:val="00E41629"/>
    <w:rsid w:val="00E41BDC"/>
    <w:rsid w:val="00E41D50"/>
    <w:rsid w:val="00E4257E"/>
    <w:rsid w:val="00E4265E"/>
    <w:rsid w:val="00E42C39"/>
    <w:rsid w:val="00E430C1"/>
    <w:rsid w:val="00E4385D"/>
    <w:rsid w:val="00E43957"/>
    <w:rsid w:val="00E43ABB"/>
    <w:rsid w:val="00E43EB8"/>
    <w:rsid w:val="00E43FDB"/>
    <w:rsid w:val="00E443B0"/>
    <w:rsid w:val="00E44CD1"/>
    <w:rsid w:val="00E44EC9"/>
    <w:rsid w:val="00E45018"/>
    <w:rsid w:val="00E452F1"/>
    <w:rsid w:val="00E45E2C"/>
    <w:rsid w:val="00E45F05"/>
    <w:rsid w:val="00E45FA3"/>
    <w:rsid w:val="00E46088"/>
    <w:rsid w:val="00E46686"/>
    <w:rsid w:val="00E4687E"/>
    <w:rsid w:val="00E46E22"/>
    <w:rsid w:val="00E471E6"/>
    <w:rsid w:val="00E50040"/>
    <w:rsid w:val="00E50144"/>
    <w:rsid w:val="00E502B0"/>
    <w:rsid w:val="00E50742"/>
    <w:rsid w:val="00E507AE"/>
    <w:rsid w:val="00E5083E"/>
    <w:rsid w:val="00E50AB3"/>
    <w:rsid w:val="00E50BF2"/>
    <w:rsid w:val="00E50F57"/>
    <w:rsid w:val="00E51093"/>
    <w:rsid w:val="00E514B5"/>
    <w:rsid w:val="00E52201"/>
    <w:rsid w:val="00E527F0"/>
    <w:rsid w:val="00E52A92"/>
    <w:rsid w:val="00E53474"/>
    <w:rsid w:val="00E536B1"/>
    <w:rsid w:val="00E537BA"/>
    <w:rsid w:val="00E53C17"/>
    <w:rsid w:val="00E540BE"/>
    <w:rsid w:val="00E547D5"/>
    <w:rsid w:val="00E54C4D"/>
    <w:rsid w:val="00E55817"/>
    <w:rsid w:val="00E559C2"/>
    <w:rsid w:val="00E559ED"/>
    <w:rsid w:val="00E55A41"/>
    <w:rsid w:val="00E55CD2"/>
    <w:rsid w:val="00E55DCA"/>
    <w:rsid w:val="00E55FCE"/>
    <w:rsid w:val="00E56552"/>
    <w:rsid w:val="00E5663E"/>
    <w:rsid w:val="00E57276"/>
    <w:rsid w:val="00E5735D"/>
    <w:rsid w:val="00E60326"/>
    <w:rsid w:val="00E60DF2"/>
    <w:rsid w:val="00E61D35"/>
    <w:rsid w:val="00E61F8E"/>
    <w:rsid w:val="00E6243E"/>
    <w:rsid w:val="00E62A9F"/>
    <w:rsid w:val="00E62F6A"/>
    <w:rsid w:val="00E63285"/>
    <w:rsid w:val="00E63651"/>
    <w:rsid w:val="00E6394F"/>
    <w:rsid w:val="00E63CB8"/>
    <w:rsid w:val="00E63F99"/>
    <w:rsid w:val="00E64055"/>
    <w:rsid w:val="00E643FE"/>
    <w:rsid w:val="00E64544"/>
    <w:rsid w:val="00E64C4C"/>
    <w:rsid w:val="00E64DC3"/>
    <w:rsid w:val="00E6521C"/>
    <w:rsid w:val="00E657C4"/>
    <w:rsid w:val="00E658BD"/>
    <w:rsid w:val="00E658C9"/>
    <w:rsid w:val="00E65B2A"/>
    <w:rsid w:val="00E6619D"/>
    <w:rsid w:val="00E66336"/>
    <w:rsid w:val="00E66665"/>
    <w:rsid w:val="00E6672C"/>
    <w:rsid w:val="00E66985"/>
    <w:rsid w:val="00E66A53"/>
    <w:rsid w:val="00E66AFD"/>
    <w:rsid w:val="00E66B7F"/>
    <w:rsid w:val="00E671C6"/>
    <w:rsid w:val="00E672AF"/>
    <w:rsid w:val="00E67A57"/>
    <w:rsid w:val="00E67AAB"/>
    <w:rsid w:val="00E67C49"/>
    <w:rsid w:val="00E67ED7"/>
    <w:rsid w:val="00E706C5"/>
    <w:rsid w:val="00E707D4"/>
    <w:rsid w:val="00E70ABA"/>
    <w:rsid w:val="00E70B41"/>
    <w:rsid w:val="00E70DBA"/>
    <w:rsid w:val="00E71559"/>
    <w:rsid w:val="00E71744"/>
    <w:rsid w:val="00E7186F"/>
    <w:rsid w:val="00E718D0"/>
    <w:rsid w:val="00E7192F"/>
    <w:rsid w:val="00E71EAB"/>
    <w:rsid w:val="00E72091"/>
    <w:rsid w:val="00E72B94"/>
    <w:rsid w:val="00E72EB7"/>
    <w:rsid w:val="00E730ED"/>
    <w:rsid w:val="00E731C2"/>
    <w:rsid w:val="00E7323F"/>
    <w:rsid w:val="00E73337"/>
    <w:rsid w:val="00E73394"/>
    <w:rsid w:val="00E737A5"/>
    <w:rsid w:val="00E73835"/>
    <w:rsid w:val="00E73C24"/>
    <w:rsid w:val="00E73E46"/>
    <w:rsid w:val="00E74506"/>
    <w:rsid w:val="00E74B6C"/>
    <w:rsid w:val="00E74D94"/>
    <w:rsid w:val="00E74DEE"/>
    <w:rsid w:val="00E74E33"/>
    <w:rsid w:val="00E74EC2"/>
    <w:rsid w:val="00E7557A"/>
    <w:rsid w:val="00E7566C"/>
    <w:rsid w:val="00E75A9A"/>
    <w:rsid w:val="00E761E0"/>
    <w:rsid w:val="00E76298"/>
    <w:rsid w:val="00E76CC4"/>
    <w:rsid w:val="00E76D12"/>
    <w:rsid w:val="00E773E9"/>
    <w:rsid w:val="00E775C5"/>
    <w:rsid w:val="00E77712"/>
    <w:rsid w:val="00E77ABA"/>
    <w:rsid w:val="00E77EC7"/>
    <w:rsid w:val="00E805EB"/>
    <w:rsid w:val="00E80D1A"/>
    <w:rsid w:val="00E813B4"/>
    <w:rsid w:val="00E81663"/>
    <w:rsid w:val="00E8176D"/>
    <w:rsid w:val="00E8185A"/>
    <w:rsid w:val="00E819E0"/>
    <w:rsid w:val="00E81A32"/>
    <w:rsid w:val="00E81B32"/>
    <w:rsid w:val="00E82146"/>
    <w:rsid w:val="00E824A1"/>
    <w:rsid w:val="00E8252F"/>
    <w:rsid w:val="00E82EDB"/>
    <w:rsid w:val="00E831CE"/>
    <w:rsid w:val="00E832C0"/>
    <w:rsid w:val="00E832CF"/>
    <w:rsid w:val="00E832D8"/>
    <w:rsid w:val="00E845AF"/>
    <w:rsid w:val="00E8469E"/>
    <w:rsid w:val="00E84A5C"/>
    <w:rsid w:val="00E84BE3"/>
    <w:rsid w:val="00E851A4"/>
    <w:rsid w:val="00E859A5"/>
    <w:rsid w:val="00E862D0"/>
    <w:rsid w:val="00E86489"/>
    <w:rsid w:val="00E865EF"/>
    <w:rsid w:val="00E86B5F"/>
    <w:rsid w:val="00E86E85"/>
    <w:rsid w:val="00E86F1F"/>
    <w:rsid w:val="00E90243"/>
    <w:rsid w:val="00E906C6"/>
    <w:rsid w:val="00E90A27"/>
    <w:rsid w:val="00E9110B"/>
    <w:rsid w:val="00E91466"/>
    <w:rsid w:val="00E91661"/>
    <w:rsid w:val="00E91BFC"/>
    <w:rsid w:val="00E91C11"/>
    <w:rsid w:val="00E9208A"/>
    <w:rsid w:val="00E92433"/>
    <w:rsid w:val="00E92569"/>
    <w:rsid w:val="00E93319"/>
    <w:rsid w:val="00E938EE"/>
    <w:rsid w:val="00E93D1E"/>
    <w:rsid w:val="00E94097"/>
    <w:rsid w:val="00E940D0"/>
    <w:rsid w:val="00E94138"/>
    <w:rsid w:val="00E94EE0"/>
    <w:rsid w:val="00E950C0"/>
    <w:rsid w:val="00E954F8"/>
    <w:rsid w:val="00E95A50"/>
    <w:rsid w:val="00E95F4E"/>
    <w:rsid w:val="00E97061"/>
    <w:rsid w:val="00E971AC"/>
    <w:rsid w:val="00E9748D"/>
    <w:rsid w:val="00E9767D"/>
    <w:rsid w:val="00E977CF"/>
    <w:rsid w:val="00E97955"/>
    <w:rsid w:val="00E97990"/>
    <w:rsid w:val="00E97C0E"/>
    <w:rsid w:val="00E97D48"/>
    <w:rsid w:val="00E97D72"/>
    <w:rsid w:val="00EA015F"/>
    <w:rsid w:val="00EA0439"/>
    <w:rsid w:val="00EA059E"/>
    <w:rsid w:val="00EA0856"/>
    <w:rsid w:val="00EA0C6E"/>
    <w:rsid w:val="00EA18CD"/>
    <w:rsid w:val="00EA193C"/>
    <w:rsid w:val="00EA19BF"/>
    <w:rsid w:val="00EA1C31"/>
    <w:rsid w:val="00EA1C3B"/>
    <w:rsid w:val="00EA1FAB"/>
    <w:rsid w:val="00EA1FF1"/>
    <w:rsid w:val="00EA23C9"/>
    <w:rsid w:val="00EA28E6"/>
    <w:rsid w:val="00EA29CA"/>
    <w:rsid w:val="00EA2DED"/>
    <w:rsid w:val="00EA3157"/>
    <w:rsid w:val="00EA3242"/>
    <w:rsid w:val="00EA346D"/>
    <w:rsid w:val="00EA355D"/>
    <w:rsid w:val="00EA445E"/>
    <w:rsid w:val="00EA45C5"/>
    <w:rsid w:val="00EA4E51"/>
    <w:rsid w:val="00EA5624"/>
    <w:rsid w:val="00EA56BC"/>
    <w:rsid w:val="00EA5AFF"/>
    <w:rsid w:val="00EA5E9B"/>
    <w:rsid w:val="00EA5FF8"/>
    <w:rsid w:val="00EA6357"/>
    <w:rsid w:val="00EA6474"/>
    <w:rsid w:val="00EA651B"/>
    <w:rsid w:val="00EA67B2"/>
    <w:rsid w:val="00EA69AF"/>
    <w:rsid w:val="00EA6A42"/>
    <w:rsid w:val="00EA6F7C"/>
    <w:rsid w:val="00EA722C"/>
    <w:rsid w:val="00EA734B"/>
    <w:rsid w:val="00EA7993"/>
    <w:rsid w:val="00EA7A5C"/>
    <w:rsid w:val="00EB0772"/>
    <w:rsid w:val="00EB0B93"/>
    <w:rsid w:val="00EB0BB1"/>
    <w:rsid w:val="00EB0CBD"/>
    <w:rsid w:val="00EB0EB1"/>
    <w:rsid w:val="00EB135E"/>
    <w:rsid w:val="00EB14A8"/>
    <w:rsid w:val="00EB1929"/>
    <w:rsid w:val="00EB19AC"/>
    <w:rsid w:val="00EB1C35"/>
    <w:rsid w:val="00EB1C3D"/>
    <w:rsid w:val="00EB1CCD"/>
    <w:rsid w:val="00EB1E6A"/>
    <w:rsid w:val="00EB1F1F"/>
    <w:rsid w:val="00EB227C"/>
    <w:rsid w:val="00EB266A"/>
    <w:rsid w:val="00EB2687"/>
    <w:rsid w:val="00EB2975"/>
    <w:rsid w:val="00EB29B1"/>
    <w:rsid w:val="00EB2D2F"/>
    <w:rsid w:val="00EB2EE5"/>
    <w:rsid w:val="00EB2FEE"/>
    <w:rsid w:val="00EB3749"/>
    <w:rsid w:val="00EB3DBB"/>
    <w:rsid w:val="00EB43AA"/>
    <w:rsid w:val="00EB443E"/>
    <w:rsid w:val="00EB4DA5"/>
    <w:rsid w:val="00EB4EAC"/>
    <w:rsid w:val="00EB57D9"/>
    <w:rsid w:val="00EB5900"/>
    <w:rsid w:val="00EB5981"/>
    <w:rsid w:val="00EB612F"/>
    <w:rsid w:val="00EB64F7"/>
    <w:rsid w:val="00EB67BA"/>
    <w:rsid w:val="00EB6CA7"/>
    <w:rsid w:val="00EB775F"/>
    <w:rsid w:val="00EB77E8"/>
    <w:rsid w:val="00EB783A"/>
    <w:rsid w:val="00EB7A54"/>
    <w:rsid w:val="00EB7CE6"/>
    <w:rsid w:val="00EB7CFE"/>
    <w:rsid w:val="00EB7FEF"/>
    <w:rsid w:val="00EC020F"/>
    <w:rsid w:val="00EC0810"/>
    <w:rsid w:val="00EC0862"/>
    <w:rsid w:val="00EC10BD"/>
    <w:rsid w:val="00EC1124"/>
    <w:rsid w:val="00EC1380"/>
    <w:rsid w:val="00EC23D2"/>
    <w:rsid w:val="00EC24CE"/>
    <w:rsid w:val="00EC25F2"/>
    <w:rsid w:val="00EC278D"/>
    <w:rsid w:val="00EC2DAD"/>
    <w:rsid w:val="00EC2DE4"/>
    <w:rsid w:val="00EC314B"/>
    <w:rsid w:val="00EC423F"/>
    <w:rsid w:val="00EC4323"/>
    <w:rsid w:val="00EC47DE"/>
    <w:rsid w:val="00EC4ACB"/>
    <w:rsid w:val="00EC4B24"/>
    <w:rsid w:val="00EC4B3E"/>
    <w:rsid w:val="00EC4E7C"/>
    <w:rsid w:val="00EC5184"/>
    <w:rsid w:val="00EC56A5"/>
    <w:rsid w:val="00EC56BF"/>
    <w:rsid w:val="00EC592C"/>
    <w:rsid w:val="00EC593F"/>
    <w:rsid w:val="00EC5C1B"/>
    <w:rsid w:val="00EC5E2E"/>
    <w:rsid w:val="00EC6083"/>
    <w:rsid w:val="00ED0228"/>
    <w:rsid w:val="00ED0B40"/>
    <w:rsid w:val="00ED0FBB"/>
    <w:rsid w:val="00ED1177"/>
    <w:rsid w:val="00ED15CE"/>
    <w:rsid w:val="00ED1760"/>
    <w:rsid w:val="00ED1C47"/>
    <w:rsid w:val="00ED2551"/>
    <w:rsid w:val="00ED26CE"/>
    <w:rsid w:val="00ED2DA1"/>
    <w:rsid w:val="00ED2DE7"/>
    <w:rsid w:val="00ED2E53"/>
    <w:rsid w:val="00ED2F27"/>
    <w:rsid w:val="00ED3002"/>
    <w:rsid w:val="00ED3264"/>
    <w:rsid w:val="00ED32C6"/>
    <w:rsid w:val="00ED341C"/>
    <w:rsid w:val="00ED4305"/>
    <w:rsid w:val="00ED431D"/>
    <w:rsid w:val="00ED46D3"/>
    <w:rsid w:val="00ED4E63"/>
    <w:rsid w:val="00ED51EC"/>
    <w:rsid w:val="00ED54AC"/>
    <w:rsid w:val="00ED5504"/>
    <w:rsid w:val="00ED58DE"/>
    <w:rsid w:val="00ED5E30"/>
    <w:rsid w:val="00ED621E"/>
    <w:rsid w:val="00ED6312"/>
    <w:rsid w:val="00ED67C9"/>
    <w:rsid w:val="00ED6B1A"/>
    <w:rsid w:val="00ED6E0B"/>
    <w:rsid w:val="00ED6E1B"/>
    <w:rsid w:val="00ED6E4A"/>
    <w:rsid w:val="00ED700D"/>
    <w:rsid w:val="00ED7108"/>
    <w:rsid w:val="00ED736E"/>
    <w:rsid w:val="00ED749B"/>
    <w:rsid w:val="00ED76E8"/>
    <w:rsid w:val="00ED78D2"/>
    <w:rsid w:val="00ED7B8D"/>
    <w:rsid w:val="00ED7E19"/>
    <w:rsid w:val="00ED7E55"/>
    <w:rsid w:val="00ED7FC5"/>
    <w:rsid w:val="00EE01F2"/>
    <w:rsid w:val="00EE0CF3"/>
    <w:rsid w:val="00EE0FB7"/>
    <w:rsid w:val="00EE0FD8"/>
    <w:rsid w:val="00EE13DA"/>
    <w:rsid w:val="00EE16B5"/>
    <w:rsid w:val="00EE16B9"/>
    <w:rsid w:val="00EE1717"/>
    <w:rsid w:val="00EE1B96"/>
    <w:rsid w:val="00EE1BD6"/>
    <w:rsid w:val="00EE1D43"/>
    <w:rsid w:val="00EE2289"/>
    <w:rsid w:val="00EE262F"/>
    <w:rsid w:val="00EE292E"/>
    <w:rsid w:val="00EE3084"/>
    <w:rsid w:val="00EE313C"/>
    <w:rsid w:val="00EE4230"/>
    <w:rsid w:val="00EE4ACA"/>
    <w:rsid w:val="00EE5174"/>
    <w:rsid w:val="00EE5654"/>
    <w:rsid w:val="00EE64C2"/>
    <w:rsid w:val="00EE661C"/>
    <w:rsid w:val="00EE7079"/>
    <w:rsid w:val="00EE7B1B"/>
    <w:rsid w:val="00EE7BD5"/>
    <w:rsid w:val="00EF03CD"/>
    <w:rsid w:val="00EF04F1"/>
    <w:rsid w:val="00EF05BF"/>
    <w:rsid w:val="00EF05C2"/>
    <w:rsid w:val="00EF0781"/>
    <w:rsid w:val="00EF0A94"/>
    <w:rsid w:val="00EF0C64"/>
    <w:rsid w:val="00EF1A1B"/>
    <w:rsid w:val="00EF2929"/>
    <w:rsid w:val="00EF2B65"/>
    <w:rsid w:val="00EF2C3A"/>
    <w:rsid w:val="00EF2E23"/>
    <w:rsid w:val="00EF371A"/>
    <w:rsid w:val="00EF3CD9"/>
    <w:rsid w:val="00EF425F"/>
    <w:rsid w:val="00EF49F0"/>
    <w:rsid w:val="00EF4AD7"/>
    <w:rsid w:val="00EF4B8B"/>
    <w:rsid w:val="00EF50CB"/>
    <w:rsid w:val="00EF55EC"/>
    <w:rsid w:val="00EF578D"/>
    <w:rsid w:val="00EF68D1"/>
    <w:rsid w:val="00EF68D3"/>
    <w:rsid w:val="00EF69B1"/>
    <w:rsid w:val="00EF6E9E"/>
    <w:rsid w:val="00EF6F05"/>
    <w:rsid w:val="00EF7186"/>
    <w:rsid w:val="00EF73C1"/>
    <w:rsid w:val="00EF7E00"/>
    <w:rsid w:val="00F002D9"/>
    <w:rsid w:val="00F00542"/>
    <w:rsid w:val="00F005B0"/>
    <w:rsid w:val="00F00991"/>
    <w:rsid w:val="00F00B27"/>
    <w:rsid w:val="00F00B9D"/>
    <w:rsid w:val="00F00BDB"/>
    <w:rsid w:val="00F014AE"/>
    <w:rsid w:val="00F01D20"/>
    <w:rsid w:val="00F0255D"/>
    <w:rsid w:val="00F027AC"/>
    <w:rsid w:val="00F02955"/>
    <w:rsid w:val="00F02D94"/>
    <w:rsid w:val="00F02DBF"/>
    <w:rsid w:val="00F0304E"/>
    <w:rsid w:val="00F034FE"/>
    <w:rsid w:val="00F03891"/>
    <w:rsid w:val="00F04192"/>
    <w:rsid w:val="00F0423C"/>
    <w:rsid w:val="00F04363"/>
    <w:rsid w:val="00F043F4"/>
    <w:rsid w:val="00F0447B"/>
    <w:rsid w:val="00F047D9"/>
    <w:rsid w:val="00F047E0"/>
    <w:rsid w:val="00F04B7F"/>
    <w:rsid w:val="00F05070"/>
    <w:rsid w:val="00F05516"/>
    <w:rsid w:val="00F05AA1"/>
    <w:rsid w:val="00F0629F"/>
    <w:rsid w:val="00F06BD3"/>
    <w:rsid w:val="00F06C33"/>
    <w:rsid w:val="00F06EBD"/>
    <w:rsid w:val="00F078A0"/>
    <w:rsid w:val="00F07DC9"/>
    <w:rsid w:val="00F100EF"/>
    <w:rsid w:val="00F10148"/>
    <w:rsid w:val="00F10258"/>
    <w:rsid w:val="00F103ED"/>
    <w:rsid w:val="00F104CF"/>
    <w:rsid w:val="00F106DC"/>
    <w:rsid w:val="00F10E76"/>
    <w:rsid w:val="00F1103A"/>
    <w:rsid w:val="00F11127"/>
    <w:rsid w:val="00F11799"/>
    <w:rsid w:val="00F12211"/>
    <w:rsid w:val="00F1294C"/>
    <w:rsid w:val="00F12BF8"/>
    <w:rsid w:val="00F1357C"/>
    <w:rsid w:val="00F1361C"/>
    <w:rsid w:val="00F13747"/>
    <w:rsid w:val="00F139F4"/>
    <w:rsid w:val="00F13F1C"/>
    <w:rsid w:val="00F140DB"/>
    <w:rsid w:val="00F1412B"/>
    <w:rsid w:val="00F1451C"/>
    <w:rsid w:val="00F14D9B"/>
    <w:rsid w:val="00F156D3"/>
    <w:rsid w:val="00F158D7"/>
    <w:rsid w:val="00F15B76"/>
    <w:rsid w:val="00F15EA7"/>
    <w:rsid w:val="00F16221"/>
    <w:rsid w:val="00F16CCE"/>
    <w:rsid w:val="00F16F0B"/>
    <w:rsid w:val="00F174A3"/>
    <w:rsid w:val="00F176F1"/>
    <w:rsid w:val="00F177ED"/>
    <w:rsid w:val="00F17D05"/>
    <w:rsid w:val="00F20781"/>
    <w:rsid w:val="00F20816"/>
    <w:rsid w:val="00F20E81"/>
    <w:rsid w:val="00F2118A"/>
    <w:rsid w:val="00F21749"/>
    <w:rsid w:val="00F218DB"/>
    <w:rsid w:val="00F21BBD"/>
    <w:rsid w:val="00F21F6C"/>
    <w:rsid w:val="00F221B2"/>
    <w:rsid w:val="00F221D8"/>
    <w:rsid w:val="00F2263A"/>
    <w:rsid w:val="00F22A69"/>
    <w:rsid w:val="00F22EB9"/>
    <w:rsid w:val="00F22F27"/>
    <w:rsid w:val="00F2366C"/>
    <w:rsid w:val="00F2386E"/>
    <w:rsid w:val="00F23A85"/>
    <w:rsid w:val="00F23BEF"/>
    <w:rsid w:val="00F23F87"/>
    <w:rsid w:val="00F2436D"/>
    <w:rsid w:val="00F243B3"/>
    <w:rsid w:val="00F24888"/>
    <w:rsid w:val="00F25022"/>
    <w:rsid w:val="00F253C3"/>
    <w:rsid w:val="00F25670"/>
    <w:rsid w:val="00F25BBE"/>
    <w:rsid w:val="00F2604C"/>
    <w:rsid w:val="00F26479"/>
    <w:rsid w:val="00F26668"/>
    <w:rsid w:val="00F26718"/>
    <w:rsid w:val="00F27057"/>
    <w:rsid w:val="00F2713B"/>
    <w:rsid w:val="00F2730A"/>
    <w:rsid w:val="00F274B9"/>
    <w:rsid w:val="00F2783D"/>
    <w:rsid w:val="00F302FA"/>
    <w:rsid w:val="00F3052D"/>
    <w:rsid w:val="00F307D9"/>
    <w:rsid w:val="00F309A3"/>
    <w:rsid w:val="00F30C67"/>
    <w:rsid w:val="00F30D40"/>
    <w:rsid w:val="00F30DBB"/>
    <w:rsid w:val="00F30EB9"/>
    <w:rsid w:val="00F30FD5"/>
    <w:rsid w:val="00F310BD"/>
    <w:rsid w:val="00F311B2"/>
    <w:rsid w:val="00F31BEC"/>
    <w:rsid w:val="00F31BF7"/>
    <w:rsid w:val="00F31ED6"/>
    <w:rsid w:val="00F3203F"/>
    <w:rsid w:val="00F320F1"/>
    <w:rsid w:val="00F324F7"/>
    <w:rsid w:val="00F325CD"/>
    <w:rsid w:val="00F325D9"/>
    <w:rsid w:val="00F326D7"/>
    <w:rsid w:val="00F3290B"/>
    <w:rsid w:val="00F32BDD"/>
    <w:rsid w:val="00F32C5D"/>
    <w:rsid w:val="00F32FDE"/>
    <w:rsid w:val="00F33417"/>
    <w:rsid w:val="00F33443"/>
    <w:rsid w:val="00F33463"/>
    <w:rsid w:val="00F338BD"/>
    <w:rsid w:val="00F339F5"/>
    <w:rsid w:val="00F33AC7"/>
    <w:rsid w:val="00F3421F"/>
    <w:rsid w:val="00F342B9"/>
    <w:rsid w:val="00F34A1C"/>
    <w:rsid w:val="00F34B77"/>
    <w:rsid w:val="00F34C0F"/>
    <w:rsid w:val="00F34E1D"/>
    <w:rsid w:val="00F356A0"/>
    <w:rsid w:val="00F35AA7"/>
    <w:rsid w:val="00F35C67"/>
    <w:rsid w:val="00F3609B"/>
    <w:rsid w:val="00F365C7"/>
    <w:rsid w:val="00F368ED"/>
    <w:rsid w:val="00F36BC8"/>
    <w:rsid w:val="00F36F91"/>
    <w:rsid w:val="00F370E8"/>
    <w:rsid w:val="00F373D6"/>
    <w:rsid w:val="00F373D7"/>
    <w:rsid w:val="00F37B88"/>
    <w:rsid w:val="00F40CD6"/>
    <w:rsid w:val="00F40E61"/>
    <w:rsid w:val="00F40F1D"/>
    <w:rsid w:val="00F41467"/>
    <w:rsid w:val="00F41761"/>
    <w:rsid w:val="00F41980"/>
    <w:rsid w:val="00F41999"/>
    <w:rsid w:val="00F41B31"/>
    <w:rsid w:val="00F41CD4"/>
    <w:rsid w:val="00F4209D"/>
    <w:rsid w:val="00F42198"/>
    <w:rsid w:val="00F4241C"/>
    <w:rsid w:val="00F42BC8"/>
    <w:rsid w:val="00F42E86"/>
    <w:rsid w:val="00F4306E"/>
    <w:rsid w:val="00F43846"/>
    <w:rsid w:val="00F43A2E"/>
    <w:rsid w:val="00F43B45"/>
    <w:rsid w:val="00F440E0"/>
    <w:rsid w:val="00F44203"/>
    <w:rsid w:val="00F446C1"/>
    <w:rsid w:val="00F44E3D"/>
    <w:rsid w:val="00F4520B"/>
    <w:rsid w:val="00F45797"/>
    <w:rsid w:val="00F45830"/>
    <w:rsid w:val="00F45ABB"/>
    <w:rsid w:val="00F45B12"/>
    <w:rsid w:val="00F45BB2"/>
    <w:rsid w:val="00F45BD8"/>
    <w:rsid w:val="00F45EFB"/>
    <w:rsid w:val="00F45FAC"/>
    <w:rsid w:val="00F464CE"/>
    <w:rsid w:val="00F46596"/>
    <w:rsid w:val="00F468C3"/>
    <w:rsid w:val="00F470CA"/>
    <w:rsid w:val="00F47BCF"/>
    <w:rsid w:val="00F47C26"/>
    <w:rsid w:val="00F505A0"/>
    <w:rsid w:val="00F50821"/>
    <w:rsid w:val="00F50E4F"/>
    <w:rsid w:val="00F5103A"/>
    <w:rsid w:val="00F519C9"/>
    <w:rsid w:val="00F51BF5"/>
    <w:rsid w:val="00F51E36"/>
    <w:rsid w:val="00F5203F"/>
    <w:rsid w:val="00F52213"/>
    <w:rsid w:val="00F52C6B"/>
    <w:rsid w:val="00F52DF8"/>
    <w:rsid w:val="00F5302B"/>
    <w:rsid w:val="00F53428"/>
    <w:rsid w:val="00F53818"/>
    <w:rsid w:val="00F53B70"/>
    <w:rsid w:val="00F53DBD"/>
    <w:rsid w:val="00F54AC9"/>
    <w:rsid w:val="00F54CB6"/>
    <w:rsid w:val="00F54F8A"/>
    <w:rsid w:val="00F55360"/>
    <w:rsid w:val="00F55957"/>
    <w:rsid w:val="00F55E1F"/>
    <w:rsid w:val="00F562C0"/>
    <w:rsid w:val="00F56646"/>
    <w:rsid w:val="00F56A33"/>
    <w:rsid w:val="00F56CF6"/>
    <w:rsid w:val="00F56FA7"/>
    <w:rsid w:val="00F57147"/>
    <w:rsid w:val="00F5761A"/>
    <w:rsid w:val="00F57947"/>
    <w:rsid w:val="00F57AEC"/>
    <w:rsid w:val="00F57E40"/>
    <w:rsid w:val="00F60055"/>
    <w:rsid w:val="00F60241"/>
    <w:rsid w:val="00F60313"/>
    <w:rsid w:val="00F606B1"/>
    <w:rsid w:val="00F6071F"/>
    <w:rsid w:val="00F60890"/>
    <w:rsid w:val="00F60D09"/>
    <w:rsid w:val="00F60E30"/>
    <w:rsid w:val="00F616E6"/>
    <w:rsid w:val="00F61D95"/>
    <w:rsid w:val="00F61F72"/>
    <w:rsid w:val="00F628D0"/>
    <w:rsid w:val="00F62B51"/>
    <w:rsid w:val="00F63207"/>
    <w:rsid w:val="00F63536"/>
    <w:rsid w:val="00F637A3"/>
    <w:rsid w:val="00F63D77"/>
    <w:rsid w:val="00F63DA6"/>
    <w:rsid w:val="00F646A4"/>
    <w:rsid w:val="00F64C32"/>
    <w:rsid w:val="00F64D65"/>
    <w:rsid w:val="00F65180"/>
    <w:rsid w:val="00F65296"/>
    <w:rsid w:val="00F65BA3"/>
    <w:rsid w:val="00F65D97"/>
    <w:rsid w:val="00F671AD"/>
    <w:rsid w:val="00F67BF9"/>
    <w:rsid w:val="00F67DE3"/>
    <w:rsid w:val="00F67F82"/>
    <w:rsid w:val="00F700E1"/>
    <w:rsid w:val="00F70104"/>
    <w:rsid w:val="00F70251"/>
    <w:rsid w:val="00F70334"/>
    <w:rsid w:val="00F70912"/>
    <w:rsid w:val="00F709A5"/>
    <w:rsid w:val="00F7140C"/>
    <w:rsid w:val="00F71708"/>
    <w:rsid w:val="00F71943"/>
    <w:rsid w:val="00F71CD0"/>
    <w:rsid w:val="00F72262"/>
    <w:rsid w:val="00F72422"/>
    <w:rsid w:val="00F7270E"/>
    <w:rsid w:val="00F72854"/>
    <w:rsid w:val="00F7342C"/>
    <w:rsid w:val="00F73580"/>
    <w:rsid w:val="00F739B4"/>
    <w:rsid w:val="00F73DF9"/>
    <w:rsid w:val="00F73F94"/>
    <w:rsid w:val="00F7433A"/>
    <w:rsid w:val="00F743B8"/>
    <w:rsid w:val="00F74684"/>
    <w:rsid w:val="00F74696"/>
    <w:rsid w:val="00F748A3"/>
    <w:rsid w:val="00F74BA7"/>
    <w:rsid w:val="00F74DB7"/>
    <w:rsid w:val="00F755FB"/>
    <w:rsid w:val="00F75C9A"/>
    <w:rsid w:val="00F75D32"/>
    <w:rsid w:val="00F7614C"/>
    <w:rsid w:val="00F76268"/>
    <w:rsid w:val="00F76389"/>
    <w:rsid w:val="00F76DAC"/>
    <w:rsid w:val="00F778ED"/>
    <w:rsid w:val="00F77C80"/>
    <w:rsid w:val="00F801DD"/>
    <w:rsid w:val="00F802F4"/>
    <w:rsid w:val="00F804F1"/>
    <w:rsid w:val="00F809E0"/>
    <w:rsid w:val="00F80E6C"/>
    <w:rsid w:val="00F80FA8"/>
    <w:rsid w:val="00F81273"/>
    <w:rsid w:val="00F812C6"/>
    <w:rsid w:val="00F81AAC"/>
    <w:rsid w:val="00F82211"/>
    <w:rsid w:val="00F82301"/>
    <w:rsid w:val="00F82471"/>
    <w:rsid w:val="00F824D5"/>
    <w:rsid w:val="00F8278C"/>
    <w:rsid w:val="00F827F5"/>
    <w:rsid w:val="00F82C2C"/>
    <w:rsid w:val="00F837B2"/>
    <w:rsid w:val="00F83892"/>
    <w:rsid w:val="00F83CA4"/>
    <w:rsid w:val="00F83E15"/>
    <w:rsid w:val="00F8402A"/>
    <w:rsid w:val="00F84442"/>
    <w:rsid w:val="00F844B5"/>
    <w:rsid w:val="00F84554"/>
    <w:rsid w:val="00F84592"/>
    <w:rsid w:val="00F849A1"/>
    <w:rsid w:val="00F84A3D"/>
    <w:rsid w:val="00F84FF3"/>
    <w:rsid w:val="00F85586"/>
    <w:rsid w:val="00F857C1"/>
    <w:rsid w:val="00F859C8"/>
    <w:rsid w:val="00F85B0B"/>
    <w:rsid w:val="00F85B17"/>
    <w:rsid w:val="00F85D87"/>
    <w:rsid w:val="00F86301"/>
    <w:rsid w:val="00F86DDC"/>
    <w:rsid w:val="00F87A6B"/>
    <w:rsid w:val="00F87AC3"/>
    <w:rsid w:val="00F87D1A"/>
    <w:rsid w:val="00F87D4C"/>
    <w:rsid w:val="00F87E46"/>
    <w:rsid w:val="00F87E9F"/>
    <w:rsid w:val="00F90398"/>
    <w:rsid w:val="00F90484"/>
    <w:rsid w:val="00F909FB"/>
    <w:rsid w:val="00F90AD8"/>
    <w:rsid w:val="00F90ADC"/>
    <w:rsid w:val="00F91097"/>
    <w:rsid w:val="00F91615"/>
    <w:rsid w:val="00F91C79"/>
    <w:rsid w:val="00F91D29"/>
    <w:rsid w:val="00F921F5"/>
    <w:rsid w:val="00F923B4"/>
    <w:rsid w:val="00F9298E"/>
    <w:rsid w:val="00F929AB"/>
    <w:rsid w:val="00F92A59"/>
    <w:rsid w:val="00F92B22"/>
    <w:rsid w:val="00F93419"/>
    <w:rsid w:val="00F9343A"/>
    <w:rsid w:val="00F94559"/>
    <w:rsid w:val="00F945E4"/>
    <w:rsid w:val="00F94C34"/>
    <w:rsid w:val="00F94C5B"/>
    <w:rsid w:val="00F94C62"/>
    <w:rsid w:val="00F94ED7"/>
    <w:rsid w:val="00F951F7"/>
    <w:rsid w:val="00F95D3D"/>
    <w:rsid w:val="00F95E61"/>
    <w:rsid w:val="00F95E6E"/>
    <w:rsid w:val="00F95F07"/>
    <w:rsid w:val="00F963AC"/>
    <w:rsid w:val="00F96A9D"/>
    <w:rsid w:val="00F96BDD"/>
    <w:rsid w:val="00F96E53"/>
    <w:rsid w:val="00F96EA7"/>
    <w:rsid w:val="00F96FE7"/>
    <w:rsid w:val="00F97383"/>
    <w:rsid w:val="00F97D45"/>
    <w:rsid w:val="00FA06EC"/>
    <w:rsid w:val="00FA08D7"/>
    <w:rsid w:val="00FA0A47"/>
    <w:rsid w:val="00FA0BCD"/>
    <w:rsid w:val="00FA0E8D"/>
    <w:rsid w:val="00FA0F12"/>
    <w:rsid w:val="00FA10D9"/>
    <w:rsid w:val="00FA12AF"/>
    <w:rsid w:val="00FA1993"/>
    <w:rsid w:val="00FA1A56"/>
    <w:rsid w:val="00FA1A86"/>
    <w:rsid w:val="00FA2291"/>
    <w:rsid w:val="00FA331D"/>
    <w:rsid w:val="00FA34C4"/>
    <w:rsid w:val="00FA3650"/>
    <w:rsid w:val="00FA3AEE"/>
    <w:rsid w:val="00FA3CB0"/>
    <w:rsid w:val="00FA5CF6"/>
    <w:rsid w:val="00FA61E2"/>
    <w:rsid w:val="00FA66D8"/>
    <w:rsid w:val="00FA68E3"/>
    <w:rsid w:val="00FA6B80"/>
    <w:rsid w:val="00FA7E82"/>
    <w:rsid w:val="00FB0811"/>
    <w:rsid w:val="00FB097E"/>
    <w:rsid w:val="00FB0A78"/>
    <w:rsid w:val="00FB0AE4"/>
    <w:rsid w:val="00FB0D29"/>
    <w:rsid w:val="00FB11A8"/>
    <w:rsid w:val="00FB1659"/>
    <w:rsid w:val="00FB19BE"/>
    <w:rsid w:val="00FB1FA7"/>
    <w:rsid w:val="00FB2083"/>
    <w:rsid w:val="00FB2304"/>
    <w:rsid w:val="00FB28A6"/>
    <w:rsid w:val="00FB2B14"/>
    <w:rsid w:val="00FB328F"/>
    <w:rsid w:val="00FB38B5"/>
    <w:rsid w:val="00FB459A"/>
    <w:rsid w:val="00FB4971"/>
    <w:rsid w:val="00FB4A59"/>
    <w:rsid w:val="00FB4CF8"/>
    <w:rsid w:val="00FB53B4"/>
    <w:rsid w:val="00FB574C"/>
    <w:rsid w:val="00FB57AF"/>
    <w:rsid w:val="00FB57B7"/>
    <w:rsid w:val="00FB5BCB"/>
    <w:rsid w:val="00FB5EC2"/>
    <w:rsid w:val="00FB6646"/>
    <w:rsid w:val="00FB6A21"/>
    <w:rsid w:val="00FB6EA6"/>
    <w:rsid w:val="00FB6F3D"/>
    <w:rsid w:val="00FB736A"/>
    <w:rsid w:val="00FB7856"/>
    <w:rsid w:val="00FB7AAB"/>
    <w:rsid w:val="00FB7C14"/>
    <w:rsid w:val="00FB7E81"/>
    <w:rsid w:val="00FC008F"/>
    <w:rsid w:val="00FC00C4"/>
    <w:rsid w:val="00FC0D09"/>
    <w:rsid w:val="00FC0E30"/>
    <w:rsid w:val="00FC1320"/>
    <w:rsid w:val="00FC1727"/>
    <w:rsid w:val="00FC1965"/>
    <w:rsid w:val="00FC22A5"/>
    <w:rsid w:val="00FC24BF"/>
    <w:rsid w:val="00FC2D25"/>
    <w:rsid w:val="00FC2DF5"/>
    <w:rsid w:val="00FC2E8B"/>
    <w:rsid w:val="00FC316B"/>
    <w:rsid w:val="00FC368D"/>
    <w:rsid w:val="00FC391E"/>
    <w:rsid w:val="00FC3CF6"/>
    <w:rsid w:val="00FC3FD1"/>
    <w:rsid w:val="00FC4547"/>
    <w:rsid w:val="00FC4749"/>
    <w:rsid w:val="00FC47D1"/>
    <w:rsid w:val="00FC48E1"/>
    <w:rsid w:val="00FC51E5"/>
    <w:rsid w:val="00FC5691"/>
    <w:rsid w:val="00FC57C7"/>
    <w:rsid w:val="00FC57D7"/>
    <w:rsid w:val="00FC58A6"/>
    <w:rsid w:val="00FC5A7D"/>
    <w:rsid w:val="00FC5BB4"/>
    <w:rsid w:val="00FC5D8E"/>
    <w:rsid w:val="00FC5EA3"/>
    <w:rsid w:val="00FC63DB"/>
    <w:rsid w:val="00FC64C7"/>
    <w:rsid w:val="00FC677B"/>
    <w:rsid w:val="00FC6ED6"/>
    <w:rsid w:val="00FC6F6B"/>
    <w:rsid w:val="00FC71C6"/>
    <w:rsid w:val="00FC72E5"/>
    <w:rsid w:val="00FC73FD"/>
    <w:rsid w:val="00FC7BD0"/>
    <w:rsid w:val="00FD01F4"/>
    <w:rsid w:val="00FD030D"/>
    <w:rsid w:val="00FD07D2"/>
    <w:rsid w:val="00FD0C59"/>
    <w:rsid w:val="00FD0E8C"/>
    <w:rsid w:val="00FD1340"/>
    <w:rsid w:val="00FD17EC"/>
    <w:rsid w:val="00FD1B28"/>
    <w:rsid w:val="00FD1E21"/>
    <w:rsid w:val="00FD1ED5"/>
    <w:rsid w:val="00FD2F42"/>
    <w:rsid w:val="00FD3A29"/>
    <w:rsid w:val="00FD485F"/>
    <w:rsid w:val="00FD4CAC"/>
    <w:rsid w:val="00FD4E5B"/>
    <w:rsid w:val="00FD4EF6"/>
    <w:rsid w:val="00FD50AA"/>
    <w:rsid w:val="00FD52E3"/>
    <w:rsid w:val="00FD57F4"/>
    <w:rsid w:val="00FD5819"/>
    <w:rsid w:val="00FD59B7"/>
    <w:rsid w:val="00FD5A5F"/>
    <w:rsid w:val="00FD5FC3"/>
    <w:rsid w:val="00FD6340"/>
    <w:rsid w:val="00FD759C"/>
    <w:rsid w:val="00FD7DCB"/>
    <w:rsid w:val="00FE01F5"/>
    <w:rsid w:val="00FE0787"/>
    <w:rsid w:val="00FE0A6B"/>
    <w:rsid w:val="00FE0BA9"/>
    <w:rsid w:val="00FE0E97"/>
    <w:rsid w:val="00FE0EB5"/>
    <w:rsid w:val="00FE10F3"/>
    <w:rsid w:val="00FE1500"/>
    <w:rsid w:val="00FE156B"/>
    <w:rsid w:val="00FE16CC"/>
    <w:rsid w:val="00FE1764"/>
    <w:rsid w:val="00FE1866"/>
    <w:rsid w:val="00FE1DAB"/>
    <w:rsid w:val="00FE2C3B"/>
    <w:rsid w:val="00FE2D45"/>
    <w:rsid w:val="00FE34A8"/>
    <w:rsid w:val="00FE36D9"/>
    <w:rsid w:val="00FE450F"/>
    <w:rsid w:val="00FE49CB"/>
    <w:rsid w:val="00FE4A11"/>
    <w:rsid w:val="00FE4A31"/>
    <w:rsid w:val="00FE4B9B"/>
    <w:rsid w:val="00FE517D"/>
    <w:rsid w:val="00FE5982"/>
    <w:rsid w:val="00FE5A2A"/>
    <w:rsid w:val="00FE5BDA"/>
    <w:rsid w:val="00FE5FF4"/>
    <w:rsid w:val="00FE603F"/>
    <w:rsid w:val="00FE63C2"/>
    <w:rsid w:val="00FE67D2"/>
    <w:rsid w:val="00FE6886"/>
    <w:rsid w:val="00FE6D97"/>
    <w:rsid w:val="00FE6DCB"/>
    <w:rsid w:val="00FE6E18"/>
    <w:rsid w:val="00FE6EAE"/>
    <w:rsid w:val="00FE7279"/>
    <w:rsid w:val="00FE76AD"/>
    <w:rsid w:val="00FF042C"/>
    <w:rsid w:val="00FF0608"/>
    <w:rsid w:val="00FF073F"/>
    <w:rsid w:val="00FF078E"/>
    <w:rsid w:val="00FF0940"/>
    <w:rsid w:val="00FF0AB7"/>
    <w:rsid w:val="00FF0BE5"/>
    <w:rsid w:val="00FF1413"/>
    <w:rsid w:val="00FF175E"/>
    <w:rsid w:val="00FF17F4"/>
    <w:rsid w:val="00FF1911"/>
    <w:rsid w:val="00FF1AFB"/>
    <w:rsid w:val="00FF1CE4"/>
    <w:rsid w:val="00FF2296"/>
    <w:rsid w:val="00FF2AF1"/>
    <w:rsid w:val="00FF2E2D"/>
    <w:rsid w:val="00FF2EB1"/>
    <w:rsid w:val="00FF2F7D"/>
    <w:rsid w:val="00FF32FF"/>
    <w:rsid w:val="00FF36A3"/>
    <w:rsid w:val="00FF3A6E"/>
    <w:rsid w:val="00FF3DBA"/>
    <w:rsid w:val="00FF4095"/>
    <w:rsid w:val="00FF4655"/>
    <w:rsid w:val="00FF46EE"/>
    <w:rsid w:val="00FF5386"/>
    <w:rsid w:val="00FF5C38"/>
    <w:rsid w:val="00FF6766"/>
    <w:rsid w:val="00FF6870"/>
    <w:rsid w:val="00FF687B"/>
    <w:rsid w:val="00FF6ED2"/>
    <w:rsid w:val="00FF7002"/>
    <w:rsid w:val="00FF7CBA"/>
    <w:rsid w:val="00FF7DE0"/>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A0602A7"/>
  <w15:docId w15:val="{9779EDBD-0B0C-4DBA-81CB-E0BEC37D7D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2" w:uiPriority="42"/>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414934"/>
    <w:pPr>
      <w:spacing w:line="480" w:lineRule="auto"/>
      <w:ind w:firstLine="567"/>
      <w:jc w:val="both"/>
    </w:pPr>
    <w:rPr>
      <w:sz w:val="24"/>
      <w:szCs w:val="24"/>
    </w:rPr>
  </w:style>
  <w:style w:type="paragraph" w:styleId="Titolo1">
    <w:name w:val="heading 1"/>
    <w:basedOn w:val="BDAbstract"/>
    <w:next w:val="Normale"/>
    <w:link w:val="Titolo1Carattere"/>
    <w:qFormat/>
    <w:rsid w:val="008D1A0F"/>
    <w:pPr>
      <w:numPr>
        <w:numId w:val="1"/>
      </w:numPr>
      <w:spacing w:before="240" w:after="0"/>
      <w:outlineLvl w:val="0"/>
    </w:pPr>
    <w:rPr>
      <w:rFonts w:ascii="Times New Roman" w:hAnsi="Times New Roman"/>
      <w:b/>
      <w:lang w:val="en-GB"/>
    </w:rPr>
  </w:style>
  <w:style w:type="paragraph" w:styleId="Titolo2">
    <w:name w:val="heading 2"/>
    <w:basedOn w:val="Normale"/>
    <w:next w:val="Normale"/>
    <w:link w:val="Titolo2Carattere"/>
    <w:unhideWhenUsed/>
    <w:qFormat/>
    <w:rsid w:val="008D1A0F"/>
    <w:pPr>
      <w:keepNext/>
      <w:keepLines/>
      <w:numPr>
        <w:ilvl w:val="1"/>
        <w:numId w:val="1"/>
      </w:numPr>
      <w:suppressAutoHyphens/>
      <w:spacing w:before="240"/>
      <w:outlineLvl w:val="1"/>
    </w:pPr>
    <w:rPr>
      <w:bCs/>
      <w:i/>
      <w:color w:val="000000"/>
      <w:lang w:val="en-GB" w:eastAsia="en-US"/>
    </w:rPr>
  </w:style>
  <w:style w:type="paragraph" w:styleId="Titolo3">
    <w:name w:val="heading 3"/>
    <w:basedOn w:val="Normale"/>
    <w:next w:val="Normale"/>
    <w:link w:val="Titolo3Carattere"/>
    <w:unhideWhenUsed/>
    <w:qFormat/>
    <w:rsid w:val="007B087E"/>
    <w:pPr>
      <w:keepNext/>
      <w:keepLines/>
      <w:numPr>
        <w:ilvl w:val="2"/>
        <w:numId w:val="1"/>
      </w:numPr>
      <w:suppressAutoHyphens/>
      <w:spacing w:before="240" w:after="480"/>
      <w:outlineLvl w:val="2"/>
    </w:pPr>
    <w:rPr>
      <w:bCs/>
      <w:i/>
      <w:color w:val="000000"/>
      <w:szCs w:val="22"/>
      <w:lang w:eastAsia="en-US"/>
    </w:rPr>
  </w:style>
  <w:style w:type="paragraph" w:styleId="Titolo4">
    <w:name w:val="heading 4"/>
    <w:basedOn w:val="Normale"/>
    <w:next w:val="Normale"/>
    <w:link w:val="Titolo4Carattere"/>
    <w:uiPriority w:val="9"/>
    <w:unhideWhenUsed/>
    <w:qFormat/>
    <w:rsid w:val="007B087E"/>
    <w:pPr>
      <w:keepNext/>
      <w:keepLines/>
      <w:numPr>
        <w:ilvl w:val="3"/>
        <w:numId w:val="1"/>
      </w:numPr>
      <w:suppressAutoHyphens/>
      <w:spacing w:before="240" w:after="480"/>
      <w:outlineLvl w:val="3"/>
    </w:pPr>
    <w:rPr>
      <w:bCs/>
      <w:iCs/>
      <w:szCs w:val="22"/>
      <w:lang w:eastAsia="en-US"/>
    </w:rPr>
  </w:style>
  <w:style w:type="paragraph" w:styleId="Titolo5">
    <w:name w:val="heading 5"/>
    <w:basedOn w:val="Normale"/>
    <w:next w:val="Normale"/>
    <w:link w:val="Titolo5Carattere"/>
    <w:uiPriority w:val="9"/>
    <w:unhideWhenUsed/>
    <w:qFormat/>
    <w:rsid w:val="007B087E"/>
    <w:pPr>
      <w:keepNext/>
      <w:keepLines/>
      <w:numPr>
        <w:ilvl w:val="4"/>
        <w:numId w:val="1"/>
      </w:numPr>
      <w:suppressAutoHyphens/>
      <w:spacing w:before="120" w:after="120"/>
      <w:outlineLvl w:val="4"/>
    </w:pPr>
    <w:rPr>
      <w:color w:val="000000"/>
      <w:szCs w:val="22"/>
      <w:lang w:eastAsia="en-US"/>
    </w:rPr>
  </w:style>
  <w:style w:type="paragraph" w:styleId="Titolo6">
    <w:name w:val="heading 6"/>
    <w:basedOn w:val="Normale"/>
    <w:next w:val="Normale"/>
    <w:link w:val="Titolo6Carattere"/>
    <w:uiPriority w:val="9"/>
    <w:semiHidden/>
    <w:unhideWhenUsed/>
    <w:qFormat/>
    <w:rsid w:val="007B087E"/>
    <w:pPr>
      <w:keepNext/>
      <w:keepLines/>
      <w:numPr>
        <w:ilvl w:val="5"/>
        <w:numId w:val="1"/>
      </w:numPr>
      <w:suppressAutoHyphens/>
      <w:spacing w:before="120" w:after="120"/>
      <w:outlineLvl w:val="5"/>
    </w:pPr>
    <w:rPr>
      <w:iCs/>
      <w:szCs w:val="22"/>
      <w:lang w:eastAsia="en-US"/>
    </w:rPr>
  </w:style>
  <w:style w:type="paragraph" w:styleId="Titolo7">
    <w:name w:val="heading 7"/>
    <w:basedOn w:val="Normale"/>
    <w:next w:val="Normale"/>
    <w:link w:val="Titolo7Carattere"/>
    <w:uiPriority w:val="9"/>
    <w:semiHidden/>
    <w:unhideWhenUsed/>
    <w:qFormat/>
    <w:rsid w:val="007B087E"/>
    <w:pPr>
      <w:keepNext/>
      <w:keepLines/>
      <w:numPr>
        <w:ilvl w:val="6"/>
        <w:numId w:val="1"/>
      </w:numPr>
      <w:suppressAutoHyphens/>
      <w:spacing w:before="200" w:after="120" w:line="360" w:lineRule="auto"/>
      <w:outlineLvl w:val="6"/>
    </w:pPr>
    <w:rPr>
      <w:rFonts w:ascii="Cambria" w:hAnsi="Cambria"/>
      <w:i/>
      <w:iCs/>
      <w:color w:val="404040"/>
      <w:sz w:val="22"/>
      <w:szCs w:val="22"/>
      <w:lang w:eastAsia="en-US"/>
    </w:rPr>
  </w:style>
  <w:style w:type="paragraph" w:styleId="Titolo8">
    <w:name w:val="heading 8"/>
    <w:basedOn w:val="Normale"/>
    <w:next w:val="Normale"/>
    <w:link w:val="Titolo8Carattere"/>
    <w:uiPriority w:val="9"/>
    <w:semiHidden/>
    <w:unhideWhenUsed/>
    <w:qFormat/>
    <w:rsid w:val="007B087E"/>
    <w:pPr>
      <w:keepNext/>
      <w:keepLines/>
      <w:numPr>
        <w:ilvl w:val="7"/>
        <w:numId w:val="1"/>
      </w:numPr>
      <w:suppressAutoHyphens/>
      <w:spacing w:before="200" w:after="120" w:line="360" w:lineRule="auto"/>
      <w:outlineLvl w:val="7"/>
    </w:pPr>
    <w:rPr>
      <w:rFonts w:ascii="Cambria" w:hAnsi="Cambria"/>
      <w:color w:val="404040"/>
      <w:sz w:val="20"/>
      <w:szCs w:val="20"/>
      <w:lang w:eastAsia="en-US"/>
    </w:rPr>
  </w:style>
  <w:style w:type="paragraph" w:styleId="Titolo9">
    <w:name w:val="heading 9"/>
    <w:basedOn w:val="Normale"/>
    <w:next w:val="Normale"/>
    <w:link w:val="Titolo9Carattere"/>
    <w:uiPriority w:val="9"/>
    <w:semiHidden/>
    <w:unhideWhenUsed/>
    <w:qFormat/>
    <w:rsid w:val="007B087E"/>
    <w:pPr>
      <w:keepNext/>
      <w:keepLines/>
      <w:numPr>
        <w:ilvl w:val="8"/>
        <w:numId w:val="1"/>
      </w:numPr>
      <w:suppressAutoHyphens/>
      <w:spacing w:before="200" w:after="120" w:line="360" w:lineRule="auto"/>
      <w:outlineLvl w:val="8"/>
    </w:pPr>
    <w:rPr>
      <w:rFonts w:ascii="Cambria" w:hAnsi="Cambria"/>
      <w:i/>
      <w:iCs/>
      <w:color w:val="404040"/>
      <w:sz w:val="20"/>
      <w:szCs w:val="20"/>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BDAbstract">
    <w:name w:val="BD_Abstract"/>
    <w:basedOn w:val="Normale"/>
    <w:next w:val="Normale"/>
    <w:pPr>
      <w:spacing w:before="360" w:after="360"/>
    </w:pPr>
    <w:rPr>
      <w:rFonts w:ascii="Times" w:hAnsi="Times"/>
      <w:szCs w:val="20"/>
      <w:lang w:val="en-US" w:eastAsia="en-US"/>
    </w:rPr>
  </w:style>
  <w:style w:type="character" w:customStyle="1" w:styleId="Titolo1Carattere">
    <w:name w:val="Titolo 1 Carattere"/>
    <w:basedOn w:val="Carpredefinitoparagrafo"/>
    <w:link w:val="Titolo1"/>
    <w:rsid w:val="008D1A0F"/>
    <w:rPr>
      <w:b/>
      <w:sz w:val="24"/>
      <w:lang w:val="en-GB" w:eastAsia="en-US"/>
    </w:rPr>
  </w:style>
  <w:style w:type="character" w:customStyle="1" w:styleId="Titolo2Carattere">
    <w:name w:val="Titolo 2 Carattere"/>
    <w:basedOn w:val="Carpredefinitoparagrafo"/>
    <w:link w:val="Titolo2"/>
    <w:rsid w:val="008D1A0F"/>
    <w:rPr>
      <w:bCs/>
      <w:i/>
      <w:color w:val="000000"/>
      <w:sz w:val="24"/>
      <w:szCs w:val="24"/>
      <w:lang w:val="en-GB" w:eastAsia="en-US"/>
    </w:rPr>
  </w:style>
  <w:style w:type="character" w:customStyle="1" w:styleId="Titolo3Carattere">
    <w:name w:val="Titolo 3 Carattere"/>
    <w:basedOn w:val="Carpredefinitoparagrafo"/>
    <w:link w:val="Titolo3"/>
    <w:rsid w:val="007B087E"/>
    <w:rPr>
      <w:bCs/>
      <w:i/>
      <w:color w:val="000000"/>
      <w:sz w:val="24"/>
      <w:szCs w:val="22"/>
      <w:lang w:eastAsia="en-US"/>
    </w:rPr>
  </w:style>
  <w:style w:type="character" w:customStyle="1" w:styleId="Titolo4Carattere">
    <w:name w:val="Titolo 4 Carattere"/>
    <w:basedOn w:val="Carpredefinitoparagrafo"/>
    <w:link w:val="Titolo4"/>
    <w:uiPriority w:val="9"/>
    <w:rsid w:val="007B087E"/>
    <w:rPr>
      <w:bCs/>
      <w:iCs/>
      <w:sz w:val="24"/>
      <w:szCs w:val="22"/>
      <w:lang w:eastAsia="en-US"/>
    </w:rPr>
  </w:style>
  <w:style w:type="character" w:customStyle="1" w:styleId="Titolo5Carattere">
    <w:name w:val="Titolo 5 Carattere"/>
    <w:basedOn w:val="Carpredefinitoparagrafo"/>
    <w:link w:val="Titolo5"/>
    <w:uiPriority w:val="9"/>
    <w:rsid w:val="007B087E"/>
    <w:rPr>
      <w:color w:val="000000"/>
      <w:sz w:val="24"/>
      <w:szCs w:val="22"/>
      <w:lang w:eastAsia="en-US"/>
    </w:rPr>
  </w:style>
  <w:style w:type="character" w:customStyle="1" w:styleId="Titolo6Carattere">
    <w:name w:val="Titolo 6 Carattere"/>
    <w:basedOn w:val="Carpredefinitoparagrafo"/>
    <w:link w:val="Titolo6"/>
    <w:uiPriority w:val="9"/>
    <w:semiHidden/>
    <w:rsid w:val="007B087E"/>
    <w:rPr>
      <w:iCs/>
      <w:sz w:val="24"/>
      <w:szCs w:val="22"/>
      <w:lang w:eastAsia="en-US"/>
    </w:rPr>
  </w:style>
  <w:style w:type="character" w:customStyle="1" w:styleId="Titolo7Carattere">
    <w:name w:val="Titolo 7 Carattere"/>
    <w:basedOn w:val="Carpredefinitoparagrafo"/>
    <w:link w:val="Titolo7"/>
    <w:uiPriority w:val="9"/>
    <w:semiHidden/>
    <w:rsid w:val="007B087E"/>
    <w:rPr>
      <w:rFonts w:ascii="Cambria" w:hAnsi="Cambria"/>
      <w:i/>
      <w:iCs/>
      <w:color w:val="404040"/>
      <w:sz w:val="22"/>
      <w:szCs w:val="22"/>
      <w:lang w:eastAsia="en-US"/>
    </w:rPr>
  </w:style>
  <w:style w:type="character" w:customStyle="1" w:styleId="Titolo8Carattere">
    <w:name w:val="Titolo 8 Carattere"/>
    <w:basedOn w:val="Carpredefinitoparagrafo"/>
    <w:link w:val="Titolo8"/>
    <w:uiPriority w:val="9"/>
    <w:semiHidden/>
    <w:rsid w:val="007B087E"/>
    <w:rPr>
      <w:rFonts w:ascii="Cambria" w:hAnsi="Cambria"/>
      <w:color w:val="404040"/>
      <w:lang w:eastAsia="en-US"/>
    </w:rPr>
  </w:style>
  <w:style w:type="character" w:customStyle="1" w:styleId="Titolo9Carattere">
    <w:name w:val="Titolo 9 Carattere"/>
    <w:basedOn w:val="Carpredefinitoparagrafo"/>
    <w:link w:val="Titolo9"/>
    <w:uiPriority w:val="9"/>
    <w:semiHidden/>
    <w:rsid w:val="007B087E"/>
    <w:rPr>
      <w:rFonts w:ascii="Cambria" w:hAnsi="Cambria"/>
      <w:i/>
      <w:iCs/>
      <w:color w:val="404040"/>
      <w:lang w:eastAsia="en-US"/>
    </w:rPr>
  </w:style>
  <w:style w:type="paragraph" w:customStyle="1" w:styleId="BATitle">
    <w:name w:val="BA_Title"/>
    <w:basedOn w:val="Normale"/>
    <w:next w:val="Normale"/>
    <w:pPr>
      <w:spacing w:before="720" w:after="360"/>
      <w:jc w:val="center"/>
    </w:pPr>
    <w:rPr>
      <w:sz w:val="44"/>
      <w:szCs w:val="20"/>
      <w:lang w:val="en-US" w:eastAsia="en-US"/>
    </w:rPr>
  </w:style>
  <w:style w:type="paragraph" w:customStyle="1" w:styleId="BBAuthorName">
    <w:name w:val="BB_Author_Name"/>
    <w:basedOn w:val="Normale"/>
    <w:next w:val="Normale"/>
    <w:pPr>
      <w:spacing w:after="240"/>
      <w:jc w:val="center"/>
    </w:pPr>
    <w:rPr>
      <w:rFonts w:ascii="Times" w:hAnsi="Times"/>
      <w:i/>
      <w:szCs w:val="20"/>
      <w:lang w:val="en-US" w:eastAsia="en-US"/>
    </w:rPr>
  </w:style>
  <w:style w:type="paragraph" w:customStyle="1" w:styleId="BCAuthorAddress">
    <w:name w:val="BC_Author_Address"/>
    <w:basedOn w:val="Normale"/>
    <w:next w:val="Normale"/>
    <w:pPr>
      <w:spacing w:after="240"/>
      <w:jc w:val="center"/>
    </w:pPr>
    <w:rPr>
      <w:rFonts w:ascii="Times" w:hAnsi="Times"/>
      <w:szCs w:val="20"/>
      <w:lang w:val="en-US" w:eastAsia="en-US"/>
    </w:rPr>
  </w:style>
  <w:style w:type="paragraph" w:customStyle="1" w:styleId="BIEmailAddress">
    <w:name w:val="BI_Email_Address"/>
    <w:basedOn w:val="Normale"/>
    <w:next w:val="AIReceivedDate"/>
    <w:pPr>
      <w:spacing w:after="200"/>
    </w:pPr>
    <w:rPr>
      <w:rFonts w:ascii="Times" w:hAnsi="Times"/>
      <w:szCs w:val="20"/>
      <w:lang w:val="en-US" w:eastAsia="en-US"/>
    </w:rPr>
  </w:style>
  <w:style w:type="paragraph" w:customStyle="1" w:styleId="AIReceivedDate">
    <w:name w:val="AI_Received_Date"/>
    <w:basedOn w:val="Normale"/>
    <w:next w:val="Normale"/>
    <w:pPr>
      <w:spacing w:after="240"/>
    </w:pPr>
    <w:rPr>
      <w:rFonts w:ascii="Times" w:hAnsi="Times"/>
      <w:b/>
      <w:szCs w:val="20"/>
      <w:lang w:val="en-US" w:eastAsia="en-US"/>
    </w:rPr>
  </w:style>
  <w:style w:type="paragraph" w:customStyle="1" w:styleId="FACorrespondingAuthorFootnote">
    <w:name w:val="FA_Corresponding_Author_Footnote"/>
    <w:basedOn w:val="Normale"/>
    <w:next w:val="Normale"/>
    <w:pPr>
      <w:spacing w:after="200"/>
    </w:pPr>
    <w:rPr>
      <w:rFonts w:ascii="Times" w:hAnsi="Times"/>
      <w:szCs w:val="20"/>
      <w:lang w:val="en-US" w:eastAsia="en-US"/>
    </w:rPr>
  </w:style>
  <w:style w:type="paragraph" w:customStyle="1" w:styleId="BGKeywords">
    <w:name w:val="BG_Keywords"/>
    <w:basedOn w:val="Normale"/>
    <w:pPr>
      <w:spacing w:after="200"/>
    </w:pPr>
    <w:rPr>
      <w:rFonts w:ascii="Times" w:hAnsi="Times"/>
      <w:szCs w:val="20"/>
      <w:lang w:val="en-US" w:eastAsia="en-US"/>
    </w:rPr>
  </w:style>
  <w:style w:type="paragraph" w:customStyle="1" w:styleId="TAMainText">
    <w:name w:val="TA_Main_Text"/>
    <w:basedOn w:val="Normale"/>
    <w:pPr>
      <w:ind w:firstLine="202"/>
    </w:pPr>
    <w:rPr>
      <w:rFonts w:ascii="Times" w:hAnsi="Times"/>
      <w:szCs w:val="20"/>
      <w:lang w:val="en-US" w:eastAsia="en-US"/>
    </w:rPr>
  </w:style>
  <w:style w:type="paragraph" w:customStyle="1" w:styleId="AFTitleRunningHead">
    <w:name w:val="AF_Title_Running_Head"/>
    <w:basedOn w:val="Normale"/>
    <w:next w:val="Normale"/>
    <w:pPr>
      <w:spacing w:after="200"/>
    </w:pPr>
    <w:rPr>
      <w:rFonts w:ascii="Times" w:hAnsi="Times"/>
      <w:szCs w:val="20"/>
      <w:lang w:val="en-US" w:eastAsia="en-US"/>
    </w:rPr>
  </w:style>
  <w:style w:type="paragraph" w:customStyle="1" w:styleId="VAFigureCaption">
    <w:name w:val="VA_Figure_Caption"/>
    <w:basedOn w:val="Normale"/>
    <w:next w:val="Normale"/>
    <w:pPr>
      <w:spacing w:after="200"/>
    </w:pPr>
    <w:rPr>
      <w:rFonts w:ascii="Times" w:hAnsi="Times"/>
      <w:szCs w:val="20"/>
      <w:lang w:val="en-US" w:eastAsia="en-US"/>
    </w:rPr>
  </w:style>
  <w:style w:type="paragraph" w:customStyle="1" w:styleId="VDTableTitle">
    <w:name w:val="VD_Table_Title"/>
    <w:basedOn w:val="Normale"/>
    <w:next w:val="Normale"/>
    <w:pPr>
      <w:spacing w:after="200"/>
    </w:pPr>
    <w:rPr>
      <w:rFonts w:ascii="Times" w:hAnsi="Times"/>
      <w:szCs w:val="20"/>
      <w:lang w:val="en-US" w:eastAsia="en-US"/>
    </w:rPr>
  </w:style>
  <w:style w:type="paragraph" w:customStyle="1" w:styleId="TCTableBody">
    <w:name w:val="TC_Table_Body"/>
    <w:basedOn w:val="Normale"/>
    <w:pPr>
      <w:spacing w:after="200"/>
    </w:pPr>
    <w:rPr>
      <w:rFonts w:ascii="Times" w:hAnsi="Times"/>
      <w:szCs w:val="20"/>
      <w:lang w:val="en-US" w:eastAsia="en-US"/>
    </w:rPr>
  </w:style>
  <w:style w:type="paragraph" w:customStyle="1" w:styleId="Corpodeltesto1">
    <w:name w:val="Corpo del testo1"/>
    <w:basedOn w:val="Normale"/>
    <w:rsid w:val="004E73A6"/>
    <w:pPr>
      <w:autoSpaceDE w:val="0"/>
      <w:autoSpaceDN w:val="0"/>
      <w:adjustRightInd w:val="0"/>
    </w:pPr>
    <w:rPr>
      <w:szCs w:val="20"/>
      <w:lang w:val="en-GB"/>
    </w:rPr>
  </w:style>
  <w:style w:type="character" w:styleId="Collegamentoipertestuale">
    <w:name w:val="Hyperlink"/>
    <w:uiPriority w:val="99"/>
    <w:rsid w:val="00577FA9"/>
    <w:rPr>
      <w:color w:val="0000FF"/>
      <w:u w:val="single"/>
    </w:rPr>
  </w:style>
  <w:style w:type="paragraph" w:customStyle="1" w:styleId="BHBriefs">
    <w:name w:val="BH_Briefs"/>
    <w:basedOn w:val="Normale"/>
    <w:rsid w:val="005510A3"/>
    <w:pPr>
      <w:spacing w:after="200"/>
    </w:pPr>
    <w:rPr>
      <w:rFonts w:ascii="Times" w:hAnsi="Times"/>
      <w:szCs w:val="20"/>
      <w:lang w:val="en-US" w:eastAsia="en-US"/>
    </w:rPr>
  </w:style>
  <w:style w:type="paragraph" w:styleId="Pidipagina">
    <w:name w:val="footer"/>
    <w:basedOn w:val="Normale"/>
    <w:link w:val="PidipaginaCarattere"/>
    <w:uiPriority w:val="99"/>
    <w:rsid w:val="00942B52"/>
    <w:pPr>
      <w:tabs>
        <w:tab w:val="center" w:pos="4819"/>
        <w:tab w:val="right" w:pos="9638"/>
      </w:tabs>
    </w:pPr>
  </w:style>
  <w:style w:type="character" w:customStyle="1" w:styleId="PidipaginaCarattere">
    <w:name w:val="Piè di pagina Carattere"/>
    <w:basedOn w:val="Carpredefinitoparagrafo"/>
    <w:link w:val="Pidipagina"/>
    <w:uiPriority w:val="99"/>
    <w:rsid w:val="00886E3E"/>
    <w:rPr>
      <w:sz w:val="24"/>
      <w:szCs w:val="24"/>
    </w:rPr>
  </w:style>
  <w:style w:type="character" w:styleId="Numeropagina">
    <w:name w:val="page number"/>
    <w:basedOn w:val="Carpredefinitoparagrafo"/>
    <w:rsid w:val="00942B52"/>
  </w:style>
  <w:style w:type="paragraph" w:styleId="Testonotaapidipagina">
    <w:name w:val="footnote text"/>
    <w:basedOn w:val="Normale"/>
    <w:link w:val="TestonotaapidipaginaCarattere"/>
    <w:semiHidden/>
    <w:rsid w:val="0070197C"/>
    <w:rPr>
      <w:sz w:val="20"/>
      <w:szCs w:val="20"/>
    </w:rPr>
  </w:style>
  <w:style w:type="character" w:customStyle="1" w:styleId="TestonotaapidipaginaCarattere">
    <w:name w:val="Testo nota a piè di pagina Carattere"/>
    <w:basedOn w:val="Carpredefinitoparagrafo"/>
    <w:link w:val="Testonotaapidipagina"/>
    <w:semiHidden/>
    <w:rsid w:val="00CE4FDA"/>
  </w:style>
  <w:style w:type="character" w:styleId="Rimandonotaapidipagina">
    <w:name w:val="footnote reference"/>
    <w:semiHidden/>
    <w:rsid w:val="0070197C"/>
    <w:rPr>
      <w:vertAlign w:val="superscript"/>
    </w:rPr>
  </w:style>
  <w:style w:type="paragraph" w:customStyle="1" w:styleId="CorpodelTestGrICU2008">
    <w:name w:val="Corpo del Test GrICU 2008"/>
    <w:basedOn w:val="Normale"/>
    <w:rsid w:val="00BE30CA"/>
    <w:pPr>
      <w:widowControl w:val="0"/>
      <w:autoSpaceDE w:val="0"/>
      <w:autoSpaceDN w:val="0"/>
      <w:adjustRightInd w:val="0"/>
      <w:spacing w:after="40"/>
    </w:pPr>
    <w:rPr>
      <w:rFonts w:ascii="Tahoma" w:hAnsi="Tahoma"/>
      <w:sz w:val="20"/>
      <w:szCs w:val="20"/>
      <w:lang w:val="en-US" w:eastAsia="en-US"/>
    </w:rPr>
  </w:style>
  <w:style w:type="paragraph" w:styleId="Mappadocumento">
    <w:name w:val="Document Map"/>
    <w:basedOn w:val="Normale"/>
    <w:link w:val="MappadocumentoCarattere"/>
    <w:semiHidden/>
    <w:rsid w:val="00747946"/>
    <w:pPr>
      <w:shd w:val="clear" w:color="auto" w:fill="000080"/>
    </w:pPr>
    <w:rPr>
      <w:rFonts w:ascii="Tahoma" w:hAnsi="Tahoma" w:cs="Tahoma"/>
      <w:sz w:val="20"/>
      <w:szCs w:val="20"/>
    </w:rPr>
  </w:style>
  <w:style w:type="character" w:customStyle="1" w:styleId="MappadocumentoCarattere">
    <w:name w:val="Mappa documento Carattere"/>
    <w:basedOn w:val="Carpredefinitoparagrafo"/>
    <w:link w:val="Mappadocumento"/>
    <w:semiHidden/>
    <w:rsid w:val="00CE4FDA"/>
    <w:rPr>
      <w:rFonts w:ascii="Tahoma" w:hAnsi="Tahoma" w:cs="Tahoma"/>
      <w:shd w:val="clear" w:color="auto" w:fill="000080"/>
    </w:rPr>
  </w:style>
  <w:style w:type="character" w:customStyle="1" w:styleId="txtboldonly1">
    <w:name w:val="txtboldonly1"/>
    <w:rsid w:val="00D975D8"/>
    <w:rPr>
      <w:b/>
      <w:bCs/>
    </w:rPr>
  </w:style>
  <w:style w:type="character" w:styleId="Numeroriga">
    <w:name w:val="line number"/>
    <w:basedOn w:val="Carpredefinitoparagrafo"/>
    <w:rsid w:val="00A05790"/>
  </w:style>
  <w:style w:type="paragraph" w:customStyle="1" w:styleId="Default">
    <w:name w:val="Default"/>
    <w:rsid w:val="00C46EB9"/>
    <w:pPr>
      <w:autoSpaceDE w:val="0"/>
      <w:autoSpaceDN w:val="0"/>
      <w:adjustRightInd w:val="0"/>
    </w:pPr>
    <w:rPr>
      <w:rFonts w:eastAsia="Calibri"/>
      <w:color w:val="000000"/>
      <w:sz w:val="24"/>
      <w:szCs w:val="24"/>
      <w:lang w:eastAsia="en-US"/>
    </w:rPr>
  </w:style>
  <w:style w:type="paragraph" w:styleId="Intestazione">
    <w:name w:val="header"/>
    <w:basedOn w:val="Normale"/>
    <w:link w:val="IntestazioneCarattere"/>
    <w:rsid w:val="00572956"/>
    <w:pPr>
      <w:tabs>
        <w:tab w:val="center" w:pos="4819"/>
        <w:tab w:val="right" w:pos="9638"/>
      </w:tabs>
    </w:pPr>
    <w:rPr>
      <w:lang w:val="x-none" w:eastAsia="x-none"/>
    </w:rPr>
  </w:style>
  <w:style w:type="character" w:customStyle="1" w:styleId="IntestazioneCarattere">
    <w:name w:val="Intestazione Carattere"/>
    <w:link w:val="Intestazione"/>
    <w:rsid w:val="00572956"/>
    <w:rPr>
      <w:sz w:val="24"/>
      <w:szCs w:val="24"/>
    </w:rPr>
  </w:style>
  <w:style w:type="character" w:styleId="Rimandocommento">
    <w:name w:val="annotation reference"/>
    <w:uiPriority w:val="99"/>
    <w:rsid w:val="00AB5FA5"/>
    <w:rPr>
      <w:sz w:val="16"/>
      <w:szCs w:val="16"/>
    </w:rPr>
  </w:style>
  <w:style w:type="paragraph" w:styleId="Testocommento">
    <w:name w:val="annotation text"/>
    <w:basedOn w:val="Normale"/>
    <w:link w:val="TestocommentoCarattere"/>
    <w:uiPriority w:val="99"/>
    <w:rsid w:val="00AB5FA5"/>
    <w:rPr>
      <w:sz w:val="20"/>
      <w:szCs w:val="20"/>
      <w:lang w:val="en-GB" w:eastAsia="en-US"/>
    </w:rPr>
  </w:style>
  <w:style w:type="character" w:customStyle="1" w:styleId="TestocommentoCarattere">
    <w:name w:val="Testo commento Carattere"/>
    <w:link w:val="Testocommento"/>
    <w:uiPriority w:val="99"/>
    <w:rsid w:val="00AB5FA5"/>
    <w:rPr>
      <w:lang w:val="en-GB" w:eastAsia="en-US"/>
    </w:rPr>
  </w:style>
  <w:style w:type="paragraph" w:styleId="Testofumetto">
    <w:name w:val="Balloon Text"/>
    <w:basedOn w:val="Normale"/>
    <w:link w:val="TestofumettoCarattere"/>
    <w:uiPriority w:val="99"/>
    <w:rsid w:val="00AB5FA5"/>
    <w:rPr>
      <w:rFonts w:ascii="Tahoma" w:hAnsi="Tahoma"/>
      <w:sz w:val="16"/>
      <w:szCs w:val="16"/>
      <w:lang w:val="x-none" w:eastAsia="x-none"/>
    </w:rPr>
  </w:style>
  <w:style w:type="character" w:customStyle="1" w:styleId="TestofumettoCarattere">
    <w:name w:val="Testo fumetto Carattere"/>
    <w:link w:val="Testofumetto"/>
    <w:uiPriority w:val="99"/>
    <w:rsid w:val="00AB5FA5"/>
    <w:rPr>
      <w:rFonts w:ascii="Tahoma" w:hAnsi="Tahoma" w:cs="Tahoma"/>
      <w:sz w:val="16"/>
      <w:szCs w:val="16"/>
    </w:rPr>
  </w:style>
  <w:style w:type="paragraph" w:styleId="Didascalia">
    <w:name w:val="caption"/>
    <w:basedOn w:val="TAMainText"/>
    <w:next w:val="Normale"/>
    <w:uiPriority w:val="35"/>
    <w:unhideWhenUsed/>
    <w:qFormat/>
    <w:rsid w:val="00A662DF"/>
    <w:pPr>
      <w:spacing w:after="240"/>
      <w:ind w:firstLine="204"/>
      <w:jc w:val="center"/>
    </w:pPr>
    <w:rPr>
      <w:rFonts w:ascii="Times New Roman" w:hAnsi="Times New Roman"/>
    </w:rPr>
  </w:style>
  <w:style w:type="paragraph" w:styleId="Paragrafoelenco">
    <w:name w:val="List Paragraph"/>
    <w:basedOn w:val="Normale"/>
    <w:uiPriority w:val="34"/>
    <w:qFormat/>
    <w:rsid w:val="00F82211"/>
    <w:pPr>
      <w:spacing w:after="200" w:line="276" w:lineRule="auto"/>
      <w:ind w:left="720"/>
      <w:contextualSpacing/>
    </w:pPr>
    <w:rPr>
      <w:rFonts w:ascii="Calibri" w:eastAsia="Calibri" w:hAnsi="Calibri"/>
      <w:sz w:val="22"/>
      <w:szCs w:val="22"/>
      <w:lang w:eastAsia="en-US"/>
    </w:rPr>
  </w:style>
  <w:style w:type="table" w:styleId="Grigliatabella">
    <w:name w:val="Table Grid"/>
    <w:basedOn w:val="Tabellanormale"/>
    <w:uiPriority w:val="39"/>
    <w:rsid w:val="0088144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1515AF"/>
  </w:style>
  <w:style w:type="paragraph" w:styleId="Soggettocommento">
    <w:name w:val="annotation subject"/>
    <w:basedOn w:val="Testocommento"/>
    <w:next w:val="Testocommento"/>
    <w:link w:val="SoggettocommentoCarattere"/>
    <w:uiPriority w:val="99"/>
    <w:rsid w:val="0082153B"/>
    <w:pPr>
      <w:jc w:val="left"/>
    </w:pPr>
    <w:rPr>
      <w:b/>
      <w:bCs/>
    </w:rPr>
  </w:style>
  <w:style w:type="character" w:customStyle="1" w:styleId="SoggettocommentoCarattere">
    <w:name w:val="Soggetto commento Carattere"/>
    <w:link w:val="Soggettocommento"/>
    <w:uiPriority w:val="99"/>
    <w:rsid w:val="0082153B"/>
    <w:rPr>
      <w:b/>
      <w:bCs/>
      <w:lang w:val="en-GB" w:eastAsia="en-US"/>
    </w:rPr>
  </w:style>
  <w:style w:type="paragraph" w:styleId="NormaleWeb">
    <w:name w:val="Normal (Web)"/>
    <w:basedOn w:val="Normale"/>
    <w:uiPriority w:val="99"/>
    <w:unhideWhenUsed/>
    <w:rsid w:val="00976E38"/>
    <w:pPr>
      <w:spacing w:before="100" w:beforeAutospacing="1" w:after="100" w:afterAutospacing="1"/>
    </w:pPr>
    <w:rPr>
      <w:lang w:val="en-US" w:eastAsia="en-US"/>
    </w:rPr>
  </w:style>
  <w:style w:type="paragraph" w:styleId="Revisione">
    <w:name w:val="Revision"/>
    <w:hidden/>
    <w:uiPriority w:val="99"/>
    <w:semiHidden/>
    <w:rsid w:val="00DC3D9B"/>
    <w:rPr>
      <w:sz w:val="24"/>
      <w:szCs w:val="24"/>
    </w:rPr>
  </w:style>
  <w:style w:type="character" w:styleId="Testosegnaposto">
    <w:name w:val="Placeholder Text"/>
    <w:basedOn w:val="Carpredefinitoparagrafo"/>
    <w:uiPriority w:val="99"/>
    <w:semiHidden/>
    <w:rsid w:val="00583609"/>
    <w:rPr>
      <w:color w:val="808080"/>
    </w:rPr>
  </w:style>
  <w:style w:type="character" w:styleId="Enfasigrassetto">
    <w:name w:val="Strong"/>
    <w:basedOn w:val="Carpredefinitoparagrafo"/>
    <w:uiPriority w:val="22"/>
    <w:qFormat/>
    <w:rsid w:val="005A4983"/>
    <w:rPr>
      <w:b/>
      <w:bCs/>
    </w:rPr>
  </w:style>
  <w:style w:type="character" w:customStyle="1" w:styleId="doi-field">
    <w:name w:val="doi-field"/>
    <w:basedOn w:val="Carpredefinitoparagrafo"/>
    <w:rsid w:val="00FA331D"/>
  </w:style>
  <w:style w:type="character" w:styleId="Collegamentovisitato">
    <w:name w:val="FollowedHyperlink"/>
    <w:basedOn w:val="Carpredefinitoparagrafo"/>
    <w:rsid w:val="002C573E"/>
    <w:rPr>
      <w:color w:val="954F72" w:themeColor="followedHyperlink"/>
      <w:u w:val="single"/>
    </w:rPr>
  </w:style>
  <w:style w:type="paragraph" w:styleId="Titolo">
    <w:name w:val="Title"/>
    <w:basedOn w:val="Normale"/>
    <w:next w:val="Normale"/>
    <w:link w:val="TitoloCarattere"/>
    <w:uiPriority w:val="10"/>
    <w:qFormat/>
    <w:rsid w:val="00EA651B"/>
    <w:pPr>
      <w:spacing w:after="120"/>
      <w:contextualSpacing/>
      <w:jc w:val="center"/>
    </w:pPr>
    <w:rPr>
      <w:rFonts w:eastAsiaTheme="majorEastAsia"/>
      <w:b/>
      <w:spacing w:val="-10"/>
      <w:kern w:val="28"/>
      <w:sz w:val="36"/>
      <w:szCs w:val="56"/>
      <w:lang w:val="en-GB"/>
    </w:rPr>
  </w:style>
  <w:style w:type="character" w:customStyle="1" w:styleId="TitoloCarattere">
    <w:name w:val="Titolo Carattere"/>
    <w:basedOn w:val="Carpredefinitoparagrafo"/>
    <w:link w:val="Titolo"/>
    <w:uiPriority w:val="10"/>
    <w:rsid w:val="00EA651B"/>
    <w:rPr>
      <w:rFonts w:eastAsiaTheme="majorEastAsia"/>
      <w:b/>
      <w:spacing w:val="-10"/>
      <w:kern w:val="28"/>
      <w:sz w:val="36"/>
      <w:szCs w:val="56"/>
      <w:lang w:val="en-GB"/>
    </w:rPr>
  </w:style>
  <w:style w:type="character" w:styleId="Enfasicorsivo">
    <w:name w:val="Emphasis"/>
    <w:basedOn w:val="Carpredefinitoparagrafo"/>
    <w:uiPriority w:val="20"/>
    <w:qFormat/>
    <w:rsid w:val="008B4619"/>
    <w:rPr>
      <w:i/>
      <w:iCs/>
    </w:rPr>
  </w:style>
  <w:style w:type="character" w:customStyle="1" w:styleId="slug-doi">
    <w:name w:val="slug-doi"/>
    <w:basedOn w:val="Carpredefinitoparagrafo"/>
    <w:rsid w:val="00CC6400"/>
  </w:style>
  <w:style w:type="paragraph" w:customStyle="1" w:styleId="didascaliajust">
    <w:name w:val="didascalia just"/>
    <w:basedOn w:val="Normale"/>
    <w:qFormat/>
    <w:rsid w:val="00CE4FDA"/>
    <w:pPr>
      <w:suppressAutoHyphens/>
      <w:autoSpaceDE w:val="0"/>
      <w:autoSpaceDN w:val="0"/>
      <w:spacing w:after="240" w:line="269" w:lineRule="auto"/>
      <w:ind w:firstLine="0"/>
    </w:pPr>
    <w:rPr>
      <w:spacing w:val="-3"/>
      <w:sz w:val="22"/>
      <w:szCs w:val="22"/>
      <w:lang w:eastAsia="en-US"/>
    </w:rPr>
  </w:style>
  <w:style w:type="paragraph" w:customStyle="1" w:styleId="reference">
    <w:name w:val="reference"/>
    <w:basedOn w:val="Normale"/>
    <w:rsid w:val="00CE4FDA"/>
    <w:pPr>
      <w:numPr>
        <w:numId w:val="2"/>
      </w:numPr>
      <w:tabs>
        <w:tab w:val="left" w:pos="-437"/>
        <w:tab w:val="num" w:pos="284"/>
      </w:tabs>
      <w:suppressAutoHyphens/>
      <w:autoSpaceDE w:val="0"/>
      <w:autoSpaceDN w:val="0"/>
      <w:spacing w:after="120" w:line="240" w:lineRule="auto"/>
      <w:ind w:left="284" w:hanging="295"/>
    </w:pPr>
    <w:rPr>
      <w:spacing w:val="-3"/>
      <w:sz w:val="22"/>
      <w:szCs w:val="22"/>
      <w:lang w:val="en-GB" w:eastAsia="en-US"/>
    </w:rPr>
  </w:style>
  <w:style w:type="character" w:customStyle="1" w:styleId="tlid-translation">
    <w:name w:val="tlid-translation"/>
    <w:basedOn w:val="Carpredefinitoparagrafo"/>
    <w:rsid w:val="00CE4FDA"/>
  </w:style>
  <w:style w:type="paragraph" w:customStyle="1" w:styleId="didascaliacenter">
    <w:name w:val="didascalia center"/>
    <w:basedOn w:val="Normale"/>
    <w:qFormat/>
    <w:rsid w:val="00CE4FDA"/>
    <w:pPr>
      <w:suppressAutoHyphens/>
      <w:autoSpaceDE w:val="0"/>
      <w:autoSpaceDN w:val="0"/>
      <w:spacing w:after="240" w:line="269" w:lineRule="auto"/>
      <w:ind w:firstLine="0"/>
      <w:jc w:val="center"/>
    </w:pPr>
    <w:rPr>
      <w:spacing w:val="-3"/>
      <w:sz w:val="22"/>
      <w:szCs w:val="22"/>
      <w:lang w:val="en-GB" w:eastAsia="en-US"/>
    </w:rPr>
  </w:style>
  <w:style w:type="paragraph" w:styleId="Indicedellefigure">
    <w:name w:val="table of figures"/>
    <w:basedOn w:val="Normale"/>
    <w:next w:val="Normale"/>
    <w:uiPriority w:val="99"/>
    <w:unhideWhenUsed/>
    <w:rsid w:val="00CE4FDA"/>
    <w:pPr>
      <w:spacing w:line="269" w:lineRule="auto"/>
      <w:ind w:firstLine="425"/>
    </w:pPr>
    <w:rPr>
      <w:sz w:val="22"/>
      <w:szCs w:val="22"/>
    </w:rPr>
  </w:style>
  <w:style w:type="paragraph" w:styleId="Titolosommario">
    <w:name w:val="TOC Heading"/>
    <w:basedOn w:val="Titolo1"/>
    <w:next w:val="Normale"/>
    <w:uiPriority w:val="39"/>
    <w:unhideWhenUsed/>
    <w:qFormat/>
    <w:rsid w:val="00CE4FDA"/>
    <w:pPr>
      <w:keepNext/>
      <w:keepLines/>
      <w:numPr>
        <w:numId w:val="0"/>
      </w:numPr>
      <w:spacing w:line="259" w:lineRule="auto"/>
      <w:jc w:val="left"/>
      <w:outlineLvl w:val="9"/>
    </w:pPr>
    <w:rPr>
      <w:rFonts w:asciiTheme="majorHAnsi" w:eastAsiaTheme="majorEastAsia" w:hAnsiTheme="majorHAnsi" w:cstheme="majorBidi"/>
      <w:b w:val="0"/>
      <w:color w:val="2E74B5" w:themeColor="accent1" w:themeShade="BF"/>
      <w:sz w:val="32"/>
      <w:szCs w:val="32"/>
      <w:lang w:eastAsia="en-GB"/>
    </w:rPr>
  </w:style>
  <w:style w:type="paragraph" w:styleId="Sommario1">
    <w:name w:val="toc 1"/>
    <w:basedOn w:val="Normale"/>
    <w:next w:val="Normale"/>
    <w:autoRedefine/>
    <w:uiPriority w:val="39"/>
    <w:unhideWhenUsed/>
    <w:rsid w:val="00CE4FDA"/>
    <w:pPr>
      <w:spacing w:after="100" w:line="269" w:lineRule="auto"/>
      <w:ind w:firstLine="425"/>
    </w:pPr>
    <w:rPr>
      <w:sz w:val="22"/>
      <w:szCs w:val="22"/>
    </w:rPr>
  </w:style>
  <w:style w:type="paragraph" w:styleId="Sommario2">
    <w:name w:val="toc 2"/>
    <w:basedOn w:val="Normale"/>
    <w:next w:val="Normale"/>
    <w:autoRedefine/>
    <w:uiPriority w:val="39"/>
    <w:unhideWhenUsed/>
    <w:rsid w:val="00CE4FDA"/>
    <w:pPr>
      <w:spacing w:after="100" w:line="269" w:lineRule="auto"/>
      <w:ind w:left="220" w:firstLine="425"/>
    </w:pPr>
    <w:rPr>
      <w:sz w:val="22"/>
      <w:szCs w:val="22"/>
    </w:rPr>
  </w:style>
  <w:style w:type="paragraph" w:styleId="Sommario3">
    <w:name w:val="toc 3"/>
    <w:basedOn w:val="Normale"/>
    <w:next w:val="Normale"/>
    <w:autoRedefine/>
    <w:uiPriority w:val="39"/>
    <w:unhideWhenUsed/>
    <w:rsid w:val="00CE4FDA"/>
    <w:pPr>
      <w:spacing w:after="100" w:line="269" w:lineRule="auto"/>
      <w:ind w:left="440" w:firstLine="425"/>
    </w:pPr>
    <w:rPr>
      <w:sz w:val="22"/>
      <w:szCs w:val="22"/>
    </w:rPr>
  </w:style>
  <w:style w:type="paragraph" w:customStyle="1" w:styleId="MDPI35textbeforelist">
    <w:name w:val="MDPI_3.5_text_before_list"/>
    <w:basedOn w:val="Normale"/>
    <w:qFormat/>
    <w:rsid w:val="00CE4FDA"/>
    <w:pPr>
      <w:adjustRightInd w:val="0"/>
      <w:snapToGrid w:val="0"/>
      <w:spacing w:after="120" w:line="260" w:lineRule="atLeast"/>
      <w:ind w:firstLine="425"/>
    </w:pPr>
    <w:rPr>
      <w:rFonts w:ascii="Palatino Linotype" w:hAnsi="Palatino Linotype"/>
      <w:snapToGrid w:val="0"/>
      <w:color w:val="000000"/>
      <w:sz w:val="20"/>
      <w:szCs w:val="22"/>
      <w:lang w:val="en-US" w:eastAsia="de-DE" w:bidi="en-US"/>
    </w:rPr>
  </w:style>
  <w:style w:type="paragraph" w:customStyle="1" w:styleId="MDPI36textafterlist">
    <w:name w:val="MDPI_3.6_text_after_list"/>
    <w:basedOn w:val="MDPI31text"/>
    <w:qFormat/>
    <w:rsid w:val="00CE4FDA"/>
    <w:pPr>
      <w:spacing w:before="120"/>
    </w:pPr>
  </w:style>
  <w:style w:type="paragraph" w:customStyle="1" w:styleId="MDPI31text">
    <w:name w:val="MDPI_3.1_text"/>
    <w:qFormat/>
    <w:rsid w:val="00CE4FDA"/>
    <w:pPr>
      <w:adjustRightInd w:val="0"/>
      <w:snapToGrid w:val="0"/>
      <w:spacing w:line="260" w:lineRule="atLeast"/>
      <w:ind w:firstLine="425"/>
      <w:jc w:val="both"/>
    </w:pPr>
    <w:rPr>
      <w:rFonts w:ascii="Palatino Linotype" w:hAnsi="Palatino Linotype"/>
      <w:snapToGrid w:val="0"/>
      <w:color w:val="000000"/>
      <w:szCs w:val="22"/>
      <w:lang w:val="en-US" w:eastAsia="de-DE" w:bidi="en-US"/>
    </w:rPr>
  </w:style>
  <w:style w:type="paragraph" w:customStyle="1" w:styleId="MDPI51figurecaption">
    <w:name w:val="MDPI_5.1_figure_caption"/>
    <w:basedOn w:val="Normale"/>
    <w:qFormat/>
    <w:rsid w:val="00CE4FDA"/>
    <w:pPr>
      <w:adjustRightInd w:val="0"/>
      <w:snapToGrid w:val="0"/>
      <w:spacing w:before="120" w:after="240" w:line="260" w:lineRule="atLeast"/>
      <w:ind w:left="425" w:right="425" w:firstLine="0"/>
    </w:pPr>
    <w:rPr>
      <w:rFonts w:ascii="Palatino Linotype" w:hAnsi="Palatino Linotype"/>
      <w:color w:val="000000"/>
      <w:sz w:val="18"/>
      <w:szCs w:val="20"/>
      <w:lang w:val="en-US" w:eastAsia="de-DE" w:bidi="en-US"/>
    </w:rPr>
  </w:style>
  <w:style w:type="paragraph" w:customStyle="1" w:styleId="MDPI52figure">
    <w:name w:val="MDPI_5.2_figure"/>
    <w:qFormat/>
    <w:rsid w:val="00CE4FDA"/>
    <w:pPr>
      <w:jc w:val="center"/>
    </w:pPr>
    <w:rPr>
      <w:rFonts w:ascii="Palatino Linotype" w:hAnsi="Palatino Linotype"/>
      <w:snapToGrid w:val="0"/>
      <w:color w:val="000000"/>
      <w:sz w:val="24"/>
      <w:lang w:val="en-US" w:eastAsia="de-DE" w:bidi="en-US"/>
    </w:rPr>
  </w:style>
  <w:style w:type="paragraph" w:customStyle="1" w:styleId="MDPI39equation">
    <w:name w:val="MDPI_3.9_equation"/>
    <w:basedOn w:val="MDPI31text"/>
    <w:qFormat/>
    <w:rsid w:val="00CE4FDA"/>
    <w:pPr>
      <w:spacing w:before="120" w:after="120"/>
      <w:ind w:left="709" w:firstLine="0"/>
      <w:jc w:val="center"/>
    </w:pPr>
  </w:style>
  <w:style w:type="paragraph" w:customStyle="1" w:styleId="MDPI3aequationnumber">
    <w:name w:val="MDPI_3.a_equation_number"/>
    <w:basedOn w:val="MDPI31text"/>
    <w:qFormat/>
    <w:rsid w:val="00CE4FDA"/>
    <w:pPr>
      <w:spacing w:before="120" w:after="120" w:line="240" w:lineRule="auto"/>
      <w:ind w:firstLine="0"/>
      <w:jc w:val="right"/>
    </w:pPr>
  </w:style>
  <w:style w:type="paragraph" w:styleId="Sommario4">
    <w:name w:val="toc 4"/>
    <w:basedOn w:val="Normale"/>
    <w:next w:val="Normale"/>
    <w:autoRedefine/>
    <w:uiPriority w:val="39"/>
    <w:unhideWhenUsed/>
    <w:rsid w:val="00CE4FDA"/>
    <w:pPr>
      <w:spacing w:after="100" w:line="259" w:lineRule="auto"/>
      <w:ind w:left="660" w:firstLine="0"/>
      <w:jc w:val="left"/>
    </w:pPr>
    <w:rPr>
      <w:rFonts w:asciiTheme="minorHAnsi" w:eastAsiaTheme="minorEastAsia" w:hAnsiTheme="minorHAnsi" w:cstheme="minorBidi"/>
      <w:sz w:val="22"/>
      <w:szCs w:val="22"/>
      <w:lang w:val="en-GB" w:eastAsia="en-GB"/>
    </w:rPr>
  </w:style>
  <w:style w:type="paragraph" w:styleId="Sommario5">
    <w:name w:val="toc 5"/>
    <w:basedOn w:val="Normale"/>
    <w:next w:val="Normale"/>
    <w:autoRedefine/>
    <w:uiPriority w:val="39"/>
    <w:unhideWhenUsed/>
    <w:rsid w:val="00CE4FDA"/>
    <w:pPr>
      <w:spacing w:after="100" w:line="259" w:lineRule="auto"/>
      <w:ind w:left="880" w:firstLine="0"/>
      <w:jc w:val="left"/>
    </w:pPr>
    <w:rPr>
      <w:rFonts w:asciiTheme="minorHAnsi" w:eastAsiaTheme="minorEastAsia" w:hAnsiTheme="minorHAnsi" w:cstheme="minorBidi"/>
      <w:sz w:val="22"/>
      <w:szCs w:val="22"/>
      <w:lang w:val="en-GB" w:eastAsia="en-GB"/>
    </w:rPr>
  </w:style>
  <w:style w:type="paragraph" w:styleId="Sommario6">
    <w:name w:val="toc 6"/>
    <w:basedOn w:val="Normale"/>
    <w:next w:val="Normale"/>
    <w:autoRedefine/>
    <w:uiPriority w:val="39"/>
    <w:unhideWhenUsed/>
    <w:rsid w:val="00CE4FDA"/>
    <w:pPr>
      <w:spacing w:after="100" w:line="259" w:lineRule="auto"/>
      <w:ind w:left="1100" w:firstLine="0"/>
      <w:jc w:val="left"/>
    </w:pPr>
    <w:rPr>
      <w:rFonts w:asciiTheme="minorHAnsi" w:eastAsiaTheme="minorEastAsia" w:hAnsiTheme="minorHAnsi" w:cstheme="minorBidi"/>
      <w:sz w:val="22"/>
      <w:szCs w:val="22"/>
      <w:lang w:val="en-GB" w:eastAsia="en-GB"/>
    </w:rPr>
  </w:style>
  <w:style w:type="paragraph" w:styleId="Sommario7">
    <w:name w:val="toc 7"/>
    <w:basedOn w:val="Normale"/>
    <w:next w:val="Normale"/>
    <w:autoRedefine/>
    <w:uiPriority w:val="39"/>
    <w:unhideWhenUsed/>
    <w:rsid w:val="00CE4FDA"/>
    <w:pPr>
      <w:spacing w:after="100" w:line="259" w:lineRule="auto"/>
      <w:ind w:left="1320" w:firstLine="0"/>
      <w:jc w:val="left"/>
    </w:pPr>
    <w:rPr>
      <w:rFonts w:asciiTheme="minorHAnsi" w:eastAsiaTheme="minorEastAsia" w:hAnsiTheme="minorHAnsi" w:cstheme="minorBidi"/>
      <w:sz w:val="22"/>
      <w:szCs w:val="22"/>
      <w:lang w:val="en-GB" w:eastAsia="en-GB"/>
    </w:rPr>
  </w:style>
  <w:style w:type="paragraph" w:styleId="Sommario8">
    <w:name w:val="toc 8"/>
    <w:basedOn w:val="Normale"/>
    <w:next w:val="Normale"/>
    <w:autoRedefine/>
    <w:uiPriority w:val="39"/>
    <w:unhideWhenUsed/>
    <w:rsid w:val="00CE4FDA"/>
    <w:pPr>
      <w:spacing w:after="100" w:line="259" w:lineRule="auto"/>
      <w:ind w:left="1540" w:firstLine="0"/>
      <w:jc w:val="left"/>
    </w:pPr>
    <w:rPr>
      <w:rFonts w:asciiTheme="minorHAnsi" w:eastAsiaTheme="minorEastAsia" w:hAnsiTheme="minorHAnsi" w:cstheme="minorBidi"/>
      <w:sz w:val="22"/>
      <w:szCs w:val="22"/>
      <w:lang w:val="en-GB" w:eastAsia="en-GB"/>
    </w:rPr>
  </w:style>
  <w:style w:type="paragraph" w:styleId="Sommario9">
    <w:name w:val="toc 9"/>
    <w:basedOn w:val="Normale"/>
    <w:next w:val="Normale"/>
    <w:autoRedefine/>
    <w:uiPriority w:val="39"/>
    <w:unhideWhenUsed/>
    <w:rsid w:val="00CE4FDA"/>
    <w:pPr>
      <w:spacing w:after="100" w:line="259" w:lineRule="auto"/>
      <w:ind w:left="1760" w:firstLine="0"/>
      <w:jc w:val="left"/>
    </w:pPr>
    <w:rPr>
      <w:rFonts w:asciiTheme="minorHAnsi" w:eastAsiaTheme="minorEastAsia" w:hAnsiTheme="minorHAnsi" w:cstheme="minorBidi"/>
      <w:sz w:val="22"/>
      <w:szCs w:val="22"/>
      <w:lang w:val="en-GB" w:eastAsia="en-GB"/>
    </w:rPr>
  </w:style>
  <w:style w:type="paragraph" w:customStyle="1" w:styleId="MDPI42tablebody">
    <w:name w:val="MDPI_4.2_table_body"/>
    <w:qFormat/>
    <w:rsid w:val="00CE4FDA"/>
    <w:pPr>
      <w:adjustRightInd w:val="0"/>
      <w:snapToGrid w:val="0"/>
      <w:spacing w:line="260" w:lineRule="atLeast"/>
      <w:jc w:val="center"/>
    </w:pPr>
    <w:rPr>
      <w:rFonts w:ascii="Palatino Linotype" w:hAnsi="Palatino Linotype"/>
      <w:snapToGrid w:val="0"/>
      <w:color w:val="000000"/>
      <w:lang w:val="en-US" w:eastAsia="de-DE" w:bidi="en-US"/>
    </w:rPr>
  </w:style>
  <w:style w:type="paragraph" w:customStyle="1" w:styleId="Referencesbody">
    <w:name w:val="References_body"/>
    <w:basedOn w:val="Normale"/>
    <w:qFormat/>
    <w:rsid w:val="00CE4FDA"/>
    <w:pPr>
      <w:numPr>
        <w:numId w:val="3"/>
      </w:numPr>
      <w:adjustRightInd w:val="0"/>
      <w:snapToGrid w:val="0"/>
      <w:spacing w:line="260" w:lineRule="atLeast"/>
      <w:ind w:left="425" w:hanging="425"/>
    </w:pPr>
    <w:rPr>
      <w:rFonts w:ascii="Palatino Linotype" w:hAnsi="Palatino Linotype"/>
      <w:snapToGrid w:val="0"/>
      <w:color w:val="000000"/>
      <w:sz w:val="18"/>
      <w:szCs w:val="20"/>
      <w:lang w:val="en-US" w:eastAsia="de-DE" w:bidi="en-US"/>
    </w:rPr>
  </w:style>
  <w:style w:type="character" w:customStyle="1" w:styleId="Menzionenonrisolta1">
    <w:name w:val="Menzione non risolta1"/>
    <w:basedOn w:val="Carpredefinitoparagrafo"/>
    <w:uiPriority w:val="99"/>
    <w:semiHidden/>
    <w:unhideWhenUsed/>
    <w:rsid w:val="00041169"/>
    <w:rPr>
      <w:color w:val="605E5C"/>
      <w:shd w:val="clear" w:color="auto" w:fill="E1DFDD"/>
    </w:rPr>
  </w:style>
  <w:style w:type="character" w:customStyle="1" w:styleId="jlqj4b">
    <w:name w:val="jlqj4b"/>
    <w:basedOn w:val="Carpredefinitoparagrafo"/>
    <w:rsid w:val="00D0743D"/>
  </w:style>
  <w:style w:type="paragraph" w:styleId="PreformattatoHTML">
    <w:name w:val="HTML Preformatted"/>
    <w:basedOn w:val="Normale"/>
    <w:link w:val="PreformattatoHTMLCarattere"/>
    <w:semiHidden/>
    <w:unhideWhenUsed/>
    <w:rsid w:val="00666E57"/>
    <w:pPr>
      <w:spacing w:line="240" w:lineRule="auto"/>
    </w:pPr>
    <w:rPr>
      <w:rFonts w:ascii="Consolas" w:hAnsi="Consolas"/>
      <w:sz w:val="20"/>
      <w:szCs w:val="20"/>
    </w:rPr>
  </w:style>
  <w:style w:type="character" w:customStyle="1" w:styleId="PreformattatoHTMLCarattere">
    <w:name w:val="Preformattato HTML Carattere"/>
    <w:basedOn w:val="Carpredefinitoparagrafo"/>
    <w:link w:val="PreformattatoHTML"/>
    <w:semiHidden/>
    <w:rsid w:val="00666E57"/>
    <w:rPr>
      <w:rFonts w:ascii="Consolas" w:hAnsi="Consolas"/>
    </w:rPr>
  </w:style>
  <w:style w:type="character" w:customStyle="1" w:styleId="Menzionenonrisolta2">
    <w:name w:val="Menzione non risolta2"/>
    <w:basedOn w:val="Carpredefinitoparagrafo"/>
    <w:uiPriority w:val="99"/>
    <w:semiHidden/>
    <w:unhideWhenUsed/>
    <w:rsid w:val="00AE5530"/>
    <w:rPr>
      <w:color w:val="605E5C"/>
      <w:shd w:val="clear" w:color="auto" w:fill="E1DFDD"/>
    </w:rPr>
  </w:style>
  <w:style w:type="character" w:customStyle="1" w:styleId="q4iawc">
    <w:name w:val="q4iawc"/>
    <w:basedOn w:val="Carpredefinitoparagrafo"/>
    <w:rsid w:val="00DB0AE1"/>
  </w:style>
  <w:style w:type="character" w:customStyle="1" w:styleId="viiyi">
    <w:name w:val="viiyi"/>
    <w:basedOn w:val="Carpredefinitoparagrafo"/>
    <w:rsid w:val="00B857E8"/>
  </w:style>
  <w:style w:type="character" w:styleId="Menzionenonrisolta">
    <w:name w:val="Unresolved Mention"/>
    <w:basedOn w:val="Carpredefinitoparagrafo"/>
    <w:uiPriority w:val="99"/>
    <w:semiHidden/>
    <w:unhideWhenUsed/>
    <w:rsid w:val="005C440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38394">
      <w:bodyDiv w:val="1"/>
      <w:marLeft w:val="0"/>
      <w:marRight w:val="0"/>
      <w:marTop w:val="0"/>
      <w:marBottom w:val="0"/>
      <w:divBdr>
        <w:top w:val="none" w:sz="0" w:space="0" w:color="auto"/>
        <w:left w:val="none" w:sz="0" w:space="0" w:color="auto"/>
        <w:bottom w:val="none" w:sz="0" w:space="0" w:color="auto"/>
        <w:right w:val="none" w:sz="0" w:space="0" w:color="auto"/>
      </w:divBdr>
    </w:div>
    <w:div w:id="83579568">
      <w:bodyDiv w:val="1"/>
      <w:marLeft w:val="0"/>
      <w:marRight w:val="0"/>
      <w:marTop w:val="0"/>
      <w:marBottom w:val="0"/>
      <w:divBdr>
        <w:top w:val="none" w:sz="0" w:space="0" w:color="auto"/>
        <w:left w:val="none" w:sz="0" w:space="0" w:color="auto"/>
        <w:bottom w:val="none" w:sz="0" w:space="0" w:color="auto"/>
        <w:right w:val="none" w:sz="0" w:space="0" w:color="auto"/>
      </w:divBdr>
    </w:div>
    <w:div w:id="223763449">
      <w:bodyDiv w:val="1"/>
      <w:marLeft w:val="0"/>
      <w:marRight w:val="0"/>
      <w:marTop w:val="0"/>
      <w:marBottom w:val="0"/>
      <w:divBdr>
        <w:top w:val="none" w:sz="0" w:space="0" w:color="auto"/>
        <w:left w:val="none" w:sz="0" w:space="0" w:color="auto"/>
        <w:bottom w:val="none" w:sz="0" w:space="0" w:color="auto"/>
        <w:right w:val="none" w:sz="0" w:space="0" w:color="auto"/>
      </w:divBdr>
    </w:div>
    <w:div w:id="350835646">
      <w:bodyDiv w:val="1"/>
      <w:marLeft w:val="0"/>
      <w:marRight w:val="0"/>
      <w:marTop w:val="0"/>
      <w:marBottom w:val="0"/>
      <w:divBdr>
        <w:top w:val="none" w:sz="0" w:space="0" w:color="auto"/>
        <w:left w:val="none" w:sz="0" w:space="0" w:color="auto"/>
        <w:bottom w:val="none" w:sz="0" w:space="0" w:color="auto"/>
        <w:right w:val="none" w:sz="0" w:space="0" w:color="auto"/>
      </w:divBdr>
    </w:div>
    <w:div w:id="474183261">
      <w:bodyDiv w:val="1"/>
      <w:marLeft w:val="0"/>
      <w:marRight w:val="0"/>
      <w:marTop w:val="0"/>
      <w:marBottom w:val="0"/>
      <w:divBdr>
        <w:top w:val="none" w:sz="0" w:space="0" w:color="auto"/>
        <w:left w:val="none" w:sz="0" w:space="0" w:color="auto"/>
        <w:bottom w:val="none" w:sz="0" w:space="0" w:color="auto"/>
        <w:right w:val="none" w:sz="0" w:space="0" w:color="auto"/>
      </w:divBdr>
      <w:divsChild>
        <w:div w:id="855266057">
          <w:marLeft w:val="0"/>
          <w:marRight w:val="0"/>
          <w:marTop w:val="90"/>
          <w:marBottom w:val="90"/>
          <w:divBdr>
            <w:top w:val="none" w:sz="0" w:space="0" w:color="auto"/>
            <w:left w:val="none" w:sz="0" w:space="0" w:color="auto"/>
            <w:bottom w:val="none" w:sz="0" w:space="0" w:color="auto"/>
            <w:right w:val="none" w:sz="0" w:space="0" w:color="auto"/>
          </w:divBdr>
        </w:div>
      </w:divsChild>
    </w:div>
    <w:div w:id="553590003">
      <w:bodyDiv w:val="1"/>
      <w:marLeft w:val="0"/>
      <w:marRight w:val="0"/>
      <w:marTop w:val="0"/>
      <w:marBottom w:val="0"/>
      <w:divBdr>
        <w:top w:val="none" w:sz="0" w:space="0" w:color="auto"/>
        <w:left w:val="none" w:sz="0" w:space="0" w:color="auto"/>
        <w:bottom w:val="none" w:sz="0" w:space="0" w:color="auto"/>
        <w:right w:val="none" w:sz="0" w:space="0" w:color="auto"/>
      </w:divBdr>
      <w:divsChild>
        <w:div w:id="195504675">
          <w:marLeft w:val="0"/>
          <w:marRight w:val="0"/>
          <w:marTop w:val="0"/>
          <w:marBottom w:val="0"/>
          <w:divBdr>
            <w:top w:val="none" w:sz="0" w:space="0" w:color="auto"/>
            <w:left w:val="none" w:sz="0" w:space="0" w:color="auto"/>
            <w:bottom w:val="none" w:sz="0" w:space="0" w:color="auto"/>
            <w:right w:val="none" w:sz="0" w:space="0" w:color="auto"/>
          </w:divBdr>
        </w:div>
      </w:divsChild>
    </w:div>
    <w:div w:id="597098512">
      <w:bodyDiv w:val="1"/>
      <w:marLeft w:val="0"/>
      <w:marRight w:val="0"/>
      <w:marTop w:val="0"/>
      <w:marBottom w:val="0"/>
      <w:divBdr>
        <w:top w:val="none" w:sz="0" w:space="0" w:color="auto"/>
        <w:left w:val="none" w:sz="0" w:space="0" w:color="auto"/>
        <w:bottom w:val="none" w:sz="0" w:space="0" w:color="auto"/>
        <w:right w:val="none" w:sz="0" w:space="0" w:color="auto"/>
      </w:divBdr>
    </w:div>
    <w:div w:id="608703809">
      <w:bodyDiv w:val="1"/>
      <w:marLeft w:val="0"/>
      <w:marRight w:val="0"/>
      <w:marTop w:val="0"/>
      <w:marBottom w:val="0"/>
      <w:divBdr>
        <w:top w:val="none" w:sz="0" w:space="0" w:color="auto"/>
        <w:left w:val="none" w:sz="0" w:space="0" w:color="auto"/>
        <w:bottom w:val="none" w:sz="0" w:space="0" w:color="auto"/>
        <w:right w:val="none" w:sz="0" w:space="0" w:color="auto"/>
      </w:divBdr>
    </w:div>
    <w:div w:id="666245372">
      <w:bodyDiv w:val="1"/>
      <w:marLeft w:val="0"/>
      <w:marRight w:val="0"/>
      <w:marTop w:val="0"/>
      <w:marBottom w:val="0"/>
      <w:divBdr>
        <w:top w:val="none" w:sz="0" w:space="0" w:color="auto"/>
        <w:left w:val="none" w:sz="0" w:space="0" w:color="auto"/>
        <w:bottom w:val="none" w:sz="0" w:space="0" w:color="auto"/>
        <w:right w:val="none" w:sz="0" w:space="0" w:color="auto"/>
      </w:divBdr>
      <w:divsChild>
        <w:div w:id="1988971680">
          <w:marLeft w:val="0"/>
          <w:marRight w:val="0"/>
          <w:marTop w:val="0"/>
          <w:marBottom w:val="0"/>
          <w:divBdr>
            <w:top w:val="none" w:sz="0" w:space="0" w:color="auto"/>
            <w:left w:val="none" w:sz="0" w:space="0" w:color="auto"/>
            <w:bottom w:val="none" w:sz="0" w:space="0" w:color="auto"/>
            <w:right w:val="none" w:sz="0" w:space="0" w:color="auto"/>
          </w:divBdr>
        </w:div>
      </w:divsChild>
    </w:div>
    <w:div w:id="675034704">
      <w:bodyDiv w:val="1"/>
      <w:marLeft w:val="0"/>
      <w:marRight w:val="0"/>
      <w:marTop w:val="0"/>
      <w:marBottom w:val="0"/>
      <w:divBdr>
        <w:top w:val="none" w:sz="0" w:space="0" w:color="auto"/>
        <w:left w:val="none" w:sz="0" w:space="0" w:color="auto"/>
        <w:bottom w:val="none" w:sz="0" w:space="0" w:color="auto"/>
        <w:right w:val="none" w:sz="0" w:space="0" w:color="auto"/>
      </w:divBdr>
    </w:div>
    <w:div w:id="677536340">
      <w:bodyDiv w:val="1"/>
      <w:marLeft w:val="0"/>
      <w:marRight w:val="0"/>
      <w:marTop w:val="0"/>
      <w:marBottom w:val="0"/>
      <w:divBdr>
        <w:top w:val="none" w:sz="0" w:space="0" w:color="auto"/>
        <w:left w:val="none" w:sz="0" w:space="0" w:color="auto"/>
        <w:bottom w:val="none" w:sz="0" w:space="0" w:color="auto"/>
        <w:right w:val="none" w:sz="0" w:space="0" w:color="auto"/>
      </w:divBdr>
    </w:div>
    <w:div w:id="694885854">
      <w:bodyDiv w:val="1"/>
      <w:marLeft w:val="0"/>
      <w:marRight w:val="0"/>
      <w:marTop w:val="0"/>
      <w:marBottom w:val="0"/>
      <w:divBdr>
        <w:top w:val="none" w:sz="0" w:space="0" w:color="auto"/>
        <w:left w:val="none" w:sz="0" w:space="0" w:color="auto"/>
        <w:bottom w:val="none" w:sz="0" w:space="0" w:color="auto"/>
        <w:right w:val="none" w:sz="0" w:space="0" w:color="auto"/>
      </w:divBdr>
    </w:div>
    <w:div w:id="751509741">
      <w:bodyDiv w:val="1"/>
      <w:marLeft w:val="0"/>
      <w:marRight w:val="0"/>
      <w:marTop w:val="0"/>
      <w:marBottom w:val="0"/>
      <w:divBdr>
        <w:top w:val="none" w:sz="0" w:space="0" w:color="auto"/>
        <w:left w:val="none" w:sz="0" w:space="0" w:color="auto"/>
        <w:bottom w:val="none" w:sz="0" w:space="0" w:color="auto"/>
        <w:right w:val="none" w:sz="0" w:space="0" w:color="auto"/>
      </w:divBdr>
    </w:div>
    <w:div w:id="956059433">
      <w:bodyDiv w:val="1"/>
      <w:marLeft w:val="0"/>
      <w:marRight w:val="0"/>
      <w:marTop w:val="0"/>
      <w:marBottom w:val="0"/>
      <w:divBdr>
        <w:top w:val="none" w:sz="0" w:space="0" w:color="auto"/>
        <w:left w:val="none" w:sz="0" w:space="0" w:color="auto"/>
        <w:bottom w:val="none" w:sz="0" w:space="0" w:color="auto"/>
        <w:right w:val="none" w:sz="0" w:space="0" w:color="auto"/>
      </w:divBdr>
    </w:div>
    <w:div w:id="1021202661">
      <w:bodyDiv w:val="1"/>
      <w:marLeft w:val="0"/>
      <w:marRight w:val="0"/>
      <w:marTop w:val="0"/>
      <w:marBottom w:val="0"/>
      <w:divBdr>
        <w:top w:val="none" w:sz="0" w:space="0" w:color="auto"/>
        <w:left w:val="none" w:sz="0" w:space="0" w:color="auto"/>
        <w:bottom w:val="none" w:sz="0" w:space="0" w:color="auto"/>
        <w:right w:val="none" w:sz="0" w:space="0" w:color="auto"/>
      </w:divBdr>
    </w:div>
    <w:div w:id="1100223890">
      <w:bodyDiv w:val="1"/>
      <w:marLeft w:val="0"/>
      <w:marRight w:val="0"/>
      <w:marTop w:val="0"/>
      <w:marBottom w:val="0"/>
      <w:divBdr>
        <w:top w:val="none" w:sz="0" w:space="0" w:color="auto"/>
        <w:left w:val="none" w:sz="0" w:space="0" w:color="auto"/>
        <w:bottom w:val="none" w:sz="0" w:space="0" w:color="auto"/>
        <w:right w:val="none" w:sz="0" w:space="0" w:color="auto"/>
      </w:divBdr>
    </w:div>
    <w:div w:id="1191411609">
      <w:bodyDiv w:val="1"/>
      <w:marLeft w:val="0"/>
      <w:marRight w:val="0"/>
      <w:marTop w:val="0"/>
      <w:marBottom w:val="0"/>
      <w:divBdr>
        <w:top w:val="none" w:sz="0" w:space="0" w:color="auto"/>
        <w:left w:val="none" w:sz="0" w:space="0" w:color="auto"/>
        <w:bottom w:val="none" w:sz="0" w:space="0" w:color="auto"/>
        <w:right w:val="none" w:sz="0" w:space="0" w:color="auto"/>
      </w:divBdr>
      <w:divsChild>
        <w:div w:id="958876729">
          <w:marLeft w:val="0"/>
          <w:marRight w:val="0"/>
          <w:marTop w:val="0"/>
          <w:marBottom w:val="0"/>
          <w:divBdr>
            <w:top w:val="none" w:sz="0" w:space="0" w:color="auto"/>
            <w:left w:val="none" w:sz="0" w:space="0" w:color="auto"/>
            <w:bottom w:val="none" w:sz="0" w:space="0" w:color="auto"/>
            <w:right w:val="none" w:sz="0" w:space="0" w:color="auto"/>
          </w:divBdr>
          <w:divsChild>
            <w:div w:id="21976205">
              <w:marLeft w:val="0"/>
              <w:marRight w:val="0"/>
              <w:marTop w:val="0"/>
              <w:marBottom w:val="0"/>
              <w:divBdr>
                <w:top w:val="none" w:sz="0" w:space="0" w:color="auto"/>
                <w:left w:val="none" w:sz="0" w:space="0" w:color="auto"/>
                <w:bottom w:val="none" w:sz="0" w:space="0" w:color="auto"/>
                <w:right w:val="none" w:sz="0" w:space="0" w:color="auto"/>
              </w:divBdr>
            </w:div>
            <w:div w:id="89277810">
              <w:marLeft w:val="0"/>
              <w:marRight w:val="0"/>
              <w:marTop w:val="0"/>
              <w:marBottom w:val="0"/>
              <w:divBdr>
                <w:top w:val="none" w:sz="0" w:space="0" w:color="auto"/>
                <w:left w:val="none" w:sz="0" w:space="0" w:color="auto"/>
                <w:bottom w:val="none" w:sz="0" w:space="0" w:color="auto"/>
                <w:right w:val="none" w:sz="0" w:space="0" w:color="auto"/>
              </w:divBdr>
            </w:div>
            <w:div w:id="107630224">
              <w:marLeft w:val="0"/>
              <w:marRight w:val="0"/>
              <w:marTop w:val="0"/>
              <w:marBottom w:val="0"/>
              <w:divBdr>
                <w:top w:val="none" w:sz="0" w:space="0" w:color="auto"/>
                <w:left w:val="none" w:sz="0" w:space="0" w:color="auto"/>
                <w:bottom w:val="none" w:sz="0" w:space="0" w:color="auto"/>
                <w:right w:val="none" w:sz="0" w:space="0" w:color="auto"/>
              </w:divBdr>
            </w:div>
            <w:div w:id="1401246919">
              <w:marLeft w:val="0"/>
              <w:marRight w:val="0"/>
              <w:marTop w:val="0"/>
              <w:marBottom w:val="0"/>
              <w:divBdr>
                <w:top w:val="none" w:sz="0" w:space="0" w:color="auto"/>
                <w:left w:val="none" w:sz="0" w:space="0" w:color="auto"/>
                <w:bottom w:val="none" w:sz="0" w:space="0" w:color="auto"/>
                <w:right w:val="none" w:sz="0" w:space="0" w:color="auto"/>
              </w:divBdr>
            </w:div>
            <w:div w:id="1438675819">
              <w:marLeft w:val="0"/>
              <w:marRight w:val="0"/>
              <w:marTop w:val="0"/>
              <w:marBottom w:val="0"/>
              <w:divBdr>
                <w:top w:val="none" w:sz="0" w:space="0" w:color="auto"/>
                <w:left w:val="none" w:sz="0" w:space="0" w:color="auto"/>
                <w:bottom w:val="none" w:sz="0" w:space="0" w:color="auto"/>
                <w:right w:val="none" w:sz="0" w:space="0" w:color="auto"/>
              </w:divBdr>
            </w:div>
            <w:div w:id="1972713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3728197">
      <w:bodyDiv w:val="1"/>
      <w:marLeft w:val="0"/>
      <w:marRight w:val="0"/>
      <w:marTop w:val="0"/>
      <w:marBottom w:val="0"/>
      <w:divBdr>
        <w:top w:val="none" w:sz="0" w:space="0" w:color="auto"/>
        <w:left w:val="none" w:sz="0" w:space="0" w:color="auto"/>
        <w:bottom w:val="none" w:sz="0" w:space="0" w:color="auto"/>
        <w:right w:val="none" w:sz="0" w:space="0" w:color="auto"/>
      </w:divBdr>
    </w:div>
    <w:div w:id="1546066942">
      <w:bodyDiv w:val="1"/>
      <w:marLeft w:val="0"/>
      <w:marRight w:val="0"/>
      <w:marTop w:val="0"/>
      <w:marBottom w:val="0"/>
      <w:divBdr>
        <w:top w:val="none" w:sz="0" w:space="0" w:color="auto"/>
        <w:left w:val="none" w:sz="0" w:space="0" w:color="auto"/>
        <w:bottom w:val="none" w:sz="0" w:space="0" w:color="auto"/>
        <w:right w:val="none" w:sz="0" w:space="0" w:color="auto"/>
      </w:divBdr>
    </w:div>
    <w:div w:id="1547521034">
      <w:bodyDiv w:val="1"/>
      <w:marLeft w:val="0"/>
      <w:marRight w:val="0"/>
      <w:marTop w:val="0"/>
      <w:marBottom w:val="0"/>
      <w:divBdr>
        <w:top w:val="none" w:sz="0" w:space="0" w:color="auto"/>
        <w:left w:val="none" w:sz="0" w:space="0" w:color="auto"/>
        <w:bottom w:val="none" w:sz="0" w:space="0" w:color="auto"/>
        <w:right w:val="none" w:sz="0" w:space="0" w:color="auto"/>
      </w:divBdr>
    </w:div>
    <w:div w:id="1570461884">
      <w:bodyDiv w:val="1"/>
      <w:marLeft w:val="0"/>
      <w:marRight w:val="0"/>
      <w:marTop w:val="0"/>
      <w:marBottom w:val="0"/>
      <w:divBdr>
        <w:top w:val="none" w:sz="0" w:space="0" w:color="auto"/>
        <w:left w:val="none" w:sz="0" w:space="0" w:color="auto"/>
        <w:bottom w:val="none" w:sz="0" w:space="0" w:color="auto"/>
        <w:right w:val="none" w:sz="0" w:space="0" w:color="auto"/>
      </w:divBdr>
      <w:divsChild>
        <w:div w:id="1653292385">
          <w:marLeft w:val="0"/>
          <w:marRight w:val="0"/>
          <w:marTop w:val="0"/>
          <w:marBottom w:val="0"/>
          <w:divBdr>
            <w:top w:val="none" w:sz="0" w:space="0" w:color="auto"/>
            <w:left w:val="none" w:sz="0" w:space="0" w:color="auto"/>
            <w:bottom w:val="none" w:sz="0" w:space="0" w:color="auto"/>
            <w:right w:val="none" w:sz="0" w:space="0" w:color="auto"/>
          </w:divBdr>
          <w:divsChild>
            <w:div w:id="2136213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6342004">
      <w:bodyDiv w:val="1"/>
      <w:marLeft w:val="0"/>
      <w:marRight w:val="0"/>
      <w:marTop w:val="0"/>
      <w:marBottom w:val="0"/>
      <w:divBdr>
        <w:top w:val="none" w:sz="0" w:space="0" w:color="auto"/>
        <w:left w:val="none" w:sz="0" w:space="0" w:color="auto"/>
        <w:bottom w:val="none" w:sz="0" w:space="0" w:color="auto"/>
        <w:right w:val="none" w:sz="0" w:space="0" w:color="auto"/>
      </w:divBdr>
    </w:div>
    <w:div w:id="1715621176">
      <w:bodyDiv w:val="1"/>
      <w:marLeft w:val="0"/>
      <w:marRight w:val="0"/>
      <w:marTop w:val="0"/>
      <w:marBottom w:val="0"/>
      <w:divBdr>
        <w:top w:val="none" w:sz="0" w:space="0" w:color="auto"/>
        <w:left w:val="none" w:sz="0" w:space="0" w:color="auto"/>
        <w:bottom w:val="none" w:sz="0" w:space="0" w:color="auto"/>
        <w:right w:val="none" w:sz="0" w:space="0" w:color="auto"/>
      </w:divBdr>
    </w:div>
    <w:div w:id="1774521179">
      <w:bodyDiv w:val="1"/>
      <w:marLeft w:val="0"/>
      <w:marRight w:val="0"/>
      <w:marTop w:val="0"/>
      <w:marBottom w:val="0"/>
      <w:divBdr>
        <w:top w:val="none" w:sz="0" w:space="0" w:color="auto"/>
        <w:left w:val="none" w:sz="0" w:space="0" w:color="auto"/>
        <w:bottom w:val="none" w:sz="0" w:space="0" w:color="auto"/>
        <w:right w:val="none" w:sz="0" w:space="0" w:color="auto"/>
      </w:divBdr>
    </w:div>
    <w:div w:id="1827891851">
      <w:bodyDiv w:val="1"/>
      <w:marLeft w:val="0"/>
      <w:marRight w:val="0"/>
      <w:marTop w:val="0"/>
      <w:marBottom w:val="0"/>
      <w:divBdr>
        <w:top w:val="none" w:sz="0" w:space="0" w:color="auto"/>
        <w:left w:val="none" w:sz="0" w:space="0" w:color="auto"/>
        <w:bottom w:val="none" w:sz="0" w:space="0" w:color="auto"/>
        <w:right w:val="none" w:sz="0" w:space="0" w:color="auto"/>
      </w:divBdr>
    </w:div>
    <w:div w:id="2007975348">
      <w:bodyDiv w:val="1"/>
      <w:marLeft w:val="0"/>
      <w:marRight w:val="0"/>
      <w:marTop w:val="0"/>
      <w:marBottom w:val="0"/>
      <w:divBdr>
        <w:top w:val="none" w:sz="0" w:space="0" w:color="auto"/>
        <w:left w:val="none" w:sz="0" w:space="0" w:color="auto"/>
        <w:bottom w:val="none" w:sz="0" w:space="0" w:color="auto"/>
        <w:right w:val="none" w:sz="0" w:space="0" w:color="auto"/>
      </w:divBdr>
      <w:divsChild>
        <w:div w:id="915162680">
          <w:marLeft w:val="547"/>
          <w:marRight w:val="0"/>
          <w:marTop w:val="0"/>
          <w:marBottom w:val="0"/>
          <w:divBdr>
            <w:top w:val="none" w:sz="0" w:space="0" w:color="auto"/>
            <w:left w:val="none" w:sz="0" w:space="0" w:color="auto"/>
            <w:bottom w:val="none" w:sz="0" w:space="0" w:color="auto"/>
            <w:right w:val="none" w:sz="0" w:space="0" w:color="auto"/>
          </w:divBdr>
        </w:div>
      </w:divsChild>
    </w:div>
    <w:div w:id="2051031927">
      <w:bodyDiv w:val="1"/>
      <w:marLeft w:val="0"/>
      <w:marRight w:val="0"/>
      <w:marTop w:val="0"/>
      <w:marBottom w:val="0"/>
      <w:divBdr>
        <w:top w:val="none" w:sz="0" w:space="0" w:color="auto"/>
        <w:left w:val="none" w:sz="0" w:space="0" w:color="auto"/>
        <w:bottom w:val="none" w:sz="0" w:space="0" w:color="auto"/>
        <w:right w:val="none" w:sz="0" w:space="0" w:color="auto"/>
      </w:divBdr>
      <w:divsChild>
        <w:div w:id="1108500813">
          <w:marLeft w:val="0"/>
          <w:marRight w:val="0"/>
          <w:marTop w:val="0"/>
          <w:marBottom w:val="0"/>
          <w:divBdr>
            <w:top w:val="none" w:sz="0" w:space="0" w:color="auto"/>
            <w:left w:val="none" w:sz="0" w:space="0" w:color="auto"/>
            <w:bottom w:val="none" w:sz="0" w:space="0" w:color="auto"/>
            <w:right w:val="none" w:sz="0" w:space="0" w:color="auto"/>
          </w:divBdr>
          <w:divsChild>
            <w:div w:id="2094080968">
              <w:marLeft w:val="0"/>
              <w:marRight w:val="0"/>
              <w:marTop w:val="0"/>
              <w:marBottom w:val="0"/>
              <w:divBdr>
                <w:top w:val="none" w:sz="0" w:space="0" w:color="auto"/>
                <w:left w:val="none" w:sz="0" w:space="0" w:color="auto"/>
                <w:bottom w:val="none" w:sz="0" w:space="0" w:color="auto"/>
                <w:right w:val="none" w:sz="0" w:space="0" w:color="auto"/>
              </w:divBdr>
              <w:divsChild>
                <w:div w:id="1916164182">
                  <w:marLeft w:val="0"/>
                  <w:marRight w:val="0"/>
                  <w:marTop w:val="0"/>
                  <w:marBottom w:val="0"/>
                  <w:divBdr>
                    <w:top w:val="none" w:sz="0" w:space="0" w:color="auto"/>
                    <w:left w:val="none" w:sz="0" w:space="0" w:color="auto"/>
                    <w:bottom w:val="none" w:sz="0" w:space="0" w:color="auto"/>
                    <w:right w:val="none" w:sz="0" w:space="0" w:color="auto"/>
                  </w:divBdr>
                  <w:divsChild>
                    <w:div w:id="201853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9859210">
      <w:bodyDiv w:val="1"/>
      <w:marLeft w:val="0"/>
      <w:marRight w:val="0"/>
      <w:marTop w:val="0"/>
      <w:marBottom w:val="0"/>
      <w:divBdr>
        <w:top w:val="none" w:sz="0" w:space="0" w:color="auto"/>
        <w:left w:val="none" w:sz="0" w:space="0" w:color="auto"/>
        <w:bottom w:val="none" w:sz="0" w:space="0" w:color="auto"/>
        <w:right w:val="none" w:sz="0" w:space="0" w:color="auto"/>
      </w:divBdr>
      <w:divsChild>
        <w:div w:id="822623369">
          <w:marLeft w:val="0"/>
          <w:marRight w:val="0"/>
          <w:marTop w:val="0"/>
          <w:marBottom w:val="0"/>
          <w:divBdr>
            <w:top w:val="none" w:sz="0" w:space="0" w:color="auto"/>
            <w:left w:val="none" w:sz="0" w:space="0" w:color="auto"/>
            <w:bottom w:val="none" w:sz="0" w:space="0" w:color="auto"/>
            <w:right w:val="none" w:sz="0" w:space="0" w:color="auto"/>
          </w:divBdr>
        </w:div>
      </w:divsChild>
    </w:div>
    <w:div w:id="213543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hyperlink" Target="http://www.baobabproject.eu" TargetMode="External"/><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875"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E9AA88E-3024-48EB-A5CA-BA74DA1F5297}">
  <we:reference id="f78a3046-9e99-4300-aa2b-5814002b01a2" version="1.46.0.0" store="EXCatalog" storeType="EXCatalog"/>
  <we:alternateReferences>
    <we:reference id="WA104382081" version="1.46.0.0" store="it-IT" storeType="OMEX"/>
  </we:alternateReferences>
  <we:properties>
    <we:property name="MENDELEY_CITATIONS" value="[]"/>
    <we:property name="MENDELEY_CITATIONS_LOCALE_CODE" value="&quot;en-US&quot;"/>
    <we:property name="MENDELEY_CITATIONS_STYLE" value="{&quot;id&quot;:&quot;https://www.zotero.org/styles/chemical-engineering-journal&quot;,&quot;title&quot;:&quot;Chemical Engineering Journal&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9D6970-EC98-4A2C-BCB3-B33D5B6A40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212</TotalTime>
  <Pages>34</Pages>
  <Words>40951</Words>
  <Characters>233423</Characters>
  <Application>Microsoft Office Word</Application>
  <DocSecurity>0</DocSecurity>
  <Lines>1945</Lines>
  <Paragraphs>547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Manuscript BMED</vt:lpstr>
      <vt:lpstr>Manuscript BMED</vt:lpstr>
    </vt:vector>
  </TitlesOfParts>
  <Company>Università degli Studi di Palermo</Company>
  <LinksUpToDate>false</LinksUpToDate>
  <CharactersWithSpaces>273827</CharactersWithSpaces>
  <SharedDoc>false</SharedDoc>
  <HLinks>
    <vt:vector size="6" baseType="variant">
      <vt:variant>
        <vt:i4>2555996</vt:i4>
      </vt:variant>
      <vt:variant>
        <vt:i4>0</vt:i4>
      </vt:variant>
      <vt:variant>
        <vt:i4>0</vt:i4>
      </vt:variant>
      <vt:variant>
        <vt:i4>5</vt:i4>
      </vt:variant>
      <vt:variant>
        <vt:lpwstr>mailto:serena.randazzo@unipa.it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Manuscript BMED</dc:title>
  <dc:subject/>
  <dc:creator>Andrea Culcasi</dc:creator>
  <cp:keywords/>
  <dc:description/>
  <cp:lastModifiedBy>LUIGI GURRERI</cp:lastModifiedBy>
  <cp:revision>12</cp:revision>
  <cp:lastPrinted>2019-12-20T16:57:00Z</cp:lastPrinted>
  <dcterms:created xsi:type="dcterms:W3CDTF">2022-11-19T12:13:00Z</dcterms:created>
  <dcterms:modified xsi:type="dcterms:W3CDTF">2022-11-20T13:43:00Z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http://www.zotero.org/styles/chemical-engineering-journal</vt:lpwstr>
  </property>
  <property fmtid="{D5CDD505-2E9C-101B-9397-08002B2CF9AE}" pid="3" name="Mendeley Recent Style Name 0_1">
    <vt:lpwstr>Chemical Engineering Journal</vt:lpwstr>
  </property>
  <property fmtid="{D5CDD505-2E9C-101B-9397-08002B2CF9AE}" pid="4" name="Mendeley Recent Style Id 1_1">
    <vt:lpwstr>http://www.zotero.org/styles/chicago-author-date</vt:lpwstr>
  </property>
  <property fmtid="{D5CDD505-2E9C-101B-9397-08002B2CF9AE}" pid="5" name="Mendeley Recent Style Name 1_1">
    <vt:lpwstr>Chicago Manual of Style 17th edition (author-date)</vt:lpwstr>
  </property>
  <property fmtid="{D5CDD505-2E9C-101B-9397-08002B2CF9AE}" pid="6" name="Mendeley Recent Style Id 2_1">
    <vt:lpwstr>http://www.zotero.org/styles/desalination</vt:lpwstr>
  </property>
  <property fmtid="{D5CDD505-2E9C-101B-9397-08002B2CF9AE}" pid="7" name="Mendeley Recent Style Name 2_1">
    <vt:lpwstr>Desalination</vt:lpwstr>
  </property>
  <property fmtid="{D5CDD505-2E9C-101B-9397-08002B2CF9AE}" pid="8" name="Mendeley Recent Style Id 3_1">
    <vt:lpwstr>http://www.zotero.org/styles/energy</vt:lpwstr>
  </property>
  <property fmtid="{D5CDD505-2E9C-101B-9397-08002B2CF9AE}" pid="9" name="Mendeley Recent Style Name 3_1">
    <vt:lpwstr>Energy</vt:lpwstr>
  </property>
  <property fmtid="{D5CDD505-2E9C-101B-9397-08002B2CF9AE}" pid="10" name="Mendeley Recent Style Id 4_1">
    <vt:lpwstr>http://www.zotero.org/styles/harvard1</vt:lpwstr>
  </property>
  <property fmtid="{D5CDD505-2E9C-101B-9397-08002B2CF9AE}" pid="11" name="Mendeley Recent Style Name 4_1">
    <vt:lpwstr>Harvard reference format 1 (deprecated)</vt:lpwstr>
  </property>
  <property fmtid="{D5CDD505-2E9C-101B-9397-08002B2CF9AE}" pid="12" name="Mendeley Recent Style Id 5_1">
    <vt:lpwstr>http://www.zotero.org/styles/international-journal-of-molecular-sciences</vt:lpwstr>
  </property>
  <property fmtid="{D5CDD505-2E9C-101B-9397-08002B2CF9AE}" pid="13" name="Mendeley Recent Style Name 5_1">
    <vt:lpwstr>International Journal of Molecular Sciences</vt:lpwstr>
  </property>
  <property fmtid="{D5CDD505-2E9C-101B-9397-08002B2CF9AE}" pid="14" name="Mendeley Recent Style Id 6_1">
    <vt:lpwstr>http://www.zotero.org/styles/journal-of-energy-chemistry</vt:lpwstr>
  </property>
  <property fmtid="{D5CDD505-2E9C-101B-9397-08002B2CF9AE}" pid="15" name="Mendeley Recent Style Name 6_1">
    <vt:lpwstr>Journal of Energy Chemistry</vt:lpwstr>
  </property>
  <property fmtid="{D5CDD505-2E9C-101B-9397-08002B2CF9AE}" pid="16" name="Mendeley Recent Style Id 7_1">
    <vt:lpwstr>http://www.zotero.org/styles/journal-of-environmental-management</vt:lpwstr>
  </property>
  <property fmtid="{D5CDD505-2E9C-101B-9397-08002B2CF9AE}" pid="17" name="Mendeley Recent Style Name 7_1">
    <vt:lpwstr>Journal of Environmental Management</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y fmtid="{D5CDD505-2E9C-101B-9397-08002B2CF9AE}" pid="22" name="Mendeley Citation Style_1">
    <vt:lpwstr>http://www.zotero.org/styles/chemical-engineering-journal</vt:lpwstr>
  </property>
  <property fmtid="{D5CDD505-2E9C-101B-9397-08002B2CF9AE}" pid="23" name="Mendeley Document_1">
    <vt:lpwstr>True</vt:lpwstr>
  </property>
  <property fmtid="{D5CDD505-2E9C-101B-9397-08002B2CF9AE}" pid="24" name="Mendeley Unique User Id_1">
    <vt:lpwstr>2ef203a3-ac9e-3431-bf51-8332c9232df5</vt:lpwstr>
  </property>
</Properties>
</file>