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34BAF7" w14:textId="1360F786" w:rsidR="009C2481" w:rsidRPr="00BA1E24" w:rsidRDefault="006967D9" w:rsidP="00BA1E24">
      <w:pPr>
        <w:spacing w:after="120"/>
        <w:jc w:val="center"/>
        <w:rPr>
          <w:rFonts w:ascii="Arial" w:hAnsi="Arial" w:cs="Arial"/>
          <w:b/>
          <w:sz w:val="40"/>
          <w:lang w:val="en-US"/>
        </w:rPr>
      </w:pPr>
      <w:r>
        <w:rPr>
          <w:rFonts w:ascii="Arial" w:hAnsi="Arial" w:cs="Arial"/>
          <w:b/>
          <w:sz w:val="40"/>
          <w:lang w:val="en-US"/>
        </w:rPr>
        <w:t>Abstract</w:t>
      </w:r>
    </w:p>
    <w:tbl>
      <w:tblPr>
        <w:tblStyle w:val="TableGrid"/>
        <w:tblW w:w="0" w:type="auto"/>
        <w:tblInd w:w="0" w:type="dxa"/>
        <w:tblLook w:val="04A0" w:firstRow="1" w:lastRow="0" w:firstColumn="1" w:lastColumn="0" w:noHBand="0" w:noVBand="1"/>
      </w:tblPr>
      <w:tblGrid>
        <w:gridCol w:w="1814"/>
        <w:gridCol w:w="1158"/>
        <w:gridCol w:w="6090"/>
      </w:tblGrid>
      <w:tr w:rsidR="009C2481" w:rsidRPr="00CB0088" w14:paraId="7E6176B1" w14:textId="77777777" w:rsidTr="009C2481">
        <w:trPr>
          <w:trHeight w:val="211"/>
        </w:trPr>
        <w:tc>
          <w:tcPr>
            <w:tcW w:w="1814" w:type="dxa"/>
            <w:tcBorders>
              <w:top w:val="single" w:sz="4" w:space="0" w:color="auto"/>
              <w:left w:val="single" w:sz="4" w:space="0" w:color="auto"/>
              <w:bottom w:val="single" w:sz="4" w:space="0" w:color="auto"/>
              <w:right w:val="single" w:sz="4" w:space="0" w:color="auto"/>
            </w:tcBorders>
            <w:hideMark/>
          </w:tcPr>
          <w:p w14:paraId="52EDBD59" w14:textId="77777777" w:rsidR="009C2481" w:rsidRDefault="009C2481">
            <w:pPr>
              <w:rPr>
                <w:rFonts w:ascii="Arial" w:hAnsi="Arial" w:cs="Arial"/>
              </w:rPr>
            </w:pPr>
            <w:r>
              <w:rPr>
                <w:rFonts w:ascii="Arial" w:hAnsi="Arial" w:cs="Arial"/>
              </w:rPr>
              <w:t>Title</w:t>
            </w:r>
          </w:p>
        </w:tc>
        <w:tc>
          <w:tcPr>
            <w:tcW w:w="7248" w:type="dxa"/>
            <w:gridSpan w:val="2"/>
            <w:tcBorders>
              <w:top w:val="single" w:sz="4" w:space="0" w:color="auto"/>
              <w:left w:val="single" w:sz="4" w:space="0" w:color="auto"/>
              <w:bottom w:val="single" w:sz="4" w:space="0" w:color="auto"/>
              <w:right w:val="single" w:sz="4" w:space="0" w:color="auto"/>
            </w:tcBorders>
            <w:hideMark/>
          </w:tcPr>
          <w:p w14:paraId="452AA3D2" w14:textId="77777777" w:rsidR="00BA1E24" w:rsidRPr="00143A81" w:rsidRDefault="00BA1E24" w:rsidP="00BD4825">
            <w:pPr>
              <w:snapToGrid w:val="0"/>
              <w:rPr>
                <w:rFonts w:ascii="Arial" w:hAnsi="Arial" w:cs="Arial"/>
                <w:b/>
                <w:bCs/>
                <w:sz w:val="22"/>
                <w:szCs w:val="22"/>
                <w:lang w:val="en-GB"/>
              </w:rPr>
            </w:pPr>
            <w:r w:rsidRPr="00143A81">
              <w:rPr>
                <w:rFonts w:ascii="Arial" w:hAnsi="Arial" w:cs="Arial"/>
                <w:b/>
                <w:bCs/>
                <w:sz w:val="22"/>
                <w:szCs w:val="22"/>
                <w:lang w:val="en-GB"/>
              </w:rPr>
              <w:t>Experimental investigation of transport properties of ion-exchange membranes equilibrated with highly concentrated multi-ionic solutions</w:t>
            </w:r>
          </w:p>
          <w:p w14:paraId="0585F054" w14:textId="0A04797E" w:rsidR="009C2481" w:rsidRPr="00143A81" w:rsidRDefault="009C2481">
            <w:pPr>
              <w:rPr>
                <w:rFonts w:ascii="Arial" w:hAnsi="Arial" w:cs="Arial"/>
                <w:b/>
                <w:bCs/>
                <w:sz w:val="22"/>
                <w:szCs w:val="22"/>
                <w:lang w:val="en-GB"/>
              </w:rPr>
            </w:pPr>
          </w:p>
        </w:tc>
      </w:tr>
      <w:tr w:rsidR="006967D9" w:rsidRPr="008515D6" w14:paraId="0967D970" w14:textId="77777777" w:rsidTr="009C2481">
        <w:trPr>
          <w:trHeight w:val="300"/>
        </w:trPr>
        <w:tc>
          <w:tcPr>
            <w:tcW w:w="1814" w:type="dxa"/>
            <w:tcBorders>
              <w:top w:val="single" w:sz="4" w:space="0" w:color="auto"/>
              <w:left w:val="single" w:sz="4" w:space="0" w:color="auto"/>
              <w:bottom w:val="single" w:sz="4" w:space="0" w:color="auto"/>
              <w:right w:val="single" w:sz="4" w:space="0" w:color="auto"/>
            </w:tcBorders>
          </w:tcPr>
          <w:p w14:paraId="3C7EE3B9" w14:textId="0920BDD2" w:rsidR="006967D9" w:rsidRDefault="006967D9">
            <w:pPr>
              <w:rPr>
                <w:rFonts w:ascii="Arial" w:hAnsi="Arial" w:cs="Arial"/>
              </w:rPr>
            </w:pPr>
            <w:r>
              <w:rPr>
                <w:rFonts w:ascii="Arial" w:hAnsi="Arial" w:cs="Arial"/>
              </w:rPr>
              <w:t>Authors</w:t>
            </w:r>
          </w:p>
        </w:tc>
        <w:tc>
          <w:tcPr>
            <w:tcW w:w="7248" w:type="dxa"/>
            <w:gridSpan w:val="2"/>
            <w:tcBorders>
              <w:top w:val="single" w:sz="4" w:space="0" w:color="auto"/>
              <w:left w:val="single" w:sz="4" w:space="0" w:color="auto"/>
              <w:bottom w:val="single" w:sz="4" w:space="0" w:color="auto"/>
              <w:right w:val="single" w:sz="4" w:space="0" w:color="auto"/>
            </w:tcBorders>
          </w:tcPr>
          <w:p w14:paraId="79C1E5E8" w14:textId="6C5FE40E" w:rsidR="00F67E29" w:rsidRPr="00BD4825" w:rsidRDefault="00BA1E24" w:rsidP="00BA1E24">
            <w:pPr>
              <w:snapToGrid w:val="0"/>
              <w:rPr>
                <w:rFonts w:ascii="Arial" w:eastAsia="SimSun" w:hAnsi="Arial" w:cs="Arial"/>
                <w:i/>
                <w:iCs/>
                <w:sz w:val="22"/>
                <w:szCs w:val="22"/>
                <w:vertAlign w:val="superscript"/>
                <w:lang w:val="it-IT" w:eastAsia="zh-CN"/>
              </w:rPr>
            </w:pPr>
            <w:r w:rsidRPr="00BD4825">
              <w:rPr>
                <w:rFonts w:ascii="Arial" w:eastAsia="SimSun" w:hAnsi="Arial" w:cs="Arial"/>
                <w:i/>
                <w:iCs/>
                <w:sz w:val="22"/>
                <w:szCs w:val="22"/>
                <w:u w:val="single"/>
                <w:lang w:val="it-IT" w:eastAsia="zh-CN"/>
              </w:rPr>
              <w:t>Giorgio Purpura</w:t>
            </w:r>
            <w:r w:rsidRPr="00BD4825">
              <w:rPr>
                <w:rFonts w:ascii="Arial" w:eastAsia="SimSun" w:hAnsi="Arial" w:cs="Arial"/>
                <w:i/>
                <w:iCs/>
                <w:sz w:val="22"/>
                <w:szCs w:val="22"/>
                <w:u w:val="single"/>
                <w:vertAlign w:val="superscript"/>
                <w:lang w:val="it-IT" w:eastAsia="zh-CN"/>
              </w:rPr>
              <w:t>1</w:t>
            </w:r>
            <w:r w:rsidRPr="00BD4825">
              <w:rPr>
                <w:rFonts w:ascii="Arial" w:eastAsia="SimSun" w:hAnsi="Arial" w:cs="Arial"/>
                <w:i/>
                <w:iCs/>
                <w:sz w:val="22"/>
                <w:szCs w:val="22"/>
                <w:lang w:val="it-IT" w:eastAsia="zh-CN"/>
              </w:rPr>
              <w:t xml:space="preserve">, </w:t>
            </w:r>
            <w:r w:rsidR="00CB0088" w:rsidRPr="00BD4825">
              <w:rPr>
                <w:rFonts w:ascii="Arial" w:eastAsia="SimSun" w:hAnsi="Arial" w:cs="Arial"/>
                <w:i/>
                <w:iCs/>
                <w:sz w:val="22"/>
                <w:szCs w:val="22"/>
                <w:lang w:val="it-IT" w:eastAsia="zh-CN"/>
              </w:rPr>
              <w:t>Valeria Guenther</w:t>
            </w:r>
            <w:r w:rsidR="00CB0088" w:rsidRPr="00BD4825">
              <w:rPr>
                <w:rFonts w:ascii="Arial" w:eastAsia="SimSun" w:hAnsi="Arial" w:cs="Arial"/>
                <w:i/>
                <w:iCs/>
                <w:sz w:val="22"/>
                <w:szCs w:val="22"/>
                <w:vertAlign w:val="superscript"/>
                <w:lang w:val="it-IT" w:eastAsia="zh-CN"/>
              </w:rPr>
              <w:t>2</w:t>
            </w:r>
            <w:r w:rsidR="00CB0088" w:rsidRPr="00BD4825">
              <w:rPr>
                <w:rFonts w:ascii="Arial" w:eastAsia="SimSun" w:hAnsi="Arial" w:cs="Arial"/>
                <w:i/>
                <w:iCs/>
                <w:sz w:val="22"/>
                <w:szCs w:val="22"/>
                <w:lang w:val="it-IT" w:eastAsia="zh-CN"/>
              </w:rPr>
              <w:t xml:space="preserve">, </w:t>
            </w:r>
            <w:r w:rsidRPr="00BD4825">
              <w:rPr>
                <w:rFonts w:ascii="Arial" w:eastAsia="SimSun" w:hAnsi="Arial" w:cs="Arial"/>
                <w:i/>
                <w:iCs/>
                <w:sz w:val="22"/>
                <w:szCs w:val="22"/>
                <w:lang w:val="it-IT" w:eastAsia="zh-CN"/>
              </w:rPr>
              <w:t>Andrea Culcasi</w:t>
            </w:r>
            <w:r w:rsidRPr="00BD4825">
              <w:rPr>
                <w:rFonts w:ascii="Arial" w:eastAsia="SimSun" w:hAnsi="Arial" w:cs="Arial"/>
                <w:i/>
                <w:iCs/>
                <w:sz w:val="22"/>
                <w:szCs w:val="22"/>
                <w:vertAlign w:val="superscript"/>
                <w:lang w:val="it-IT" w:eastAsia="zh-CN"/>
              </w:rPr>
              <w:t>1</w:t>
            </w:r>
            <w:r w:rsidRPr="00BD4825">
              <w:rPr>
                <w:rFonts w:ascii="Arial" w:eastAsia="SimSun" w:hAnsi="Arial" w:cs="Arial"/>
                <w:i/>
                <w:iCs/>
                <w:sz w:val="22"/>
                <w:szCs w:val="22"/>
                <w:lang w:val="it-IT" w:eastAsia="zh-CN"/>
              </w:rPr>
              <w:t>, Alessandro Tamburini</w:t>
            </w:r>
            <w:r w:rsidRPr="00BD4825">
              <w:rPr>
                <w:rFonts w:ascii="Arial" w:eastAsia="SimSun" w:hAnsi="Arial" w:cs="Arial"/>
                <w:i/>
                <w:iCs/>
                <w:sz w:val="22"/>
                <w:szCs w:val="22"/>
                <w:vertAlign w:val="superscript"/>
                <w:lang w:val="it-IT" w:eastAsia="zh-CN"/>
              </w:rPr>
              <w:t>1</w:t>
            </w:r>
            <w:r w:rsidRPr="00BD4825">
              <w:rPr>
                <w:rFonts w:ascii="Arial" w:eastAsia="SimSun" w:hAnsi="Arial" w:cs="Arial"/>
                <w:i/>
                <w:iCs/>
                <w:sz w:val="22"/>
                <w:szCs w:val="22"/>
                <w:lang w:val="it-IT" w:eastAsia="zh-CN"/>
              </w:rPr>
              <w:t>, Andrea Cipollina</w:t>
            </w:r>
            <w:r w:rsidRPr="00BD4825">
              <w:rPr>
                <w:rFonts w:ascii="Arial" w:eastAsia="SimSun" w:hAnsi="Arial" w:cs="Arial"/>
                <w:i/>
                <w:iCs/>
                <w:sz w:val="22"/>
                <w:szCs w:val="22"/>
                <w:vertAlign w:val="superscript"/>
                <w:lang w:val="it-IT" w:eastAsia="zh-CN"/>
              </w:rPr>
              <w:t>1*</w:t>
            </w:r>
            <w:r w:rsidRPr="00BD4825">
              <w:rPr>
                <w:rFonts w:ascii="Arial" w:eastAsia="SimSun" w:hAnsi="Arial" w:cs="Arial"/>
                <w:i/>
                <w:iCs/>
                <w:sz w:val="22"/>
                <w:szCs w:val="22"/>
                <w:lang w:val="it-IT" w:eastAsia="zh-CN"/>
              </w:rPr>
              <w:t>, Christian J. Linnartz</w:t>
            </w:r>
            <w:r w:rsidRPr="00BD4825">
              <w:rPr>
                <w:rFonts w:ascii="Arial" w:eastAsia="SimSun" w:hAnsi="Arial" w:cs="Arial"/>
                <w:i/>
                <w:iCs/>
                <w:sz w:val="22"/>
                <w:szCs w:val="22"/>
                <w:vertAlign w:val="superscript"/>
                <w:lang w:val="it-IT" w:eastAsia="zh-CN"/>
              </w:rPr>
              <w:t>2</w:t>
            </w:r>
            <w:r w:rsidRPr="00BD4825">
              <w:rPr>
                <w:rFonts w:ascii="Arial" w:eastAsia="SimSun" w:hAnsi="Arial" w:cs="Arial"/>
                <w:i/>
                <w:iCs/>
                <w:sz w:val="22"/>
                <w:szCs w:val="22"/>
                <w:lang w:val="it-IT" w:eastAsia="zh-CN"/>
              </w:rPr>
              <w:t>, Matthias Wessling</w:t>
            </w:r>
            <w:r w:rsidRPr="00BD4825">
              <w:rPr>
                <w:rFonts w:ascii="Arial" w:eastAsia="SimSun" w:hAnsi="Arial" w:cs="Arial"/>
                <w:i/>
                <w:iCs/>
                <w:sz w:val="22"/>
                <w:szCs w:val="22"/>
                <w:vertAlign w:val="superscript"/>
                <w:lang w:val="it-IT" w:eastAsia="zh-CN"/>
              </w:rPr>
              <w:t>2</w:t>
            </w:r>
            <w:r w:rsidRPr="00BD4825">
              <w:rPr>
                <w:rFonts w:ascii="Arial" w:eastAsia="SimSun" w:hAnsi="Arial" w:cs="Arial"/>
                <w:i/>
                <w:iCs/>
                <w:sz w:val="22"/>
                <w:szCs w:val="22"/>
                <w:lang w:val="it-IT" w:eastAsia="zh-CN"/>
              </w:rPr>
              <w:t>, Giorgio Micale</w:t>
            </w:r>
            <w:r w:rsidRPr="00BD4825">
              <w:rPr>
                <w:rFonts w:ascii="Arial" w:eastAsia="SimSun" w:hAnsi="Arial" w:cs="Arial"/>
                <w:i/>
                <w:iCs/>
                <w:sz w:val="22"/>
                <w:szCs w:val="22"/>
                <w:vertAlign w:val="superscript"/>
                <w:lang w:val="it-IT" w:eastAsia="zh-CN"/>
              </w:rPr>
              <w:t>1</w:t>
            </w:r>
          </w:p>
          <w:p w14:paraId="5DD5EE3A" w14:textId="77777777" w:rsidR="008515D6" w:rsidRPr="00BD4825" w:rsidRDefault="008515D6" w:rsidP="00F67E29">
            <w:pPr>
              <w:snapToGrid w:val="0"/>
              <w:jc w:val="center"/>
              <w:rPr>
                <w:rFonts w:ascii="Arial" w:eastAsia="MS PGothic" w:hAnsi="Arial" w:cs="Arial"/>
                <w:sz w:val="22"/>
                <w:szCs w:val="22"/>
                <w:lang w:val="it-IT"/>
              </w:rPr>
            </w:pPr>
            <w:r w:rsidRPr="00BD4825">
              <w:rPr>
                <w:rFonts w:ascii="Arial" w:eastAsia="MS PGothic" w:hAnsi="Arial" w:cs="Arial"/>
                <w:sz w:val="22"/>
                <w:szCs w:val="22"/>
                <w:vertAlign w:val="superscript"/>
                <w:lang w:val="it-IT"/>
              </w:rPr>
              <w:t>1</w:t>
            </w:r>
            <w:r w:rsidRPr="00BD4825">
              <w:rPr>
                <w:rFonts w:ascii="Arial" w:eastAsia="MS PGothic" w:hAnsi="Arial" w:cs="Arial"/>
                <w:sz w:val="22"/>
                <w:szCs w:val="22"/>
                <w:lang w:val="it-IT"/>
              </w:rPr>
              <w:t xml:space="preserve"> Dipartimento di Ingegneria, Università degli studi di Palermo (UNIPA) – Viale delle Scienze, Ed 6, 90128 Palermo, Italy; </w:t>
            </w:r>
          </w:p>
          <w:p w14:paraId="6AF30DDD" w14:textId="431FF7F4" w:rsidR="006967D9" w:rsidRPr="008515D6" w:rsidRDefault="008515D6" w:rsidP="00F67E29">
            <w:pPr>
              <w:snapToGrid w:val="0"/>
              <w:jc w:val="center"/>
              <w:rPr>
                <w:rFonts w:ascii="Arial" w:eastAsia="MS PGothic" w:hAnsi="Arial" w:cs="Arial"/>
              </w:rPr>
            </w:pPr>
            <w:r w:rsidRPr="00BD4825">
              <w:rPr>
                <w:rFonts w:ascii="Arial" w:eastAsia="MS PGothic" w:hAnsi="Arial" w:cs="Arial"/>
                <w:sz w:val="22"/>
                <w:szCs w:val="22"/>
                <w:vertAlign w:val="superscript"/>
              </w:rPr>
              <w:t>2</w:t>
            </w:r>
            <w:r w:rsidRPr="00BD4825">
              <w:rPr>
                <w:rFonts w:ascii="Arial" w:eastAsia="MS PGothic" w:hAnsi="Arial" w:cs="Arial"/>
                <w:sz w:val="22"/>
                <w:szCs w:val="22"/>
              </w:rPr>
              <w:t xml:space="preserve"> Chemical Process Engineering AVT.CVT, RWTH Aachen University, Forckenbeckstraße 51, 52074 Aachen, Germany</w:t>
            </w:r>
          </w:p>
        </w:tc>
      </w:tr>
      <w:tr w:rsidR="009C2481" w:rsidRPr="00CB0088" w14:paraId="58A50474" w14:textId="77777777" w:rsidTr="009C2481">
        <w:trPr>
          <w:trHeight w:val="300"/>
        </w:trPr>
        <w:tc>
          <w:tcPr>
            <w:tcW w:w="1814" w:type="dxa"/>
            <w:tcBorders>
              <w:top w:val="single" w:sz="4" w:space="0" w:color="auto"/>
              <w:left w:val="single" w:sz="4" w:space="0" w:color="auto"/>
              <w:bottom w:val="single" w:sz="4" w:space="0" w:color="auto"/>
              <w:right w:val="single" w:sz="4" w:space="0" w:color="auto"/>
            </w:tcBorders>
            <w:hideMark/>
          </w:tcPr>
          <w:p w14:paraId="7C135CA2" w14:textId="77777777" w:rsidR="009C2481" w:rsidRDefault="009C2481">
            <w:pPr>
              <w:rPr>
                <w:rFonts w:ascii="Arial" w:hAnsi="Arial" w:cs="Arial"/>
              </w:rPr>
            </w:pPr>
            <w:r>
              <w:rPr>
                <w:rFonts w:ascii="Arial" w:hAnsi="Arial" w:cs="Arial"/>
              </w:rPr>
              <w:t xml:space="preserve">Keyword(s) </w:t>
            </w:r>
            <w:r>
              <w:rPr>
                <w:rFonts w:ascii="Arial" w:hAnsi="Arial" w:cs="Arial"/>
                <w:color w:val="808080" w:themeColor="background1" w:themeShade="80"/>
              </w:rPr>
              <w:t>(max. 6)</w:t>
            </w:r>
          </w:p>
        </w:tc>
        <w:tc>
          <w:tcPr>
            <w:tcW w:w="7248" w:type="dxa"/>
            <w:gridSpan w:val="2"/>
            <w:tcBorders>
              <w:top w:val="single" w:sz="4" w:space="0" w:color="auto"/>
              <w:left w:val="single" w:sz="4" w:space="0" w:color="auto"/>
              <w:bottom w:val="single" w:sz="4" w:space="0" w:color="auto"/>
              <w:right w:val="single" w:sz="4" w:space="0" w:color="auto"/>
            </w:tcBorders>
            <w:hideMark/>
          </w:tcPr>
          <w:p w14:paraId="55B51A26" w14:textId="1D7F96A5" w:rsidR="00BA1E24" w:rsidRPr="00BA1E24" w:rsidRDefault="00BA1E24" w:rsidP="00F67E29">
            <w:pPr>
              <w:snapToGrid w:val="0"/>
              <w:jc w:val="both"/>
              <w:rPr>
                <w:rFonts w:eastAsia="MS PGothic"/>
                <w:color w:val="000000" w:themeColor="text1"/>
                <w:lang w:val="en-GB"/>
              </w:rPr>
            </w:pPr>
            <w:r w:rsidRPr="00BA1E24">
              <w:rPr>
                <w:rStyle w:val="Hyperlink"/>
                <w:rFonts w:eastAsia="MS PGothic"/>
                <w:color w:val="000000" w:themeColor="text1"/>
                <w:u w:val="none"/>
                <w:lang w:val="en-GB"/>
              </w:rPr>
              <w:t xml:space="preserve">Ion exchange membranes, </w:t>
            </w:r>
            <w:r>
              <w:rPr>
                <w:rFonts w:eastAsia="MS PGothic"/>
                <w:i/>
                <w:iCs/>
              </w:rPr>
              <w:t>Ionic diffusivities</w:t>
            </w:r>
            <w:r w:rsidRPr="00BA1E24">
              <w:rPr>
                <w:rFonts w:eastAsia="MS PGothic"/>
                <w:i/>
                <w:iCs/>
                <w:lang w:val="en-GB"/>
              </w:rPr>
              <w:t>,</w:t>
            </w:r>
            <w:r>
              <w:rPr>
                <w:rFonts w:eastAsia="MS PGothic"/>
                <w:i/>
                <w:iCs/>
                <w:lang w:val="en-GB"/>
              </w:rPr>
              <w:t xml:space="preserve"> Ionic conductivity,</w:t>
            </w:r>
            <w:r w:rsidRPr="00BA1E24">
              <w:rPr>
                <w:rFonts w:eastAsia="MS PGothic"/>
                <w:i/>
                <w:iCs/>
                <w:lang w:val="en-GB"/>
              </w:rPr>
              <w:t xml:space="preserve"> Multi-ionic solutions</w:t>
            </w:r>
          </w:p>
          <w:p w14:paraId="0DD5A845" w14:textId="7F3D5F26" w:rsidR="009C2481" w:rsidRPr="00BA1E24" w:rsidRDefault="009C2481">
            <w:pPr>
              <w:rPr>
                <w:rFonts w:ascii="Arial" w:hAnsi="Arial" w:cs="Arial"/>
                <w:lang w:val="en-GB"/>
              </w:rPr>
            </w:pPr>
          </w:p>
        </w:tc>
      </w:tr>
      <w:tr w:rsidR="006967D9" w:rsidRPr="00CB0088" w14:paraId="79309A43" w14:textId="77777777" w:rsidTr="00BA1E24">
        <w:trPr>
          <w:trHeight w:val="670"/>
        </w:trPr>
        <w:tc>
          <w:tcPr>
            <w:tcW w:w="1814" w:type="dxa"/>
            <w:tcBorders>
              <w:top w:val="single" w:sz="4" w:space="0" w:color="auto"/>
              <w:left w:val="single" w:sz="4" w:space="0" w:color="auto"/>
              <w:bottom w:val="single" w:sz="4" w:space="0" w:color="auto"/>
              <w:right w:val="single" w:sz="4" w:space="0" w:color="auto"/>
            </w:tcBorders>
          </w:tcPr>
          <w:p w14:paraId="2A5035CF" w14:textId="7FE105F2" w:rsidR="006967D9" w:rsidRDefault="000B0C10" w:rsidP="006967D9">
            <w:pPr>
              <w:rPr>
                <w:rFonts w:ascii="Arial" w:hAnsi="Arial" w:cs="Arial"/>
              </w:rPr>
            </w:pPr>
            <w:r>
              <w:rPr>
                <w:rFonts w:ascii="Arial" w:hAnsi="Arial" w:cs="Arial"/>
              </w:rPr>
              <w:t>Abstract</w:t>
            </w:r>
          </w:p>
          <w:p w14:paraId="622D1147" w14:textId="77777777" w:rsidR="006967D9" w:rsidRDefault="006967D9" w:rsidP="006967D9">
            <w:pPr>
              <w:rPr>
                <w:rFonts w:ascii="Arial" w:hAnsi="Arial" w:cs="Arial"/>
              </w:rPr>
            </w:pPr>
          </w:p>
        </w:tc>
        <w:tc>
          <w:tcPr>
            <w:tcW w:w="7248" w:type="dxa"/>
            <w:gridSpan w:val="2"/>
            <w:tcBorders>
              <w:top w:val="single" w:sz="4" w:space="0" w:color="auto"/>
              <w:left w:val="single" w:sz="4" w:space="0" w:color="auto"/>
              <w:bottom w:val="single" w:sz="4" w:space="0" w:color="auto"/>
              <w:right w:val="single" w:sz="4" w:space="0" w:color="auto"/>
            </w:tcBorders>
            <w:hideMark/>
          </w:tcPr>
          <w:p w14:paraId="75FCAAC7" w14:textId="119D7290" w:rsidR="006967D9" w:rsidRDefault="00BA1E24" w:rsidP="00BD4825">
            <w:pPr>
              <w:jc w:val="both"/>
              <w:rPr>
                <w:rFonts w:ascii="Arial" w:hAnsi="Arial" w:cs="Arial"/>
              </w:rPr>
            </w:pPr>
            <w:r w:rsidRPr="008556FD">
              <w:rPr>
                <w:rFonts w:ascii="Arial" w:hAnsi="Arial" w:cs="Arial"/>
                <w:sz w:val="22"/>
                <w:szCs w:val="22"/>
                <w:lang w:val="en-GB"/>
              </w:rPr>
              <w:t xml:space="preserve">Ion-exchange membranes (IEMs) are a specific class of dense, polymeric membranes widely adopted in all electromembrane processes for the sustainable production of water, energy and chemicals and for the valorization of waste brines. In recent years, the pressing need for more efficient separation processes has pushed forward the development of highly selective membranes to recover specific trace elements from seawater or salt-lake water brines </w:t>
            </w:r>
            <w:r w:rsidRPr="00905F3D">
              <w:rPr>
                <w:rFonts w:ascii="Arial" w:hAnsi="Arial" w:cs="Arial"/>
                <w:sz w:val="22"/>
                <w:szCs w:val="22"/>
                <w:lang w:val="en-GB"/>
              </w:rPr>
              <w:fldChar w:fldCharType="begin" w:fldLock="1"/>
            </w:r>
            <w:r w:rsidRPr="008556FD">
              <w:rPr>
                <w:rFonts w:ascii="Arial" w:hAnsi="Arial" w:cs="Arial"/>
                <w:sz w:val="22"/>
                <w:szCs w:val="22"/>
                <w:lang w:val="en-GB"/>
              </w:rPr>
              <w:instrText>ADDIN CSL_CITATION {"citationItems":[{"id":"ITEM-1","itemData":{"DOI":"10.1038/s43017-022-00387-5","ISSN":"2662138X","abstract":"Evaporitic technology for lithium mining from brines has been questioned for its intensive water use, protracted duration and exclusive application to continental brines. In this Review, we analyse the environmental impacts of evaporitic and alternative technologies, collectively known as direct lithium extraction (DLE), for lithium mining, focusing on requirements for fresh water, chemicals, energy consumption and waste generation, including spent brines. DLE technologies aim to tackle the environmental and techno–economic shortcomings of current practice by avoiding brine evaporation. A selection of DLE technologies has achieved Li+ recovery above 95%, Li+/Mg2+ separation above 100, and zero chemical approaches. Conversely, only 30% of DLE test experiments were performed on real brines, and thus the effect of multivalent ions or large Na+/Li+ concentration differences on performance indicators is often not evaluated. Some DLE technologies involve brine pH changes or brine heating up to 80 oC for improved Li+ recovery, which require energy, fresh water and chemicals that must be considered during environmental impact assessments. Future research should focus on performing tests on real brines and achieving competitiveness in several performance indicators simultaneously. The environmental impact of DLE should be assessed from brine pumping to the production of the pure solid lithium product.","author":[{"dropping-particle":"","family":"Vera","given":"María L.","non-dropping-particle":"","parse-names":false,"suffix":""},{"dropping-particle":"","family":"Torres","given":"Walter R.","non-dropping-particle":"","parse-names":false,"suffix":""},{"dropping-particle":"","family":"Galli","given":"Claudia I.","non-dropping-particle":"","parse-names":false,"suffix":""},{"dropping-particle":"","family":"Chagnes","given":"Alexandre","non-dropping-particle":"","parse-names":false,"suffix":""},{"dropping-particle":"","family":"Flexer","given":"Victoria","non-dropping-particle":"","parse-names":false,"suffix":""}],"container-title":"Nature Reviews Earth and Environment","id":"ITEM-1","issue":"3","issued":{"date-parts":[["2023"]]},"page":"149-165","publisher":"Springer US","title":"Environmental impact of direct lithium extraction from brines","type":"article-journal","volume":"4"},"uris":["http://www.mendeley.com/documents/?uuid=a7841cf0-038e-4746-8f63-2d59eb5e9c2f"]}],"mendeley":{"formattedCitation":"[1]","plainTextFormattedCitation":"[1]","previouslyFormattedCitation":"[1]"},"properties":{"noteIndex":0},"schema":"https://github.com/citation-style-language/schema/raw/master/csl-citation.json"}</w:instrText>
            </w:r>
            <w:r w:rsidRPr="00905F3D">
              <w:rPr>
                <w:rFonts w:ascii="Arial" w:hAnsi="Arial" w:cs="Arial"/>
                <w:sz w:val="22"/>
                <w:szCs w:val="22"/>
                <w:lang w:val="en-GB"/>
              </w:rPr>
              <w:fldChar w:fldCharType="separate"/>
            </w:r>
            <w:r w:rsidRPr="008556FD">
              <w:rPr>
                <w:rFonts w:ascii="Arial" w:hAnsi="Arial" w:cs="Arial"/>
                <w:noProof/>
                <w:sz w:val="22"/>
                <w:szCs w:val="22"/>
                <w:lang w:val="en-GB"/>
              </w:rPr>
              <w:t>[1]</w:t>
            </w:r>
            <w:r w:rsidRPr="00905F3D">
              <w:rPr>
                <w:rFonts w:ascii="Arial" w:hAnsi="Arial" w:cs="Arial"/>
                <w:sz w:val="22"/>
                <w:szCs w:val="22"/>
                <w:lang w:val="en-GB"/>
              </w:rPr>
              <w:fldChar w:fldCharType="end"/>
            </w:r>
            <w:r w:rsidRPr="008556FD">
              <w:rPr>
                <w:rFonts w:ascii="Arial" w:hAnsi="Arial" w:cs="Arial"/>
                <w:sz w:val="22"/>
                <w:szCs w:val="22"/>
                <w:lang w:val="en-GB"/>
              </w:rPr>
              <w:t xml:space="preserve">. A deep and thorough knowledge of ionic transport properties of IEMs and how they are affected by IEM’s chemical structure and composition is required to produce tailor-made membranes. Recent works on the topic highlighted that at low external salt concentrations, species selectivity is mainly dominated by long-range electrostatic interactions between mobile ions and fixed charged groups in the polymeric matrix of the membranes. Therefore, by considering these interactions, thermodynamic and transport models have been proposed to predict partitioning coefficients and ionic diffusivities in the membrane phase </w:t>
            </w:r>
            <w:r w:rsidRPr="00905F3D">
              <w:rPr>
                <w:rFonts w:ascii="Arial" w:hAnsi="Arial" w:cs="Arial"/>
                <w:sz w:val="22"/>
                <w:szCs w:val="22"/>
                <w:lang w:val="en-GB"/>
              </w:rPr>
              <w:fldChar w:fldCharType="begin" w:fldLock="1"/>
            </w:r>
            <w:r w:rsidRPr="008556FD">
              <w:rPr>
                <w:rFonts w:ascii="Arial" w:hAnsi="Arial" w:cs="Arial"/>
                <w:sz w:val="22"/>
                <w:szCs w:val="22"/>
                <w:lang w:val="en-GB"/>
              </w:rPr>
              <w:instrText>ADDIN CSL_CITATION {"citationItems":[{"id":"ITEM-1","itemData":{"DOI":"10.1002/pol.20210810","ISSN":"2642-4150","abstract":"The rational design of ion exchange membranes (IEMs) is becoming more pertinent as their usage becomes broader and as their staple applications (i.e., electrodialysis, flow batteries, and fuel cells) improve in commercial viability. Such efforts would be catalyzed by an improved fundamental understanding of ion transport in IEMs. This review discusses recent progress in modeling ion partitioning and diffusion in IEMs in an effort to relate IEM performance metrics to fundamental membrane properties over which researchers and membrane manufacturers possess direct and sometimes precise control. Central focus is given to the Donnan-Manning model for ion partitioning and the Manning-Meares model for ion diffusion in IEMs. These two frameworks, which are derived from Manning's counter-ion condensation theory for polyelectrolyte solutions, have been widely used within the IEM literature since their recent introduction. To explore this topic, the mathematical derivation of both models is revisited, followed by a survey of experimental and computational discussions of counter-ion condensation in IEMs. Alternative models which fulfill similar roles in predicting IEM transport properties are compared. This review concludes by highlighting the uniquely favorable positions of the Donnan-Manning and Manning-Meares models and discussing their prospects as leading predictors of IEM partitioning and diffusive properties.","author":[{"dropping-particle":"","family":"Kitto","given":"David","non-dropping-particle":"","parse-names":false,"suffix":""},{"dropping-particle":"","family":"Kamcev","given":"Jovan","non-dropping-particle":"","parse-names":false,"suffix":""}],"container-title":"Journal of Polymer Science","id":"ITEM-1","issue":"21","issued":{"date-parts":[["2022","11","10"]]},"page":"2929-2973","title":"Manning condensation in ion exchange membranes: A review on ion partitioning and diffusion models","type":"article-journal","volume":"60"},"uris":["http://www.mendeley.com/documents/?uuid=0650813c-f522-45f6-9c2a-32ab8e25d16e"]}],"mendeley":{"formattedCitation":"[2]","plainTextFormattedCitation":"[2]","previouslyFormattedCitation":"[2]"},"properties":{"noteIndex":0},"schema":"https://github.com/citation-style-language/schema/raw/master/csl-citation.json"}</w:instrText>
            </w:r>
            <w:r w:rsidRPr="00905F3D">
              <w:rPr>
                <w:rFonts w:ascii="Arial" w:hAnsi="Arial" w:cs="Arial"/>
                <w:sz w:val="22"/>
                <w:szCs w:val="22"/>
                <w:lang w:val="en-GB"/>
              </w:rPr>
              <w:fldChar w:fldCharType="separate"/>
            </w:r>
            <w:r w:rsidRPr="008556FD">
              <w:rPr>
                <w:rFonts w:ascii="Arial" w:hAnsi="Arial" w:cs="Arial"/>
                <w:noProof/>
                <w:sz w:val="22"/>
                <w:szCs w:val="22"/>
                <w:lang w:val="en-GB"/>
              </w:rPr>
              <w:t>[2]</w:t>
            </w:r>
            <w:r w:rsidRPr="00905F3D">
              <w:rPr>
                <w:rFonts w:ascii="Arial" w:hAnsi="Arial" w:cs="Arial"/>
                <w:sz w:val="22"/>
                <w:szCs w:val="22"/>
                <w:lang w:val="en-GB"/>
              </w:rPr>
              <w:fldChar w:fldCharType="end"/>
            </w:r>
            <w:r w:rsidRPr="008556FD">
              <w:rPr>
                <w:rFonts w:ascii="Arial" w:hAnsi="Arial" w:cs="Arial"/>
                <w:sz w:val="22"/>
                <w:szCs w:val="22"/>
                <w:lang w:val="en-GB"/>
              </w:rPr>
              <w:t xml:space="preserve">. However, most of these works focused on IEMs equilibrated with diluted and moderately concentrated single-salt solutions. Consequently, a fundamental understanding of how the transport properties of IEMs are affected by the system composition is still missing. This lack of fundamental knowledge is even more significant when dealing with highly concentrated brines. In such kind a system, long-range interactions among the charged species are screened greatly because of the high ionic strength, and the transport properties are likely to be mainly influenced by species-specific local interactions </w:t>
            </w:r>
            <w:r w:rsidRPr="00905F3D">
              <w:rPr>
                <w:rFonts w:ascii="Arial" w:hAnsi="Arial" w:cs="Arial"/>
                <w:sz w:val="22"/>
                <w:szCs w:val="22"/>
                <w:lang w:val="en-GB"/>
              </w:rPr>
              <w:fldChar w:fldCharType="begin" w:fldLock="1"/>
            </w:r>
            <w:r w:rsidRPr="008556FD">
              <w:rPr>
                <w:rFonts w:ascii="Arial" w:hAnsi="Arial" w:cs="Arial"/>
                <w:sz w:val="22"/>
                <w:szCs w:val="22"/>
                <w:lang w:val="en-GB"/>
              </w:rPr>
              <w:instrText>ADDIN CSL_CITATION {"citationItems":[{"id":"ITEM-1","itemData":{"DOI":"10.1016/j.memsci.2024.122800","ISSN":"18733123","abstract":"Despite the increasing interest in membranes for water purification and resource recovery from aqueous electrolyte mixtures, few studies rigorously investigate the influence of salt solution composition (e.g., mole fraction and total salt concentration) on membrane material properties such as partition coefficients. Here, we systematically investigate the influence of solution composition on the partitioning of ionic species from binary aqueous salt solutions into crosslinked poly(ethylene glycol) diacrylate membranes at fixed ionic strength. These results are compared to partition coefficients observed for pure salt solutions. We observe large systematic deviations between the pure salt and mixed salt ion partition coefficients, indicating that the single salt partition coefficients that are often reported do not describe the more complex and realistic mixed salt scenario. Free energy calculations from molecular dynamics simulations, coupled with equilibrium thermodynamic modeling, indicate that mixed salt partitioning trends result from (i) different ions exhibiting different affinities for the membrane and (ii) the constraint of global electrical neutrality within the membrane. With this physical insight, we develop a simple approach to predicting the concentration of various ions in a membrane equilibrated with a mixed salt solution which requires no adjustable parameters.","author":[{"dropping-particle":"","family":"Zofchak","given":"Everett S.","non-dropping-particle":"","parse-names":false,"suffix":""},{"dropping-particle":"","family":"Quigley","given":"Aubrey E.","non-dropping-particle":"","parse-names":false,"suffix":""},{"dropping-particle":"","family":"Yoh","given":"Jordyn G.","non-dropping-particle":"","parse-names":false,"suffix":""},{"dropping-particle":"","family":"Sachar","given":"Harnoor S.","non-dropping-particle":"","parse-names":false,"suffix":""},{"dropping-particle":"","family":"Reimund","given":"Kevin K.","non-dropping-particle":"","parse-names":false,"suffix":""},{"dropping-particle":"","family":"Milner","given":"Scott T.","non-dropping-particle":"","parse-names":false,"suffix":""},{"dropping-particle":"","family":"Freeman","given":"Benny D.","non-dropping-particle":"","parse-names":false,"suffix":""},{"dropping-particle":"","family":"Ganesan","given":"Venkat","non-dropping-particle":"","parse-names":false,"suffix":""}],"container-title":"Journal of Membrane Science","id":"ITEM-1","issue":"February","issued":{"date-parts":[["2024"]]},"page":"122800","publisher":"Elsevier B.V.","title":"Molecular and electrostatic origins of mixed salt partitioning phenomena in uncharged poly(ethylene oxide)-based membranes","type":"article-journal","volume":"702"},"uris":["http://www.mendeley.com/documents/?uuid=82267647-dd23-4911-bea8-7a112baaa030"]},{"id":"ITEM-2","itemData":{"DOI":"10.1016/j.memsci.2024.122659","ISSN":"18733123","abstract":"In recent years, the growing interest in the use of Ion-Exchange Membranes, in the treatment of highly concentrated multi-ionic brines for the selective recovery of critical elements, has prompted the research of fundamental models capable of predicting the IEMs selectivity towards like-charged species. Prior studies have proposed ion partitioning models limited to single-salt solutions that were validated only up to moderate salt concentrations. In this work, we developed a novel multi-ionic extension of the Manning counter-ion condensation model, aiming to predict the sorption selectivity of like-charged counter-ions. Furthermore, the peNRTL model was coupled with the extended Manning model to broaden its applicability range, encompassing membrane equilibrated with very highly concentrated solutions. Novel experimental ion sorption tests with single-salt and binary solutions including NaCl, KCl, MgCl2 and CaCl2 at high concentrations were performed with the commercial cation-exchange membrane Fumasep FKE-50. To the best of Authors’ knowledge, the proposed model for the first time successfully provided quantitative predictions of multi-ionic ion partitioning for all the systems investigated up to extremely high external salt concentrations. The outcomes of this work suggest a strong influence of the local non-electrostatic interactions on the activity coefficients in the membrane phase at high external concentration and highlight the key role of counter-ions hydration state in the condensation phenomenon.","author":[{"dropping-particle":"","family":"Purpura","given":"Giorgio","non-dropping-particle":"","parse-names":false,"suffix":""},{"dropping-particle":"","family":"Papiewska","given":"Ewa","non-dropping-particle":"","parse-names":false,"suffix":""},{"dropping-particle":"","family":"Culcasi","given":"Andrea","non-dropping-particle":"","parse-names":false,"suffix":""},{"dropping-particle":"","family":"Filingeri","given":"Antonia","non-dropping-particle":"","parse-names":false,"suffix":""},{"dropping-particle":"","family":"Tamburini","given":"Alessandro","non-dropping-particle":"","parse-names":false,"suffix":""},{"dropping-particle":"","family":"Ferrari","given":"Maria Chiara","non-dropping-particle":"","parse-names":false,"suffix":""},{"dropping-particle":"","family":"Micale","given":"Giorgio","non-dropping-particle":"","parse-names":false,"suffix":""},{"dropping-particle":"","family":"Cipollina","given":"Andrea","non-dropping-particle":"","parse-names":false,"suffix":""}],"container-title":"Journal of Membrane Science","id":"ITEM-2","issue":"February","issued":{"date-parts":[["2024"]]},"page":"122659","publisher":"Elsevier B.V.","title":"Modelling of selective ion partitioning between ion-exchange membranes and highly concentrated multi-ionic brines","type":"article-journal","volume":"700"},"uris":["http://www.mendeley.com/documents/?uuid=4de81894-7b81-4300-bdcc-434918450149"]}],"mendeley":{"formattedCitation":"[3], [4]","plainTextFormattedCitation":"[3], [4]"},"properties":{"noteIndex":0},"schema":"https://github.com/citation-style-language/schema/raw/master/csl-citation.json"}</w:instrText>
            </w:r>
            <w:r w:rsidRPr="00905F3D">
              <w:rPr>
                <w:rFonts w:ascii="Arial" w:hAnsi="Arial" w:cs="Arial"/>
                <w:sz w:val="22"/>
                <w:szCs w:val="22"/>
                <w:lang w:val="en-GB"/>
              </w:rPr>
              <w:fldChar w:fldCharType="separate"/>
            </w:r>
            <w:r w:rsidRPr="008556FD">
              <w:rPr>
                <w:rFonts w:ascii="Arial" w:hAnsi="Arial" w:cs="Arial"/>
                <w:noProof/>
                <w:sz w:val="22"/>
                <w:szCs w:val="22"/>
                <w:lang w:val="en-GB"/>
              </w:rPr>
              <w:t>[3], [4]</w:t>
            </w:r>
            <w:r w:rsidRPr="00905F3D">
              <w:rPr>
                <w:rFonts w:ascii="Arial" w:hAnsi="Arial" w:cs="Arial"/>
                <w:sz w:val="22"/>
                <w:szCs w:val="22"/>
                <w:lang w:val="en-GB"/>
              </w:rPr>
              <w:fldChar w:fldCharType="end"/>
            </w:r>
            <w:r w:rsidRPr="008556FD">
              <w:rPr>
                <w:rFonts w:ascii="Arial" w:hAnsi="Arial" w:cs="Arial"/>
                <w:sz w:val="22"/>
                <w:szCs w:val="22"/>
                <w:lang w:val="en-GB"/>
              </w:rPr>
              <w:t>. Therefore, our research aims to investigate thoroughly the effects of concentration and composition on IEM transport properties. An extensive experimental campaign was carried out to determine partitioning coefficients, ionic diffusivities and membrane conductivity of a commercial homogeneous cation-exchange membrane equilibrated with multi-ionic solutions over a broad concentration range, including Na</w:t>
            </w:r>
            <w:r w:rsidRPr="008556FD">
              <w:rPr>
                <w:rFonts w:ascii="Arial" w:hAnsi="Arial" w:cs="Arial"/>
                <w:sz w:val="22"/>
                <w:szCs w:val="22"/>
                <w:vertAlign w:val="superscript"/>
                <w:lang w:val="en-GB"/>
              </w:rPr>
              <w:t>+</w:t>
            </w:r>
            <w:r w:rsidRPr="008556FD">
              <w:rPr>
                <w:rFonts w:ascii="Arial" w:hAnsi="Arial" w:cs="Arial"/>
                <w:sz w:val="22"/>
                <w:szCs w:val="22"/>
                <w:lang w:val="en-GB"/>
              </w:rPr>
              <w:t>, K</w:t>
            </w:r>
            <w:r w:rsidRPr="008556FD">
              <w:rPr>
                <w:rFonts w:ascii="Arial" w:hAnsi="Arial" w:cs="Arial"/>
                <w:sz w:val="22"/>
                <w:szCs w:val="22"/>
                <w:vertAlign w:val="superscript"/>
                <w:lang w:val="en-GB"/>
              </w:rPr>
              <w:t>+</w:t>
            </w:r>
            <w:r w:rsidRPr="008556FD">
              <w:rPr>
                <w:rFonts w:ascii="Arial" w:hAnsi="Arial" w:cs="Arial"/>
                <w:sz w:val="22"/>
                <w:szCs w:val="22"/>
                <w:lang w:val="en-GB"/>
              </w:rPr>
              <w:t>, Ca</w:t>
            </w:r>
            <w:r w:rsidRPr="008556FD">
              <w:rPr>
                <w:rFonts w:ascii="Arial" w:hAnsi="Arial" w:cs="Arial"/>
                <w:sz w:val="22"/>
                <w:szCs w:val="22"/>
                <w:vertAlign w:val="superscript"/>
                <w:lang w:val="en-GB"/>
              </w:rPr>
              <w:t>2+</w:t>
            </w:r>
            <w:r w:rsidRPr="008556FD">
              <w:rPr>
                <w:rFonts w:ascii="Arial" w:hAnsi="Arial" w:cs="Arial"/>
                <w:sz w:val="22"/>
                <w:szCs w:val="22"/>
                <w:lang w:val="en-GB"/>
              </w:rPr>
              <w:t>, Mg</w:t>
            </w:r>
            <w:r w:rsidRPr="008556FD">
              <w:rPr>
                <w:rFonts w:ascii="Arial" w:hAnsi="Arial" w:cs="Arial"/>
                <w:sz w:val="22"/>
                <w:szCs w:val="22"/>
                <w:vertAlign w:val="superscript"/>
                <w:lang w:val="en-GB"/>
              </w:rPr>
              <w:t>2+</w:t>
            </w:r>
            <w:r w:rsidRPr="008556FD">
              <w:rPr>
                <w:rFonts w:ascii="Arial" w:hAnsi="Arial" w:cs="Arial"/>
                <w:sz w:val="22"/>
                <w:szCs w:val="22"/>
                <w:lang w:val="en-GB"/>
              </w:rPr>
              <w:t xml:space="preserve"> and Cl</w:t>
            </w:r>
            <w:r w:rsidRPr="008556FD">
              <w:rPr>
                <w:rFonts w:ascii="Arial" w:hAnsi="Arial" w:cs="Arial"/>
                <w:sz w:val="22"/>
                <w:szCs w:val="22"/>
                <w:vertAlign w:val="superscript"/>
                <w:lang w:val="en-GB"/>
              </w:rPr>
              <w:t>-</w:t>
            </w:r>
            <w:r w:rsidRPr="008556FD">
              <w:rPr>
                <w:rFonts w:ascii="Arial" w:hAnsi="Arial" w:cs="Arial"/>
                <w:sz w:val="22"/>
                <w:szCs w:val="22"/>
                <w:lang w:val="en-GB"/>
              </w:rPr>
              <w:t>. These results provide valuable insights into the behaviour of different ions in IEMs, elucidate the effect of concentration and composition on IEMs transport properties and, through this understanding, pave the way for advancements in IEM design</w:t>
            </w:r>
            <w:r>
              <w:rPr>
                <w:rFonts w:ascii="Arial" w:hAnsi="Arial" w:cs="Arial"/>
                <w:sz w:val="22"/>
                <w:szCs w:val="22"/>
                <w:lang w:val="en-GB"/>
              </w:rPr>
              <w:t xml:space="preserve"> </w:t>
            </w:r>
            <w:r w:rsidRPr="008556FD">
              <w:rPr>
                <w:rFonts w:ascii="Arial" w:hAnsi="Arial" w:cs="Arial"/>
                <w:sz w:val="22"/>
                <w:szCs w:val="22"/>
                <w:lang w:val="en-GB"/>
              </w:rPr>
              <w:t>and modelling.</w:t>
            </w:r>
          </w:p>
        </w:tc>
      </w:tr>
      <w:tr w:rsidR="006967D9" w:rsidRPr="00D10819" w14:paraId="02EDE056" w14:textId="77777777" w:rsidTr="009C2481">
        <w:trPr>
          <w:trHeight w:val="321"/>
        </w:trPr>
        <w:tc>
          <w:tcPr>
            <w:tcW w:w="1814" w:type="dxa"/>
            <w:vMerge w:val="restart"/>
            <w:tcBorders>
              <w:top w:val="single" w:sz="4" w:space="0" w:color="auto"/>
              <w:left w:val="single" w:sz="4" w:space="0" w:color="auto"/>
              <w:bottom w:val="single" w:sz="4" w:space="0" w:color="auto"/>
              <w:right w:val="single" w:sz="4" w:space="0" w:color="auto"/>
            </w:tcBorders>
            <w:hideMark/>
          </w:tcPr>
          <w:p w14:paraId="233084DC" w14:textId="77777777" w:rsidR="006967D9" w:rsidRDefault="006967D9" w:rsidP="006967D9">
            <w:pPr>
              <w:rPr>
                <w:rFonts w:ascii="Arial" w:hAnsi="Arial" w:cs="Arial"/>
              </w:rPr>
            </w:pPr>
            <w:r>
              <w:rPr>
                <w:rFonts w:ascii="Arial" w:hAnsi="Arial" w:cs="Arial"/>
              </w:rPr>
              <w:lastRenderedPageBreak/>
              <w:t>References</w:t>
            </w:r>
          </w:p>
          <w:p w14:paraId="1765BA73" w14:textId="77777777" w:rsidR="006967D9" w:rsidRDefault="006967D9" w:rsidP="006967D9">
            <w:pPr>
              <w:rPr>
                <w:rFonts w:ascii="Arial" w:hAnsi="Arial" w:cs="Arial"/>
              </w:rPr>
            </w:pPr>
            <w:r>
              <w:rPr>
                <w:rFonts w:ascii="Arial" w:hAnsi="Arial" w:cs="Arial"/>
                <w:color w:val="808080" w:themeColor="background1" w:themeShade="80"/>
              </w:rPr>
              <w:t>(BibTex Format)</w:t>
            </w:r>
          </w:p>
        </w:tc>
        <w:tc>
          <w:tcPr>
            <w:tcW w:w="1158" w:type="dxa"/>
            <w:tcBorders>
              <w:top w:val="single" w:sz="4" w:space="0" w:color="auto"/>
              <w:left w:val="single" w:sz="4" w:space="0" w:color="auto"/>
              <w:bottom w:val="single" w:sz="4" w:space="0" w:color="auto"/>
              <w:right w:val="single" w:sz="4" w:space="0" w:color="auto"/>
            </w:tcBorders>
            <w:hideMark/>
          </w:tcPr>
          <w:p w14:paraId="34AE8F0A" w14:textId="77777777" w:rsidR="006967D9" w:rsidRDefault="006967D9" w:rsidP="006967D9">
            <w:pPr>
              <w:rPr>
                <w:rFonts w:ascii="Arial" w:hAnsi="Arial" w:cs="Arial"/>
              </w:rPr>
            </w:pPr>
            <w:r>
              <w:rPr>
                <w:rFonts w:ascii="Arial" w:hAnsi="Arial" w:cs="Arial"/>
              </w:rPr>
              <w:t>[1]</w:t>
            </w:r>
          </w:p>
        </w:tc>
        <w:tc>
          <w:tcPr>
            <w:tcW w:w="6090" w:type="dxa"/>
            <w:tcBorders>
              <w:top w:val="single" w:sz="4" w:space="0" w:color="auto"/>
              <w:left w:val="single" w:sz="4" w:space="0" w:color="auto"/>
              <w:bottom w:val="single" w:sz="4" w:space="0" w:color="auto"/>
              <w:right w:val="single" w:sz="4" w:space="0" w:color="auto"/>
            </w:tcBorders>
            <w:hideMark/>
          </w:tcPr>
          <w:p w14:paraId="7F6021CA" w14:textId="2408F6CB" w:rsidR="006967D9" w:rsidRPr="00D10819" w:rsidRDefault="00D10819" w:rsidP="00696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lang w:eastAsia="en-US"/>
              </w:rPr>
            </w:pPr>
            <w:r w:rsidRPr="00D10819">
              <w:rPr>
                <w:rFonts w:ascii="Courier New" w:hAnsi="Courier New" w:cs="Courier New"/>
                <w:sz w:val="20"/>
                <w:szCs w:val="20"/>
                <w:lang w:eastAsia="en-US"/>
              </w:rPr>
              <w:t>@</w:t>
            </w:r>
            <w:r w:rsidR="006967D9" w:rsidRPr="00D10819">
              <w:rPr>
                <w:rFonts w:ascii="Courier New" w:hAnsi="Courier New" w:cs="Courier New"/>
                <w:sz w:val="20"/>
                <w:szCs w:val="20"/>
                <w:lang w:eastAsia="en-US"/>
              </w:rPr>
              <w:t>title={</w:t>
            </w:r>
            <w:r w:rsidRPr="008455AD">
              <w:rPr>
                <w:rFonts w:ascii="Arial" w:hAnsi="Arial" w:cs="Arial"/>
                <w:noProof/>
                <w:sz w:val="20"/>
              </w:rPr>
              <w:t xml:space="preserve"> Environmental impact of direct lithium extraction from brines</w:t>
            </w:r>
            <w:r w:rsidR="006967D9" w:rsidRPr="00D10819">
              <w:rPr>
                <w:rFonts w:ascii="Courier New" w:hAnsi="Courier New" w:cs="Courier New"/>
                <w:sz w:val="20"/>
                <w:szCs w:val="20"/>
                <w:lang w:eastAsia="en-US"/>
              </w:rPr>
              <w:t>},</w:t>
            </w:r>
          </w:p>
          <w:p w14:paraId="25FD2F2E" w14:textId="243BC7DD" w:rsidR="006967D9" w:rsidRDefault="006967D9" w:rsidP="00696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lang w:eastAsia="en-US"/>
              </w:rPr>
            </w:pPr>
            <w:r w:rsidRPr="00D10819">
              <w:rPr>
                <w:rFonts w:ascii="Courier New" w:hAnsi="Courier New" w:cs="Courier New"/>
                <w:sz w:val="20"/>
                <w:szCs w:val="20"/>
                <w:lang w:eastAsia="en-US"/>
              </w:rPr>
              <w:t xml:space="preserve">  </w:t>
            </w:r>
            <w:r>
              <w:rPr>
                <w:rFonts w:ascii="Courier New" w:hAnsi="Courier New" w:cs="Courier New"/>
                <w:sz w:val="20"/>
                <w:szCs w:val="20"/>
                <w:lang w:eastAsia="en-US"/>
              </w:rPr>
              <w:t>author={</w:t>
            </w:r>
            <w:r w:rsidR="00D10819" w:rsidRPr="008455AD">
              <w:rPr>
                <w:rFonts w:ascii="Arial" w:hAnsi="Arial" w:cs="Arial"/>
                <w:noProof/>
                <w:sz w:val="20"/>
              </w:rPr>
              <w:t xml:space="preserve"> M. L. Vera, W. R. Torres, C. I. Galli, A. Chagnes, and V. Flexer</w:t>
            </w:r>
            <w:r w:rsidR="00D10819">
              <w:rPr>
                <w:rFonts w:ascii="Courier New" w:hAnsi="Courier New" w:cs="Courier New"/>
                <w:sz w:val="20"/>
                <w:szCs w:val="20"/>
                <w:lang w:eastAsia="en-US"/>
              </w:rPr>
              <w:t xml:space="preserve"> </w:t>
            </w:r>
            <w:r>
              <w:rPr>
                <w:rFonts w:ascii="Courier New" w:hAnsi="Courier New" w:cs="Courier New"/>
                <w:sz w:val="20"/>
                <w:szCs w:val="20"/>
                <w:lang w:eastAsia="en-US"/>
              </w:rPr>
              <w:t>},</w:t>
            </w:r>
          </w:p>
          <w:p w14:paraId="7D07C7A8" w14:textId="3F301558" w:rsidR="006967D9" w:rsidRDefault="006967D9" w:rsidP="00696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lang w:eastAsia="en-US"/>
              </w:rPr>
            </w:pPr>
            <w:r>
              <w:rPr>
                <w:rFonts w:ascii="Courier New" w:hAnsi="Courier New" w:cs="Courier New"/>
                <w:sz w:val="20"/>
                <w:szCs w:val="20"/>
                <w:lang w:eastAsia="en-US"/>
              </w:rPr>
              <w:t xml:space="preserve">  year={</w:t>
            </w:r>
            <w:r w:rsidR="00D10819">
              <w:rPr>
                <w:rFonts w:ascii="Courier New" w:hAnsi="Courier New" w:cs="Courier New"/>
                <w:sz w:val="20"/>
                <w:szCs w:val="20"/>
                <w:lang w:eastAsia="en-US"/>
              </w:rPr>
              <w:t>2023</w:t>
            </w:r>
            <w:r>
              <w:rPr>
                <w:rFonts w:ascii="Courier New" w:hAnsi="Courier New" w:cs="Courier New"/>
                <w:sz w:val="20"/>
                <w:szCs w:val="20"/>
                <w:lang w:eastAsia="en-US"/>
              </w:rPr>
              <w:t>},</w:t>
            </w:r>
          </w:p>
          <w:p w14:paraId="2E8370F8" w14:textId="7D5EA5BB" w:rsidR="006967D9" w:rsidRDefault="006967D9" w:rsidP="00696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lang w:eastAsia="en-US"/>
              </w:rPr>
            </w:pPr>
            <w:r>
              <w:rPr>
                <w:rFonts w:ascii="Courier New" w:hAnsi="Courier New" w:cs="Courier New"/>
                <w:sz w:val="20"/>
                <w:szCs w:val="20"/>
                <w:lang w:eastAsia="en-US"/>
              </w:rPr>
              <w:t xml:space="preserve">  publisher={</w:t>
            </w:r>
            <w:r w:rsidR="00D10819" w:rsidRPr="008455AD">
              <w:rPr>
                <w:rFonts w:ascii="Arial" w:hAnsi="Arial" w:cs="Arial"/>
                <w:i/>
                <w:iCs/>
                <w:noProof/>
                <w:sz w:val="20"/>
              </w:rPr>
              <w:t xml:space="preserve"> Nat. Rev. Earth Environ.</w:t>
            </w:r>
            <w:r>
              <w:rPr>
                <w:rFonts w:ascii="Courier New" w:hAnsi="Courier New" w:cs="Courier New"/>
                <w:sz w:val="20"/>
                <w:szCs w:val="20"/>
                <w:lang w:eastAsia="en-US"/>
              </w:rPr>
              <w:t>}</w:t>
            </w:r>
          </w:p>
          <w:p w14:paraId="0391942B" w14:textId="77777777" w:rsidR="006967D9" w:rsidRDefault="006967D9" w:rsidP="00696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lang w:eastAsia="en-US"/>
              </w:rPr>
            </w:pPr>
            <w:r>
              <w:rPr>
                <w:rFonts w:ascii="Courier New" w:hAnsi="Courier New" w:cs="Courier New"/>
                <w:sz w:val="20"/>
                <w:szCs w:val="20"/>
                <w:lang w:eastAsia="en-US"/>
              </w:rPr>
              <w:t>}</w:t>
            </w:r>
          </w:p>
        </w:tc>
      </w:tr>
      <w:tr w:rsidR="006967D9" w:rsidRPr="00CB0088" w14:paraId="7CFD6993" w14:textId="77777777" w:rsidTr="009C2481">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C3E4E2" w14:textId="77777777" w:rsidR="006967D9" w:rsidRDefault="006967D9" w:rsidP="006967D9">
            <w:pPr>
              <w:rPr>
                <w:rFonts w:ascii="Arial" w:hAnsi="Arial" w:cs="Arial"/>
              </w:rPr>
            </w:pPr>
          </w:p>
        </w:tc>
        <w:tc>
          <w:tcPr>
            <w:tcW w:w="1158" w:type="dxa"/>
            <w:tcBorders>
              <w:top w:val="single" w:sz="4" w:space="0" w:color="auto"/>
              <w:left w:val="single" w:sz="4" w:space="0" w:color="auto"/>
              <w:bottom w:val="single" w:sz="4" w:space="0" w:color="auto"/>
              <w:right w:val="single" w:sz="4" w:space="0" w:color="auto"/>
            </w:tcBorders>
            <w:hideMark/>
          </w:tcPr>
          <w:p w14:paraId="4830A14C" w14:textId="77777777" w:rsidR="006967D9" w:rsidRDefault="006967D9" w:rsidP="006967D9">
            <w:pPr>
              <w:rPr>
                <w:rFonts w:ascii="Arial" w:hAnsi="Arial" w:cs="Arial"/>
              </w:rPr>
            </w:pPr>
            <w:r>
              <w:rPr>
                <w:rFonts w:ascii="Arial" w:hAnsi="Arial" w:cs="Arial"/>
              </w:rPr>
              <w:t>[2]</w:t>
            </w:r>
          </w:p>
        </w:tc>
        <w:tc>
          <w:tcPr>
            <w:tcW w:w="6090" w:type="dxa"/>
            <w:tcBorders>
              <w:top w:val="single" w:sz="4" w:space="0" w:color="auto"/>
              <w:left w:val="single" w:sz="4" w:space="0" w:color="auto"/>
              <w:bottom w:val="single" w:sz="4" w:space="0" w:color="auto"/>
              <w:right w:val="single" w:sz="4" w:space="0" w:color="auto"/>
            </w:tcBorders>
          </w:tcPr>
          <w:p w14:paraId="40EB951A" w14:textId="70B6EB6F" w:rsidR="006967D9" w:rsidRDefault="006967D9" w:rsidP="006967D9">
            <w:pPr>
              <w:pStyle w:val="HTMLPreformatted"/>
            </w:pPr>
            <w:r>
              <w:t xml:space="preserve">  </w:t>
            </w:r>
            <w:r w:rsidR="00D10819">
              <w:t>@</w:t>
            </w:r>
            <w:r>
              <w:t>title={</w:t>
            </w:r>
            <w:r w:rsidR="00D10819" w:rsidRPr="008455AD">
              <w:rPr>
                <w:rFonts w:ascii="Arial" w:hAnsi="Arial" w:cs="Arial"/>
                <w:noProof/>
              </w:rPr>
              <w:t xml:space="preserve"> Manning condensation in ion exchange membranes: A review on ion partitioning and diffusion models</w:t>
            </w:r>
            <w:r w:rsidR="00D10819">
              <w:t xml:space="preserve"> </w:t>
            </w:r>
            <w:r>
              <w:t>},</w:t>
            </w:r>
          </w:p>
          <w:p w14:paraId="28C3EF6C" w14:textId="217D1617" w:rsidR="006967D9" w:rsidRDefault="006967D9" w:rsidP="006967D9">
            <w:pPr>
              <w:pStyle w:val="HTMLPreformatted"/>
            </w:pPr>
            <w:r>
              <w:t xml:space="preserve">  author={</w:t>
            </w:r>
            <w:r w:rsidR="00D10819" w:rsidRPr="008455AD">
              <w:rPr>
                <w:rFonts w:ascii="Arial" w:hAnsi="Arial" w:cs="Arial"/>
                <w:noProof/>
              </w:rPr>
              <w:t xml:space="preserve"> D. Kitto and J. Kamcev</w:t>
            </w:r>
            <w:r w:rsidR="00D10819">
              <w:t xml:space="preserve"> </w:t>
            </w:r>
            <w:r>
              <w:t>},</w:t>
            </w:r>
          </w:p>
          <w:p w14:paraId="7FC4C810" w14:textId="60F2C05C" w:rsidR="006967D9" w:rsidRDefault="006967D9" w:rsidP="006967D9">
            <w:pPr>
              <w:pStyle w:val="HTMLPreformatted"/>
            </w:pPr>
            <w:r>
              <w:t xml:space="preserve">  year={20</w:t>
            </w:r>
            <w:r w:rsidR="00D10819">
              <w:t>22</w:t>
            </w:r>
            <w:r>
              <w:t>},</w:t>
            </w:r>
          </w:p>
          <w:p w14:paraId="0B9BEE10" w14:textId="04C38D99" w:rsidR="006967D9" w:rsidRDefault="006967D9" w:rsidP="006967D9">
            <w:pPr>
              <w:pStyle w:val="HTMLPreformatted"/>
            </w:pPr>
            <w:r>
              <w:t xml:space="preserve">  publisher={</w:t>
            </w:r>
            <w:r w:rsidR="00D10819" w:rsidRPr="008455AD">
              <w:rPr>
                <w:rFonts w:ascii="Arial" w:hAnsi="Arial" w:cs="Arial"/>
                <w:i/>
                <w:iCs/>
                <w:noProof/>
              </w:rPr>
              <w:t xml:space="preserve"> J. Polym. Sci</w:t>
            </w:r>
            <w:r w:rsidR="00D10819">
              <w:t xml:space="preserve"> </w:t>
            </w:r>
            <w:r>
              <w:t>}</w:t>
            </w:r>
          </w:p>
          <w:p w14:paraId="780899B3" w14:textId="77777777" w:rsidR="006967D9" w:rsidRDefault="006967D9" w:rsidP="006967D9">
            <w:pPr>
              <w:rPr>
                <w:rFonts w:ascii="Arial" w:hAnsi="Arial" w:cs="Arial"/>
              </w:rPr>
            </w:pPr>
          </w:p>
        </w:tc>
      </w:tr>
      <w:tr w:rsidR="006967D9" w:rsidRPr="00CB0088" w14:paraId="35E8029A" w14:textId="77777777" w:rsidTr="009C2481">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0C82EDB" w14:textId="77777777" w:rsidR="006967D9" w:rsidRDefault="006967D9" w:rsidP="006967D9">
            <w:pPr>
              <w:rPr>
                <w:rFonts w:ascii="Arial" w:hAnsi="Arial" w:cs="Arial"/>
              </w:rPr>
            </w:pPr>
          </w:p>
        </w:tc>
        <w:tc>
          <w:tcPr>
            <w:tcW w:w="1158" w:type="dxa"/>
            <w:tcBorders>
              <w:top w:val="single" w:sz="4" w:space="0" w:color="auto"/>
              <w:left w:val="single" w:sz="4" w:space="0" w:color="auto"/>
              <w:bottom w:val="single" w:sz="4" w:space="0" w:color="auto"/>
              <w:right w:val="single" w:sz="4" w:space="0" w:color="auto"/>
            </w:tcBorders>
          </w:tcPr>
          <w:p w14:paraId="3ABA442D" w14:textId="795147BC" w:rsidR="006967D9" w:rsidRDefault="00D10819" w:rsidP="006967D9">
            <w:pPr>
              <w:rPr>
                <w:rFonts w:ascii="Arial" w:hAnsi="Arial" w:cs="Arial"/>
              </w:rPr>
            </w:pPr>
            <w:r>
              <w:rPr>
                <w:rFonts w:ascii="Arial" w:hAnsi="Arial" w:cs="Arial"/>
              </w:rPr>
              <w:t>[3]</w:t>
            </w:r>
          </w:p>
        </w:tc>
        <w:tc>
          <w:tcPr>
            <w:tcW w:w="6090" w:type="dxa"/>
            <w:tcBorders>
              <w:top w:val="single" w:sz="4" w:space="0" w:color="auto"/>
              <w:left w:val="single" w:sz="4" w:space="0" w:color="auto"/>
              <w:bottom w:val="single" w:sz="4" w:space="0" w:color="auto"/>
              <w:right w:val="single" w:sz="4" w:space="0" w:color="auto"/>
            </w:tcBorders>
          </w:tcPr>
          <w:p w14:paraId="16324C78" w14:textId="790CFCBF" w:rsidR="00D10819" w:rsidRDefault="00D10819" w:rsidP="00D10819">
            <w:pPr>
              <w:pStyle w:val="HTMLPreformatted"/>
            </w:pPr>
            <w:r>
              <w:t>@title={</w:t>
            </w:r>
            <w:r w:rsidRPr="008455AD">
              <w:rPr>
                <w:rFonts w:ascii="Arial" w:hAnsi="Arial" w:cs="Arial"/>
                <w:noProof/>
              </w:rPr>
              <w:t xml:space="preserve"> Molecular and electrostatic origins of mixed salt partitioning phenomena in uncharged poly(ethylene oxide)-based membranes</w:t>
            </w:r>
            <w:r>
              <w:t>},</w:t>
            </w:r>
          </w:p>
          <w:p w14:paraId="22AC5E2E" w14:textId="59543543" w:rsidR="00D10819" w:rsidRDefault="00D10819" w:rsidP="00D10819">
            <w:pPr>
              <w:pStyle w:val="HTMLPreformatted"/>
            </w:pPr>
            <w:r>
              <w:t xml:space="preserve">  author={</w:t>
            </w:r>
            <w:r w:rsidRPr="008455AD">
              <w:rPr>
                <w:rFonts w:ascii="Arial" w:hAnsi="Arial" w:cs="Arial"/>
                <w:noProof/>
              </w:rPr>
              <w:t xml:space="preserve"> E. S. Zofchak </w:t>
            </w:r>
            <w:r w:rsidRPr="008455AD">
              <w:rPr>
                <w:rFonts w:ascii="Arial" w:hAnsi="Arial" w:cs="Arial"/>
                <w:i/>
                <w:iCs/>
                <w:noProof/>
              </w:rPr>
              <w:t>et al.</w:t>
            </w:r>
            <w:r>
              <w:t>},</w:t>
            </w:r>
          </w:p>
          <w:p w14:paraId="49A5C23C" w14:textId="5796E3EA" w:rsidR="00D10819" w:rsidRDefault="00D10819" w:rsidP="00D10819">
            <w:pPr>
              <w:pStyle w:val="HTMLPreformatted"/>
            </w:pPr>
            <w:r>
              <w:t xml:space="preserve">  year={2024},</w:t>
            </w:r>
          </w:p>
          <w:p w14:paraId="7719421F" w14:textId="3EF8DBEF" w:rsidR="00D10819" w:rsidRDefault="00D10819" w:rsidP="00D10819">
            <w:pPr>
              <w:pStyle w:val="HTMLPreformatted"/>
            </w:pPr>
            <w:r>
              <w:t xml:space="preserve">  publisher={</w:t>
            </w:r>
            <w:r w:rsidRPr="008455AD">
              <w:rPr>
                <w:rFonts w:ascii="Arial" w:hAnsi="Arial" w:cs="Arial"/>
                <w:i/>
                <w:iCs/>
                <w:noProof/>
              </w:rPr>
              <w:t xml:space="preserve"> J. Memb. Sci.</w:t>
            </w:r>
            <w:r>
              <w:t>}</w:t>
            </w:r>
          </w:p>
          <w:p w14:paraId="16D64A2B" w14:textId="77777777" w:rsidR="006967D9" w:rsidRDefault="006967D9" w:rsidP="006967D9">
            <w:pPr>
              <w:rPr>
                <w:rFonts w:ascii="Arial" w:hAnsi="Arial" w:cs="Arial"/>
              </w:rPr>
            </w:pPr>
          </w:p>
        </w:tc>
      </w:tr>
      <w:tr w:rsidR="006967D9" w:rsidRPr="00CB0088" w14:paraId="378AAEF8" w14:textId="77777777" w:rsidTr="009C2481">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0B8A384" w14:textId="77777777" w:rsidR="006967D9" w:rsidRDefault="006967D9" w:rsidP="006967D9">
            <w:pPr>
              <w:rPr>
                <w:rFonts w:ascii="Arial" w:hAnsi="Arial" w:cs="Arial"/>
              </w:rPr>
            </w:pPr>
          </w:p>
        </w:tc>
        <w:tc>
          <w:tcPr>
            <w:tcW w:w="1158" w:type="dxa"/>
            <w:tcBorders>
              <w:top w:val="single" w:sz="4" w:space="0" w:color="auto"/>
              <w:left w:val="single" w:sz="4" w:space="0" w:color="auto"/>
              <w:bottom w:val="single" w:sz="4" w:space="0" w:color="auto"/>
              <w:right w:val="single" w:sz="4" w:space="0" w:color="auto"/>
            </w:tcBorders>
          </w:tcPr>
          <w:p w14:paraId="6665C310" w14:textId="5B01A361" w:rsidR="006967D9" w:rsidRDefault="00D10819" w:rsidP="006967D9">
            <w:pPr>
              <w:rPr>
                <w:rFonts w:ascii="Arial" w:hAnsi="Arial" w:cs="Arial"/>
              </w:rPr>
            </w:pPr>
            <w:r>
              <w:rPr>
                <w:rFonts w:ascii="Arial" w:hAnsi="Arial" w:cs="Arial"/>
              </w:rPr>
              <w:t>[4]</w:t>
            </w:r>
          </w:p>
        </w:tc>
        <w:tc>
          <w:tcPr>
            <w:tcW w:w="6090" w:type="dxa"/>
            <w:tcBorders>
              <w:top w:val="single" w:sz="4" w:space="0" w:color="auto"/>
              <w:left w:val="single" w:sz="4" w:space="0" w:color="auto"/>
              <w:bottom w:val="single" w:sz="4" w:space="0" w:color="auto"/>
              <w:right w:val="single" w:sz="4" w:space="0" w:color="auto"/>
            </w:tcBorders>
          </w:tcPr>
          <w:p w14:paraId="6E91022D" w14:textId="4CC2D91C" w:rsidR="00D10819" w:rsidRDefault="00D10819" w:rsidP="00D10819">
            <w:pPr>
              <w:pStyle w:val="HTMLPreformatted"/>
            </w:pPr>
            <w:r>
              <w:t>@title={</w:t>
            </w:r>
            <w:r w:rsidRPr="008455AD">
              <w:rPr>
                <w:rFonts w:ascii="Arial" w:hAnsi="Arial" w:cs="Arial"/>
                <w:noProof/>
              </w:rPr>
              <w:t xml:space="preserve"> Modelling of selective ion partitioning between ion-exchange membranes and highly concentrated multi-ionic brines</w:t>
            </w:r>
            <w:r>
              <w:t>},</w:t>
            </w:r>
          </w:p>
          <w:p w14:paraId="4C0D5F4C" w14:textId="4F4CB10F" w:rsidR="00D10819" w:rsidRDefault="00D10819" w:rsidP="00D10819">
            <w:pPr>
              <w:pStyle w:val="HTMLPreformatted"/>
            </w:pPr>
            <w:r>
              <w:t xml:space="preserve">  author={</w:t>
            </w:r>
            <w:r w:rsidRPr="008455AD">
              <w:rPr>
                <w:rFonts w:ascii="Arial" w:hAnsi="Arial" w:cs="Arial"/>
                <w:noProof/>
              </w:rPr>
              <w:t xml:space="preserve"> G. Purpura </w:t>
            </w:r>
            <w:r w:rsidRPr="008455AD">
              <w:rPr>
                <w:rFonts w:ascii="Arial" w:hAnsi="Arial" w:cs="Arial"/>
                <w:i/>
                <w:iCs/>
                <w:noProof/>
              </w:rPr>
              <w:t>et al.</w:t>
            </w:r>
            <w:r>
              <w:t>},</w:t>
            </w:r>
          </w:p>
          <w:p w14:paraId="380DD6A1" w14:textId="77777777" w:rsidR="00D10819" w:rsidRDefault="00D10819" w:rsidP="00D10819">
            <w:pPr>
              <w:pStyle w:val="HTMLPreformatted"/>
            </w:pPr>
            <w:r>
              <w:t xml:space="preserve">  year={2024},</w:t>
            </w:r>
          </w:p>
          <w:p w14:paraId="05EFA72C" w14:textId="77777777" w:rsidR="00D10819" w:rsidRDefault="00D10819" w:rsidP="00D10819">
            <w:pPr>
              <w:pStyle w:val="HTMLPreformatted"/>
            </w:pPr>
            <w:r>
              <w:t xml:space="preserve">  publisher={</w:t>
            </w:r>
            <w:r w:rsidRPr="008455AD">
              <w:rPr>
                <w:rFonts w:ascii="Arial" w:hAnsi="Arial" w:cs="Arial"/>
                <w:i/>
                <w:iCs/>
                <w:noProof/>
              </w:rPr>
              <w:t xml:space="preserve"> J. Memb. Sci.</w:t>
            </w:r>
            <w:r>
              <w:t>}</w:t>
            </w:r>
          </w:p>
          <w:p w14:paraId="68F91AEC" w14:textId="77777777" w:rsidR="006967D9" w:rsidRDefault="006967D9" w:rsidP="006967D9">
            <w:pPr>
              <w:rPr>
                <w:rFonts w:ascii="Arial" w:hAnsi="Arial" w:cs="Arial"/>
              </w:rPr>
            </w:pPr>
          </w:p>
        </w:tc>
      </w:tr>
      <w:tr w:rsidR="006967D9" w:rsidRPr="00CB0088" w14:paraId="63DF7746" w14:textId="77777777" w:rsidTr="009C2481">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6734C3" w14:textId="77777777" w:rsidR="006967D9" w:rsidRDefault="006967D9" w:rsidP="006967D9">
            <w:pPr>
              <w:rPr>
                <w:rFonts w:ascii="Arial" w:hAnsi="Arial" w:cs="Arial"/>
              </w:rPr>
            </w:pPr>
          </w:p>
        </w:tc>
        <w:tc>
          <w:tcPr>
            <w:tcW w:w="1158" w:type="dxa"/>
            <w:tcBorders>
              <w:top w:val="single" w:sz="4" w:space="0" w:color="auto"/>
              <w:left w:val="single" w:sz="4" w:space="0" w:color="auto"/>
              <w:bottom w:val="single" w:sz="4" w:space="0" w:color="auto"/>
              <w:right w:val="single" w:sz="4" w:space="0" w:color="auto"/>
            </w:tcBorders>
          </w:tcPr>
          <w:p w14:paraId="3860006C" w14:textId="77777777" w:rsidR="006967D9" w:rsidRDefault="006967D9" w:rsidP="006967D9">
            <w:pPr>
              <w:rPr>
                <w:rFonts w:ascii="Arial" w:hAnsi="Arial" w:cs="Arial"/>
              </w:rPr>
            </w:pPr>
          </w:p>
        </w:tc>
        <w:tc>
          <w:tcPr>
            <w:tcW w:w="6090" w:type="dxa"/>
            <w:tcBorders>
              <w:top w:val="single" w:sz="4" w:space="0" w:color="auto"/>
              <w:left w:val="single" w:sz="4" w:space="0" w:color="auto"/>
              <w:bottom w:val="single" w:sz="4" w:space="0" w:color="auto"/>
              <w:right w:val="single" w:sz="4" w:space="0" w:color="auto"/>
            </w:tcBorders>
          </w:tcPr>
          <w:p w14:paraId="55FCF212" w14:textId="77777777" w:rsidR="006967D9" w:rsidRDefault="006967D9" w:rsidP="006967D9">
            <w:pPr>
              <w:rPr>
                <w:rFonts w:ascii="Arial" w:hAnsi="Arial" w:cs="Arial"/>
              </w:rPr>
            </w:pPr>
          </w:p>
        </w:tc>
      </w:tr>
      <w:tr w:rsidR="006967D9" w:rsidRPr="00CB0088" w14:paraId="768F1350" w14:textId="77777777" w:rsidTr="009C2481">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EFB75D" w14:textId="77777777" w:rsidR="006967D9" w:rsidRDefault="006967D9" w:rsidP="006967D9">
            <w:pPr>
              <w:rPr>
                <w:rFonts w:ascii="Arial" w:hAnsi="Arial" w:cs="Arial"/>
              </w:rPr>
            </w:pPr>
          </w:p>
        </w:tc>
        <w:tc>
          <w:tcPr>
            <w:tcW w:w="1158" w:type="dxa"/>
            <w:tcBorders>
              <w:top w:val="single" w:sz="4" w:space="0" w:color="auto"/>
              <w:left w:val="single" w:sz="4" w:space="0" w:color="auto"/>
              <w:bottom w:val="single" w:sz="4" w:space="0" w:color="auto"/>
              <w:right w:val="single" w:sz="4" w:space="0" w:color="auto"/>
            </w:tcBorders>
          </w:tcPr>
          <w:p w14:paraId="1D5A12B9" w14:textId="77777777" w:rsidR="006967D9" w:rsidRDefault="006967D9" w:rsidP="006967D9">
            <w:pPr>
              <w:rPr>
                <w:rFonts w:ascii="Arial" w:hAnsi="Arial" w:cs="Arial"/>
              </w:rPr>
            </w:pPr>
          </w:p>
        </w:tc>
        <w:tc>
          <w:tcPr>
            <w:tcW w:w="6090" w:type="dxa"/>
            <w:tcBorders>
              <w:top w:val="single" w:sz="4" w:space="0" w:color="auto"/>
              <w:left w:val="single" w:sz="4" w:space="0" w:color="auto"/>
              <w:bottom w:val="single" w:sz="4" w:space="0" w:color="auto"/>
              <w:right w:val="single" w:sz="4" w:space="0" w:color="auto"/>
            </w:tcBorders>
          </w:tcPr>
          <w:p w14:paraId="238D15EE" w14:textId="77777777" w:rsidR="006967D9" w:rsidRDefault="006967D9" w:rsidP="006967D9">
            <w:pPr>
              <w:rPr>
                <w:rFonts w:ascii="Arial" w:hAnsi="Arial" w:cs="Arial"/>
              </w:rPr>
            </w:pPr>
          </w:p>
        </w:tc>
      </w:tr>
      <w:tr w:rsidR="006967D9" w:rsidRPr="00CB0088" w14:paraId="3116A8C9" w14:textId="77777777" w:rsidTr="009C2481">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E4EBAE" w14:textId="77777777" w:rsidR="006967D9" w:rsidRDefault="006967D9" w:rsidP="006967D9">
            <w:pPr>
              <w:rPr>
                <w:rFonts w:ascii="Arial" w:hAnsi="Arial" w:cs="Arial"/>
              </w:rPr>
            </w:pPr>
          </w:p>
        </w:tc>
        <w:tc>
          <w:tcPr>
            <w:tcW w:w="1158" w:type="dxa"/>
            <w:tcBorders>
              <w:top w:val="single" w:sz="4" w:space="0" w:color="auto"/>
              <w:left w:val="single" w:sz="4" w:space="0" w:color="auto"/>
              <w:bottom w:val="single" w:sz="4" w:space="0" w:color="auto"/>
              <w:right w:val="single" w:sz="4" w:space="0" w:color="auto"/>
            </w:tcBorders>
          </w:tcPr>
          <w:p w14:paraId="0E3269BA" w14:textId="77777777" w:rsidR="006967D9" w:rsidRDefault="006967D9" w:rsidP="006967D9">
            <w:pPr>
              <w:rPr>
                <w:rFonts w:ascii="Arial" w:hAnsi="Arial" w:cs="Arial"/>
              </w:rPr>
            </w:pPr>
          </w:p>
        </w:tc>
        <w:tc>
          <w:tcPr>
            <w:tcW w:w="6090" w:type="dxa"/>
            <w:tcBorders>
              <w:top w:val="single" w:sz="4" w:space="0" w:color="auto"/>
              <w:left w:val="single" w:sz="4" w:space="0" w:color="auto"/>
              <w:bottom w:val="single" w:sz="4" w:space="0" w:color="auto"/>
              <w:right w:val="single" w:sz="4" w:space="0" w:color="auto"/>
            </w:tcBorders>
          </w:tcPr>
          <w:p w14:paraId="3F0EAD2F" w14:textId="77777777" w:rsidR="006967D9" w:rsidRDefault="006967D9" w:rsidP="006967D9">
            <w:pPr>
              <w:rPr>
                <w:rFonts w:ascii="Arial" w:hAnsi="Arial" w:cs="Arial"/>
              </w:rPr>
            </w:pPr>
          </w:p>
        </w:tc>
      </w:tr>
    </w:tbl>
    <w:p w14:paraId="49B74F56" w14:textId="294455DB" w:rsidR="009C2481" w:rsidRPr="00F465B8" w:rsidRDefault="00F465B8" w:rsidP="009C2481">
      <w:pPr>
        <w:rPr>
          <w:lang w:val="en-US"/>
        </w:rPr>
      </w:pPr>
      <w:r w:rsidRPr="00B3023F">
        <w:rPr>
          <w:b/>
          <w:bCs/>
          <w:lang w:val="en-US"/>
        </w:rPr>
        <w:t>Acknowledgments.</w:t>
      </w:r>
      <w:r w:rsidRPr="00F465B8">
        <w:rPr>
          <w:lang w:val="en-US"/>
        </w:rPr>
        <w:t xml:space="preserve"> This work was supported by the EU within SEArcularMINE (Circular Processing of Seawater Brines from Saltworks for Recovery of Valuable Raw Materials) project – Horizon 2020 programme, Grant Agreement No. 869467. This output reflects only the author’s view. The European Health and Digital Executive Agency (HaDEA) and the European Commission cannot be held responsible for any use that may be made of the information contained therein.</w:t>
      </w:r>
    </w:p>
    <w:sectPr w:rsidR="009C2481" w:rsidRPr="00F465B8">
      <w:headerReference w:type="even" r:id="rId6"/>
      <w:headerReference w:type="default" r:id="rId7"/>
      <w:footerReference w:type="even" r:id="rId8"/>
      <w:footerReference w:type="default" r:id="rId9"/>
      <w:headerReference w:type="first" r:id="rId10"/>
      <w:footerReference w:type="firs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3B3F2B" w14:textId="77777777" w:rsidR="00623403" w:rsidRDefault="00623403" w:rsidP="009C2481">
      <w:r>
        <w:separator/>
      </w:r>
    </w:p>
  </w:endnote>
  <w:endnote w:type="continuationSeparator" w:id="0">
    <w:p w14:paraId="443D07C1" w14:textId="77777777" w:rsidR="00623403" w:rsidRDefault="00623403" w:rsidP="009C24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PGothic">
    <w:panose1 w:val="020B0600070205080204"/>
    <w:charset w:val="80"/>
    <w:family w:val="swiss"/>
    <w:pitch w:val="variable"/>
    <w:sig w:usb0="E00002FF" w:usb1="6AC7FDFB" w:usb2="08000012" w:usb3="00000000" w:csb0="000200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A98DDE" w14:textId="77777777" w:rsidR="009C2481" w:rsidRDefault="009C24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E84A64" w14:textId="77777777" w:rsidR="009C2481" w:rsidRDefault="009C248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16A1A" w14:textId="77777777" w:rsidR="009C2481" w:rsidRDefault="009C24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51A039" w14:textId="77777777" w:rsidR="00623403" w:rsidRDefault="00623403" w:rsidP="009C2481">
      <w:r>
        <w:separator/>
      </w:r>
    </w:p>
  </w:footnote>
  <w:footnote w:type="continuationSeparator" w:id="0">
    <w:p w14:paraId="1F9509FE" w14:textId="77777777" w:rsidR="00623403" w:rsidRDefault="00623403" w:rsidP="009C24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1DFC36" w14:textId="77777777" w:rsidR="009C2481" w:rsidRDefault="009C24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CA437C" w14:textId="55322B0B" w:rsidR="009C2481" w:rsidRDefault="009C2481">
    <w:pPr>
      <w:pStyle w:val="Header"/>
    </w:pPr>
    <w:r>
      <w:rPr>
        <w:noProof/>
      </w:rPr>
      <w:drawing>
        <wp:inline distT="0" distB="0" distL="0" distR="0" wp14:anchorId="00AA3ACA" wp14:editId="1AFA918E">
          <wp:extent cx="5760720" cy="1329055"/>
          <wp:effectExtent l="0" t="0" r="0" b="4445"/>
          <wp:docPr id="375933024" name="Grafik 2" descr="Ein Bild, das Text, Screenshot, Grafiken,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933024" name="Grafik 2" descr="Ein Bild, das Text, Screenshot, Grafiken, Schrif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5760720" cy="1329055"/>
                  </a:xfrm>
                  <a:prstGeom prst="rect">
                    <a:avLst/>
                  </a:prstGeom>
                </pic:spPr>
              </pic:pic>
            </a:graphicData>
          </a:graphic>
        </wp:inline>
      </w:drawing>
    </w:r>
  </w:p>
  <w:p w14:paraId="5428DBF3" w14:textId="77777777" w:rsidR="009C2481" w:rsidRDefault="009C248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4509C4" w14:textId="77777777" w:rsidR="009C2481" w:rsidRDefault="009C248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2481"/>
    <w:rsid w:val="00052B1A"/>
    <w:rsid w:val="000B0C10"/>
    <w:rsid w:val="00143A81"/>
    <w:rsid w:val="001C4289"/>
    <w:rsid w:val="001D549F"/>
    <w:rsid w:val="002337C7"/>
    <w:rsid w:val="00273177"/>
    <w:rsid w:val="0048421D"/>
    <w:rsid w:val="004F2A8B"/>
    <w:rsid w:val="005563F6"/>
    <w:rsid w:val="005D09B5"/>
    <w:rsid w:val="00623403"/>
    <w:rsid w:val="006967D9"/>
    <w:rsid w:val="007B7B53"/>
    <w:rsid w:val="008515D6"/>
    <w:rsid w:val="008D30DC"/>
    <w:rsid w:val="008E5998"/>
    <w:rsid w:val="00942A4F"/>
    <w:rsid w:val="009C2481"/>
    <w:rsid w:val="00A710F6"/>
    <w:rsid w:val="00A8500E"/>
    <w:rsid w:val="00B3023F"/>
    <w:rsid w:val="00BA1E24"/>
    <w:rsid w:val="00BD4825"/>
    <w:rsid w:val="00CB0088"/>
    <w:rsid w:val="00D10819"/>
    <w:rsid w:val="00D139F3"/>
    <w:rsid w:val="00D14C5F"/>
    <w:rsid w:val="00D81CF0"/>
    <w:rsid w:val="00D85E34"/>
    <w:rsid w:val="00E24769"/>
    <w:rsid w:val="00F465B8"/>
    <w:rsid w:val="00F67E2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8F89E4"/>
  <w15:chartTrackingRefBased/>
  <w15:docId w15:val="{9BC7B0B1-3A1F-4435-9BFF-807A1FEAF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de-DE"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2481"/>
    <w:pPr>
      <w:spacing w:after="0" w:line="240" w:lineRule="auto"/>
    </w:pPr>
    <w:rPr>
      <w:rFonts w:ascii="Times New Roman" w:eastAsia="Times New Roman" w:hAnsi="Times New Roman" w:cs="Times New Roman"/>
      <w:kern w:val="0"/>
      <w:sz w:val="24"/>
      <w:szCs w:val="24"/>
      <w:lang w:eastAsia="de-DE"/>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C2481"/>
    <w:pPr>
      <w:tabs>
        <w:tab w:val="center" w:pos="4536"/>
        <w:tab w:val="right" w:pos="9072"/>
      </w:tabs>
    </w:pPr>
    <w:rPr>
      <w:rFonts w:asciiTheme="minorHAnsi" w:eastAsiaTheme="minorEastAsia" w:hAnsiTheme="minorHAnsi" w:cstheme="minorBidi"/>
      <w:kern w:val="2"/>
      <w:sz w:val="22"/>
      <w:szCs w:val="22"/>
      <w:lang w:eastAsia="zh-CN"/>
      <w14:ligatures w14:val="standardContextual"/>
    </w:rPr>
  </w:style>
  <w:style w:type="character" w:customStyle="1" w:styleId="HeaderChar">
    <w:name w:val="Header Char"/>
    <w:basedOn w:val="DefaultParagraphFont"/>
    <w:link w:val="Header"/>
    <w:uiPriority w:val="99"/>
    <w:rsid w:val="009C2481"/>
  </w:style>
  <w:style w:type="paragraph" w:styleId="Footer">
    <w:name w:val="footer"/>
    <w:basedOn w:val="Normal"/>
    <w:link w:val="FooterChar"/>
    <w:uiPriority w:val="99"/>
    <w:unhideWhenUsed/>
    <w:rsid w:val="009C2481"/>
    <w:pPr>
      <w:tabs>
        <w:tab w:val="center" w:pos="4536"/>
        <w:tab w:val="right" w:pos="9072"/>
      </w:tabs>
    </w:pPr>
    <w:rPr>
      <w:rFonts w:asciiTheme="minorHAnsi" w:eastAsiaTheme="minorEastAsia" w:hAnsiTheme="minorHAnsi" w:cstheme="minorBidi"/>
      <w:kern w:val="2"/>
      <w:sz w:val="22"/>
      <w:szCs w:val="22"/>
      <w:lang w:eastAsia="zh-CN"/>
      <w14:ligatures w14:val="standardContextual"/>
    </w:rPr>
  </w:style>
  <w:style w:type="character" w:customStyle="1" w:styleId="FooterChar">
    <w:name w:val="Footer Char"/>
    <w:basedOn w:val="DefaultParagraphFont"/>
    <w:link w:val="Footer"/>
    <w:uiPriority w:val="99"/>
    <w:rsid w:val="009C2481"/>
  </w:style>
  <w:style w:type="character" w:styleId="Hyperlink">
    <w:name w:val="Hyperlink"/>
    <w:unhideWhenUsed/>
    <w:rsid w:val="009C2481"/>
    <w:rPr>
      <w:color w:val="0000FF"/>
      <w:u w:val="single"/>
    </w:rPr>
  </w:style>
  <w:style w:type="paragraph" w:styleId="HTMLPreformatted">
    <w:name w:val="HTML Preformatted"/>
    <w:basedOn w:val="Normal"/>
    <w:link w:val="HTMLPreformattedChar"/>
    <w:uiPriority w:val="99"/>
    <w:semiHidden/>
    <w:unhideWhenUsed/>
    <w:rsid w:val="009C24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9C2481"/>
    <w:rPr>
      <w:rFonts w:ascii="Courier New" w:eastAsia="Times New Roman" w:hAnsi="Courier New" w:cs="Courier New"/>
      <w:kern w:val="0"/>
      <w:sz w:val="20"/>
      <w:szCs w:val="20"/>
      <w:lang w:val="en-US" w:eastAsia="en-US"/>
      <w14:ligatures w14:val="none"/>
    </w:rPr>
  </w:style>
  <w:style w:type="table" w:styleId="TableGrid">
    <w:name w:val="Table Grid"/>
    <w:basedOn w:val="TableNormal"/>
    <w:uiPriority w:val="39"/>
    <w:rsid w:val="009C2481"/>
    <w:pPr>
      <w:spacing w:after="0" w:line="240" w:lineRule="auto"/>
    </w:pPr>
    <w:rPr>
      <w:rFonts w:ascii="Times New Roman" w:eastAsia="Times New Roman" w:hAnsi="Times New Roman" w:cs="Times New Roman"/>
      <w:kern w:val="0"/>
      <w:sz w:val="20"/>
      <w:szCs w:val="20"/>
      <w:lang w:val="en-US" w:eastAsia="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C2481"/>
    <w:rPr>
      <w:color w:val="605E5C"/>
      <w:shd w:val="clear" w:color="auto" w:fill="E1DFDD"/>
    </w:rPr>
  </w:style>
  <w:style w:type="character" w:styleId="FollowedHyperlink">
    <w:name w:val="FollowedHyperlink"/>
    <w:basedOn w:val="DefaultParagraphFont"/>
    <w:uiPriority w:val="99"/>
    <w:semiHidden/>
    <w:unhideWhenUsed/>
    <w:rsid w:val="009C248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5450477">
      <w:bodyDiv w:val="1"/>
      <w:marLeft w:val="0"/>
      <w:marRight w:val="0"/>
      <w:marTop w:val="0"/>
      <w:marBottom w:val="0"/>
      <w:divBdr>
        <w:top w:val="none" w:sz="0" w:space="0" w:color="auto"/>
        <w:left w:val="none" w:sz="0" w:space="0" w:color="auto"/>
        <w:bottom w:val="none" w:sz="0" w:space="0" w:color="auto"/>
        <w:right w:val="none" w:sz="0" w:space="0" w:color="auto"/>
      </w:divBdr>
    </w:div>
    <w:div w:id="2087802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594</Words>
  <Characters>15128</Characters>
  <Application>Microsoft Office Word</Application>
  <DocSecurity>0</DocSecurity>
  <Lines>126</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flpr01@avt.rwth-aachen.de</dc:creator>
  <cp:keywords/>
  <dc:description/>
  <cp:lastModifiedBy>GIORGIO PURPURA</cp:lastModifiedBy>
  <cp:revision>18</cp:revision>
  <dcterms:created xsi:type="dcterms:W3CDTF">2023-12-13T08:07:00Z</dcterms:created>
  <dcterms:modified xsi:type="dcterms:W3CDTF">2024-06-19T10:36:00Z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bea93863794c8a2c54d0b920f60fec0ff6fec31b536bb31f2d9b76e2b7703431</vt:lpwstr>
  </property>
</Properties>
</file>