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2842" w:rsidRDefault="002824C9" w:rsidP="001E5BE4">
      <w:pPr>
        <w:spacing w:line="360" w:lineRule="auto"/>
        <w:ind w:right="1091"/>
        <w:jc w:val="both"/>
        <w:rPr>
          <w:rFonts w:ascii="Times New Roman" w:hAnsi="Times New Roman" w:cs="Times New Roman"/>
          <w:sz w:val="24"/>
          <w:szCs w:val="24"/>
        </w:rPr>
      </w:pPr>
      <w:r>
        <w:rPr>
          <w:rFonts w:ascii="Times New Roman" w:hAnsi="Times New Roman" w:cs="Times New Roman"/>
          <w:noProof/>
          <w:sz w:val="24"/>
          <w:szCs w:val="24"/>
          <w:lang w:val="it-IT" w:eastAsia="it-IT"/>
        </w:rPr>
        <w:drawing>
          <wp:anchor distT="0" distB="0" distL="0" distR="0" simplePos="0" relativeHeight="251713536" behindDoc="0" locked="0" layoutInCell="1" allowOverlap="1">
            <wp:simplePos x="0" y="0"/>
            <wp:positionH relativeFrom="column">
              <wp:posOffset>-758190</wp:posOffset>
            </wp:positionH>
            <wp:positionV relativeFrom="paragraph">
              <wp:posOffset>-1189355</wp:posOffset>
            </wp:positionV>
            <wp:extent cx="7188835" cy="2405380"/>
            <wp:effectExtent l="19050" t="0" r="0" b="0"/>
            <wp:wrapTopAndBottom/>
            <wp:docPr id="17"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
                    <a:srcRect r="4721" b="77408"/>
                    <a:stretch>
                      <a:fillRect/>
                    </a:stretch>
                  </pic:blipFill>
                  <pic:spPr bwMode="auto">
                    <a:xfrm>
                      <a:off x="0" y="0"/>
                      <a:ext cx="7188835" cy="2405380"/>
                    </a:xfrm>
                    <a:prstGeom prst="rect">
                      <a:avLst/>
                    </a:prstGeom>
                    <a:solidFill>
                      <a:srgbClr val="FFFFFF">
                        <a:alpha val="0"/>
                      </a:srgbClr>
                    </a:solidFill>
                    <a:ln w="9525">
                      <a:noFill/>
                      <a:miter lim="800000"/>
                      <a:headEnd/>
                      <a:tailEnd/>
                    </a:ln>
                  </pic:spPr>
                </pic:pic>
              </a:graphicData>
            </a:graphic>
          </wp:anchor>
        </w:drawing>
      </w:r>
      <w:r w:rsidR="00570A61">
        <w:rPr>
          <w:rFonts w:ascii="Times New Roman" w:hAnsi="Times New Roman" w:cs="Times New Roman"/>
          <w:noProof/>
          <w:sz w:val="24"/>
          <w:szCs w:val="24"/>
          <w:lang w:val="it-IT" w:eastAsia="it-IT"/>
        </w:rPr>
        <w:pict>
          <v:shapetype id="_x0000_t202" coordsize="21600,21600" o:spt="202" path="m,l,21600r21600,l21600,xe">
            <v:stroke joinstyle="miter"/>
            <v:path gradientshapeok="t" o:connecttype="rect"/>
          </v:shapetype>
          <v:shape id="_x0000_s1047" type="#_x0000_t202" style="position:absolute;left:0;text-align:left;margin-left:0;margin-top:740.4pt;width:374.8pt;height:14.1pt;z-index:251714560;mso-wrap-distance-left:9.05pt;mso-wrap-distance-right:9.05pt;mso-position-horizontal:center;mso-position-horizontal-relative:page;mso-position-vertical:absolute;mso-position-vertical-relative:page" stroked="f">
            <v:fill opacity="0" color2="black"/>
            <v:textbox inset="0,0,0,0">
              <w:txbxContent>
                <w:p w:rsidR="002824C9" w:rsidRDefault="002824C9" w:rsidP="002824C9">
                  <w:pPr>
                    <w:jc w:val="center"/>
                    <w:rPr>
                      <w:rFonts w:ascii="Times New Roman" w:hAnsi="Times New Roman" w:cs="Times New Roman"/>
                    </w:rPr>
                  </w:pPr>
                  <w:r>
                    <w:rPr>
                      <w:rFonts w:ascii="Times New Roman" w:hAnsi="Times New Roman" w:cs="Times New Roman"/>
                    </w:rPr>
                    <w:t xml:space="preserve">            XXIV</w:t>
                  </w:r>
                  <w:r>
                    <w:rPr>
                      <w:rFonts w:ascii="Times New Roman" w:eastAsia="Times New Roman" w:hAnsi="Times New Roman" w:cs="Times New Roman"/>
                    </w:rPr>
                    <w:t xml:space="preserve"> </w:t>
                  </w:r>
                  <w:r>
                    <w:rPr>
                      <w:rFonts w:ascii="Times New Roman" w:hAnsi="Times New Roman" w:cs="Times New Roman"/>
                    </w:rPr>
                    <w:t>CICLO</w:t>
                  </w:r>
                </w:p>
              </w:txbxContent>
            </v:textbox>
            <w10:wrap anchorx="page" anchory="page"/>
          </v:shape>
        </w:pict>
      </w:r>
      <w:r w:rsidR="00570A61">
        <w:rPr>
          <w:rFonts w:ascii="Times New Roman" w:hAnsi="Times New Roman" w:cs="Times New Roman"/>
          <w:noProof/>
          <w:sz w:val="24"/>
          <w:szCs w:val="24"/>
          <w:lang w:val="it-IT" w:eastAsia="it-IT"/>
        </w:rPr>
        <w:pict>
          <v:shape id="_x0000_s1044" type="#_x0000_t202" style="position:absolute;left:0;text-align:left;margin-left:0;margin-top:422.8pt;width:411.65pt;height:70.3pt;z-index:251711488;mso-wrap-distance-left:9.05pt;mso-wrap-distance-right:9.05pt;mso-position-horizontal:center;mso-position-horizontal-relative:page;mso-position-vertical:absolute;mso-position-vertical-relative:page" stroked="f">
            <v:fill opacity="0" color2="black"/>
            <v:textbox inset="0,0,0,0">
              <w:txbxContent>
                <w:p w:rsidR="002824C9" w:rsidRDefault="002824C9" w:rsidP="002824C9">
                  <w:pPr>
                    <w:jc w:val="center"/>
                    <w:rPr>
                      <w:rFonts w:ascii="Times New Roman" w:hAnsi="Times New Roman" w:cs="Times New Roman"/>
                    </w:rPr>
                  </w:pPr>
                  <w:r>
                    <w:rPr>
                      <w:rFonts w:ascii="Times New Roman" w:hAnsi="Times New Roman" w:cs="Times New Roman"/>
                    </w:rPr>
                    <w:t>MED25</w:t>
                  </w:r>
                </w:p>
              </w:txbxContent>
            </v:textbox>
            <w10:wrap anchorx="page" anchory="page"/>
          </v:shape>
        </w:pict>
      </w:r>
      <w:r w:rsidR="00570A61">
        <w:rPr>
          <w:rFonts w:ascii="Times New Roman" w:hAnsi="Times New Roman" w:cs="Times New Roman"/>
          <w:noProof/>
          <w:sz w:val="24"/>
          <w:szCs w:val="24"/>
          <w:lang w:val="it-IT" w:eastAsia="it-IT"/>
        </w:rPr>
        <w:pict>
          <v:shape id="_x0000_s1042" type="#_x0000_t202" style="position:absolute;left:0;text-align:left;margin-left:-21.85pt;margin-top:298.8pt;width:525.5pt;height:64.2pt;z-index:251709440;mso-wrap-distance-left:9.05pt;mso-wrap-distance-right:9.05pt;mso-position-horizontal:absolute;mso-position-horizontal-relative:text;mso-position-vertical:absolute;mso-position-vertical-relative:text" stroked="f">
            <v:fill opacity="0" color2="black"/>
            <v:textbox inset="0,0,0,0">
              <w:txbxContent>
                <w:p w:rsidR="002824C9" w:rsidRDefault="002824C9" w:rsidP="002824C9">
                  <w:pPr>
                    <w:jc w:val="center"/>
                    <w:rPr>
                      <w:rFonts w:ascii="Times New Roman" w:hAnsi="Times New Roman" w:cs="Times New Roman"/>
                      <w:color w:val="222222"/>
                      <w:sz w:val="38"/>
                      <w:szCs w:val="38"/>
                    </w:rPr>
                  </w:pPr>
                  <w:r>
                    <w:rPr>
                      <w:rFonts w:ascii="Times New Roman" w:eastAsia="Times New Roman" w:hAnsi="Times New Roman" w:cs="Times New Roman"/>
                      <w:color w:val="222222"/>
                      <w:sz w:val="38"/>
                      <w:szCs w:val="38"/>
                    </w:rPr>
                    <w:t>“</w:t>
                  </w:r>
                  <w:r>
                    <w:rPr>
                      <w:rFonts w:ascii="Times New Roman" w:hAnsi="Times New Roman" w:cs="Times New Roman"/>
                      <w:color w:val="222222"/>
                      <w:sz w:val="38"/>
                      <w:szCs w:val="38"/>
                    </w:rPr>
                    <w:t>Effetto</w:t>
                  </w:r>
                  <w:r>
                    <w:rPr>
                      <w:rFonts w:ascii="Times New Roman" w:eastAsia="Times New Roman" w:hAnsi="Times New Roman" w:cs="Times New Roman"/>
                      <w:color w:val="222222"/>
                      <w:sz w:val="38"/>
                      <w:szCs w:val="38"/>
                    </w:rPr>
                    <w:t xml:space="preserve"> </w:t>
                  </w:r>
                  <w:r>
                    <w:rPr>
                      <w:rFonts w:ascii="Times New Roman" w:hAnsi="Times New Roman" w:cs="Times New Roman"/>
                      <w:color w:val="222222"/>
                      <w:sz w:val="38"/>
                      <w:szCs w:val="38"/>
                    </w:rPr>
                    <w:t>di</w:t>
                  </w:r>
                  <w:r>
                    <w:rPr>
                      <w:rFonts w:ascii="Times New Roman" w:eastAsia="Times New Roman" w:hAnsi="Times New Roman" w:cs="Times New Roman"/>
                      <w:color w:val="222222"/>
                      <w:sz w:val="38"/>
                      <w:szCs w:val="38"/>
                    </w:rPr>
                    <w:t xml:space="preserve"> </w:t>
                  </w:r>
                  <w:r>
                    <w:rPr>
                      <w:rFonts w:ascii="Times New Roman" w:hAnsi="Times New Roman" w:cs="Times New Roman"/>
                      <w:color w:val="222222"/>
                      <w:sz w:val="38"/>
                      <w:szCs w:val="38"/>
                    </w:rPr>
                    <w:t>litio</w:t>
                  </w:r>
                  <w:r>
                    <w:rPr>
                      <w:rFonts w:ascii="Times New Roman" w:eastAsia="Times New Roman" w:hAnsi="Times New Roman" w:cs="Times New Roman"/>
                      <w:color w:val="222222"/>
                      <w:sz w:val="38"/>
                      <w:szCs w:val="38"/>
                    </w:rPr>
                    <w:t xml:space="preserve"> </w:t>
                  </w:r>
                  <w:r>
                    <w:rPr>
                      <w:rFonts w:ascii="Times New Roman" w:hAnsi="Times New Roman" w:cs="Times New Roman"/>
                      <w:color w:val="222222"/>
                      <w:sz w:val="38"/>
                      <w:szCs w:val="38"/>
                    </w:rPr>
                    <w:t>e</w:t>
                  </w:r>
                  <w:r>
                    <w:rPr>
                      <w:rFonts w:ascii="Times New Roman" w:eastAsia="Times New Roman" w:hAnsi="Times New Roman" w:cs="Times New Roman"/>
                      <w:color w:val="222222"/>
                      <w:sz w:val="38"/>
                      <w:szCs w:val="38"/>
                    </w:rPr>
                    <w:t xml:space="preserve"> </w:t>
                  </w:r>
                  <w:r>
                    <w:rPr>
                      <w:rFonts w:ascii="Times New Roman" w:hAnsi="Times New Roman" w:cs="Times New Roman"/>
                      <w:color w:val="222222"/>
                      <w:sz w:val="38"/>
                      <w:szCs w:val="38"/>
                    </w:rPr>
                    <w:t>GSK-3</w:t>
                  </w:r>
                  <w:r>
                    <w:rPr>
                      <w:rFonts w:ascii="Times New Roman" w:hAnsi="Times New Roman" w:cs="Times New Roman"/>
                      <w:b/>
                      <w:bCs/>
                      <w:color w:val="222222"/>
                      <w:sz w:val="38"/>
                      <w:szCs w:val="38"/>
                    </w:rPr>
                    <w:t>β</w:t>
                  </w:r>
                  <w:r>
                    <w:rPr>
                      <w:rFonts w:ascii="Times New Roman" w:eastAsia="Times New Roman" w:hAnsi="Times New Roman" w:cs="Times New Roman"/>
                      <w:color w:val="222222"/>
                      <w:sz w:val="38"/>
                      <w:szCs w:val="38"/>
                    </w:rPr>
                    <w:t xml:space="preserve"> </w:t>
                  </w:r>
                  <w:r>
                    <w:rPr>
                      <w:rFonts w:ascii="Times New Roman" w:hAnsi="Times New Roman" w:cs="Times New Roman"/>
                      <w:color w:val="222222"/>
                      <w:sz w:val="38"/>
                      <w:szCs w:val="38"/>
                    </w:rPr>
                    <w:t>sull'integrità</w:t>
                  </w:r>
                  <w:r>
                    <w:rPr>
                      <w:rFonts w:ascii="Times New Roman" w:eastAsia="Times New Roman" w:hAnsi="Times New Roman" w:cs="Times New Roman"/>
                      <w:color w:val="222222"/>
                      <w:sz w:val="38"/>
                      <w:szCs w:val="38"/>
                    </w:rPr>
                    <w:t xml:space="preserve"> </w:t>
                  </w:r>
                  <w:r>
                    <w:rPr>
                      <w:rFonts w:ascii="Times New Roman" w:hAnsi="Times New Roman" w:cs="Times New Roman"/>
                      <w:color w:val="222222"/>
                      <w:sz w:val="38"/>
                      <w:szCs w:val="38"/>
                    </w:rPr>
                    <w:t>della</w:t>
                  </w:r>
                  <w:r>
                    <w:rPr>
                      <w:rFonts w:ascii="Times New Roman" w:eastAsia="Times New Roman" w:hAnsi="Times New Roman" w:cs="Times New Roman"/>
                      <w:color w:val="222222"/>
                      <w:sz w:val="38"/>
                      <w:szCs w:val="38"/>
                    </w:rPr>
                    <w:t xml:space="preserve"> </w:t>
                  </w:r>
                  <w:r>
                    <w:rPr>
                      <w:rFonts w:ascii="Times New Roman" w:hAnsi="Times New Roman" w:cs="Times New Roman"/>
                      <w:color w:val="222222"/>
                      <w:sz w:val="38"/>
                      <w:szCs w:val="38"/>
                    </w:rPr>
                    <w:t>sostanza</w:t>
                  </w:r>
                  <w:r>
                    <w:rPr>
                      <w:rFonts w:ascii="Times New Roman" w:eastAsia="Times New Roman" w:hAnsi="Times New Roman" w:cs="Times New Roman"/>
                      <w:color w:val="222222"/>
                      <w:sz w:val="38"/>
                      <w:szCs w:val="38"/>
                    </w:rPr>
                    <w:t xml:space="preserve"> </w:t>
                  </w:r>
                  <w:r>
                    <w:rPr>
                      <w:rFonts w:ascii="Times New Roman" w:hAnsi="Times New Roman" w:cs="Times New Roman"/>
                      <w:color w:val="222222"/>
                      <w:sz w:val="38"/>
                      <w:szCs w:val="38"/>
                    </w:rPr>
                    <w:t>bianca</w:t>
                  </w:r>
                  <w:r>
                    <w:rPr>
                      <w:rFonts w:ascii="Times New Roman" w:eastAsia="Times New Roman" w:hAnsi="Times New Roman" w:cs="Times New Roman"/>
                      <w:color w:val="222222"/>
                      <w:sz w:val="38"/>
                      <w:szCs w:val="38"/>
                    </w:rPr>
                    <w:t xml:space="preserve"> </w:t>
                  </w:r>
                  <w:r>
                    <w:rPr>
                      <w:rFonts w:ascii="Times New Roman" w:hAnsi="Times New Roman" w:cs="Times New Roman"/>
                      <w:color w:val="222222"/>
                      <w:sz w:val="38"/>
                      <w:szCs w:val="38"/>
                    </w:rPr>
                    <w:t>nel</w:t>
                  </w:r>
                </w:p>
                <w:p w:rsidR="002824C9" w:rsidRDefault="002824C9" w:rsidP="002824C9">
                  <w:pPr>
                    <w:jc w:val="center"/>
                    <w:rPr>
                      <w:rFonts w:ascii="Times New Roman" w:eastAsia="Times New Roman" w:hAnsi="Times New Roman" w:cs="Times New Roman"/>
                      <w:color w:val="222222"/>
                      <w:sz w:val="38"/>
                      <w:szCs w:val="38"/>
                    </w:rPr>
                  </w:pPr>
                  <w:r>
                    <w:rPr>
                      <w:rFonts w:ascii="Times New Roman" w:eastAsia="Times New Roman" w:hAnsi="Times New Roman" w:cs="Times New Roman"/>
                      <w:color w:val="222222"/>
                      <w:sz w:val="38"/>
                      <w:szCs w:val="38"/>
                    </w:rPr>
                    <w:t xml:space="preserve"> </w:t>
                  </w:r>
                  <w:r>
                    <w:rPr>
                      <w:rFonts w:ascii="Times New Roman" w:hAnsi="Times New Roman" w:cs="Times New Roman"/>
                      <w:color w:val="222222"/>
                      <w:sz w:val="38"/>
                      <w:szCs w:val="38"/>
                    </w:rPr>
                    <w:t>disturbo</w:t>
                  </w:r>
                  <w:r>
                    <w:rPr>
                      <w:rFonts w:ascii="Times New Roman" w:eastAsia="Times New Roman" w:hAnsi="Times New Roman" w:cs="Times New Roman"/>
                      <w:color w:val="222222"/>
                      <w:sz w:val="38"/>
                      <w:szCs w:val="38"/>
                    </w:rPr>
                    <w:t xml:space="preserve"> </w:t>
                  </w:r>
                  <w:r>
                    <w:rPr>
                      <w:rFonts w:ascii="Times New Roman" w:hAnsi="Times New Roman" w:cs="Times New Roman"/>
                      <w:color w:val="222222"/>
                      <w:sz w:val="38"/>
                      <w:szCs w:val="38"/>
                    </w:rPr>
                    <w:t>bipolare:</w:t>
                  </w:r>
                  <w:r>
                    <w:rPr>
                      <w:rFonts w:ascii="Times New Roman" w:eastAsia="Times New Roman" w:hAnsi="Times New Roman" w:cs="Times New Roman"/>
                      <w:color w:val="222222"/>
                      <w:sz w:val="38"/>
                      <w:szCs w:val="38"/>
                    </w:rPr>
                    <w:t xml:space="preserve"> </w:t>
                  </w:r>
                  <w:r>
                    <w:rPr>
                      <w:rFonts w:ascii="Times New Roman" w:hAnsi="Times New Roman" w:cs="Times New Roman"/>
                      <w:color w:val="222222"/>
                      <w:sz w:val="38"/>
                      <w:szCs w:val="38"/>
                    </w:rPr>
                    <w:t>uno</w:t>
                  </w:r>
                  <w:r>
                    <w:rPr>
                      <w:rFonts w:ascii="Times New Roman" w:eastAsia="Times New Roman" w:hAnsi="Times New Roman" w:cs="Times New Roman"/>
                      <w:color w:val="222222"/>
                      <w:sz w:val="38"/>
                      <w:szCs w:val="38"/>
                    </w:rPr>
                    <w:t xml:space="preserve"> </w:t>
                  </w:r>
                  <w:r>
                    <w:rPr>
                      <w:rFonts w:ascii="Times New Roman" w:hAnsi="Times New Roman" w:cs="Times New Roman"/>
                      <w:color w:val="222222"/>
                      <w:sz w:val="38"/>
                      <w:szCs w:val="38"/>
                    </w:rPr>
                    <w:t>studio</w:t>
                  </w:r>
                  <w:r>
                    <w:rPr>
                      <w:rFonts w:ascii="Times New Roman" w:eastAsia="Times New Roman" w:hAnsi="Times New Roman" w:cs="Times New Roman"/>
                      <w:color w:val="222222"/>
                      <w:sz w:val="38"/>
                      <w:szCs w:val="38"/>
                    </w:rPr>
                    <w:t xml:space="preserve"> </w:t>
                  </w:r>
                  <w:r>
                    <w:rPr>
                      <w:rFonts w:ascii="Times New Roman" w:hAnsi="Times New Roman" w:cs="Times New Roman"/>
                      <w:color w:val="222222"/>
                      <w:sz w:val="38"/>
                      <w:szCs w:val="38"/>
                    </w:rPr>
                    <w:t>di</w:t>
                  </w:r>
                  <w:r>
                    <w:rPr>
                      <w:rFonts w:ascii="Times New Roman" w:eastAsia="Times New Roman" w:hAnsi="Times New Roman" w:cs="Times New Roman"/>
                      <w:color w:val="222222"/>
                      <w:sz w:val="38"/>
                      <w:szCs w:val="38"/>
                    </w:rPr>
                    <w:t xml:space="preserve"> </w:t>
                  </w:r>
                  <w:r>
                    <w:rPr>
                      <w:rFonts w:ascii="Times New Roman" w:hAnsi="Times New Roman" w:cs="Times New Roman"/>
                      <w:color w:val="222222"/>
                      <w:sz w:val="38"/>
                      <w:szCs w:val="38"/>
                    </w:rPr>
                    <w:t>TBSS</w:t>
                  </w:r>
                  <w:r>
                    <w:rPr>
                      <w:rFonts w:ascii="Times New Roman" w:eastAsia="Times New Roman" w:hAnsi="Times New Roman" w:cs="Times New Roman"/>
                      <w:color w:val="222222"/>
                      <w:sz w:val="38"/>
                      <w:szCs w:val="38"/>
                    </w:rPr>
                    <w:t xml:space="preserve"> </w:t>
                  </w:r>
                  <w:r>
                    <w:rPr>
                      <w:rFonts w:ascii="Times New Roman" w:hAnsi="Times New Roman" w:cs="Times New Roman"/>
                      <w:color w:val="222222"/>
                      <w:sz w:val="38"/>
                      <w:szCs w:val="38"/>
                    </w:rPr>
                    <w:t>con</w:t>
                  </w:r>
                  <w:r>
                    <w:rPr>
                      <w:rFonts w:ascii="Times New Roman" w:eastAsia="Times New Roman" w:hAnsi="Times New Roman" w:cs="Times New Roman"/>
                      <w:color w:val="222222"/>
                      <w:sz w:val="38"/>
                      <w:szCs w:val="38"/>
                    </w:rPr>
                    <w:t xml:space="preserve"> </w:t>
                  </w:r>
                  <w:r>
                    <w:rPr>
                      <w:rFonts w:ascii="Times New Roman" w:hAnsi="Times New Roman" w:cs="Times New Roman"/>
                      <w:color w:val="222222"/>
                      <w:sz w:val="38"/>
                      <w:szCs w:val="38"/>
                    </w:rPr>
                    <w:t>tensore</w:t>
                  </w:r>
                  <w:r>
                    <w:rPr>
                      <w:rFonts w:ascii="Times New Roman" w:eastAsia="Times New Roman" w:hAnsi="Times New Roman" w:cs="Times New Roman"/>
                      <w:color w:val="222222"/>
                      <w:sz w:val="38"/>
                      <w:szCs w:val="38"/>
                    </w:rPr>
                    <w:t xml:space="preserve"> </w:t>
                  </w:r>
                  <w:r>
                    <w:rPr>
                      <w:rFonts w:ascii="Times New Roman" w:hAnsi="Times New Roman" w:cs="Times New Roman"/>
                      <w:color w:val="222222"/>
                      <w:sz w:val="38"/>
                      <w:szCs w:val="38"/>
                    </w:rPr>
                    <w:t>di</w:t>
                  </w:r>
                  <w:r>
                    <w:rPr>
                      <w:rFonts w:ascii="Times New Roman" w:eastAsia="Times New Roman" w:hAnsi="Times New Roman" w:cs="Times New Roman"/>
                      <w:color w:val="222222"/>
                      <w:sz w:val="38"/>
                      <w:szCs w:val="38"/>
                    </w:rPr>
                    <w:t xml:space="preserve"> </w:t>
                  </w:r>
                  <w:r>
                    <w:rPr>
                      <w:rFonts w:ascii="Times New Roman" w:hAnsi="Times New Roman" w:cs="Times New Roman"/>
                      <w:color w:val="222222"/>
                      <w:sz w:val="38"/>
                      <w:szCs w:val="38"/>
                    </w:rPr>
                    <w:t>diffusione</w:t>
                  </w:r>
                  <w:r>
                    <w:rPr>
                      <w:rFonts w:ascii="Times New Roman" w:eastAsia="Times New Roman" w:hAnsi="Times New Roman" w:cs="Times New Roman"/>
                      <w:color w:val="222222"/>
                      <w:sz w:val="38"/>
                      <w:szCs w:val="38"/>
                    </w:rPr>
                    <w:t>”</w:t>
                  </w:r>
                </w:p>
              </w:txbxContent>
            </v:textbox>
          </v:shape>
        </w:pict>
      </w:r>
      <w:r w:rsidR="00570A61">
        <w:rPr>
          <w:rFonts w:ascii="Times New Roman" w:hAnsi="Times New Roman" w:cs="Times New Roman"/>
          <w:noProof/>
          <w:sz w:val="24"/>
          <w:szCs w:val="24"/>
          <w:lang w:val="it-IT" w:eastAsia="it-IT"/>
        </w:rPr>
        <w:pict>
          <v:shape id="_x0000_s1041" type="#_x0000_t202" style="position:absolute;left:0;text-align:left;margin-left:-26.25pt;margin-top:188.45pt;width:534.35pt;height:38.35pt;z-index:251708416;mso-wrap-distance-left:9.05pt;mso-wrap-distance-right:9.05pt;mso-position-horizontal:absolute;mso-position-horizontal-relative:text;mso-position-vertical:absolute;mso-position-vertical-relative:text" stroked="f">
            <v:fill opacity="0" color2="black"/>
            <v:textbox inset="0,0,0,0">
              <w:txbxContent>
                <w:p w:rsidR="002824C9" w:rsidRDefault="002824C9" w:rsidP="002824C9">
                  <w:pPr>
                    <w:jc w:val="center"/>
                    <w:rPr>
                      <w:rFonts w:ascii="Times New Roman" w:hAnsi="Times New Roman" w:cs="Times New Roman"/>
                      <w:sz w:val="24"/>
                      <w:szCs w:val="24"/>
                    </w:rPr>
                  </w:pPr>
                  <w:r>
                    <w:rPr>
                      <w:rFonts w:ascii="Times New Roman" w:hAnsi="Times New Roman" w:cs="Times New Roman"/>
                      <w:sz w:val="24"/>
                      <w:szCs w:val="24"/>
                    </w:rPr>
                    <w:t>Dottorato</w:t>
                  </w:r>
                  <w:r>
                    <w:rPr>
                      <w:rFonts w:ascii="Times New Roman" w:eastAsia="Times New Roman" w:hAnsi="Times New Roman" w:cs="Times New Roman"/>
                      <w:sz w:val="24"/>
                      <w:szCs w:val="24"/>
                    </w:rPr>
                    <w:t xml:space="preserve"> </w:t>
                  </w:r>
                  <w:r>
                    <w:rPr>
                      <w:rFonts w:ascii="Times New Roman" w:hAnsi="Times New Roman" w:cs="Times New Roman"/>
                      <w:sz w:val="24"/>
                      <w:szCs w:val="24"/>
                    </w:rPr>
                    <w:t>in</w:t>
                  </w:r>
                  <w:r>
                    <w:rPr>
                      <w:rFonts w:ascii="Times New Roman" w:eastAsia="Times New Roman" w:hAnsi="Times New Roman" w:cs="Times New Roman"/>
                      <w:sz w:val="24"/>
                      <w:szCs w:val="24"/>
                    </w:rPr>
                    <w:t xml:space="preserve"> </w:t>
                  </w:r>
                  <w:r>
                    <w:rPr>
                      <w:rFonts w:ascii="Times New Roman" w:hAnsi="Times New Roman" w:cs="Times New Roman"/>
                      <w:sz w:val="24"/>
                      <w:szCs w:val="24"/>
                    </w:rPr>
                    <w:t>Neuroscienze</w:t>
                  </w:r>
                  <w:r>
                    <w:rPr>
                      <w:rFonts w:ascii="Times New Roman" w:eastAsia="Times New Roman" w:hAnsi="Times New Roman" w:cs="Times New Roman"/>
                      <w:sz w:val="24"/>
                      <w:szCs w:val="24"/>
                    </w:rPr>
                    <w:t xml:space="preserve"> </w:t>
                  </w:r>
                  <w:r>
                    <w:rPr>
                      <w:rFonts w:ascii="Times New Roman" w:hAnsi="Times New Roman" w:cs="Times New Roman"/>
                      <w:sz w:val="24"/>
                      <w:szCs w:val="24"/>
                    </w:rPr>
                    <w:t>e</w:t>
                  </w:r>
                  <w:r>
                    <w:rPr>
                      <w:rFonts w:ascii="Times New Roman" w:eastAsia="Times New Roman" w:hAnsi="Times New Roman" w:cs="Times New Roman"/>
                      <w:sz w:val="24"/>
                      <w:szCs w:val="24"/>
                    </w:rPr>
                    <w:t xml:space="preserve"> </w:t>
                  </w:r>
                  <w:r>
                    <w:rPr>
                      <w:rFonts w:ascii="Times New Roman" w:hAnsi="Times New Roman" w:cs="Times New Roman"/>
                      <w:sz w:val="24"/>
                      <w:szCs w:val="24"/>
                    </w:rPr>
                    <w:t>Disturbi</w:t>
                  </w:r>
                  <w:r>
                    <w:rPr>
                      <w:rFonts w:ascii="Times New Roman" w:eastAsia="Times New Roman" w:hAnsi="Times New Roman" w:cs="Times New Roman"/>
                      <w:sz w:val="24"/>
                      <w:szCs w:val="24"/>
                    </w:rPr>
                    <w:t xml:space="preserve"> </w:t>
                  </w:r>
                  <w:r>
                    <w:rPr>
                      <w:rFonts w:ascii="Times New Roman" w:hAnsi="Times New Roman" w:cs="Times New Roman"/>
                      <w:sz w:val="24"/>
                      <w:szCs w:val="24"/>
                    </w:rPr>
                    <w:t>del</w:t>
                  </w:r>
                  <w:r>
                    <w:rPr>
                      <w:rFonts w:ascii="Times New Roman" w:eastAsia="Times New Roman" w:hAnsi="Times New Roman" w:cs="Times New Roman"/>
                      <w:sz w:val="24"/>
                      <w:szCs w:val="24"/>
                    </w:rPr>
                    <w:t xml:space="preserve"> </w:t>
                  </w:r>
                  <w:r>
                    <w:rPr>
                      <w:rFonts w:ascii="Times New Roman" w:hAnsi="Times New Roman" w:cs="Times New Roman"/>
                      <w:sz w:val="24"/>
                      <w:szCs w:val="24"/>
                    </w:rPr>
                    <w:t>Comportamento</w:t>
                  </w:r>
                </w:p>
              </w:txbxContent>
            </v:textbox>
          </v:shape>
        </w:pict>
      </w:r>
      <w:r w:rsidR="00570A61">
        <w:rPr>
          <w:rFonts w:ascii="Times New Roman" w:hAnsi="Times New Roman" w:cs="Times New Roman"/>
          <w:noProof/>
          <w:sz w:val="24"/>
          <w:szCs w:val="24"/>
          <w:lang w:val="it-IT" w:eastAsia="it-IT"/>
        </w:rPr>
        <w:pict>
          <v:shape id="_x0000_s1040" type="#_x0000_t202" style="position:absolute;left:0;text-align:left;margin-left:0;margin-top:115.65pt;width:504.35pt;height:44.45pt;z-index:251707392;mso-wrap-distance-left:9.05pt;mso-wrap-distance-right:9.05pt;mso-position-horizontal:center;mso-position-horizontal-relative:text;mso-position-vertical:absolute;mso-position-vertical-relative:text" stroked="f">
            <v:fill opacity="0" color2="black"/>
            <v:textbox inset="0,0,0,0">
              <w:txbxContent>
                <w:p w:rsidR="002824C9" w:rsidRDefault="002824C9" w:rsidP="002824C9">
                  <w:pPr>
                    <w:pStyle w:val="Corpodeltesto"/>
                    <w:spacing w:line="204" w:lineRule="auto"/>
                    <w:jc w:val="center"/>
                    <w:rPr>
                      <w:rFonts w:hint="eastAsia"/>
                      <w:sz w:val="22"/>
                      <w:szCs w:val="22"/>
                      <w:shd w:val="clear" w:color="auto" w:fill="FFFFFF"/>
                    </w:rPr>
                  </w:pPr>
                </w:p>
                <w:p w:rsidR="002824C9" w:rsidRDefault="002824C9" w:rsidP="002824C9">
                  <w:pPr>
                    <w:pStyle w:val="Corpodeltesto"/>
                    <w:spacing w:line="200" w:lineRule="atLeast"/>
                    <w:jc w:val="center"/>
                    <w:rPr>
                      <w:rFonts w:ascii="Times New Roman" w:eastAsia="Times New Roman" w:hAnsi="Times New Roman" w:cs="Times New Roman"/>
                      <w:sz w:val="22"/>
                      <w:szCs w:val="22"/>
                      <w:shd w:val="clear" w:color="auto" w:fill="FFFFFF"/>
                    </w:rPr>
                  </w:pPr>
                  <w:r>
                    <w:rPr>
                      <w:rFonts w:ascii="Times New Roman" w:hAnsi="Times New Roman" w:cs="Times New Roman"/>
                      <w:sz w:val="22"/>
                      <w:szCs w:val="22"/>
                      <w:shd w:val="clear" w:color="auto" w:fill="FFFFFF"/>
                    </w:rPr>
                    <w:t>DIPARTIMENTO</w:t>
                  </w:r>
                  <w:r>
                    <w:rPr>
                      <w:rFonts w:ascii="Times New Roman" w:eastAsia="Times New Roman" w:hAnsi="Times New Roman" w:cs="Times New Roman"/>
                      <w:sz w:val="22"/>
                      <w:szCs w:val="22"/>
                      <w:shd w:val="clear" w:color="auto" w:fill="FFFFFF"/>
                    </w:rPr>
                    <w:t xml:space="preserve"> </w:t>
                  </w:r>
                  <w:r>
                    <w:rPr>
                      <w:rFonts w:ascii="Times New Roman" w:hAnsi="Times New Roman" w:cs="Times New Roman"/>
                      <w:sz w:val="22"/>
                      <w:szCs w:val="22"/>
                      <w:shd w:val="clear" w:color="auto" w:fill="FFFFFF"/>
                    </w:rPr>
                    <w:t>DI</w:t>
                  </w:r>
                  <w:r>
                    <w:rPr>
                      <w:rFonts w:ascii="Times New Roman" w:eastAsia="Times New Roman" w:hAnsi="Times New Roman" w:cs="Times New Roman"/>
                      <w:sz w:val="22"/>
                      <w:szCs w:val="22"/>
                      <w:shd w:val="clear" w:color="auto" w:fill="FFFFFF"/>
                    </w:rPr>
                    <w:t xml:space="preserve"> </w:t>
                  </w:r>
                  <w:r>
                    <w:rPr>
                      <w:rFonts w:ascii="Times New Roman" w:hAnsi="Times New Roman" w:cs="Times New Roman"/>
                      <w:sz w:val="22"/>
                      <w:szCs w:val="22"/>
                      <w:shd w:val="clear" w:color="auto" w:fill="FFFFFF"/>
                    </w:rPr>
                    <w:t>SCIENZE</w:t>
                  </w:r>
                  <w:r>
                    <w:rPr>
                      <w:rFonts w:ascii="Times New Roman" w:eastAsia="Times New Roman" w:hAnsi="Times New Roman" w:cs="Times New Roman"/>
                      <w:sz w:val="22"/>
                      <w:szCs w:val="22"/>
                      <w:shd w:val="clear" w:color="auto" w:fill="FFFFFF"/>
                    </w:rPr>
                    <w:t xml:space="preserve"> </w:t>
                  </w:r>
                  <w:r>
                    <w:rPr>
                      <w:rFonts w:ascii="Times New Roman" w:hAnsi="Times New Roman" w:cs="Times New Roman"/>
                      <w:sz w:val="22"/>
                      <w:szCs w:val="22"/>
                      <w:shd w:val="clear" w:color="auto" w:fill="FFFFFF"/>
                    </w:rPr>
                    <w:t>PER</w:t>
                  </w:r>
                  <w:r>
                    <w:rPr>
                      <w:rFonts w:ascii="Times New Roman" w:eastAsia="Times New Roman" w:hAnsi="Times New Roman" w:cs="Times New Roman"/>
                      <w:sz w:val="22"/>
                      <w:szCs w:val="22"/>
                      <w:shd w:val="clear" w:color="auto" w:fill="FFFFFF"/>
                    </w:rPr>
                    <w:t xml:space="preserve"> </w:t>
                  </w:r>
                  <w:r>
                    <w:rPr>
                      <w:rFonts w:ascii="Times New Roman" w:hAnsi="Times New Roman" w:cs="Times New Roman"/>
                      <w:sz w:val="22"/>
                      <w:szCs w:val="22"/>
                      <w:shd w:val="clear" w:color="auto" w:fill="FFFFFF"/>
                    </w:rPr>
                    <w:t>LA</w:t>
                  </w:r>
                  <w:r>
                    <w:rPr>
                      <w:rFonts w:ascii="Times New Roman" w:eastAsia="Times New Roman" w:hAnsi="Times New Roman" w:cs="Times New Roman"/>
                      <w:sz w:val="22"/>
                      <w:szCs w:val="22"/>
                      <w:shd w:val="clear" w:color="auto" w:fill="FFFFFF"/>
                    </w:rPr>
                    <w:t xml:space="preserve"> </w:t>
                  </w:r>
                  <w:r>
                    <w:rPr>
                      <w:rFonts w:ascii="Times New Roman" w:hAnsi="Times New Roman" w:cs="Times New Roman"/>
                      <w:sz w:val="22"/>
                      <w:szCs w:val="22"/>
                      <w:shd w:val="clear" w:color="auto" w:fill="FFFFFF"/>
                    </w:rPr>
                    <w:t>PROMOZIONE</w:t>
                  </w:r>
                  <w:r>
                    <w:rPr>
                      <w:rFonts w:ascii="Times New Roman" w:eastAsia="Times New Roman" w:hAnsi="Times New Roman" w:cs="Times New Roman"/>
                      <w:sz w:val="22"/>
                      <w:szCs w:val="22"/>
                      <w:shd w:val="clear" w:color="auto" w:fill="FFFFFF"/>
                    </w:rPr>
                    <w:t xml:space="preserve"> </w:t>
                  </w:r>
                  <w:r>
                    <w:rPr>
                      <w:rFonts w:ascii="Times New Roman" w:hAnsi="Times New Roman" w:cs="Times New Roman"/>
                      <w:sz w:val="22"/>
                      <w:szCs w:val="22"/>
                      <w:shd w:val="clear" w:color="auto" w:fill="FFFFFF"/>
                    </w:rPr>
                    <w:t>DELLA</w:t>
                  </w:r>
                  <w:r>
                    <w:rPr>
                      <w:rFonts w:ascii="Times New Roman" w:eastAsia="Times New Roman" w:hAnsi="Times New Roman" w:cs="Times New Roman"/>
                      <w:sz w:val="22"/>
                      <w:szCs w:val="22"/>
                      <w:shd w:val="clear" w:color="auto" w:fill="FFFFFF"/>
                    </w:rPr>
                    <w:t xml:space="preserve"> </w:t>
                  </w:r>
                  <w:r>
                    <w:rPr>
                      <w:rFonts w:ascii="Times New Roman" w:hAnsi="Times New Roman" w:cs="Times New Roman"/>
                      <w:sz w:val="22"/>
                      <w:szCs w:val="22"/>
                      <w:shd w:val="clear" w:color="auto" w:fill="FFFFFF"/>
                    </w:rPr>
                    <w:t>SALUTE</w:t>
                  </w:r>
                  <w:r>
                    <w:rPr>
                      <w:rFonts w:ascii="Times New Roman" w:eastAsia="Times New Roman" w:hAnsi="Times New Roman" w:cs="Times New Roman"/>
                      <w:sz w:val="22"/>
                      <w:szCs w:val="22"/>
                      <w:shd w:val="clear" w:color="auto" w:fill="FFFFFF"/>
                    </w:rPr>
                    <w:t xml:space="preserve"> </w:t>
                  </w:r>
                  <w:r>
                    <w:rPr>
                      <w:rFonts w:ascii="Times New Roman" w:hAnsi="Times New Roman" w:cs="Times New Roman"/>
                      <w:sz w:val="22"/>
                      <w:szCs w:val="22"/>
                      <w:shd w:val="clear" w:color="auto" w:fill="FFFFFF"/>
                    </w:rPr>
                    <w:t>E</w:t>
                  </w:r>
                  <w:r>
                    <w:rPr>
                      <w:rFonts w:ascii="Times New Roman" w:eastAsia="Times New Roman" w:hAnsi="Times New Roman" w:cs="Times New Roman"/>
                      <w:sz w:val="22"/>
                      <w:szCs w:val="22"/>
                      <w:shd w:val="clear" w:color="auto" w:fill="FFFFFF"/>
                    </w:rPr>
                    <w:t xml:space="preserve"> </w:t>
                  </w:r>
                  <w:r>
                    <w:rPr>
                      <w:rFonts w:ascii="Times New Roman" w:hAnsi="Times New Roman" w:cs="Times New Roman"/>
                      <w:sz w:val="22"/>
                      <w:szCs w:val="22"/>
                      <w:shd w:val="clear" w:color="auto" w:fill="FFFFFF"/>
                    </w:rPr>
                    <w:t>MATERNO</w:t>
                  </w:r>
                  <w:r>
                    <w:rPr>
                      <w:rFonts w:ascii="Times New Roman" w:eastAsia="Times New Roman" w:hAnsi="Times New Roman" w:cs="Times New Roman"/>
                      <w:sz w:val="22"/>
                      <w:szCs w:val="22"/>
                      <w:shd w:val="clear" w:color="auto" w:fill="FFFFFF"/>
                    </w:rPr>
                    <w:t xml:space="preserve"> </w:t>
                  </w:r>
                  <w:r>
                    <w:rPr>
                      <w:rFonts w:ascii="Times New Roman" w:hAnsi="Times New Roman" w:cs="Times New Roman"/>
                      <w:sz w:val="22"/>
                      <w:szCs w:val="22"/>
                      <w:shd w:val="clear" w:color="auto" w:fill="FFFFFF"/>
                    </w:rPr>
                    <w:t>INFANTILE</w:t>
                  </w:r>
                  <w:r>
                    <w:rPr>
                      <w:rFonts w:ascii="Times New Roman" w:eastAsia="Times New Roman" w:hAnsi="Times New Roman" w:cs="Times New Roman"/>
                      <w:sz w:val="22"/>
                      <w:szCs w:val="22"/>
                      <w:shd w:val="clear" w:color="auto" w:fill="FFFFFF"/>
                    </w:rPr>
                    <w:t xml:space="preserve">          “</w:t>
                  </w:r>
                  <w:r>
                    <w:rPr>
                      <w:rFonts w:ascii="Times New Roman" w:hAnsi="Times New Roman" w:cs="Times New Roman"/>
                      <w:sz w:val="22"/>
                      <w:szCs w:val="22"/>
                      <w:shd w:val="clear" w:color="auto" w:fill="FFFFFF"/>
                    </w:rPr>
                    <w:t>G.</w:t>
                  </w:r>
                  <w:r>
                    <w:rPr>
                      <w:rFonts w:ascii="Times New Roman" w:eastAsia="Times New Roman" w:hAnsi="Times New Roman" w:cs="Times New Roman"/>
                      <w:sz w:val="22"/>
                      <w:szCs w:val="22"/>
                      <w:shd w:val="clear" w:color="auto" w:fill="FFFFFF"/>
                    </w:rPr>
                    <w:t xml:space="preserve"> </w:t>
                  </w:r>
                  <w:r>
                    <w:rPr>
                      <w:rFonts w:ascii="Times New Roman" w:hAnsi="Times New Roman" w:cs="Times New Roman"/>
                      <w:sz w:val="22"/>
                      <w:szCs w:val="22"/>
                      <w:shd w:val="clear" w:color="auto" w:fill="FFFFFF"/>
                    </w:rPr>
                    <w:t>D'ALESSANDRO</w:t>
                  </w:r>
                  <w:r>
                    <w:rPr>
                      <w:rFonts w:ascii="Times New Roman" w:eastAsia="Times New Roman" w:hAnsi="Times New Roman" w:cs="Times New Roman"/>
                      <w:sz w:val="22"/>
                      <w:szCs w:val="22"/>
                      <w:shd w:val="clear" w:color="auto" w:fill="FFFFFF"/>
                    </w:rPr>
                    <w:t xml:space="preserve">” </w:t>
                  </w:r>
                </w:p>
                <w:p w:rsidR="002824C9" w:rsidRDefault="002824C9" w:rsidP="002824C9">
                  <w:pPr>
                    <w:spacing w:line="200" w:lineRule="atLeast"/>
                    <w:jc w:val="center"/>
                  </w:pPr>
                </w:p>
              </w:txbxContent>
            </v:textbox>
          </v:shape>
        </w:pict>
      </w:r>
      <w:r>
        <w:rPr>
          <w:rFonts w:ascii="Times New Roman" w:hAnsi="Times New Roman" w:cs="Times New Roman"/>
          <w:noProof/>
          <w:sz w:val="24"/>
          <w:szCs w:val="24"/>
          <w:lang w:val="it-IT" w:eastAsia="it-IT"/>
        </w:rPr>
        <w:drawing>
          <wp:anchor distT="0" distB="0" distL="0" distR="0" simplePos="0" relativeHeight="251706368" behindDoc="0" locked="0" layoutInCell="1" allowOverlap="1">
            <wp:simplePos x="0" y="0"/>
            <wp:positionH relativeFrom="page">
              <wp:align>center</wp:align>
            </wp:positionH>
            <wp:positionV relativeFrom="page">
              <wp:posOffset>9118600</wp:posOffset>
            </wp:positionV>
            <wp:extent cx="7197090" cy="1568450"/>
            <wp:effectExtent l="19050" t="0" r="3810" b="0"/>
            <wp:wrapTopAndBottom/>
            <wp:docPr id="16"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
                    <a:srcRect t="85252" r="4721"/>
                    <a:stretch>
                      <a:fillRect/>
                    </a:stretch>
                  </pic:blipFill>
                  <pic:spPr bwMode="auto">
                    <a:xfrm>
                      <a:off x="0" y="0"/>
                      <a:ext cx="7197090" cy="1568450"/>
                    </a:xfrm>
                    <a:prstGeom prst="rect">
                      <a:avLst/>
                    </a:prstGeom>
                    <a:solidFill>
                      <a:srgbClr val="FFFFFF">
                        <a:alpha val="0"/>
                      </a:srgbClr>
                    </a:solidFill>
                    <a:ln w="9525">
                      <a:noFill/>
                      <a:miter lim="800000"/>
                      <a:headEnd/>
                      <a:tailEnd/>
                    </a:ln>
                  </pic:spPr>
                </pic:pic>
              </a:graphicData>
            </a:graphic>
          </wp:anchor>
        </w:drawing>
      </w:r>
    </w:p>
    <w:p w:rsidR="00AA2842" w:rsidRDefault="00AA2842" w:rsidP="001E5BE4">
      <w:pPr>
        <w:spacing w:line="360" w:lineRule="auto"/>
        <w:ind w:right="1091"/>
        <w:jc w:val="both"/>
        <w:rPr>
          <w:rFonts w:ascii="Times New Roman" w:hAnsi="Times New Roman" w:cs="Times New Roman"/>
          <w:sz w:val="24"/>
          <w:szCs w:val="24"/>
        </w:rPr>
      </w:pPr>
    </w:p>
    <w:p w:rsidR="00AA2842" w:rsidRDefault="00AA2842" w:rsidP="001E5BE4">
      <w:pPr>
        <w:spacing w:line="360" w:lineRule="auto"/>
        <w:ind w:right="1091"/>
        <w:jc w:val="both"/>
        <w:rPr>
          <w:rFonts w:ascii="Times New Roman" w:hAnsi="Times New Roman" w:cs="Times New Roman"/>
          <w:sz w:val="24"/>
          <w:szCs w:val="24"/>
        </w:rPr>
      </w:pPr>
    </w:p>
    <w:p w:rsidR="00AA2842" w:rsidRDefault="00AA2842" w:rsidP="001E5BE4">
      <w:pPr>
        <w:spacing w:line="360" w:lineRule="auto"/>
        <w:ind w:right="1091"/>
        <w:jc w:val="both"/>
        <w:rPr>
          <w:rFonts w:ascii="Times New Roman" w:hAnsi="Times New Roman" w:cs="Times New Roman"/>
          <w:sz w:val="24"/>
          <w:szCs w:val="24"/>
        </w:rPr>
      </w:pPr>
    </w:p>
    <w:p w:rsidR="00AA2842" w:rsidRDefault="00AA2842" w:rsidP="001E5BE4">
      <w:pPr>
        <w:spacing w:line="360" w:lineRule="auto"/>
        <w:ind w:right="1091"/>
        <w:jc w:val="both"/>
        <w:rPr>
          <w:rFonts w:ascii="Times New Roman" w:hAnsi="Times New Roman" w:cs="Times New Roman"/>
          <w:sz w:val="24"/>
          <w:szCs w:val="24"/>
        </w:rPr>
      </w:pPr>
    </w:p>
    <w:p w:rsidR="00AA2842" w:rsidRDefault="00AA2842" w:rsidP="001E5BE4">
      <w:pPr>
        <w:spacing w:line="360" w:lineRule="auto"/>
        <w:ind w:right="1091"/>
        <w:jc w:val="both"/>
        <w:rPr>
          <w:rFonts w:ascii="Times New Roman" w:hAnsi="Times New Roman" w:cs="Times New Roman"/>
          <w:sz w:val="24"/>
          <w:szCs w:val="24"/>
        </w:rPr>
      </w:pPr>
    </w:p>
    <w:p w:rsidR="00AA2842" w:rsidRDefault="00AA2842" w:rsidP="001E5BE4">
      <w:pPr>
        <w:spacing w:line="360" w:lineRule="auto"/>
        <w:ind w:right="1091"/>
        <w:jc w:val="both"/>
        <w:rPr>
          <w:rFonts w:ascii="Times New Roman" w:hAnsi="Times New Roman" w:cs="Times New Roman"/>
          <w:sz w:val="24"/>
          <w:szCs w:val="24"/>
        </w:rPr>
      </w:pPr>
    </w:p>
    <w:p w:rsidR="00AA2842" w:rsidRDefault="00AA2842" w:rsidP="001E5BE4">
      <w:pPr>
        <w:spacing w:line="360" w:lineRule="auto"/>
        <w:ind w:right="1091"/>
        <w:jc w:val="both"/>
        <w:rPr>
          <w:rFonts w:ascii="Times New Roman" w:hAnsi="Times New Roman" w:cs="Times New Roman"/>
          <w:sz w:val="24"/>
          <w:szCs w:val="24"/>
        </w:rPr>
      </w:pPr>
    </w:p>
    <w:p w:rsidR="00AA2842" w:rsidRDefault="00AA2842" w:rsidP="001E5BE4">
      <w:pPr>
        <w:spacing w:line="360" w:lineRule="auto"/>
        <w:ind w:right="1091"/>
        <w:jc w:val="both"/>
        <w:rPr>
          <w:rFonts w:ascii="Times New Roman" w:hAnsi="Times New Roman" w:cs="Times New Roman"/>
          <w:sz w:val="24"/>
          <w:szCs w:val="24"/>
        </w:rPr>
      </w:pPr>
    </w:p>
    <w:p w:rsidR="00AA2842" w:rsidRDefault="00570A61" w:rsidP="001E5BE4">
      <w:pPr>
        <w:spacing w:line="360" w:lineRule="auto"/>
        <w:ind w:right="1091"/>
        <w:jc w:val="both"/>
        <w:rPr>
          <w:rFonts w:ascii="Times New Roman" w:hAnsi="Times New Roman" w:cs="Times New Roman"/>
          <w:sz w:val="24"/>
          <w:szCs w:val="24"/>
        </w:rPr>
      </w:pPr>
      <w:r>
        <w:rPr>
          <w:rFonts w:ascii="Times New Roman" w:hAnsi="Times New Roman" w:cs="Times New Roman"/>
          <w:noProof/>
          <w:sz w:val="24"/>
          <w:szCs w:val="24"/>
          <w:lang w:val="it-IT" w:eastAsia="it-IT"/>
        </w:rPr>
        <w:pict>
          <v:shape id="_x0000_s1048" type="#_x0000_t202" style="position:absolute;left:0;text-align:left;margin-left:7.6pt;margin-top:21.45pt;width:208.4pt;height:43.45pt;z-index:251715584;mso-wrap-distance-left:9.05pt;mso-wrap-distance-right:9.05pt;mso-position-horizontal-relative:text;mso-position-vertical-relative:text" stroked="f">
            <v:fill opacity="0" color2="black"/>
            <v:textbox inset="0,0,0,0">
              <w:txbxContent>
                <w:p w:rsidR="002824C9" w:rsidRDefault="002824C9" w:rsidP="002824C9">
                  <w:pPr>
                    <w:rPr>
                      <w:rFonts w:ascii="Times New Roman" w:eastAsia="Times New Roman" w:hAnsi="Times New Roman" w:cs="Times New Roman"/>
                      <w:sz w:val="24"/>
                      <w:szCs w:val="24"/>
                    </w:rPr>
                  </w:pPr>
                  <w:r>
                    <w:rPr>
                      <w:rFonts w:ascii="Times New Roman" w:eastAsia="Times New Roman" w:hAnsi="Times New Roman" w:cs="Times New Roman"/>
                      <w:sz w:val="24"/>
                      <w:szCs w:val="24"/>
                    </w:rPr>
                    <w:t>Tesi di</w:t>
                  </w:r>
                </w:p>
                <w:p w:rsidR="002824C9" w:rsidRDefault="002824C9" w:rsidP="002824C9">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Ignazio Barberi</w:t>
                  </w:r>
                </w:p>
              </w:txbxContent>
            </v:textbox>
          </v:shape>
        </w:pict>
      </w:r>
    </w:p>
    <w:p w:rsidR="00AA2842" w:rsidRDefault="00AA2842" w:rsidP="001E5BE4">
      <w:pPr>
        <w:spacing w:line="360" w:lineRule="auto"/>
        <w:ind w:right="1091"/>
        <w:jc w:val="both"/>
        <w:rPr>
          <w:rFonts w:ascii="Times New Roman" w:hAnsi="Times New Roman" w:cs="Times New Roman"/>
          <w:sz w:val="24"/>
          <w:szCs w:val="24"/>
        </w:rPr>
      </w:pPr>
    </w:p>
    <w:p w:rsidR="00AA2842" w:rsidRDefault="00AA2842" w:rsidP="001E5BE4">
      <w:pPr>
        <w:spacing w:line="360" w:lineRule="auto"/>
        <w:ind w:right="1091"/>
        <w:jc w:val="both"/>
        <w:rPr>
          <w:rFonts w:ascii="Times New Roman" w:hAnsi="Times New Roman" w:cs="Times New Roman"/>
          <w:sz w:val="24"/>
          <w:szCs w:val="24"/>
        </w:rPr>
      </w:pPr>
    </w:p>
    <w:p w:rsidR="00AA2842" w:rsidRDefault="00570A61" w:rsidP="001E5BE4">
      <w:pPr>
        <w:spacing w:line="360" w:lineRule="auto"/>
        <w:ind w:right="1091"/>
        <w:jc w:val="both"/>
        <w:rPr>
          <w:rFonts w:ascii="Times New Roman" w:hAnsi="Times New Roman" w:cs="Times New Roman"/>
          <w:sz w:val="24"/>
          <w:szCs w:val="24"/>
        </w:rPr>
      </w:pPr>
      <w:r>
        <w:rPr>
          <w:rFonts w:ascii="Times New Roman" w:hAnsi="Times New Roman" w:cs="Times New Roman"/>
          <w:noProof/>
          <w:sz w:val="24"/>
          <w:szCs w:val="24"/>
          <w:lang w:val="it-IT" w:eastAsia="it-IT"/>
        </w:rPr>
        <w:pict>
          <v:shape id="_x0000_s1043" type="#_x0000_t202" style="position:absolute;left:0;text-align:left;margin-left:253.25pt;margin-top:20.8pt;width:223.2pt;height:49.65pt;z-index:251710464;mso-wrap-distance-left:9.05pt;mso-wrap-distance-right:9.05pt;mso-position-horizontal-relative:text;mso-position-vertical-relative:text" stroked="f">
            <v:fill opacity="0" color2="black"/>
            <v:textbox inset="0,0,0,0">
              <w:txbxContent>
                <w:p w:rsidR="002824C9" w:rsidRDefault="002824C9" w:rsidP="002824C9">
                  <w:pPr>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Tutor                              </w:t>
                  </w:r>
                </w:p>
                <w:p w:rsidR="002824C9" w:rsidRDefault="002824C9" w:rsidP="002824C9">
                  <w:pPr>
                    <w:jc w:val="right"/>
                    <w:rPr>
                      <w:rFonts w:ascii="Times New Roman" w:hAnsi="Times New Roman" w:cs="Times New Roman"/>
                      <w:b/>
                      <w:bCs/>
                      <w:sz w:val="24"/>
                      <w:szCs w:val="24"/>
                    </w:rPr>
                  </w:pPr>
                  <w:r>
                    <w:rPr>
                      <w:rFonts w:ascii="Times New Roman" w:hAnsi="Times New Roman" w:cs="Times New Roman"/>
                      <w:b/>
                      <w:bCs/>
                      <w:sz w:val="24"/>
                      <w:szCs w:val="24"/>
                    </w:rPr>
                    <w:t>Prof.</w:t>
                  </w:r>
                  <w:r>
                    <w:rPr>
                      <w:rFonts w:ascii="Times New Roman" w:eastAsia="Times New Roman" w:hAnsi="Times New Roman" w:cs="Times New Roman"/>
                      <w:b/>
                      <w:bCs/>
                      <w:sz w:val="24"/>
                      <w:szCs w:val="24"/>
                    </w:rPr>
                    <w:t xml:space="preserve"> </w:t>
                  </w:r>
                  <w:r>
                    <w:rPr>
                      <w:rFonts w:ascii="Times New Roman" w:hAnsi="Times New Roman" w:cs="Times New Roman"/>
                      <w:b/>
                      <w:bCs/>
                      <w:sz w:val="24"/>
                      <w:szCs w:val="24"/>
                    </w:rPr>
                    <w:t>Enrico</w:t>
                  </w:r>
                  <w:r>
                    <w:rPr>
                      <w:rFonts w:ascii="Times New Roman" w:eastAsia="Times New Roman" w:hAnsi="Times New Roman" w:cs="Times New Roman"/>
                      <w:b/>
                      <w:bCs/>
                      <w:sz w:val="24"/>
                      <w:szCs w:val="24"/>
                    </w:rPr>
                    <w:t xml:space="preserve"> </w:t>
                  </w:r>
                  <w:r>
                    <w:rPr>
                      <w:rFonts w:ascii="Times New Roman" w:hAnsi="Times New Roman" w:cs="Times New Roman"/>
                      <w:b/>
                      <w:bCs/>
                      <w:sz w:val="24"/>
                      <w:szCs w:val="24"/>
                    </w:rPr>
                    <w:t>Smeraldi</w:t>
                  </w:r>
                </w:p>
              </w:txbxContent>
            </v:textbox>
          </v:shape>
        </w:pict>
      </w:r>
      <w:r>
        <w:rPr>
          <w:rFonts w:ascii="Times New Roman" w:hAnsi="Times New Roman" w:cs="Times New Roman"/>
          <w:noProof/>
          <w:sz w:val="24"/>
          <w:szCs w:val="24"/>
          <w:lang w:val="it-IT" w:eastAsia="it-IT"/>
        </w:rPr>
        <w:pict>
          <v:shape id="_x0000_s1045" type="#_x0000_t202" style="position:absolute;left:0;text-align:left;margin-left:2.4pt;margin-top:29.9pt;width:208.4pt;height:54.15pt;z-index:251712512;mso-wrap-distance-left:9.05pt;mso-wrap-distance-right:9.05pt;mso-position-horizontal-relative:text;mso-position-vertical-relative:text" stroked="f">
            <v:fill opacity="0" color2="black"/>
            <v:textbox inset="0,0,0,0">
              <w:txbxContent>
                <w:p w:rsidR="002824C9" w:rsidRDefault="002824C9" w:rsidP="002824C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Coordinatore del Dottorato </w:t>
                  </w:r>
                </w:p>
                <w:p w:rsidR="002824C9" w:rsidRDefault="002824C9" w:rsidP="002824C9">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Prof.ssa Carla Cannizzaro</w:t>
                  </w:r>
                </w:p>
              </w:txbxContent>
            </v:textbox>
          </v:shape>
        </w:pict>
      </w:r>
    </w:p>
    <w:p w:rsidR="00AA2842" w:rsidRDefault="00AA2842" w:rsidP="001E5BE4">
      <w:pPr>
        <w:spacing w:line="360" w:lineRule="auto"/>
        <w:ind w:right="1091"/>
        <w:jc w:val="both"/>
        <w:rPr>
          <w:rFonts w:ascii="Times New Roman" w:hAnsi="Times New Roman" w:cs="Times New Roman"/>
          <w:sz w:val="24"/>
          <w:szCs w:val="24"/>
        </w:rPr>
      </w:pPr>
    </w:p>
    <w:p w:rsidR="00AA2842" w:rsidRDefault="00AA2842" w:rsidP="001E5BE4">
      <w:pPr>
        <w:spacing w:line="360" w:lineRule="auto"/>
        <w:ind w:right="1091"/>
        <w:jc w:val="both"/>
        <w:rPr>
          <w:rFonts w:ascii="Times New Roman" w:hAnsi="Times New Roman" w:cs="Times New Roman"/>
          <w:sz w:val="24"/>
          <w:szCs w:val="24"/>
        </w:rPr>
      </w:pPr>
    </w:p>
    <w:p w:rsidR="00AA2842" w:rsidRDefault="00AA2842" w:rsidP="001E5BE4">
      <w:pPr>
        <w:spacing w:line="360" w:lineRule="auto"/>
        <w:ind w:right="1091"/>
        <w:jc w:val="both"/>
        <w:rPr>
          <w:rFonts w:ascii="Times New Roman" w:hAnsi="Times New Roman" w:cs="Times New Roman"/>
          <w:sz w:val="24"/>
          <w:szCs w:val="24"/>
        </w:rPr>
      </w:pPr>
    </w:p>
    <w:p w:rsidR="00AA2842" w:rsidRDefault="00AA2842" w:rsidP="001E5BE4">
      <w:pPr>
        <w:spacing w:line="360" w:lineRule="auto"/>
        <w:ind w:right="1091"/>
        <w:jc w:val="both"/>
        <w:rPr>
          <w:rFonts w:ascii="Times New Roman" w:hAnsi="Times New Roman" w:cs="Times New Roman"/>
          <w:sz w:val="24"/>
          <w:szCs w:val="24"/>
        </w:rPr>
      </w:pPr>
    </w:p>
    <w:p w:rsidR="00AA2842" w:rsidRDefault="00AA2842" w:rsidP="001E5BE4">
      <w:pPr>
        <w:spacing w:line="360" w:lineRule="auto"/>
        <w:ind w:right="1091"/>
        <w:jc w:val="both"/>
        <w:rPr>
          <w:rFonts w:ascii="Times New Roman" w:hAnsi="Times New Roman" w:cs="Times New Roman"/>
          <w:sz w:val="24"/>
          <w:szCs w:val="24"/>
        </w:rPr>
      </w:pPr>
    </w:p>
    <w:p w:rsidR="00AA2842" w:rsidRDefault="00AA2842" w:rsidP="001E5BE4">
      <w:pPr>
        <w:spacing w:line="360" w:lineRule="auto"/>
        <w:ind w:right="1091"/>
        <w:jc w:val="both"/>
        <w:rPr>
          <w:rFonts w:ascii="Times New Roman" w:hAnsi="Times New Roman" w:cs="Times New Roman"/>
          <w:sz w:val="24"/>
          <w:szCs w:val="24"/>
        </w:rPr>
      </w:pPr>
    </w:p>
    <w:p w:rsidR="00AA2842" w:rsidRDefault="00AA2842" w:rsidP="001E5BE4">
      <w:pPr>
        <w:spacing w:line="360" w:lineRule="auto"/>
        <w:ind w:right="1091"/>
        <w:jc w:val="both"/>
        <w:rPr>
          <w:rFonts w:ascii="Times New Roman" w:hAnsi="Times New Roman" w:cs="Times New Roman"/>
          <w:sz w:val="24"/>
          <w:szCs w:val="24"/>
        </w:rPr>
      </w:pPr>
    </w:p>
    <w:p w:rsidR="00AA2842" w:rsidRDefault="00AA2842" w:rsidP="001E5BE4">
      <w:pPr>
        <w:spacing w:line="360" w:lineRule="auto"/>
        <w:ind w:right="1091"/>
        <w:jc w:val="both"/>
        <w:rPr>
          <w:rFonts w:ascii="Times New Roman" w:hAnsi="Times New Roman" w:cs="Times New Roman"/>
          <w:sz w:val="24"/>
          <w:szCs w:val="24"/>
        </w:rPr>
      </w:pPr>
    </w:p>
    <w:p w:rsidR="00AA2842" w:rsidRDefault="00AA2842" w:rsidP="001E5BE4">
      <w:pPr>
        <w:spacing w:line="360" w:lineRule="auto"/>
        <w:ind w:right="1091"/>
        <w:jc w:val="both"/>
        <w:rPr>
          <w:rFonts w:ascii="Times New Roman" w:hAnsi="Times New Roman" w:cs="Times New Roman"/>
          <w:sz w:val="24"/>
          <w:szCs w:val="24"/>
        </w:rPr>
      </w:pPr>
    </w:p>
    <w:p w:rsidR="00AA2842" w:rsidRDefault="00AA2842" w:rsidP="001E5BE4">
      <w:pPr>
        <w:spacing w:line="360" w:lineRule="auto"/>
        <w:ind w:right="1091"/>
        <w:jc w:val="both"/>
        <w:rPr>
          <w:rFonts w:ascii="Times New Roman" w:hAnsi="Times New Roman" w:cs="Times New Roman"/>
          <w:sz w:val="24"/>
          <w:szCs w:val="24"/>
        </w:rPr>
      </w:pPr>
    </w:p>
    <w:p w:rsidR="00AA2842" w:rsidRDefault="00AA2842" w:rsidP="001E5BE4">
      <w:pPr>
        <w:spacing w:line="360" w:lineRule="auto"/>
        <w:ind w:right="1091"/>
        <w:jc w:val="both"/>
        <w:rPr>
          <w:rFonts w:ascii="Times New Roman" w:hAnsi="Times New Roman" w:cs="Times New Roman"/>
          <w:sz w:val="24"/>
          <w:szCs w:val="24"/>
        </w:rPr>
      </w:pP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INDICE</w:t>
      </w: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Default="00B460A6" w:rsidP="001E5BE4">
      <w:pPr>
        <w:numPr>
          <w:ilvl w:val="0"/>
          <w:numId w:val="1"/>
        </w:num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MALATTIA  MANIACO-DEPRESSIVE</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1.1 DISTURBI DELL'UMORE</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1.1.1 Ciclicità</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1.1.2 Periodicità</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1.1.3 Polarità</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1.1.4 Familiarità</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1.2 DISTURBO BIPOLARE</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1.2.1 Epidemiologia</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1.2.2 Caratteristiche Cliniche</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1.2.3 Spettro del Disturbo Bipolare</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1.2.4 Course and Outcome</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1.2.5 Disfunzioni cognitive, motorie e psicomotorie</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1.2.6 Diagnosi</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lastRenderedPageBreak/>
        <w:tab/>
      </w:r>
      <w:r>
        <w:rPr>
          <w:rFonts w:ascii="Times New Roman" w:hAnsi="Times New Roman" w:cs="Times New Roman"/>
          <w:sz w:val="24"/>
          <w:szCs w:val="24"/>
        </w:rPr>
        <w:tab/>
        <w:t>1.2.7 Studi di brain imaging</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ab/>
        <w:t>1.3 TRATTAMENTO</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1.3.1 Trattamenti classici</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1.3.2 Trattamenti per il disturbo bipolare</w:t>
      </w:r>
    </w:p>
    <w:p w:rsidR="00A0541C" w:rsidRDefault="00A0541C" w:rsidP="001E5BE4">
      <w:pPr>
        <w:spacing w:line="360" w:lineRule="auto"/>
        <w:ind w:right="1091"/>
        <w:jc w:val="both"/>
        <w:rPr>
          <w:rFonts w:ascii="Times New Roman" w:hAnsi="Times New Roman"/>
          <w:sz w:val="24"/>
          <w:szCs w:val="24"/>
        </w:rPr>
      </w:pP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2. LITIO E GLI</w:t>
      </w:r>
      <w:r w:rsidR="0068558B">
        <w:rPr>
          <w:rFonts w:ascii="Times New Roman" w:hAnsi="Times New Roman" w:cs="Times New Roman"/>
          <w:sz w:val="24"/>
          <w:szCs w:val="24"/>
        </w:rPr>
        <w:t>COGENO SINTASI CHINASI-3</w:t>
      </w:r>
      <w:r w:rsidR="0068558B" w:rsidRPr="0068558B">
        <w:rPr>
          <w:rFonts w:ascii="Times New Roman" w:eastAsia=";Times New Roman" w:hAnsi="Times New Roman"/>
          <w:bCs/>
          <w:color w:val="0D0D0D"/>
          <w:sz w:val="24"/>
          <w:szCs w:val="24"/>
          <w:lang w:val="en-GB"/>
        </w:rPr>
        <w:t>β</w:t>
      </w:r>
    </w:p>
    <w:p w:rsidR="00A0541C" w:rsidRPr="0068558B" w:rsidRDefault="00B460A6" w:rsidP="001E5BE4">
      <w:pPr>
        <w:spacing w:line="360" w:lineRule="auto"/>
        <w:ind w:right="1091"/>
        <w:jc w:val="both"/>
        <w:rPr>
          <w:rFonts w:ascii="Times New Roman" w:hAnsi="Times New Roman" w:cs="Times New Roman"/>
          <w:b/>
          <w:sz w:val="24"/>
          <w:szCs w:val="24"/>
        </w:rPr>
      </w:pPr>
      <w:r>
        <w:rPr>
          <w:rFonts w:ascii="Times New Roman" w:hAnsi="Times New Roman" w:cs="Times New Roman"/>
          <w:sz w:val="24"/>
          <w:szCs w:val="24"/>
        </w:rPr>
        <w:tab/>
        <w:t>2.1 GSK-3</w:t>
      </w:r>
      <w:r w:rsidR="0068558B" w:rsidRPr="0068558B">
        <w:rPr>
          <w:rFonts w:ascii="Times New Roman" w:eastAsia=";Times New Roman" w:hAnsi="Times New Roman"/>
          <w:bCs/>
          <w:color w:val="0D0D0D"/>
          <w:sz w:val="24"/>
          <w:szCs w:val="24"/>
          <w:lang w:val="en-GB"/>
        </w:rPr>
        <w:t>β</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2.2 LITIO</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2.3 DUE MECCANISMI INIBITORI DEL LITIO SULLA GSK-3</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2.3.1 </w:t>
      </w:r>
      <w:r w:rsidR="00DA69E8">
        <w:rPr>
          <w:rFonts w:ascii="Times New Roman" w:hAnsi="Times New Roman" w:cs="Times New Roman"/>
          <w:sz w:val="24"/>
          <w:szCs w:val="24"/>
        </w:rPr>
        <w:t>AZIONE INIBITORIA DIRETTA</w:t>
      </w:r>
    </w:p>
    <w:p w:rsidR="00A0541C" w:rsidRDefault="00DA69E8"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2.3.2 AZIONE INIBITORIA INDIRETTA</w:t>
      </w:r>
    </w:p>
    <w:p w:rsidR="00A0541C" w:rsidRDefault="00A0541C" w:rsidP="001E5BE4">
      <w:pPr>
        <w:spacing w:line="360" w:lineRule="auto"/>
        <w:ind w:right="1091"/>
        <w:jc w:val="both"/>
        <w:rPr>
          <w:rFonts w:ascii="Times New Roman" w:hAnsi="Times New Roman"/>
          <w:sz w:val="24"/>
          <w:szCs w:val="24"/>
        </w:rPr>
      </w:pP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3. METODO: TBSS (TRACT BASED SPATIAL STATISTICS)</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ab/>
        <w:t>3.1 DTI</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ab/>
        <w:t>3.2 ANALISI DI MULTI-SUBJECT DIFFUSION DATA</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3.2.1 </w:t>
      </w:r>
      <w:r w:rsidR="00DA69E8">
        <w:rPr>
          <w:rFonts w:ascii="Times New Roman" w:hAnsi="Times New Roman" w:cs="Times New Roman"/>
          <w:sz w:val="24"/>
          <w:szCs w:val="24"/>
        </w:rPr>
        <w:t>ANALISI FA VBM-STYLE</w:t>
      </w:r>
    </w:p>
    <w:p w:rsidR="00A0541C" w:rsidRDefault="00DA69E8"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3.2.2 TRATTOGRAFIA</w:t>
      </w:r>
    </w:p>
    <w:p w:rsidR="00A0541C" w:rsidRDefault="00DA69E8"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3.2.3 TBSS</w:t>
      </w:r>
    </w:p>
    <w:p w:rsidR="00A0541C" w:rsidRDefault="00A0541C" w:rsidP="001E5BE4">
      <w:pPr>
        <w:spacing w:line="360" w:lineRule="auto"/>
        <w:ind w:right="1091"/>
        <w:jc w:val="both"/>
        <w:rPr>
          <w:rFonts w:ascii="Times New Roman" w:hAnsi="Times New Roman"/>
          <w:sz w:val="24"/>
          <w:szCs w:val="24"/>
        </w:rPr>
      </w:pP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4. STUDIO SPERIMENTALE</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4.1 BACKGROUND</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 xml:space="preserve">4.1.1 </w:t>
      </w:r>
      <w:r w:rsidR="00DA69E8">
        <w:rPr>
          <w:rFonts w:ascii="Times New Roman" w:hAnsi="Times New Roman" w:cs="Times New Roman"/>
          <w:sz w:val="24"/>
          <w:szCs w:val="24"/>
        </w:rPr>
        <w:t>STUDI PRECEDENTI SU SOSTANZA BIANCA E DISTURBO BIPOLARE</w:t>
      </w:r>
    </w:p>
    <w:p w:rsidR="00A0541C" w:rsidRDefault="00DA69E8"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4.1.2 LINK TRA DISTURBO BIPOLARE, GSK E LITIO</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4.2 OBIETTIVO</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4.3 METODI</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 xml:space="preserve">4.3.1 </w:t>
      </w:r>
      <w:r w:rsidR="00DA69E8">
        <w:rPr>
          <w:rFonts w:ascii="Times New Roman" w:hAnsi="Times New Roman" w:cs="Times New Roman"/>
          <w:sz w:val="24"/>
          <w:szCs w:val="24"/>
        </w:rPr>
        <w:t>PARTECIPANTI</w:t>
      </w:r>
    </w:p>
    <w:p w:rsidR="00A0541C" w:rsidRDefault="00DA69E8"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4.3.2 IDENTIFICAZIONE DEI POLIMORFISMI</w:t>
      </w:r>
    </w:p>
    <w:p w:rsidR="00A0541C" w:rsidRDefault="00DA69E8"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4.3.3 ACQUISIZIONE MRI</w:t>
      </w:r>
    </w:p>
    <w:p w:rsidR="00A0541C" w:rsidRDefault="00DA69E8"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4.3.4 PROCESSAZIONE DEI DATI</w:t>
      </w:r>
    </w:p>
    <w:p w:rsidR="00A0541C" w:rsidRDefault="00DA69E8"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4.4 RISULTATI</w:t>
      </w:r>
    </w:p>
    <w:p w:rsidR="00A0541C" w:rsidRDefault="00DA69E8"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4.4.1 EFFETTO DEL LITIO</w:t>
      </w: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sz w:val="24"/>
          <w:szCs w:val="24"/>
        </w:rPr>
        <w:t xml:space="preserve">4.4.2 </w:t>
      </w:r>
      <w:r w:rsidR="00DA69E8">
        <w:rPr>
          <w:rFonts w:ascii="Times New Roman" w:hAnsi="Times New Roman" w:cs="Times New Roman"/>
          <w:sz w:val="24"/>
          <w:szCs w:val="24"/>
        </w:rPr>
        <w:t>EFFETTO DEL GENOTIPO DI GSK-3</w:t>
      </w:r>
      <w:r w:rsidR="0068558B" w:rsidRPr="0068558B">
        <w:rPr>
          <w:rFonts w:ascii="Times New Roman" w:eastAsia=";Times New Roman" w:hAnsi="Times New Roman"/>
          <w:bCs/>
          <w:color w:val="0D0D0D"/>
          <w:sz w:val="24"/>
          <w:szCs w:val="24"/>
          <w:lang w:val="en-GB"/>
        </w:rPr>
        <w:t>β</w:t>
      </w:r>
    </w:p>
    <w:p w:rsidR="00A0541C" w:rsidRDefault="00DA69E8" w:rsidP="00DA69E8">
      <w:pPr>
        <w:spacing w:line="360" w:lineRule="auto"/>
        <w:ind w:right="1091"/>
        <w:jc w:val="both"/>
        <w:rPr>
          <w:rFonts w:ascii="Times New Roman" w:hAnsi="Times New Roman" w:cs="Times New Roman"/>
          <w:b/>
          <w:bCs/>
          <w:color w:val="0D0D0D"/>
          <w:sz w:val="24"/>
          <w:szCs w:val="24"/>
        </w:rPr>
      </w:pPr>
      <w:r>
        <w:rPr>
          <w:rFonts w:ascii="Times New Roman" w:hAnsi="Times New Roman" w:cs="Times New Roman"/>
          <w:color w:val="0D0D0D"/>
          <w:sz w:val="24"/>
          <w:szCs w:val="24"/>
        </w:rPr>
        <w:t>4.4.3 EFFETTO DI INTERAZIONE DEL TRATTAMENTO CON LITIO E DEL POLIMORFISMO DI GSK-3</w:t>
      </w:r>
      <w:r w:rsidR="0068558B" w:rsidRPr="0068558B">
        <w:rPr>
          <w:rFonts w:ascii="Times New Roman" w:eastAsia=";Times New Roman" w:hAnsi="Times New Roman"/>
          <w:bCs/>
          <w:color w:val="0D0D0D"/>
          <w:sz w:val="24"/>
          <w:szCs w:val="24"/>
          <w:lang w:val="en-GB"/>
        </w:rPr>
        <w:t>β</w:t>
      </w: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5. DISCUSSIONE E CONCLUSIONI</w:t>
      </w: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5.1 DISCUSSIONE</w:t>
      </w: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5.1.1 </w:t>
      </w:r>
      <w:r w:rsidR="00DA69E8">
        <w:rPr>
          <w:rFonts w:ascii="Times New Roman" w:hAnsi="Times New Roman" w:cs="Times New Roman"/>
          <w:color w:val="0D0D0D"/>
          <w:sz w:val="24"/>
          <w:szCs w:val="24"/>
        </w:rPr>
        <w:t>EFFETTO DEL LITIO</w:t>
      </w:r>
    </w:p>
    <w:p w:rsidR="00A0541C" w:rsidRDefault="00DA69E8"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5.1.</w:t>
      </w:r>
      <w:r w:rsidR="0068558B">
        <w:rPr>
          <w:rFonts w:ascii="Times New Roman" w:hAnsi="Times New Roman" w:cs="Times New Roman"/>
          <w:color w:val="0D0D0D"/>
          <w:sz w:val="24"/>
          <w:szCs w:val="24"/>
        </w:rPr>
        <w:t>2 EFFETTO DEL GENOTIPO DI GSK-3</w:t>
      </w:r>
      <w:r w:rsidR="0068558B" w:rsidRPr="0068558B">
        <w:rPr>
          <w:rFonts w:ascii="Times New Roman" w:eastAsia=";Times New Roman" w:hAnsi="Times New Roman"/>
          <w:bCs/>
          <w:color w:val="0D0D0D"/>
          <w:sz w:val="24"/>
          <w:szCs w:val="24"/>
          <w:lang w:val="en-GB"/>
        </w:rPr>
        <w:t>β</w:t>
      </w: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5.2 PRO E CONTRO DELLO STUDIO</w:t>
      </w: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5.3 PROSPETTIVE FUTURE</w:t>
      </w:r>
    </w:p>
    <w:p w:rsidR="00A0541C" w:rsidRDefault="00A0541C" w:rsidP="001E5BE4">
      <w:pPr>
        <w:spacing w:line="360" w:lineRule="auto"/>
        <w:ind w:right="1091"/>
        <w:jc w:val="both"/>
        <w:rPr>
          <w:rFonts w:ascii="Times New Roman" w:hAnsi="Times New Roman"/>
          <w:sz w:val="24"/>
          <w:szCs w:val="24"/>
        </w:rPr>
      </w:pP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BIBLIOGRAFIA</w:t>
      </w: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Pr="00B460A6" w:rsidRDefault="00B460A6" w:rsidP="001E5BE4">
      <w:pPr>
        <w:spacing w:line="360" w:lineRule="auto"/>
        <w:ind w:right="1091"/>
        <w:jc w:val="both"/>
        <w:rPr>
          <w:rFonts w:ascii="Times New Roman" w:hAnsi="Times New Roman" w:cs="Times New Roman"/>
          <w:b/>
          <w:color w:val="0D0D0D"/>
          <w:sz w:val="26"/>
          <w:szCs w:val="26"/>
        </w:rPr>
      </w:pPr>
      <w:r w:rsidRPr="00B460A6">
        <w:rPr>
          <w:rFonts w:ascii="Times New Roman" w:hAnsi="Times New Roman" w:cs="Times New Roman"/>
          <w:b/>
          <w:color w:val="0D0D0D"/>
          <w:sz w:val="26"/>
          <w:szCs w:val="26"/>
        </w:rPr>
        <w:t>1. PATOLOGIA MANIACO DEPRESSIVA</w:t>
      </w:r>
    </w:p>
    <w:p w:rsidR="00A0541C" w:rsidRDefault="00B460A6" w:rsidP="001E5BE4">
      <w:pPr>
        <w:spacing w:after="0"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Il disturbo maniaco-depressivo, o disturbo bipolare, è un comune, ricorrente e debilitante disturbo dell'umore, che causa estremi sbalzi nell'energia e negli stati </w:t>
      </w:r>
      <w:r w:rsidR="002A7C81">
        <w:rPr>
          <w:rFonts w:ascii="Times New Roman" w:hAnsi="Times New Roman" w:cs="Times New Roman"/>
          <w:color w:val="0D0D0D"/>
          <w:sz w:val="24"/>
          <w:szCs w:val="24"/>
        </w:rPr>
        <w:t>umorali</w:t>
      </w:r>
      <w:r>
        <w:rPr>
          <w:rFonts w:ascii="Times New Roman" w:hAnsi="Times New Roman" w:cs="Times New Roman"/>
          <w:color w:val="0D0D0D"/>
          <w:sz w:val="24"/>
          <w:szCs w:val="24"/>
        </w:rPr>
        <w:t>.</w:t>
      </w:r>
    </w:p>
    <w:p w:rsidR="00A0541C" w:rsidRDefault="00B460A6" w:rsidP="001E5BE4">
      <w:pPr>
        <w:spacing w:after="0"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In questo capitolo esporrò una breve digressione sui disturbi dell'umore, in particolare sul disturbo bipolare, in modo da fornire una visione generale su questa p</w:t>
      </w:r>
      <w:r w:rsidR="002A7C81">
        <w:rPr>
          <w:rFonts w:ascii="Times New Roman" w:hAnsi="Times New Roman" w:cs="Times New Roman"/>
          <w:color w:val="0D0D0D"/>
          <w:sz w:val="24"/>
          <w:szCs w:val="24"/>
        </w:rPr>
        <w:t>atologia, sulle caratteristiche</w:t>
      </w:r>
      <w:r>
        <w:rPr>
          <w:rFonts w:ascii="Times New Roman" w:hAnsi="Times New Roman" w:cs="Times New Roman"/>
          <w:color w:val="0D0D0D"/>
          <w:sz w:val="24"/>
          <w:szCs w:val="24"/>
        </w:rPr>
        <w:t>, sulle evidenze cliniche e sulle terapie.</w:t>
      </w:r>
    </w:p>
    <w:p w:rsidR="00A0541C" w:rsidRDefault="00A0541C" w:rsidP="001E5BE4">
      <w:pPr>
        <w:spacing w:line="360" w:lineRule="auto"/>
        <w:ind w:right="1091"/>
        <w:jc w:val="both"/>
        <w:rPr>
          <w:rFonts w:ascii="Times New Roman" w:hAnsi="Times New Roman"/>
          <w:sz w:val="24"/>
          <w:szCs w:val="24"/>
        </w:rPr>
      </w:pPr>
    </w:p>
    <w:p w:rsidR="00A0541C" w:rsidRPr="00B460A6" w:rsidRDefault="00B460A6" w:rsidP="001E5BE4">
      <w:pPr>
        <w:spacing w:line="360" w:lineRule="auto"/>
        <w:ind w:right="1091"/>
        <w:jc w:val="both"/>
        <w:rPr>
          <w:rFonts w:ascii="Times New Roman" w:hAnsi="Times New Roman" w:cs="Times New Roman"/>
          <w:b/>
          <w:color w:val="0D0D0D"/>
          <w:sz w:val="26"/>
          <w:szCs w:val="26"/>
        </w:rPr>
      </w:pPr>
      <w:r w:rsidRPr="00B460A6">
        <w:rPr>
          <w:rFonts w:ascii="Times New Roman" w:hAnsi="Times New Roman" w:cs="Times New Roman"/>
          <w:b/>
          <w:color w:val="0D0D0D"/>
          <w:sz w:val="26"/>
          <w:szCs w:val="26"/>
        </w:rPr>
        <w:t>1.1 Disturbi dell'umore</w:t>
      </w:r>
    </w:p>
    <w:p w:rsidR="00A0541C" w:rsidRDefault="00B460A6" w:rsidP="001E5BE4">
      <w:pPr>
        <w:spacing w:after="0"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Il temperamento umano è caratterizzato da un'innata tendenza verso particolari stati dell'umore quali la felicità</w:t>
      </w:r>
      <w:r w:rsidR="002A7C81">
        <w:rPr>
          <w:rFonts w:ascii="Times New Roman" w:hAnsi="Times New Roman" w:cs="Times New Roman"/>
          <w:color w:val="0D0D0D"/>
          <w:sz w:val="24"/>
          <w:szCs w:val="24"/>
        </w:rPr>
        <w:t>,</w:t>
      </w:r>
      <w:r>
        <w:rPr>
          <w:rFonts w:ascii="Times New Roman" w:hAnsi="Times New Roman" w:cs="Times New Roman"/>
          <w:color w:val="0D0D0D"/>
          <w:sz w:val="24"/>
          <w:szCs w:val="24"/>
        </w:rPr>
        <w:t xml:space="preserve"> la tristezza e la melanconia.</w:t>
      </w:r>
    </w:p>
    <w:p w:rsidR="00A0541C" w:rsidRDefault="00B460A6" w:rsidP="001E5BE4">
      <w:pPr>
        <w:spacing w:after="0"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Tale tendenza è modulata giornalmente dalle varie situazioni di vita e dalle esperienze individuali, per questo motivo può fluttuare da uno stato emozionale ad un altro, passando attraverso diversi toni umorali.</w:t>
      </w:r>
    </w:p>
    <w:p w:rsidR="00A0541C" w:rsidRDefault="00B460A6" w:rsidP="001E5BE4">
      <w:pPr>
        <w:spacing w:after="0"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I cambiamenti dell'umore non dipendono necessariamente e unicamente dalle influenze dell'ambiente, ma anche da effetti di alterazione dei</w:t>
      </w:r>
      <w:r w:rsidR="002A7C81">
        <w:rPr>
          <w:rFonts w:ascii="Times New Roman" w:hAnsi="Times New Roman" w:cs="Times New Roman"/>
          <w:color w:val="0D0D0D"/>
          <w:sz w:val="24"/>
          <w:szCs w:val="24"/>
        </w:rPr>
        <w:t xml:space="preserve"> neurotrasmettitori endogeni, i</w:t>
      </w:r>
      <w:r>
        <w:rPr>
          <w:rFonts w:ascii="Times New Roman" w:hAnsi="Times New Roman" w:cs="Times New Roman"/>
          <w:color w:val="0D0D0D"/>
          <w:sz w:val="24"/>
          <w:szCs w:val="24"/>
        </w:rPr>
        <w:t xml:space="preserve"> quali possono </w:t>
      </w:r>
      <w:r w:rsidR="002A7C81">
        <w:rPr>
          <w:rFonts w:ascii="Times New Roman" w:hAnsi="Times New Roman" w:cs="Times New Roman"/>
          <w:color w:val="0D0D0D"/>
          <w:sz w:val="24"/>
          <w:szCs w:val="24"/>
        </w:rPr>
        <w:t>presentarsi</w:t>
      </w:r>
      <w:r>
        <w:rPr>
          <w:rFonts w:ascii="Times New Roman" w:hAnsi="Times New Roman" w:cs="Times New Roman"/>
          <w:color w:val="0D0D0D"/>
          <w:sz w:val="24"/>
          <w:szCs w:val="24"/>
        </w:rPr>
        <w:t xml:space="preserve"> occasionalmente. Per quanto concerne le influenze ambientali parliamo di flutt</w:t>
      </w:r>
      <w:r w:rsidR="00DA69E8">
        <w:rPr>
          <w:rFonts w:ascii="Times New Roman" w:hAnsi="Times New Roman" w:cs="Times New Roman"/>
          <w:color w:val="0D0D0D"/>
          <w:sz w:val="24"/>
          <w:szCs w:val="24"/>
        </w:rPr>
        <w:t xml:space="preserve">uazioni psicologiche, mentre </w:t>
      </w:r>
      <w:r>
        <w:rPr>
          <w:rFonts w:ascii="Times New Roman" w:hAnsi="Times New Roman" w:cs="Times New Roman"/>
          <w:color w:val="0D0D0D"/>
          <w:sz w:val="24"/>
          <w:szCs w:val="24"/>
        </w:rPr>
        <w:t>nel caso di alterazioni neurotrasmettitoriali possiamo parlare di fluttuazioni patologiche e di veri disturbi dell'umore.</w:t>
      </w:r>
    </w:p>
    <w:p w:rsidR="00A0541C" w:rsidRDefault="00B460A6" w:rsidP="001E5BE4">
      <w:pPr>
        <w:spacing w:after="0"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I disturbi dell'umore, che spesso assumono tratti distintivi di mania o depressione, costituiscono la più comune delle patologie psichiatriche e una delle più frequenti cause di consultazione di un esperto. In particolare, circa il 20% della popolazione durante la loro vita, incorre in episodi maniacali o depressivi, con un rapporto tra </w:t>
      </w:r>
      <w:r w:rsidR="00DA69E8">
        <w:rPr>
          <w:rFonts w:ascii="Times New Roman" w:hAnsi="Times New Roman" w:cs="Times New Roman"/>
          <w:color w:val="0D0D0D"/>
          <w:sz w:val="24"/>
          <w:szCs w:val="24"/>
        </w:rPr>
        <w:t>i disturbi</w:t>
      </w:r>
      <w:r>
        <w:rPr>
          <w:rFonts w:ascii="Times New Roman" w:hAnsi="Times New Roman" w:cs="Times New Roman"/>
          <w:color w:val="0D0D0D"/>
          <w:sz w:val="24"/>
          <w:szCs w:val="24"/>
        </w:rPr>
        <w:t xml:space="preserve"> unipolare e bipolare di 1:3.</w:t>
      </w:r>
    </w:p>
    <w:p w:rsidR="00A0541C" w:rsidRDefault="00B460A6" w:rsidP="001E5BE4">
      <w:pPr>
        <w:spacing w:after="0"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L'organizzazione Mondiale della Sanità stima, nella popolazione generale, una prevalenza tra il 3-5%; questa stima viene continuamente aggiornata, come conseguenza dell'aumento dei pazienti affetti da queste patologie nelle ultime decadi.</w:t>
      </w: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pPr>
    </w:p>
    <w:p w:rsidR="00B460A6" w:rsidRDefault="00B460A6" w:rsidP="001E5BE4">
      <w:pPr>
        <w:spacing w:line="360" w:lineRule="auto"/>
        <w:ind w:right="1091"/>
        <w:jc w:val="both"/>
      </w:pPr>
    </w:p>
    <w:p w:rsidR="002A7C81" w:rsidRDefault="002A7C81" w:rsidP="001E5BE4">
      <w:pPr>
        <w:spacing w:line="360" w:lineRule="auto"/>
        <w:ind w:right="1091"/>
        <w:jc w:val="both"/>
        <w:rPr>
          <w:rFonts w:ascii="Times New Roman" w:hAnsi="Times New Roman" w:cs="Times New Roman"/>
          <w:b/>
          <w:color w:val="0D0D0D"/>
          <w:sz w:val="26"/>
          <w:szCs w:val="26"/>
        </w:rPr>
      </w:pPr>
    </w:p>
    <w:p w:rsidR="00A0541C" w:rsidRPr="00B460A6" w:rsidRDefault="00B460A6" w:rsidP="001E5BE4">
      <w:pPr>
        <w:spacing w:line="360" w:lineRule="auto"/>
        <w:ind w:right="1091"/>
        <w:jc w:val="both"/>
        <w:rPr>
          <w:rFonts w:ascii="Times New Roman" w:hAnsi="Times New Roman" w:cs="Times New Roman"/>
          <w:b/>
          <w:color w:val="0D0D0D"/>
          <w:sz w:val="26"/>
          <w:szCs w:val="26"/>
        </w:rPr>
      </w:pPr>
      <w:r w:rsidRPr="00B460A6">
        <w:rPr>
          <w:rFonts w:ascii="Times New Roman" w:hAnsi="Times New Roman" w:cs="Times New Roman"/>
          <w:b/>
          <w:color w:val="0D0D0D"/>
          <w:sz w:val="26"/>
          <w:szCs w:val="26"/>
        </w:rPr>
        <w:t>1.1.1 Ciclicità</w:t>
      </w: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La ciclicità implic</w:t>
      </w:r>
      <w:r w:rsidR="002A7C81">
        <w:rPr>
          <w:rFonts w:ascii="Times New Roman" w:hAnsi="Times New Roman" w:cs="Times New Roman"/>
          <w:color w:val="0D0D0D"/>
          <w:sz w:val="24"/>
          <w:szCs w:val="24"/>
        </w:rPr>
        <w:t>a che la fase della malattia e i</w:t>
      </w:r>
      <w:r>
        <w:rPr>
          <w:rFonts w:ascii="Times New Roman" w:hAnsi="Times New Roman" w:cs="Times New Roman"/>
          <w:color w:val="0D0D0D"/>
          <w:sz w:val="24"/>
          <w:szCs w:val="24"/>
        </w:rPr>
        <w:t xml:space="preserve"> suoi sintomi spontaneamente spariscano nel tempo. Generalmente una fase depressiva può durare da 3 settimane fino a 2 anni; in ogni caso, il decorso naturale si avvicina in media a 6-12 mesi, ed è strettamente influenzato dai trattamenti farmacologici.</w:t>
      </w:r>
    </w:p>
    <w:p w:rsidR="00A0541C" w:rsidRDefault="00A0541C" w:rsidP="001E5BE4">
      <w:pPr>
        <w:spacing w:line="360" w:lineRule="auto"/>
        <w:ind w:right="1091"/>
        <w:jc w:val="both"/>
      </w:pPr>
    </w:p>
    <w:p w:rsidR="00A0541C" w:rsidRPr="00B460A6" w:rsidRDefault="00B460A6" w:rsidP="001E5BE4">
      <w:pPr>
        <w:spacing w:line="360" w:lineRule="auto"/>
        <w:ind w:right="1091"/>
        <w:jc w:val="both"/>
        <w:rPr>
          <w:rFonts w:ascii="Times New Roman" w:hAnsi="Times New Roman" w:cs="Times New Roman"/>
          <w:b/>
          <w:color w:val="0D0D0D"/>
          <w:sz w:val="26"/>
          <w:szCs w:val="26"/>
        </w:rPr>
      </w:pPr>
      <w:r w:rsidRPr="00B460A6">
        <w:rPr>
          <w:rFonts w:ascii="Times New Roman" w:hAnsi="Times New Roman" w:cs="Times New Roman"/>
          <w:b/>
          <w:color w:val="0D0D0D"/>
          <w:sz w:val="26"/>
          <w:szCs w:val="26"/>
        </w:rPr>
        <w:t>1.1.2 Periodicità</w:t>
      </w: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In tale contesto è importante introdurre il concetto di </w:t>
      </w:r>
      <w:r>
        <w:rPr>
          <w:rFonts w:ascii="Times New Roman" w:hAnsi="Times New Roman" w:cs="Times New Roman"/>
          <w:i/>
          <w:iCs/>
          <w:color w:val="0D0D0D"/>
          <w:sz w:val="24"/>
          <w:szCs w:val="24"/>
        </w:rPr>
        <w:t xml:space="preserve">“normotimia”: </w:t>
      </w:r>
      <w:r>
        <w:rPr>
          <w:rFonts w:ascii="Times New Roman" w:hAnsi="Times New Roman" w:cs="Times New Roman"/>
          <w:color w:val="0D0D0D"/>
          <w:sz w:val="24"/>
          <w:szCs w:val="24"/>
        </w:rPr>
        <w:t>una fase del disturbo nella quale l'umore del paziente ha delle fluttuazioni fisiologiche e in cui non vi è alcuna manifestazione di sintomi specifici. Da un punto di vista funzionale, il soggetto torna a dei livelli precedenti a quando è esordita la patologia; qu</w:t>
      </w:r>
      <w:r w:rsidR="00DA69E8">
        <w:rPr>
          <w:rFonts w:ascii="Times New Roman" w:hAnsi="Times New Roman" w:cs="Times New Roman"/>
          <w:color w:val="0D0D0D"/>
          <w:sz w:val="24"/>
          <w:szCs w:val="24"/>
        </w:rPr>
        <w:t>esta situazione non va però mal</w:t>
      </w:r>
      <w:r>
        <w:rPr>
          <w:rFonts w:ascii="Times New Roman" w:hAnsi="Times New Roman" w:cs="Times New Roman"/>
          <w:color w:val="0D0D0D"/>
          <w:sz w:val="24"/>
          <w:szCs w:val="24"/>
        </w:rPr>
        <w:t>interpretata: numerosi studi hanno dimostrato sia un aumentato rischio di ricaduta nei periodi immediatamente successivi alla normotimia, sia la possibilità di ricadute anche dopo lunghi periodi di benessere.</w:t>
      </w:r>
    </w:p>
    <w:p w:rsidR="00A0541C" w:rsidRDefault="00B460A6" w:rsidP="001E5BE4">
      <w:pPr>
        <w:spacing w:after="0"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La lunghezza del periodo di normotimia è un indice della periodicità della patologia, varia da un individuo all'altro, ma tende ad accorciarsi con l'aumentare degli episodi patologici. Gli intervalli tra differenti ricadute denotano una naturale tendenza verso una progressiva riduzione della loro lunghezza, altresì influenzata dalle terapie farmacologiche; gli antidepressivi, attualmente, tendono ad accorciarla, mentre gli stabilizzanti dell'umore, come i sali di litio, la aumentano.</w:t>
      </w:r>
    </w:p>
    <w:p w:rsidR="00A0541C" w:rsidRDefault="00B460A6" w:rsidP="001E5BE4">
      <w:pPr>
        <w:spacing w:after="0"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Aspetti specifici della malattia possono essere individuati esclusivamente per mezzo di un' analisi longitudinale della sua progressione. Oltre al caratteristico sviluppo, legato alle risposte individuali, i disturbi dell'umore hanno anche un andamento stagionale. Questa peculiarità è stata osservata nel passato da Ippocrate (400 a.C) ed Esquirol (XIX secolo); quest'ultimo notò che alcuni soggetti tendevano a sentirsi eccitati e iperattivi durante l'estate, mentre lo erano decisamente meno durante le stagioni fredde.</w:t>
      </w:r>
    </w:p>
    <w:p w:rsidR="00A0541C" w:rsidRDefault="00B460A6" w:rsidP="001E5BE4">
      <w:pPr>
        <w:spacing w:after="0"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Questo risultato portò alla definizione dei </w:t>
      </w:r>
      <w:r>
        <w:rPr>
          <w:rFonts w:ascii="Times New Roman" w:hAnsi="Times New Roman" w:cs="Times New Roman"/>
          <w:i/>
          <w:iCs/>
          <w:color w:val="0D0D0D"/>
          <w:sz w:val="24"/>
          <w:szCs w:val="24"/>
        </w:rPr>
        <w:t>"Seasonal Affected Disorders"</w:t>
      </w:r>
      <w:r>
        <w:rPr>
          <w:rFonts w:ascii="Times New Roman" w:hAnsi="Times New Roman" w:cs="Times New Roman"/>
          <w:color w:val="0D0D0D"/>
          <w:sz w:val="24"/>
          <w:szCs w:val="24"/>
        </w:rPr>
        <w:t xml:space="preserve"> (Jacobsen 1987) più tardi rinominato </w:t>
      </w:r>
      <w:r>
        <w:rPr>
          <w:rFonts w:ascii="Times New Roman" w:hAnsi="Times New Roman" w:cs="Times New Roman"/>
          <w:i/>
          <w:iCs/>
          <w:color w:val="0D0D0D"/>
          <w:sz w:val="24"/>
          <w:szCs w:val="24"/>
        </w:rPr>
        <w:t xml:space="preserve">"Winter Depression" </w:t>
      </w:r>
      <w:r>
        <w:rPr>
          <w:rFonts w:ascii="Times New Roman" w:hAnsi="Times New Roman" w:cs="Times New Roman"/>
          <w:color w:val="0D0D0D"/>
          <w:sz w:val="24"/>
          <w:szCs w:val="24"/>
        </w:rPr>
        <w:t>(Terman, 2001), più comune in Europa, e caratterizzata da una fase depressiva invernale seguita da una fase maniacale estiva.</w:t>
      </w:r>
    </w:p>
    <w:p w:rsidR="00A0541C" w:rsidRDefault="00B460A6" w:rsidP="001E5BE4">
      <w:pPr>
        <w:spacing w:after="0"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Si suppone che il comportamento stagionale sia legato alla luminosità ambientale, la quale sembra influenzare l'intera classe dei disturbi mentale al di là della sottocategoria a cui appartengono.</w:t>
      </w:r>
    </w:p>
    <w:p w:rsidR="00A0541C" w:rsidRDefault="00B460A6" w:rsidP="001E5BE4">
      <w:pPr>
        <w:spacing w:after="0"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Studi descrittivi sono stati condotti su popolazioni di soggetti affetti da disturbi dell'umore, insieme all'investigazione della modalità stagionale di manifestazione degli episodi di malattia. E' stato visto  che gli episodi depressivi sono prevalenti in primavera per i soggetti unipolari e in autunno per quelli bipolari (Eastwood, 1985; Barbini, 1995).</w:t>
      </w:r>
    </w:p>
    <w:p w:rsidR="00A0541C" w:rsidRDefault="00B460A6" w:rsidP="001E5BE4">
      <w:pPr>
        <w:spacing w:after="0"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Oltre alle fluttuazioni stagionali, anche fluttuazioni mensili sono state osservate clinicamente: infatti, dal 5% al 15% delle donne fertili hanno oscillazioni dell'umore insieme con la fase luteale del ciclo mestruale. Questa scoperta è confermata da alcuni studi sulla familiarità positiva per i disturbi dell'umore nei pazienti donna e sull'aumentato rischio di incorrere in disturbi di questo tipo nelle donne che soffrono di sindrome premestruale.</w:t>
      </w:r>
    </w:p>
    <w:p w:rsidR="00A0541C" w:rsidRDefault="00B460A6" w:rsidP="001E5BE4">
      <w:pPr>
        <w:spacing w:after="0"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Ci sono anche fluttuazioni circadiane che riguardano le donne colpite da disturbi dell'umore (Von Zerssen, 1985): circa il 50% dei pazienti depressi ha una situazione psicopatologica caratterizzata da variazioni di intensità, che tendono  a divenire peggiori nelle prime ore del giorno; appare raramente un peggioramento alla sera. In letteratura si possono trovare evidenze contrastanti sulla lunghezza di tali oscillazioni: alcuni autori asseriscono che durante la fase di massima intensità patologica, le fluttuazioni spariscano (Carpenter, 1986); altri affermano invece che queste oscillazioni continuano a essere presenti durante le più gravi fasi della malattia (Kintanischi, 1992). anche quando le oscillazioni circadiane spariscono, nella maggior parte dei casi, si ripresentano durante la terapia antidepressiva. Questa ricorrenza precede la fase di remissione dei sintomi e pertanto può essere considerato un parametro di risposta al trattamento.</w:t>
      </w:r>
    </w:p>
    <w:p w:rsidR="00A0541C" w:rsidRDefault="00B460A6" w:rsidP="001E5BE4">
      <w:pPr>
        <w:spacing w:after="0"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Le fluttuazioni giornaliere si possono osservare molto spesso: molti pazienti depressi infatti hanno una sorta di mini-ciclo insieme agli episodi depressivi, e queste fluttuazioni possono durare da 3 a 6 giorni fino ad un massimo di 12-15 giorni (Huba, 1976). tali oscillazioni possono essere dovute, sia a caratteristiche intrinseche della sindrome depressiva, sia alla sovrapposizione della sindrome con altri fattori come il ciclo mestruale per le donne.</w:t>
      </w:r>
    </w:p>
    <w:p w:rsidR="00A0541C" w:rsidRDefault="00B460A6" w:rsidP="001E5BE4">
      <w:pPr>
        <w:spacing w:after="0"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Due studi (Benedetti , 1996; Benedetti, 1998) sono stati condotti sulle fluttuazioni giornaliere dell'umore, durante la fase acuta degli episodi depressivi, in una popolazione vasta di pazienti affetti da disturbi dell'umore. I pazienti sono stati monitorati per tutto il periodo degli episodi, usando la VAS (self-administered Visual Analogue Scale), la quale individua le fluttuazioni della sintomatologia circadiana.</w:t>
      </w:r>
    </w:p>
    <w:p w:rsidR="00A0541C" w:rsidRDefault="00A0541C" w:rsidP="001E5BE4">
      <w:pPr>
        <w:spacing w:line="360" w:lineRule="auto"/>
        <w:ind w:right="1091"/>
        <w:jc w:val="both"/>
        <w:rPr>
          <w:rFonts w:ascii="Times New Roman" w:hAnsi="Times New Roman"/>
          <w:sz w:val="24"/>
          <w:szCs w:val="24"/>
        </w:rPr>
      </w:pPr>
    </w:p>
    <w:p w:rsidR="00B460A6" w:rsidRDefault="00B460A6" w:rsidP="001E5BE4">
      <w:pPr>
        <w:spacing w:line="360" w:lineRule="auto"/>
        <w:ind w:right="1091"/>
        <w:jc w:val="both"/>
        <w:rPr>
          <w:rFonts w:ascii="Times New Roman" w:hAnsi="Times New Roman" w:cs="Times New Roman"/>
          <w:color w:val="0D0D0D"/>
          <w:sz w:val="24"/>
          <w:szCs w:val="24"/>
        </w:rPr>
      </w:pPr>
    </w:p>
    <w:p w:rsidR="00A0541C" w:rsidRPr="00B460A6" w:rsidRDefault="00B460A6" w:rsidP="001E5BE4">
      <w:pPr>
        <w:spacing w:line="360" w:lineRule="auto"/>
        <w:ind w:right="1091"/>
        <w:jc w:val="both"/>
        <w:rPr>
          <w:rFonts w:ascii="Times New Roman" w:hAnsi="Times New Roman" w:cs="Times New Roman"/>
          <w:b/>
          <w:color w:val="0D0D0D"/>
          <w:sz w:val="26"/>
          <w:szCs w:val="26"/>
        </w:rPr>
      </w:pPr>
      <w:r w:rsidRPr="00B460A6">
        <w:rPr>
          <w:rFonts w:ascii="Times New Roman" w:hAnsi="Times New Roman" w:cs="Times New Roman"/>
          <w:b/>
          <w:color w:val="0D0D0D"/>
          <w:sz w:val="26"/>
          <w:szCs w:val="26"/>
        </w:rPr>
        <w:t>1.1.3 Polarità</w:t>
      </w: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L'alterazione patologica dell'umore può presentarsi in due condizioni opposte: a polarità maniacale o a polarità depressiva. Un paziente che soffre di disordini dell'umore viene definito bi-polare o uni-polare se presenta una o entrambe le polarità.</w:t>
      </w:r>
    </w:p>
    <w:p w:rsidR="00A0541C" w:rsidRDefault="00A0541C" w:rsidP="001E5BE4">
      <w:pPr>
        <w:spacing w:line="360" w:lineRule="auto"/>
        <w:ind w:right="1091"/>
        <w:jc w:val="both"/>
        <w:rPr>
          <w:rFonts w:ascii="Times New Roman" w:hAnsi="Times New Roman"/>
          <w:sz w:val="24"/>
          <w:szCs w:val="24"/>
        </w:rPr>
      </w:pPr>
    </w:p>
    <w:p w:rsidR="00A0541C" w:rsidRPr="00B460A6" w:rsidRDefault="00B460A6" w:rsidP="001E5BE4">
      <w:pPr>
        <w:spacing w:line="360" w:lineRule="auto"/>
        <w:ind w:right="1091"/>
        <w:jc w:val="both"/>
        <w:rPr>
          <w:rFonts w:ascii="Times New Roman" w:hAnsi="Times New Roman" w:cs="Times New Roman"/>
          <w:b/>
          <w:i/>
          <w:iCs/>
          <w:color w:val="0D0D0D"/>
          <w:sz w:val="24"/>
          <w:szCs w:val="24"/>
        </w:rPr>
      </w:pPr>
      <w:r w:rsidRPr="00B460A6">
        <w:rPr>
          <w:rFonts w:ascii="Times New Roman" w:hAnsi="Times New Roman" w:cs="Times New Roman"/>
          <w:b/>
          <w:i/>
          <w:iCs/>
          <w:color w:val="0D0D0D"/>
          <w:sz w:val="24"/>
          <w:szCs w:val="24"/>
        </w:rPr>
        <w:t>Sintomatologia Depressiva</w:t>
      </w: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La sintomatologia depressiva è caratterizzata da un umore depresso, scoraggiamento, tristezza, affaticamento, perdita di energie, di forza di volontà, irritabilità, perdita di interesse e di piacere verso le attività abitudinali, stanchezza, difficoltà nella memoria, ritardi psicomotori, sentimento di colpevolezza, pensieri di morte e suicidio, alterazioni nel ciclo sonno-veglia, perdita dell'appetito e diminuzione del desiderio sessuale.</w:t>
      </w: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Pr="00B460A6" w:rsidRDefault="00B460A6" w:rsidP="001E5BE4">
      <w:pPr>
        <w:spacing w:line="360" w:lineRule="auto"/>
        <w:ind w:right="1091"/>
        <w:jc w:val="both"/>
        <w:rPr>
          <w:rFonts w:ascii="Times New Roman" w:hAnsi="Times New Roman" w:cs="Times New Roman"/>
          <w:b/>
          <w:bCs/>
          <w:i/>
          <w:iCs/>
          <w:color w:val="0D0D0D"/>
          <w:sz w:val="24"/>
          <w:szCs w:val="24"/>
        </w:rPr>
      </w:pPr>
      <w:r>
        <w:rPr>
          <w:rFonts w:ascii="Times New Roman" w:hAnsi="Times New Roman" w:cs="Times New Roman"/>
          <w:b/>
          <w:bCs/>
          <w:i/>
          <w:iCs/>
          <w:color w:val="0D0D0D"/>
          <w:sz w:val="24"/>
          <w:szCs w:val="24"/>
        </w:rPr>
        <w:t>Sintomatologia Maniacale</w:t>
      </w: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La sintomatologia maniacale è descritta come uno stato di euforia, espansività o irritabilità, associata a sintomi che includono aumentata autostima, sensazione di grandiosità, diminuzione del bisogno di dormire, pensieri veloci, velocità nell'eloquio, agitazione psicomotoria, partecipazione ad attività rischiose, assenza di stanchezza, tendenza alla violenza, sensazione di grande potenza, disinibizione e promiscuità sessuale.</w:t>
      </w:r>
    </w:p>
    <w:p w:rsidR="00A0541C" w:rsidRDefault="00A0541C" w:rsidP="001E5BE4">
      <w:pPr>
        <w:spacing w:line="360" w:lineRule="auto"/>
        <w:ind w:right="1091"/>
        <w:jc w:val="both"/>
        <w:rPr>
          <w:rFonts w:ascii="Times New Roman" w:hAnsi="Times New Roman"/>
          <w:sz w:val="24"/>
          <w:szCs w:val="24"/>
        </w:rPr>
      </w:pPr>
    </w:p>
    <w:p w:rsidR="00B460A6" w:rsidRDefault="00B460A6" w:rsidP="001E5BE4">
      <w:pPr>
        <w:spacing w:line="360" w:lineRule="auto"/>
        <w:ind w:right="1091"/>
        <w:jc w:val="both"/>
        <w:rPr>
          <w:rFonts w:ascii="Times New Roman" w:hAnsi="Times New Roman"/>
          <w:sz w:val="24"/>
          <w:szCs w:val="24"/>
        </w:rPr>
      </w:pPr>
    </w:p>
    <w:p w:rsidR="00A0541C" w:rsidRPr="00B460A6" w:rsidRDefault="00B460A6" w:rsidP="001E5BE4">
      <w:pPr>
        <w:spacing w:line="360" w:lineRule="auto"/>
        <w:ind w:right="1091"/>
        <w:jc w:val="both"/>
        <w:rPr>
          <w:rFonts w:ascii="Times New Roman" w:hAnsi="Times New Roman" w:cs="Times New Roman"/>
          <w:b/>
          <w:bCs/>
          <w:color w:val="0D0D0D"/>
          <w:sz w:val="26"/>
          <w:szCs w:val="26"/>
        </w:rPr>
      </w:pPr>
      <w:r w:rsidRPr="00B460A6">
        <w:rPr>
          <w:rFonts w:ascii="Times New Roman" w:hAnsi="Times New Roman" w:cs="Times New Roman"/>
          <w:b/>
          <w:bCs/>
          <w:color w:val="0D0D0D"/>
          <w:sz w:val="26"/>
          <w:szCs w:val="26"/>
        </w:rPr>
        <w:t>1.1.4 Familiarità</w:t>
      </w:r>
    </w:p>
    <w:p w:rsidR="00A0541C" w:rsidRDefault="00B460A6" w:rsidP="001E5BE4">
      <w:pPr>
        <w:spacing w:after="0" w:line="360" w:lineRule="auto"/>
        <w:ind w:right="1089"/>
        <w:jc w:val="both"/>
        <w:rPr>
          <w:rFonts w:ascii="Times New Roman" w:hAnsi="Times New Roman" w:cs="Times New Roman"/>
          <w:color w:val="0D0D0D"/>
          <w:sz w:val="24"/>
          <w:szCs w:val="24"/>
        </w:rPr>
      </w:pPr>
      <w:r>
        <w:rPr>
          <w:rFonts w:ascii="Times New Roman" w:hAnsi="Times New Roman" w:cs="Times New Roman"/>
          <w:color w:val="0D0D0D"/>
          <w:sz w:val="24"/>
          <w:szCs w:val="24"/>
        </w:rPr>
        <w:t>E' stato osservato che nelle famiglie di pazienti affetti da depressione o mania, sono presenti un maggior numero di disturbi affettivi rispetto alla popolazione generale.</w:t>
      </w:r>
    </w:p>
    <w:p w:rsidR="00A0541C" w:rsidRDefault="00B460A6" w:rsidP="001E5BE4">
      <w:pPr>
        <w:spacing w:after="0" w:line="360" w:lineRule="auto"/>
        <w:ind w:right="1089"/>
        <w:jc w:val="both"/>
        <w:rPr>
          <w:rFonts w:ascii="Times New Roman" w:hAnsi="Times New Roman" w:cs="Times New Roman"/>
          <w:color w:val="0D0D0D"/>
          <w:sz w:val="24"/>
          <w:szCs w:val="24"/>
        </w:rPr>
      </w:pPr>
      <w:r>
        <w:rPr>
          <w:rFonts w:ascii="Times New Roman" w:hAnsi="Times New Roman" w:cs="Times New Roman"/>
          <w:color w:val="0D0D0D"/>
          <w:sz w:val="24"/>
          <w:szCs w:val="24"/>
        </w:rPr>
        <w:t>Si dai primi studi si vede come il rischio di morbidità familiare è diverso nel disturbo bipolare rispetto a quello unipolare: 19.2% e 9.7% rispettivamente (Gershon, 1976; McGuffin, 1986;Lan, 2007).</w:t>
      </w:r>
    </w:p>
    <w:p w:rsidR="00A0541C" w:rsidRDefault="00B460A6" w:rsidP="001E5BE4">
      <w:pPr>
        <w:spacing w:after="0" w:line="360" w:lineRule="auto"/>
        <w:ind w:right="1089"/>
        <w:jc w:val="both"/>
        <w:rPr>
          <w:rFonts w:ascii="Times New Roman" w:hAnsi="Times New Roman" w:cs="Times New Roman"/>
          <w:color w:val="0D0D0D"/>
          <w:sz w:val="24"/>
          <w:szCs w:val="24"/>
        </w:rPr>
      </w:pPr>
      <w:r>
        <w:rPr>
          <w:rFonts w:ascii="Times New Roman" w:hAnsi="Times New Roman" w:cs="Times New Roman"/>
          <w:color w:val="0D0D0D"/>
          <w:sz w:val="24"/>
          <w:szCs w:val="24"/>
        </w:rPr>
        <w:t>Gli studi sui gemelli e sulle famiglie adottive hanno identificato una componente genetico - biologica con un ruolo fondamentale nella patogenesi del disturbo bipolare e unipolare. Inoltre, la natura di questa componente non è però cosi chiara, probabilmente a causa di complesse interazioni con le variabili ambientali e anche poiché riflette la eterogeneità genotipica e fenotipica di queste patologie.</w:t>
      </w:r>
    </w:p>
    <w:p w:rsidR="00A0541C" w:rsidRDefault="00B460A6" w:rsidP="001E5BE4">
      <w:pPr>
        <w:spacing w:after="0" w:line="360" w:lineRule="auto"/>
        <w:ind w:right="1089"/>
        <w:jc w:val="both"/>
        <w:rPr>
          <w:rFonts w:ascii="Times New Roman" w:hAnsi="Times New Roman" w:cs="Times New Roman"/>
          <w:color w:val="0D0D0D"/>
          <w:sz w:val="24"/>
          <w:szCs w:val="24"/>
        </w:rPr>
      </w:pPr>
      <w:r>
        <w:rPr>
          <w:rFonts w:ascii="Times New Roman" w:hAnsi="Times New Roman" w:cs="Times New Roman"/>
          <w:color w:val="0D0D0D"/>
          <w:sz w:val="24"/>
          <w:szCs w:val="24"/>
        </w:rPr>
        <w:t>Tuttavia, esiste una forte familiarità nella risposta ai trattamenti farmacologici. Riguardo a questo, la risposta agli antidepressivi e ai sali di litio, costituisce un criterio sufficientemente valido per definire la suscettibilità ai disordini affettivi.</w:t>
      </w: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Pr="00B460A6" w:rsidRDefault="00B460A6" w:rsidP="001E5BE4">
      <w:pPr>
        <w:spacing w:line="360" w:lineRule="auto"/>
        <w:ind w:right="1091"/>
        <w:jc w:val="both"/>
        <w:rPr>
          <w:rFonts w:ascii="Times New Roman" w:hAnsi="Times New Roman" w:cs="Times New Roman"/>
          <w:b/>
          <w:bCs/>
          <w:color w:val="0D0D0D"/>
          <w:sz w:val="26"/>
          <w:szCs w:val="26"/>
        </w:rPr>
      </w:pPr>
      <w:r w:rsidRPr="00B460A6">
        <w:rPr>
          <w:rFonts w:ascii="Times New Roman" w:hAnsi="Times New Roman" w:cs="Times New Roman"/>
          <w:b/>
          <w:bCs/>
          <w:color w:val="0D0D0D"/>
          <w:sz w:val="26"/>
          <w:szCs w:val="26"/>
        </w:rPr>
        <w:t>1.2 Bipolar disorder</w:t>
      </w:r>
    </w:p>
    <w:p w:rsidR="00A0541C" w:rsidRDefault="00B460A6" w:rsidP="001E5BE4">
      <w:pPr>
        <w:spacing w:after="0" w:line="360" w:lineRule="auto"/>
        <w:ind w:right="1089"/>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Il disturbo bipolare (DB) è una condizione psichiatrica comune, a lungo termine e disabilitante, che colpisce fino al 3% della popolazione mondiale (Angst, 1998; Narrow, 2002), ed è la sesta causa mondiale di disabilità negli individui di età compresa tra 15 e 44 anni (Murray and Lopez, 1996; Bauer, 2001). </w:t>
      </w:r>
    </w:p>
    <w:p w:rsidR="00A0541C" w:rsidRDefault="00B460A6" w:rsidP="001E5BE4">
      <w:pPr>
        <w:spacing w:after="0" w:line="360" w:lineRule="auto"/>
        <w:ind w:right="1089"/>
        <w:jc w:val="both"/>
        <w:rPr>
          <w:rFonts w:ascii="Times New Roman" w:hAnsi="Times New Roman" w:cs="Times New Roman"/>
          <w:color w:val="0D0D0D"/>
          <w:sz w:val="24"/>
          <w:szCs w:val="24"/>
        </w:rPr>
      </w:pPr>
      <w:r>
        <w:rPr>
          <w:rFonts w:ascii="Times New Roman" w:hAnsi="Times New Roman" w:cs="Times New Roman"/>
          <w:color w:val="0D0D0D"/>
          <w:sz w:val="24"/>
          <w:szCs w:val="24"/>
        </w:rPr>
        <w:t>Il disturbo bipolare è definito dal manifestarsi di mania, disordine di tipo I, o ipomania (mania senza deficit psicosociale), disordine di tipo II.</w:t>
      </w:r>
    </w:p>
    <w:p w:rsidR="00A0541C" w:rsidRDefault="00A0541C" w:rsidP="001E5BE4">
      <w:pPr>
        <w:spacing w:line="360" w:lineRule="auto"/>
        <w:ind w:right="1091"/>
        <w:jc w:val="both"/>
        <w:rPr>
          <w:rFonts w:ascii="Times New Roman" w:hAnsi="Times New Roman"/>
          <w:sz w:val="24"/>
          <w:szCs w:val="24"/>
        </w:rPr>
      </w:pPr>
    </w:p>
    <w:p w:rsidR="00A0541C" w:rsidRPr="00B460A6" w:rsidRDefault="00B460A6" w:rsidP="001E5BE4">
      <w:pPr>
        <w:spacing w:line="360" w:lineRule="auto"/>
        <w:ind w:right="1091"/>
        <w:jc w:val="both"/>
        <w:rPr>
          <w:rFonts w:ascii="Times New Roman" w:hAnsi="Times New Roman" w:cs="Times New Roman"/>
          <w:b/>
          <w:color w:val="0D0D0D"/>
          <w:sz w:val="26"/>
          <w:szCs w:val="26"/>
        </w:rPr>
      </w:pPr>
      <w:r w:rsidRPr="00B460A6">
        <w:rPr>
          <w:rFonts w:ascii="Times New Roman" w:hAnsi="Times New Roman" w:cs="Times New Roman"/>
          <w:b/>
          <w:color w:val="0D0D0D"/>
          <w:sz w:val="26"/>
          <w:szCs w:val="26"/>
        </w:rPr>
        <w:t>1.2.1 Epidemiologia</w:t>
      </w: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l'epidemiologia del disturbo bipolare in Europa è stata descritta in numerosi studi; l'evidenza comune degli studi è rimarcata dalla descrizione clinica del disturbo bipolare come un disturbo episodico che generalmente si palesa in età adulta, con una media di età d'esordio compresa tra i 20 e i 30 anni. Questi studi stimano una diffusione intorno all' 1-2% per il disturbo bipolare di tipo I, anche se sommando anche i soggetti con disturbo di tipo II, la stima arriva a circa 6% della popolazione mondiale (Pini, 2005). Studi epidemiologici portati avanti negli Stati Uniti, stimano che l'1,2% della popolazione adulta statunitense (2,3 milioni) ha il disturbo di tipo I (Kupfer, 2004). </w:t>
      </w: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In accordo con l' Epidemiologic Catchment Area Study, come citato da Kleinman et al., la prevalenza per razza ed etnia per il disturbo di tipo I e di tipo II è rispettivamente: caucasici 0.8% e 0.4%, africani americani 1% e 0.6%, ispanici 0.7% e 0.5%. Nessuna differenza di sesso è invece presente per il DB I, sebbene il DB II è più comune nelle donne. L'età media di esordio per il DB I è di 18 anni, mentre per il DB II è 22. il Db si classifica al sesto posto nella classifica mondiale della disabilità. Uno studio americano sul costo della malattia, relativamente al DB, stima circa 45 miliardi di dollari annui (Kleinman, 2003).</w:t>
      </w:r>
    </w:p>
    <w:p w:rsidR="00A0541C" w:rsidRDefault="00A0541C" w:rsidP="001E5BE4">
      <w:pPr>
        <w:spacing w:line="360" w:lineRule="auto"/>
        <w:ind w:right="1091"/>
        <w:jc w:val="both"/>
        <w:rPr>
          <w:rFonts w:ascii="Times New Roman" w:hAnsi="Times New Roman"/>
          <w:sz w:val="24"/>
          <w:szCs w:val="24"/>
        </w:rPr>
      </w:pPr>
    </w:p>
    <w:p w:rsidR="00A0541C" w:rsidRPr="00B460A6" w:rsidRDefault="00B460A6" w:rsidP="001E5BE4">
      <w:pPr>
        <w:spacing w:line="360" w:lineRule="auto"/>
        <w:ind w:right="1091"/>
        <w:jc w:val="both"/>
        <w:rPr>
          <w:rFonts w:ascii="Times New Roman" w:hAnsi="Times New Roman" w:cs="Times New Roman"/>
          <w:b/>
          <w:color w:val="0D0D0D"/>
          <w:sz w:val="26"/>
          <w:szCs w:val="26"/>
        </w:rPr>
      </w:pPr>
      <w:r w:rsidRPr="00B460A6">
        <w:rPr>
          <w:rFonts w:ascii="Times New Roman" w:hAnsi="Times New Roman" w:cs="Times New Roman"/>
          <w:b/>
          <w:color w:val="0D0D0D"/>
          <w:sz w:val="26"/>
          <w:szCs w:val="26"/>
        </w:rPr>
        <w:t>1.2.2 Caratteristiche Cliniche</w:t>
      </w: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 La malattia bipolare è classificata in 4 tipo di disturbo: a) DB I, b) DB II, c) Disturbo ciclotimico, d) DB non altrimenti specificato.</w:t>
      </w:r>
    </w:p>
    <w:p w:rsidR="00A0541C" w:rsidRDefault="00A0541C" w:rsidP="001E5BE4">
      <w:pPr>
        <w:spacing w:line="360" w:lineRule="auto"/>
        <w:ind w:right="1091"/>
        <w:jc w:val="both"/>
        <w:rPr>
          <w:rFonts w:ascii="Times New Roman" w:hAnsi="Times New Roman"/>
          <w:sz w:val="24"/>
          <w:szCs w:val="24"/>
        </w:rPr>
      </w:pPr>
    </w:p>
    <w:p w:rsidR="00A0541C" w:rsidRDefault="00B460A6" w:rsidP="001E5BE4">
      <w:pPr>
        <w:spacing w:line="360" w:lineRule="auto"/>
        <w:ind w:right="1091"/>
        <w:jc w:val="both"/>
        <w:rPr>
          <w:rFonts w:ascii="Times New Roman" w:hAnsi="Times New Roman" w:cs="Times New Roman"/>
          <w:i/>
          <w:iCs/>
          <w:color w:val="0D0D0D"/>
          <w:sz w:val="24"/>
          <w:szCs w:val="24"/>
          <w:u w:val="single"/>
        </w:rPr>
      </w:pPr>
      <w:r>
        <w:rPr>
          <w:rFonts w:ascii="Times New Roman" w:hAnsi="Times New Roman" w:cs="Times New Roman"/>
          <w:i/>
          <w:iCs/>
          <w:color w:val="0D0D0D"/>
          <w:sz w:val="24"/>
          <w:szCs w:val="24"/>
          <w:u w:val="single"/>
        </w:rPr>
        <w:t>Disturbo Bipolare I</w:t>
      </w: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La malattia maniaco-depressiva classica o disturbo bipolare I è solo uno dei sottotipi di questo particolare disturbo dell'umore. I pazienti che hanno il disturbo di tipo I devono aver avuto almeno una volta una crisi maniacale o un episodio misto e generalmente almeno uno o più episodi depressivi maggiori. Durante un episodio maniacale, il paziente mostra un umore irritabile, espansivo persistentemente e abnormemente elevato, per almeno una settimana, e spesso richiede l'ospedalizzazione. Sintomi maniacali specifici includono aumentata autostima, una diminuzione del bisogno di dormire, pensieri veloci, eloquio rapido, aumentata attività/agitazione, e aumentato piacere nel partecipare ad attività rischiose o pericolose. Tre o più di questi criteri, in aggiunta ad un umore elevato e irritabile sono conosciuto secondo il DSM-IV come diagnosi di disturbo bipolare di tipo I. i pazienti sono incapaci di svolgere i loro ruoli usuali durante un episodio maniacale.</w:t>
      </w: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L' espressione tipica del DB I è caratterizzata dalla storica presenza di almeno un episodio maniacale unito ad un episodio depressivo. Sebbene le caratteristiche psicotiche possono essere viste con severi episodi depressivi o maniacali, non sono osservabili durante i periodi di normotimia. Questo aiuta a distinguere il DB dal disturbo schizoaffettivo o dalla schizofrenia.</w:t>
      </w: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Episodi fulminanti di mania non spesso sfuggono al medico. Data la natura perturbatrice dei sintomi descritti sopra, il paziente maniacale chiama l'attenzione su se stesso, diventando incapace di svolgere normali compiti, richiedendo ospedalizzazione per stabilizzarsi. Il controllo di una crisi di mania acuta di un paziente ambulatoriale è molto difficile. Sfortunatamente i pazienti con DB I, non riportano gli episodi maniacali se sono eutimici o depressi, al momento di un colloquio col medico. Questo ovviamente contribuisce alla mancata diagnosi di DB nel paziente depresso.</w:t>
      </w:r>
    </w:p>
    <w:p w:rsidR="00A0541C" w:rsidRDefault="00A0541C" w:rsidP="001E5BE4">
      <w:pPr>
        <w:spacing w:line="360" w:lineRule="auto"/>
        <w:ind w:right="1091"/>
        <w:jc w:val="both"/>
        <w:rPr>
          <w:rFonts w:ascii="Times New Roman" w:hAnsi="Times New Roman"/>
          <w:sz w:val="24"/>
          <w:szCs w:val="24"/>
        </w:rPr>
      </w:pPr>
    </w:p>
    <w:p w:rsidR="00A0541C" w:rsidRPr="00B460A6" w:rsidRDefault="00B460A6" w:rsidP="001E5BE4">
      <w:pPr>
        <w:spacing w:line="360" w:lineRule="auto"/>
        <w:ind w:right="1091"/>
        <w:jc w:val="both"/>
        <w:rPr>
          <w:rFonts w:ascii="Times New Roman" w:hAnsi="Times New Roman" w:cs="Times New Roman"/>
          <w:i/>
          <w:color w:val="0D0D0D"/>
          <w:sz w:val="24"/>
          <w:szCs w:val="24"/>
          <w:u w:val="single"/>
        </w:rPr>
      </w:pPr>
      <w:r w:rsidRPr="00B460A6">
        <w:rPr>
          <w:rFonts w:ascii="Times New Roman" w:hAnsi="Times New Roman" w:cs="Times New Roman"/>
          <w:i/>
          <w:color w:val="0D0D0D"/>
          <w:sz w:val="24"/>
          <w:szCs w:val="24"/>
          <w:u w:val="single"/>
        </w:rPr>
        <w:t>Disturbo Bipolare tipo II</w:t>
      </w: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il DB II viene diagnosticato quando l'individuo presenta almeno un episodio ipomaniacale in aggiunta a un o più episodi depressivi maggiori. Secondo la definizione del DSM-IV, pazienti che hanno il DB II non hanno mai avuto un episodio maniacale completo o misto . L' ipomania è diversa dalla mania per parecchi motivi: il deficit generale nell'ipomania è meno grave di quello visto per la mania e nei pazienti ipomaniacali vi sono più o meno lievi sbandamenti della capacità di giudizio. Spesso questi pazienti credono di essere più abili e più capaci, mentre le persone familiari con questo tipo di problema sono capaci di osservare dei netti cambiamenti nel loro umore e nel loro  comportamento, come irritabilità , iper-loquacità o eccessiva attività. L' ipomania può allentare le inibizioni nell' individuo affetto, contribuendo a intaccare la capacità di giudizio in problemi finanziari o in ambito sessuale.</w:t>
      </w: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L' ipomania è talvolta difficile da diagnosticare usando i criteri diagnostici del DSM-IV. Studi infatti suggeriscono che ha una maggiore validità utilizzare una soglia di durata della crisi ipomaniacale di due giorni rispetto ad una soglia di 4 giorni, con una durata media di 1-3 giorni (Akiksal, 2000).</w:t>
      </w:r>
    </w:p>
    <w:p w:rsidR="00A0541C" w:rsidRDefault="00B460A6" w:rsidP="001E5BE4">
      <w:pPr>
        <w:spacing w:after="0" w:line="360" w:lineRule="auto"/>
        <w:ind w:right="1089"/>
        <w:jc w:val="both"/>
        <w:rPr>
          <w:rFonts w:ascii="Times New Roman" w:hAnsi="Times New Roman" w:cs="Times New Roman"/>
          <w:color w:val="0D0D0D"/>
          <w:sz w:val="24"/>
          <w:szCs w:val="24"/>
        </w:rPr>
      </w:pPr>
      <w:r>
        <w:rPr>
          <w:rFonts w:ascii="Times New Roman" w:hAnsi="Times New Roman" w:cs="Times New Roman"/>
          <w:color w:val="0D0D0D"/>
          <w:sz w:val="24"/>
          <w:szCs w:val="24"/>
        </w:rPr>
        <w:t>Molti scienziati sostengono che se il DB non viene sempre riconosciuto o diagnosticato; questo è dovuto principalmente alla mancata identificazione dell' ipomania. In uno studio del “French Clinical Epidemiology of Depression database, una diagnosi di Db II secondo DSM-IV può essere fatta nel 22% di 500 pazienti circa che hanno disturbo depressivo maggiore alla loro prima visita )Hantouche, 1998). Dopo un secondo colloquio, 1 mese dopo, supportati da una valutazione più approfondita, il 40% dei paziente viene diagnosticato come  bipolare (DB II).</w:t>
      </w:r>
    </w:p>
    <w:p w:rsidR="00A0541C" w:rsidRDefault="00B460A6" w:rsidP="001E5BE4">
      <w:pPr>
        <w:spacing w:after="0" w:line="360" w:lineRule="auto"/>
        <w:ind w:right="1089"/>
        <w:jc w:val="both"/>
        <w:rPr>
          <w:rFonts w:ascii="Times New Roman" w:hAnsi="Times New Roman" w:cs="Times New Roman"/>
          <w:color w:val="0D0D0D"/>
          <w:sz w:val="24"/>
          <w:szCs w:val="24"/>
        </w:rPr>
      </w:pPr>
      <w:r>
        <w:rPr>
          <w:rFonts w:ascii="Times New Roman" w:hAnsi="Times New Roman" w:cs="Times New Roman"/>
          <w:color w:val="0D0D0D"/>
          <w:sz w:val="24"/>
          <w:szCs w:val="24"/>
        </w:rPr>
        <w:t>I medici devono prestare particolare attenzione, al fine di una diagnosi appropriata, alle circostanze esterne come per esempio l'abuso di droghe, prima di concludere che l'agitazione e l'aumento di energie del paziente, durate alcuni giorni, possano essere significative per una diagnosi di ipomania come parte di un disturbo bipolare di tipo II. Se è presente un chiaro pattern di sintomi ipomaniacali legato solo a tali circostanze, allora la diagnosi di DB II deve essere posticipata e nel mentre tali fattori esterni devono essere esplorati più a fondo.</w:t>
      </w:r>
    </w:p>
    <w:p w:rsidR="00A0541C" w:rsidRDefault="00A0541C" w:rsidP="001E5BE4">
      <w:pPr>
        <w:spacing w:line="360" w:lineRule="auto"/>
        <w:ind w:right="1091"/>
        <w:jc w:val="both"/>
        <w:rPr>
          <w:rFonts w:ascii="Times New Roman" w:hAnsi="Times New Roman"/>
          <w:sz w:val="24"/>
          <w:szCs w:val="24"/>
        </w:rPr>
      </w:pPr>
    </w:p>
    <w:p w:rsidR="00A0541C" w:rsidRPr="00B460A6" w:rsidRDefault="00B460A6" w:rsidP="001E5BE4">
      <w:pPr>
        <w:spacing w:line="360" w:lineRule="auto"/>
        <w:ind w:right="1091"/>
        <w:jc w:val="both"/>
        <w:rPr>
          <w:rFonts w:ascii="Times New Roman" w:hAnsi="Times New Roman" w:cs="Times New Roman"/>
          <w:i/>
          <w:color w:val="0D0D0D"/>
          <w:sz w:val="24"/>
          <w:szCs w:val="24"/>
          <w:u w:val="single"/>
        </w:rPr>
      </w:pPr>
      <w:r w:rsidRPr="00B460A6">
        <w:rPr>
          <w:rFonts w:ascii="Times New Roman" w:hAnsi="Times New Roman" w:cs="Times New Roman"/>
          <w:i/>
          <w:color w:val="0D0D0D"/>
          <w:sz w:val="24"/>
          <w:szCs w:val="24"/>
          <w:u w:val="single"/>
        </w:rPr>
        <w:t>Disturbo Ciclotimico</w:t>
      </w: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Il disturbo ciclotimico è una fluttuazione cronica dell' umore, caratterizzata da numerosi periodi di sintomi depressivi e ipomaniacali angosciosi. Questi periodi di alterazione dell' umore possono presentare alcuni dei criteri degli episodi maniacali, ma spesso non sono sufficienti  in numero, gravità, durata e invasività per soddisfare i criteri per essere definiti episodi maniacali o depressivi maggiori, come da DB tipo I o tipo II. Secondo il DSM-IV la durata richiesta di questo pattern di sintomi è di 2 anni )1 anno per adolescenti e bambini). Secondo tale manuale, da 15% a 50% dei pazienti che hanno una ciclotimia, sviluppa in seguito un disturbo bipolare (Runeson, 1994; Muzina, 2007). </w:t>
      </w:r>
    </w:p>
    <w:p w:rsidR="00A0541C" w:rsidRDefault="00A0541C" w:rsidP="001E5BE4">
      <w:pPr>
        <w:spacing w:line="360" w:lineRule="auto"/>
        <w:ind w:right="1091"/>
        <w:jc w:val="both"/>
        <w:rPr>
          <w:rFonts w:ascii="Times New Roman" w:hAnsi="Times New Roman"/>
          <w:sz w:val="24"/>
          <w:szCs w:val="24"/>
        </w:rPr>
      </w:pPr>
    </w:p>
    <w:p w:rsidR="00A0541C" w:rsidRPr="00B460A6" w:rsidRDefault="00B460A6" w:rsidP="001E5BE4">
      <w:pPr>
        <w:spacing w:line="360" w:lineRule="auto"/>
        <w:ind w:right="1091"/>
        <w:jc w:val="both"/>
        <w:rPr>
          <w:rFonts w:ascii="Times New Roman" w:hAnsi="Times New Roman" w:cs="Times New Roman"/>
          <w:i/>
          <w:color w:val="0D0D0D"/>
          <w:sz w:val="24"/>
          <w:szCs w:val="24"/>
          <w:u w:val="single"/>
        </w:rPr>
      </w:pPr>
      <w:r w:rsidRPr="00B460A6">
        <w:rPr>
          <w:rFonts w:ascii="Times New Roman" w:hAnsi="Times New Roman" w:cs="Times New Roman"/>
          <w:i/>
          <w:color w:val="0D0D0D"/>
          <w:sz w:val="24"/>
          <w:szCs w:val="24"/>
          <w:u w:val="single"/>
        </w:rPr>
        <w:t>Disturbo bipolare non altrimenti specificato</w:t>
      </w:r>
    </w:p>
    <w:p w:rsidR="00A0541C" w:rsidRDefault="00B460A6" w:rsidP="001E5BE4">
      <w:pPr>
        <w:spacing w:after="0" w:line="360" w:lineRule="auto"/>
        <w:ind w:right="1089"/>
        <w:jc w:val="both"/>
        <w:rPr>
          <w:rFonts w:ascii="Times New Roman" w:hAnsi="Times New Roman" w:cs="Times New Roman"/>
          <w:color w:val="0D0D0D"/>
          <w:sz w:val="24"/>
          <w:szCs w:val="24"/>
        </w:rPr>
      </w:pPr>
      <w:r>
        <w:rPr>
          <w:rFonts w:ascii="Times New Roman" w:hAnsi="Times New Roman" w:cs="Times New Roman"/>
          <w:color w:val="0D0D0D"/>
          <w:sz w:val="24"/>
          <w:szCs w:val="24"/>
        </w:rPr>
        <w:t>il DB non altrimenti specificato (NOS) è un sottotipo di DB che include pazienti che hanno sintomi bipolari che hanno però corta durata e che non posseggono tutti i criteri del DB completo. NOS è comunemente usato per descrivere un paziente che ha depressioni ricorrenti e che possiede anche sintomi ipomaniacali che però sono durati meno dei 4 giorni previsti dal DSM-IV.</w:t>
      </w:r>
    </w:p>
    <w:p w:rsidR="00A0541C" w:rsidRDefault="00B460A6" w:rsidP="001E5BE4">
      <w:pPr>
        <w:spacing w:after="0" w:line="360" w:lineRule="auto"/>
        <w:ind w:right="1089"/>
        <w:jc w:val="both"/>
        <w:rPr>
          <w:rFonts w:ascii="Times New Roman" w:hAnsi="Times New Roman" w:cs="Times New Roman"/>
          <w:color w:val="0D0D0D"/>
          <w:sz w:val="24"/>
          <w:szCs w:val="24"/>
        </w:rPr>
      </w:pPr>
      <w:r>
        <w:rPr>
          <w:rFonts w:ascii="Times New Roman" w:hAnsi="Times New Roman" w:cs="Times New Roman"/>
          <w:color w:val="0D0D0D"/>
          <w:sz w:val="24"/>
          <w:szCs w:val="24"/>
        </w:rPr>
        <w:t>Altri esempi includono episodi ricorrenti ipomaniacali, senza crisi depressive; o altri casi in cui il medico individua il DB ma non può determinare se primario o secondario rispetto ad una situazione di abuso di sostanze. Nella pratica, i medici spesso usano il termine NOS e DB atipico in maniera intercambiabile (Muzina, 2007).</w:t>
      </w:r>
    </w:p>
    <w:p w:rsidR="00A0541C" w:rsidRDefault="00A0541C" w:rsidP="001E5BE4">
      <w:pPr>
        <w:spacing w:line="360" w:lineRule="auto"/>
        <w:ind w:right="1091"/>
        <w:jc w:val="both"/>
        <w:rPr>
          <w:rFonts w:ascii="Times New Roman" w:hAnsi="Times New Roman"/>
          <w:sz w:val="24"/>
          <w:szCs w:val="24"/>
        </w:rPr>
      </w:pPr>
    </w:p>
    <w:p w:rsidR="00B460A6" w:rsidRPr="00B460A6" w:rsidRDefault="00B460A6" w:rsidP="001E5BE4">
      <w:pPr>
        <w:spacing w:line="360" w:lineRule="auto"/>
        <w:ind w:right="1091"/>
        <w:jc w:val="both"/>
        <w:rPr>
          <w:rFonts w:ascii="Times New Roman" w:hAnsi="Times New Roman"/>
          <w:sz w:val="26"/>
          <w:szCs w:val="26"/>
        </w:rPr>
      </w:pPr>
    </w:p>
    <w:p w:rsidR="00A0541C" w:rsidRPr="00B460A6" w:rsidRDefault="00B460A6" w:rsidP="001E5BE4">
      <w:pPr>
        <w:spacing w:line="360" w:lineRule="auto"/>
        <w:ind w:right="1091"/>
        <w:jc w:val="both"/>
        <w:rPr>
          <w:rFonts w:ascii="Times New Roman" w:hAnsi="Times New Roman" w:cs="Times New Roman"/>
          <w:b/>
          <w:color w:val="0D0D0D"/>
          <w:sz w:val="26"/>
          <w:szCs w:val="26"/>
        </w:rPr>
      </w:pPr>
      <w:r w:rsidRPr="00B460A6">
        <w:rPr>
          <w:rFonts w:ascii="Times New Roman" w:hAnsi="Times New Roman" w:cs="Times New Roman"/>
          <w:b/>
          <w:color w:val="0D0D0D"/>
          <w:sz w:val="26"/>
          <w:szCs w:val="26"/>
        </w:rPr>
        <w:t>1.2.3 Spettro del disturbo bipolare</w:t>
      </w: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Spettro bipolare è un termine usato comunemente che descrive un range completo di fenotipi sospetti o manifestazione sintomatiche espresse dai pazienti che hanno il DB, evidenziando la sintomatica eterogeneità di questa popolazione in termini di episodi sintomatici, gravità, pattern e ciclicità. Attenzione deve essere fatta per non includere erroneamente individui in una categorizzazione di disordine mentale come DB o disturbi dello spettro bipolare. I soggetti che hanno temperamenti o personalità ipertimiche può essere interpretato come bipolare semplicemente perche presentano frequentemente sintomi quali eccessiva allegria o atteggiamenti presuntuosi. Se soltanto ipertimici e senza altri variazioni dell'umore, questi individui possono fortunatamente venir diagnosticati con una sorta di ipomania e non con il DB (Muzina, 2007).</w:t>
      </w:r>
    </w:p>
    <w:p w:rsidR="00A0541C" w:rsidRDefault="00A0541C" w:rsidP="001E5BE4">
      <w:pPr>
        <w:spacing w:line="360" w:lineRule="auto"/>
        <w:ind w:right="1091"/>
        <w:jc w:val="both"/>
        <w:rPr>
          <w:rFonts w:ascii="Times New Roman" w:hAnsi="Times New Roman"/>
          <w:sz w:val="24"/>
          <w:szCs w:val="24"/>
        </w:rPr>
      </w:pPr>
    </w:p>
    <w:p w:rsidR="00A0541C" w:rsidRPr="00B460A6" w:rsidRDefault="00B460A6" w:rsidP="001E5BE4">
      <w:pPr>
        <w:spacing w:line="360" w:lineRule="auto"/>
        <w:ind w:right="1091"/>
        <w:jc w:val="both"/>
        <w:rPr>
          <w:rFonts w:ascii="Times New Roman" w:hAnsi="Times New Roman" w:cs="Times New Roman"/>
          <w:b/>
          <w:color w:val="0D0D0D"/>
          <w:sz w:val="26"/>
          <w:szCs w:val="26"/>
        </w:rPr>
      </w:pPr>
      <w:r w:rsidRPr="00B460A6">
        <w:rPr>
          <w:rFonts w:ascii="Times New Roman" w:hAnsi="Times New Roman" w:cs="Times New Roman"/>
          <w:b/>
          <w:color w:val="0D0D0D"/>
          <w:sz w:val="26"/>
          <w:szCs w:val="26"/>
        </w:rPr>
        <w:t>1.2.4 Andamento ed esito</w:t>
      </w:r>
    </w:p>
    <w:p w:rsidR="00A0541C" w:rsidRDefault="00B460A6" w:rsidP="001E5BE4">
      <w:pPr>
        <w:spacing w:after="0" w:line="360" w:lineRule="auto"/>
        <w:ind w:right="1089"/>
        <w:jc w:val="both"/>
        <w:rPr>
          <w:rFonts w:ascii="Times New Roman" w:hAnsi="Times New Roman" w:cs="Times New Roman"/>
          <w:color w:val="0D0D0D"/>
          <w:sz w:val="24"/>
          <w:szCs w:val="24"/>
        </w:rPr>
      </w:pPr>
      <w:r>
        <w:rPr>
          <w:rFonts w:ascii="Times New Roman" w:hAnsi="Times New Roman" w:cs="Times New Roman"/>
          <w:color w:val="0D0D0D"/>
          <w:sz w:val="24"/>
          <w:szCs w:val="24"/>
        </w:rPr>
        <w:t>Un vecchio report epidemiologico mostra come gli episodi di malattia nel disturbo bipolare ricorrono in modo tipico: il 69% ha sofferto più di 7 episodi e il 42% più di 11 (Angst, 1978). inoltre, uno studio più recente ha trovato che i pazienti provano una media di 8 episodi (5 manie e 3 episodi depressivi) (Have et al., 2002). L' andamento più comune è una successione di episodi maniacali e depressivi con soltanto il 5% di pazienti che presentano solo manie. La lunghezza degli episodi non aumenta né diminuisce sistematicamente durante il corso della vita.</w:t>
      </w:r>
    </w:p>
    <w:p w:rsidR="00A0541C" w:rsidRDefault="00B460A6" w:rsidP="001E5BE4">
      <w:pPr>
        <w:spacing w:after="0" w:line="360" w:lineRule="auto"/>
        <w:ind w:right="1089"/>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Alcuni individui sviluppano rapidamente un ciclo di DB, definito come 4 o più episodi/anno. Questo sottotipo può essere associato a trattamento ma può anche essere spontaneo. Un' alternanza rapida è caratterizzata da un esito scarso, e soltanto un terzo di questi pazienti che alternano le fasi molto velocemente, riesce a guarire (Koukopoulos et al., 2003). Stati misti, definiti dalla co-presenza di episodi maniacali e depressivi durante almeno una settimana, sono caratterizzati da un esordio precoce, un alto rischio di suicidio e una scarsa risposta al trattamento con litio. </w:t>
      </w: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Il suicidio è una causa frequente di morte nei pazienti bipolari (Osby et al., 2001; Angst et al., 2003). Nel disturbo bipolare i pazienti che non sono trattati hanno una percentuale di rischio di incorrere nel suicidio, di 30 volte superiore quando paragonati ai controlli, mentre i pazienti trattati farmacologicamente soltanto 6 volte di più (Angst, 1998). </w:t>
      </w:r>
    </w:p>
    <w:p w:rsidR="00A0541C" w:rsidRDefault="00A0541C" w:rsidP="001E5BE4">
      <w:pPr>
        <w:spacing w:line="360" w:lineRule="auto"/>
        <w:ind w:right="1091"/>
        <w:jc w:val="both"/>
        <w:rPr>
          <w:rFonts w:ascii="Times New Roman" w:hAnsi="Times New Roman"/>
          <w:sz w:val="24"/>
          <w:szCs w:val="24"/>
        </w:rPr>
      </w:pPr>
    </w:p>
    <w:p w:rsidR="00B460A6" w:rsidRDefault="00B460A6" w:rsidP="001E5BE4">
      <w:pPr>
        <w:spacing w:line="360" w:lineRule="auto"/>
        <w:ind w:right="1091"/>
        <w:jc w:val="both"/>
        <w:rPr>
          <w:rFonts w:ascii="Times New Roman" w:hAnsi="Times New Roman"/>
          <w:sz w:val="24"/>
          <w:szCs w:val="24"/>
        </w:rPr>
      </w:pPr>
    </w:p>
    <w:p w:rsidR="00A0541C" w:rsidRPr="00B460A6" w:rsidRDefault="00B460A6" w:rsidP="001E5BE4">
      <w:pPr>
        <w:spacing w:line="360" w:lineRule="auto"/>
        <w:ind w:right="1091"/>
        <w:jc w:val="both"/>
        <w:rPr>
          <w:rFonts w:ascii="Times New Roman" w:hAnsi="Times New Roman" w:cs="Times New Roman"/>
          <w:b/>
          <w:color w:val="0D0D0D"/>
          <w:sz w:val="26"/>
          <w:szCs w:val="26"/>
        </w:rPr>
      </w:pPr>
      <w:r w:rsidRPr="00B460A6">
        <w:rPr>
          <w:rFonts w:ascii="Times New Roman" w:hAnsi="Times New Roman" w:cs="Times New Roman"/>
          <w:b/>
          <w:color w:val="0D0D0D"/>
          <w:sz w:val="26"/>
          <w:szCs w:val="26"/>
        </w:rPr>
        <w:t>1.2.5 Disfunzioni motorie, psicomotorie e cognitive</w:t>
      </w: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I disturbi affettivi in generale possono essere associati con un largo range di disfunzioni motorie, psicomotorie e cognitive. Quest'ultime portano a cambiamenti nella mobilità, nell'attività mentale e nell'eloquio, percepite come rallentamento del parlato, difficoltà nel tradurre i pensieri in azioni, perdita di interesse e affaticamento. L' attività motoria spontanea è significativamente ridotta quando i pazienti sono depressi, rispetto a quando si trovano in uno stato eutimico e sono sovente osservate lunghe pause nei discorsi duranti le fasi depressive.</w:t>
      </w:r>
    </w:p>
    <w:p w:rsidR="00A0541C" w:rsidRDefault="00B460A6" w:rsidP="001E5BE4">
      <w:pPr>
        <w:spacing w:after="0" w:line="360" w:lineRule="auto"/>
        <w:ind w:right="1089"/>
        <w:jc w:val="both"/>
        <w:rPr>
          <w:rFonts w:ascii="Times New Roman" w:hAnsi="Times New Roman" w:cs="Times New Roman"/>
          <w:color w:val="0D0D0D"/>
          <w:sz w:val="24"/>
          <w:szCs w:val="24"/>
        </w:rPr>
      </w:pPr>
      <w:r>
        <w:rPr>
          <w:rFonts w:ascii="Times New Roman" w:hAnsi="Times New Roman" w:cs="Times New Roman"/>
          <w:color w:val="0D0D0D"/>
          <w:sz w:val="24"/>
          <w:szCs w:val="24"/>
        </w:rPr>
        <w:t>Tuttavia, la depressione è caratterizzata principalmente da deficit cognitivi debilitanti e in particolare riguardo ai domini dell'attenzione, della memoria e della velocità psicomotoria. Queste disfunzioni sono inizialmente di intensità moderata, ma possono divenire gravi nella depressione non trattata, spesso aggravata da stati di ansia.</w:t>
      </w:r>
    </w:p>
    <w:p w:rsidR="00A0541C" w:rsidRDefault="00B460A6" w:rsidP="001E5BE4">
      <w:pPr>
        <w:spacing w:after="0" w:line="360" w:lineRule="auto"/>
        <w:ind w:right="1089"/>
        <w:jc w:val="both"/>
        <w:rPr>
          <w:rFonts w:ascii="Times New Roman" w:hAnsi="Times New Roman" w:cs="Times New Roman"/>
          <w:color w:val="0D0D0D"/>
          <w:sz w:val="24"/>
          <w:szCs w:val="24"/>
        </w:rPr>
      </w:pPr>
      <w:r>
        <w:rPr>
          <w:rFonts w:ascii="Times New Roman" w:hAnsi="Times New Roman" w:cs="Times New Roman"/>
          <w:color w:val="0D0D0D"/>
          <w:sz w:val="24"/>
          <w:szCs w:val="24"/>
        </w:rPr>
        <w:t>La memoria a lungo termine sembra essere intaccata in questi pazienti a prescindere dal sistema utilizzato per testarla (Gould, 2007) con un pattern di peggioramento durante il decorso della malattia. Questa scoperta è supportata da studi di neuroimaging che ev</w:t>
      </w:r>
      <w:r w:rsidR="0068558B">
        <w:rPr>
          <w:rFonts w:ascii="Times New Roman" w:hAnsi="Times New Roman" w:cs="Times New Roman"/>
          <w:color w:val="0D0D0D"/>
          <w:sz w:val="24"/>
          <w:szCs w:val="24"/>
        </w:rPr>
        <w:t>idenziano atrofie ippocampali (</w:t>
      </w:r>
      <w:r>
        <w:rPr>
          <w:rFonts w:ascii="Times New Roman" w:hAnsi="Times New Roman" w:cs="Times New Roman"/>
          <w:color w:val="0D0D0D"/>
          <w:sz w:val="24"/>
          <w:szCs w:val="24"/>
        </w:rPr>
        <w:t>Bell-McGinty, 2002), e deficit di attivazione (Bremner, 2004), in soggetti non trattati o farmaco-resistenti. L' aspetto veramente interessante dei deficit cognitivi nei disturbi affettivi concerne la processazione delle emozioni. I pazienti depressi ricordano facilmente e rapidamente le esperienze negative (Lloyd, 1975), sottostimano i loro comportamenti positivi e sovrastimano le azioni altrui (Roth, 1980), hanno una scarsa memoria delle esperienze positive, ma molto accurata di quelle negative (Brittlebank, 1993), sono molto lenti e meno accurati nel riconoscere le espressioni facciali positive (Rubinow, 1992), diversamente dai pazienti maniacali i quali hanno una tendenza opposta (Lembke, 2002). Pertanto non è strano trovare studi fMRI dove i soggetti depressi mostrano un' aumentata reattività dell' amigdala rispetto ai controlli (Sheline, 2003). Questa area infatti, è una delle principali strutture coinvolte nella processazione degli stimoli negativi. Inoltre l' intera connettività cellulare tra corteccia del cingolo e amigdala, incaricata del controllo cognitivo sulle emozioni, sembra essere alterata in tali soggetti (Rich, 2008).</w:t>
      </w:r>
    </w:p>
    <w:p w:rsidR="00A0541C" w:rsidRDefault="00B460A6" w:rsidP="001E5BE4">
      <w:pPr>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la lista di questo tipo di esperimenti è molto lunga e tutti gli studi conducono a pensare che questi pazienti hanno realmente un alterato senso di analisi delle esperienze.</w:t>
      </w:r>
    </w:p>
    <w:p w:rsidR="00A0541C" w:rsidRDefault="00A0541C" w:rsidP="001E5BE4">
      <w:pPr>
        <w:spacing w:line="360" w:lineRule="auto"/>
        <w:ind w:right="1091"/>
        <w:jc w:val="both"/>
        <w:rPr>
          <w:rFonts w:ascii="Times New Roman" w:hAnsi="Times New Roman"/>
          <w:sz w:val="24"/>
          <w:szCs w:val="24"/>
        </w:rPr>
      </w:pPr>
    </w:p>
    <w:p w:rsidR="00B460A6" w:rsidRDefault="00B460A6" w:rsidP="001E5BE4">
      <w:pPr>
        <w:spacing w:line="360" w:lineRule="auto"/>
        <w:ind w:right="1091"/>
        <w:jc w:val="both"/>
        <w:rPr>
          <w:rFonts w:ascii="Times New Roman" w:hAnsi="Times New Roman"/>
          <w:sz w:val="24"/>
          <w:szCs w:val="24"/>
        </w:rPr>
      </w:pPr>
    </w:p>
    <w:p w:rsidR="00A0541C" w:rsidRPr="00B460A6" w:rsidRDefault="00B460A6" w:rsidP="001E5BE4">
      <w:pPr>
        <w:spacing w:line="360" w:lineRule="auto"/>
        <w:ind w:right="1091"/>
        <w:jc w:val="both"/>
        <w:rPr>
          <w:rFonts w:ascii="Times New Roman" w:hAnsi="Times New Roman" w:cs="Times New Roman"/>
          <w:b/>
          <w:color w:val="0D0D0D"/>
          <w:sz w:val="26"/>
          <w:szCs w:val="26"/>
        </w:rPr>
      </w:pPr>
      <w:r w:rsidRPr="00B460A6">
        <w:rPr>
          <w:rFonts w:ascii="Times New Roman" w:hAnsi="Times New Roman" w:cs="Times New Roman"/>
          <w:b/>
          <w:color w:val="0D0D0D"/>
          <w:sz w:val="26"/>
          <w:szCs w:val="26"/>
        </w:rPr>
        <w:t>1.2.6 Studi di brain-imaging</w:t>
      </w:r>
    </w:p>
    <w:p w:rsidR="00A0541C" w:rsidRDefault="00B460A6" w:rsidP="001E5BE4">
      <w:pPr>
        <w:spacing w:after="0" w:line="360" w:lineRule="auto"/>
        <w:ind w:right="1089"/>
        <w:jc w:val="both"/>
        <w:rPr>
          <w:rFonts w:ascii="Times New Roman" w:hAnsi="Times New Roman" w:cs="Times New Roman"/>
          <w:color w:val="0D0D0D"/>
          <w:sz w:val="24"/>
          <w:szCs w:val="24"/>
        </w:rPr>
      </w:pPr>
      <w:r>
        <w:rPr>
          <w:rFonts w:ascii="Times New Roman" w:hAnsi="Times New Roman" w:cs="Times New Roman"/>
          <w:color w:val="0D0D0D"/>
          <w:sz w:val="24"/>
          <w:szCs w:val="24"/>
        </w:rPr>
        <w:t>E' importante capire la neurobiologia dei disturbi dell'umore e i meccanismi che sottendono ai disturbi dell'umore ma anche attraverso quali meccanismi del cervello i farmaci svolgono il loro effetto. Le applicazioni delle tecniche neuroscientifiche possono facilitare un'individuazione precoce, ottimizzare il trattamento e ridurre il rischio di ricadute successive.</w:t>
      </w:r>
    </w:p>
    <w:p w:rsidR="00A0541C" w:rsidRDefault="00B460A6" w:rsidP="001E5BE4">
      <w:pPr>
        <w:spacing w:after="0" w:line="360" w:lineRule="auto"/>
        <w:ind w:right="1089"/>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Recenti avanzamenti nelle tecniche di neuroimaging, in particolare in quelle basate sulla risonanza magnetica e spettroscopia, hanno rivoluzionato lo studio della neurofisiologia bipolare, portando a un prolifico numero di studi che cercano di chiarire i substrati neurali del disturbo bipolare. </w:t>
      </w:r>
    </w:p>
    <w:p w:rsidR="00A0541C" w:rsidRDefault="00B460A6" w:rsidP="001E5BE4">
      <w:pPr>
        <w:spacing w:after="0" w:line="360" w:lineRule="auto"/>
        <w:ind w:right="1089"/>
        <w:jc w:val="both"/>
        <w:rPr>
          <w:rFonts w:ascii="Times New Roman" w:hAnsi="Times New Roman" w:cs="Times New Roman"/>
          <w:sz w:val="24"/>
          <w:szCs w:val="24"/>
        </w:rPr>
      </w:pPr>
      <w:r>
        <w:rPr>
          <w:rFonts w:ascii="Times New Roman" w:hAnsi="Times New Roman" w:cs="Times New Roman"/>
          <w:sz w:val="24"/>
          <w:szCs w:val="24"/>
        </w:rPr>
        <w:t>Uno degli approcci per estendere e valutare i modelli funzionali neuroanatomici del DB è quello di usare il brain-imaging per determinare se ci sono anomalie strutturali del cerebro che coinvolgono network importanti.</w:t>
      </w:r>
    </w:p>
    <w:p w:rsidR="00A0541C" w:rsidRDefault="00B460A6" w:rsidP="001E5BE4">
      <w:pPr>
        <w:spacing w:after="0" w:line="360" w:lineRule="auto"/>
        <w:ind w:right="1089"/>
        <w:jc w:val="both"/>
        <w:rPr>
          <w:rFonts w:ascii="Times New Roman" w:hAnsi="Times New Roman" w:cs="Times New Roman"/>
          <w:sz w:val="24"/>
          <w:szCs w:val="24"/>
        </w:rPr>
      </w:pPr>
      <w:r>
        <w:rPr>
          <w:rFonts w:ascii="Times New Roman" w:hAnsi="Times New Roman" w:cs="Times New Roman"/>
          <w:sz w:val="24"/>
          <w:szCs w:val="24"/>
        </w:rPr>
        <w:t>L'imaging strutturale è limitato dal fatto che una struttura normale o anomala, non garantisce un normale funzionamento o una disfunzione, rispettivamente. Non di meno, la presenza di anomalie strutturali nel disturbo bipolare, aiuta a definire possibili modelli anatomici che sottostanno a tale condizione patologica.</w:t>
      </w:r>
    </w:p>
    <w:p w:rsidR="00A0541C" w:rsidRDefault="00B460A6" w:rsidP="001E5BE4">
      <w:pPr>
        <w:spacing w:after="0" w:line="360" w:lineRule="auto"/>
        <w:ind w:right="1089"/>
        <w:jc w:val="both"/>
        <w:rPr>
          <w:rFonts w:ascii="Times New Roman" w:hAnsi="Times New Roman" w:cs="Times New Roman"/>
          <w:sz w:val="24"/>
          <w:szCs w:val="24"/>
        </w:rPr>
      </w:pPr>
      <w:r>
        <w:rPr>
          <w:rFonts w:ascii="Times New Roman" w:hAnsi="Times New Roman" w:cs="Times New Roman"/>
          <w:sz w:val="24"/>
          <w:szCs w:val="24"/>
        </w:rPr>
        <w:t>La base neurale dei sintomi del DB, ha prodotto modelli  di DB che si focalizzano sul disfunzionamento dei network limbici anteriori (Strakowski et al., 2004, 2005, 2007; Adler et al., 2006a; Brambilla et al., 2</w:t>
      </w:r>
      <w:r w:rsidR="002606F6">
        <w:rPr>
          <w:rFonts w:ascii="Times New Roman" w:hAnsi="Times New Roman" w:cs="Times New Roman"/>
          <w:sz w:val="24"/>
          <w:szCs w:val="24"/>
        </w:rPr>
        <w:t>005). Tali network consistono di</w:t>
      </w:r>
      <w:r>
        <w:rPr>
          <w:rFonts w:ascii="Times New Roman" w:hAnsi="Times New Roman" w:cs="Times New Roman"/>
          <w:sz w:val="24"/>
          <w:szCs w:val="24"/>
        </w:rPr>
        <w:t xml:space="preserve"> circuiti prefrontali, striatali, talamici i quali sono modulati dall' amigdala e da altre strutture che dirigono i comportamenti emozionali e sociali.</w:t>
      </w:r>
    </w:p>
    <w:p w:rsidR="00A0541C" w:rsidRDefault="00B460A6" w:rsidP="001E5BE4">
      <w:pPr>
        <w:spacing w:after="0" w:line="360" w:lineRule="auto"/>
        <w:ind w:right="1089"/>
        <w:jc w:val="both"/>
        <w:rPr>
          <w:rFonts w:ascii="Times New Roman" w:hAnsi="Times New Roman" w:cs="Times New Roman"/>
          <w:sz w:val="24"/>
          <w:szCs w:val="24"/>
        </w:rPr>
      </w:pPr>
      <w:r>
        <w:rPr>
          <w:rFonts w:ascii="Times New Roman" w:hAnsi="Times New Roman" w:cs="Times New Roman"/>
          <w:sz w:val="24"/>
          <w:szCs w:val="24"/>
        </w:rPr>
        <w:t>I risultati di numerosi studi MRI mirati ad individuare anomalie strutturali, suggeriscono cambiamenti neurali lenti e progressivi. I risultati più interessanti nn sono ancora stati interpretati o compresi a p</w:t>
      </w:r>
      <w:r w:rsidR="002606F6">
        <w:rPr>
          <w:rFonts w:ascii="Times New Roman" w:hAnsi="Times New Roman" w:cs="Times New Roman"/>
          <w:sz w:val="24"/>
          <w:szCs w:val="24"/>
        </w:rPr>
        <w:t>ieno. Sicuramente servono</w:t>
      </w:r>
      <w:r>
        <w:rPr>
          <w:rFonts w:ascii="Times New Roman" w:hAnsi="Times New Roman" w:cs="Times New Roman"/>
          <w:sz w:val="24"/>
          <w:szCs w:val="24"/>
        </w:rPr>
        <w:t xml:space="preserve"> studi più approfonditi per valutare la connettività tra i siste</w:t>
      </w:r>
      <w:r w:rsidR="002606F6">
        <w:rPr>
          <w:rFonts w:ascii="Times New Roman" w:hAnsi="Times New Roman" w:cs="Times New Roman"/>
          <w:sz w:val="24"/>
          <w:szCs w:val="24"/>
        </w:rPr>
        <w:t>mi dorsali e ventrali o anche tra</w:t>
      </w:r>
      <w:r>
        <w:rPr>
          <w:rFonts w:ascii="Times New Roman" w:hAnsi="Times New Roman" w:cs="Times New Roman"/>
          <w:sz w:val="24"/>
          <w:szCs w:val="24"/>
        </w:rPr>
        <w:t xml:space="preserve"> altri sistemi che portano informazioni importanti riguardo alla disregolazione delle emozioni.</w:t>
      </w: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Pr="00B460A6" w:rsidRDefault="00B460A6" w:rsidP="001E5BE4">
      <w:pPr>
        <w:spacing w:line="360" w:lineRule="auto"/>
        <w:ind w:right="1091"/>
        <w:jc w:val="both"/>
        <w:rPr>
          <w:rFonts w:ascii="Times New Roman" w:hAnsi="Times New Roman" w:cs="Times New Roman"/>
          <w:b/>
          <w:sz w:val="26"/>
          <w:szCs w:val="26"/>
        </w:rPr>
      </w:pPr>
      <w:r w:rsidRPr="00B460A6">
        <w:rPr>
          <w:rFonts w:ascii="Times New Roman" w:hAnsi="Times New Roman" w:cs="Times New Roman"/>
          <w:b/>
          <w:sz w:val="26"/>
          <w:szCs w:val="26"/>
        </w:rPr>
        <w:t>1.3 Trattamenti</w:t>
      </w:r>
    </w:p>
    <w:p w:rsidR="00A0541C" w:rsidRDefault="00A0541C" w:rsidP="001E5BE4">
      <w:pPr>
        <w:spacing w:line="360" w:lineRule="auto"/>
        <w:ind w:right="1091"/>
        <w:jc w:val="both"/>
        <w:rPr>
          <w:rFonts w:ascii="Times New Roman" w:hAnsi="Times New Roman"/>
          <w:sz w:val="24"/>
          <w:szCs w:val="24"/>
        </w:rPr>
      </w:pPr>
    </w:p>
    <w:p w:rsidR="00A0541C" w:rsidRPr="00B460A6" w:rsidRDefault="00B460A6" w:rsidP="001E5BE4">
      <w:pPr>
        <w:spacing w:line="360" w:lineRule="auto"/>
        <w:ind w:right="1091"/>
        <w:jc w:val="both"/>
        <w:rPr>
          <w:rFonts w:ascii="Times New Roman" w:hAnsi="Times New Roman" w:cs="Times New Roman"/>
          <w:b/>
          <w:sz w:val="26"/>
          <w:szCs w:val="26"/>
        </w:rPr>
      </w:pPr>
      <w:r w:rsidRPr="00B460A6">
        <w:rPr>
          <w:rFonts w:ascii="Times New Roman" w:hAnsi="Times New Roman" w:cs="Times New Roman"/>
          <w:b/>
          <w:sz w:val="26"/>
          <w:szCs w:val="26"/>
        </w:rPr>
        <w:t>1.3.1 trattamenti farmacologici classici</w:t>
      </w:r>
    </w:p>
    <w:p w:rsidR="00A0541C" w:rsidRDefault="00B460A6" w:rsidP="001E5BE4">
      <w:pPr>
        <w:spacing w:after="0" w:line="360" w:lineRule="auto"/>
        <w:ind w:right="1089"/>
        <w:jc w:val="both"/>
        <w:rPr>
          <w:rFonts w:ascii="Times New Roman" w:hAnsi="Times New Roman" w:cs="Times New Roman"/>
          <w:sz w:val="24"/>
          <w:szCs w:val="24"/>
        </w:rPr>
      </w:pPr>
      <w:r>
        <w:rPr>
          <w:rFonts w:ascii="Times New Roman" w:hAnsi="Times New Roman" w:cs="Times New Roman"/>
          <w:sz w:val="24"/>
          <w:szCs w:val="24"/>
        </w:rPr>
        <w:t>La durata della malattia nei disturbi dell' umore è terrificante, se si pensa le difficoltà incontrate dai soggetti affetti. La depressione unipolare può durare fino a 6 mesi o più, con una minoranza di casi in cui dura per anni, e gli episodi di disturbo bipolare possono durare in media 3 mesi. Questi numeri potrebbero essere ridotti se tutti i pazienti ricevessero un trattamento farmacologico. In generale, il trattamento di un disturbo affettivo può essere diviso in tre fasi principali: (i) una fase di trattamento acuta; (ii) una terapia continuativa, che preserva i miglioramenti ottenuti; (iii) una fase di mantenimento, che protegge i pazienti da ricadute future.</w:t>
      </w:r>
    </w:p>
    <w:p w:rsidR="00A0541C" w:rsidRDefault="00B460A6" w:rsidP="001E5BE4">
      <w:pPr>
        <w:spacing w:after="0" w:line="360" w:lineRule="auto"/>
        <w:ind w:right="1089"/>
        <w:jc w:val="both"/>
        <w:rPr>
          <w:rFonts w:ascii="Times New Roman" w:hAnsi="Times New Roman" w:cs="Times New Roman"/>
          <w:sz w:val="24"/>
          <w:szCs w:val="24"/>
        </w:rPr>
      </w:pPr>
      <w:r>
        <w:rPr>
          <w:rFonts w:ascii="Times New Roman" w:hAnsi="Times New Roman" w:cs="Times New Roman"/>
          <w:sz w:val="24"/>
          <w:szCs w:val="24"/>
        </w:rPr>
        <w:t>Il tipo di trattamento dipende ovviamente dal paziente e dalla gravità del disturbo.</w:t>
      </w:r>
    </w:p>
    <w:p w:rsidR="00A0541C" w:rsidRDefault="00A0541C" w:rsidP="001E5BE4">
      <w:pPr>
        <w:spacing w:after="0" w:line="360" w:lineRule="auto"/>
        <w:ind w:right="1089"/>
        <w:jc w:val="both"/>
        <w:rPr>
          <w:rFonts w:ascii="Times New Roman" w:hAnsi="Times New Roman"/>
          <w:sz w:val="24"/>
          <w:szCs w:val="24"/>
        </w:rPr>
      </w:pP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Il trattamento con farmaci antidepressivi è il più diffuso per i disturbi depressivi. Andrebbe somministrato solamente quando il paziente mostra un livello di gravità dei sintomi piuttosto elevato. Questo tipo di trattamento include diverse tipologie di farmaci. (Gelder, 2005).</w:t>
      </w:r>
    </w:p>
    <w:p w:rsidR="00A0541C" w:rsidRDefault="00B460A6" w:rsidP="001E5BE4">
      <w:pPr>
        <w:numPr>
          <w:ilvl w:val="0"/>
          <w:numId w:val="2"/>
        </w:numPr>
        <w:spacing w:line="360" w:lineRule="auto"/>
        <w:ind w:right="1091"/>
        <w:jc w:val="both"/>
        <w:rPr>
          <w:rFonts w:ascii="Times New Roman" w:hAnsi="Times New Roman" w:cs="Times New Roman"/>
          <w:sz w:val="24"/>
          <w:szCs w:val="24"/>
        </w:rPr>
      </w:pPr>
      <w:r w:rsidRPr="00B460A6">
        <w:rPr>
          <w:rFonts w:ascii="Times New Roman" w:hAnsi="Times New Roman" w:cs="Times New Roman"/>
          <w:i/>
          <w:iCs/>
          <w:sz w:val="24"/>
          <w:szCs w:val="24"/>
          <w:u w:val="single"/>
        </w:rPr>
        <w:t>Antidepressivi Triciclici</w:t>
      </w:r>
      <w:r>
        <w:rPr>
          <w:rFonts w:ascii="Times New Roman" w:hAnsi="Times New Roman" w:cs="Times New Roman"/>
          <w:i/>
          <w:iCs/>
          <w:sz w:val="24"/>
          <w:szCs w:val="24"/>
        </w:rPr>
        <w:t xml:space="preserve">: </w:t>
      </w:r>
      <w:r>
        <w:rPr>
          <w:rFonts w:ascii="Times New Roman" w:hAnsi="Times New Roman" w:cs="Times New Roman"/>
          <w:sz w:val="24"/>
          <w:szCs w:val="24"/>
        </w:rPr>
        <w:t>cosi chiamati in conseguenza alla loro struttura chimica (triplo anello benzenico), di eccellente attività nei paziente gravemente depressi, ma purtroppo posseggono potenti effetti collaterali sull'apparato cardiovascolare.</w:t>
      </w:r>
    </w:p>
    <w:p w:rsidR="00A0541C" w:rsidRDefault="00B460A6" w:rsidP="001E5BE4">
      <w:pPr>
        <w:numPr>
          <w:ilvl w:val="0"/>
          <w:numId w:val="2"/>
        </w:numPr>
        <w:spacing w:line="360" w:lineRule="auto"/>
        <w:ind w:right="1091"/>
        <w:jc w:val="both"/>
        <w:rPr>
          <w:rFonts w:ascii="Times New Roman" w:hAnsi="Times New Roman" w:cs="Times New Roman"/>
          <w:sz w:val="24"/>
          <w:szCs w:val="24"/>
        </w:rPr>
      </w:pPr>
      <w:r w:rsidRPr="00B460A6">
        <w:rPr>
          <w:rFonts w:ascii="Times New Roman" w:hAnsi="Times New Roman" w:cs="Times New Roman"/>
          <w:i/>
          <w:iCs/>
          <w:sz w:val="24"/>
          <w:szCs w:val="24"/>
          <w:u w:val="single"/>
        </w:rPr>
        <w:t>Triciclici modificati e altri</w:t>
      </w:r>
      <w:r w:rsidRPr="00B460A6">
        <w:rPr>
          <w:rFonts w:ascii="Times New Roman" w:hAnsi="Times New Roman" w:cs="Times New Roman"/>
          <w:i/>
          <w:sz w:val="24"/>
          <w:szCs w:val="24"/>
          <w:u w:val="single"/>
        </w:rPr>
        <w:t xml:space="preserve"> triciclici</w:t>
      </w:r>
      <w:r>
        <w:rPr>
          <w:rFonts w:ascii="Times New Roman" w:hAnsi="Times New Roman" w:cs="Times New Roman"/>
          <w:sz w:val="24"/>
          <w:szCs w:val="24"/>
        </w:rPr>
        <w:t xml:space="preserve"> con minori effetti negativi.</w:t>
      </w:r>
    </w:p>
    <w:p w:rsidR="00A0541C" w:rsidRDefault="00B460A6" w:rsidP="001E5BE4">
      <w:pPr>
        <w:numPr>
          <w:ilvl w:val="0"/>
          <w:numId w:val="2"/>
        </w:numPr>
        <w:spacing w:line="360" w:lineRule="auto"/>
        <w:ind w:right="1091"/>
        <w:jc w:val="both"/>
        <w:rPr>
          <w:rFonts w:ascii="Times New Roman" w:hAnsi="Times New Roman" w:cs="Times New Roman"/>
          <w:sz w:val="24"/>
          <w:szCs w:val="24"/>
        </w:rPr>
      </w:pPr>
      <w:r w:rsidRPr="00B460A6">
        <w:rPr>
          <w:rFonts w:ascii="Times New Roman" w:hAnsi="Times New Roman" w:cs="Times New Roman"/>
          <w:i/>
          <w:iCs/>
          <w:sz w:val="24"/>
          <w:szCs w:val="24"/>
          <w:u w:val="single"/>
        </w:rPr>
        <w:t>Inibitori selettivi del reuptake della serotonina</w:t>
      </w:r>
      <w:r>
        <w:rPr>
          <w:rFonts w:ascii="Times New Roman" w:hAnsi="Times New Roman" w:cs="Times New Roman"/>
          <w:i/>
          <w:iCs/>
          <w:sz w:val="24"/>
          <w:szCs w:val="24"/>
        </w:rPr>
        <w:t xml:space="preserve"> (SSRI)</w:t>
      </w:r>
      <w:r>
        <w:rPr>
          <w:rFonts w:ascii="Times New Roman" w:hAnsi="Times New Roman" w:cs="Times New Roman"/>
          <w:sz w:val="24"/>
          <w:szCs w:val="24"/>
        </w:rPr>
        <w:t>:  inibiscono selettivamente il reuptake della serotonina (5-HT) nei neuroni presinaptici e hanno la stessa efficacia dei triciclici senza però effetti colinergici collaterali. È possibile comunque che inducano in alcuni pazienti pensieri suicidi.</w:t>
      </w:r>
    </w:p>
    <w:p w:rsidR="00A0541C" w:rsidRDefault="00B460A6" w:rsidP="001E5BE4">
      <w:pPr>
        <w:numPr>
          <w:ilvl w:val="0"/>
          <w:numId w:val="2"/>
        </w:numPr>
        <w:spacing w:line="360" w:lineRule="auto"/>
        <w:ind w:right="1091"/>
        <w:jc w:val="both"/>
        <w:rPr>
          <w:rFonts w:ascii="Times New Roman" w:hAnsi="Times New Roman" w:cs="Times New Roman"/>
          <w:sz w:val="24"/>
          <w:szCs w:val="24"/>
        </w:rPr>
      </w:pPr>
      <w:r w:rsidRPr="00B460A6">
        <w:rPr>
          <w:rFonts w:ascii="Times New Roman" w:hAnsi="Times New Roman" w:cs="Times New Roman"/>
          <w:i/>
          <w:iCs/>
          <w:sz w:val="24"/>
          <w:szCs w:val="24"/>
          <w:u w:val="single"/>
        </w:rPr>
        <w:t xml:space="preserve">Inibitori del reuptake di serotonina e noradrenalina </w:t>
      </w:r>
      <w:r>
        <w:rPr>
          <w:rFonts w:ascii="Times New Roman" w:hAnsi="Times New Roman" w:cs="Times New Roman"/>
          <w:i/>
          <w:iCs/>
          <w:sz w:val="24"/>
          <w:szCs w:val="24"/>
        </w:rPr>
        <w:t>(SNRI)</w:t>
      </w:r>
      <w:r>
        <w:rPr>
          <w:rFonts w:ascii="Times New Roman" w:hAnsi="Times New Roman" w:cs="Times New Roman"/>
          <w:sz w:val="24"/>
          <w:szCs w:val="24"/>
        </w:rPr>
        <w:t>: bloccano il reuptake di noradrenalina e serotonina, senza effetti collaterali anticolinergici, ma a dose piena possono causare ipotensione.</w:t>
      </w:r>
    </w:p>
    <w:p w:rsidR="00A0541C" w:rsidRDefault="00B460A6" w:rsidP="001E5BE4">
      <w:pPr>
        <w:numPr>
          <w:ilvl w:val="0"/>
          <w:numId w:val="2"/>
        </w:numPr>
        <w:spacing w:line="360" w:lineRule="auto"/>
        <w:ind w:right="1091"/>
        <w:jc w:val="both"/>
        <w:rPr>
          <w:rFonts w:ascii="Times New Roman" w:hAnsi="Times New Roman" w:cs="Times New Roman"/>
          <w:sz w:val="24"/>
          <w:szCs w:val="24"/>
        </w:rPr>
      </w:pPr>
      <w:r w:rsidRPr="00B460A6">
        <w:rPr>
          <w:rFonts w:ascii="Times New Roman" w:hAnsi="Times New Roman" w:cs="Times New Roman"/>
          <w:i/>
          <w:sz w:val="24"/>
          <w:szCs w:val="24"/>
          <w:u w:val="single"/>
        </w:rPr>
        <w:t>Inibitori selettivi del reuptake della noradrenalina</w:t>
      </w:r>
      <w:r>
        <w:rPr>
          <w:rFonts w:ascii="Times New Roman" w:hAnsi="Times New Roman" w:cs="Times New Roman"/>
          <w:sz w:val="24"/>
          <w:szCs w:val="24"/>
        </w:rPr>
        <w:t>: bloccano il reuptake della noradrenalina, senza la struttura dei triciclici ma con effetti paragonabili.</w:t>
      </w:r>
    </w:p>
    <w:p w:rsidR="00A0541C" w:rsidRDefault="00B460A6" w:rsidP="001E5BE4">
      <w:pPr>
        <w:numPr>
          <w:ilvl w:val="0"/>
          <w:numId w:val="2"/>
        </w:numPr>
        <w:spacing w:line="360" w:lineRule="auto"/>
        <w:ind w:right="1091"/>
        <w:jc w:val="both"/>
        <w:rPr>
          <w:rFonts w:ascii="Times New Roman" w:hAnsi="Times New Roman" w:cs="Times New Roman"/>
          <w:sz w:val="24"/>
          <w:szCs w:val="24"/>
        </w:rPr>
      </w:pPr>
      <w:r w:rsidRPr="00B460A6">
        <w:rPr>
          <w:rFonts w:ascii="Times New Roman" w:hAnsi="Times New Roman" w:cs="Times New Roman"/>
          <w:i/>
          <w:sz w:val="24"/>
          <w:szCs w:val="24"/>
          <w:u w:val="single"/>
        </w:rPr>
        <w:t xml:space="preserve">Inibitori delle monoamino ossidasi </w:t>
      </w:r>
      <w:r>
        <w:rPr>
          <w:rFonts w:ascii="Times New Roman" w:hAnsi="Times New Roman" w:cs="Times New Roman"/>
          <w:sz w:val="24"/>
          <w:szCs w:val="24"/>
        </w:rPr>
        <w:t>(IMAO): raramente usati come primo trattamento, a causa degli effetti collaterali e delle interazioni con altri farmaci, inattivano principalmente gli enzimi che metabolizzano noradrenalina e serotonina; alcuni di questi hanno anche effetti anfetamino-simili che migliorano velocemente il tono dell'umore, ma danno anche dipendenza.</w:t>
      </w:r>
    </w:p>
    <w:p w:rsidR="00A0541C" w:rsidRDefault="00A0541C" w:rsidP="001E5BE4">
      <w:pPr>
        <w:spacing w:line="360" w:lineRule="auto"/>
        <w:ind w:right="1091"/>
        <w:jc w:val="both"/>
        <w:rPr>
          <w:rFonts w:ascii="Times New Roman" w:hAnsi="Times New Roman"/>
          <w:sz w:val="24"/>
          <w:szCs w:val="24"/>
        </w:rPr>
      </w:pP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Queste mono - terapie portano a buoni risultati in alcuni casi, ma in altri non sono sufficienti. Regimi di somministrazione combinati, costituiscono una buona alternativa, ma devono essere usati attentamente e monitorati con cura. Le combinazioni più comuni sono litio più antidepressivi o triciclici e IMAO o triciclici e SSRI (Gelder, 2005).</w:t>
      </w:r>
    </w:p>
    <w:p w:rsidR="00A0541C" w:rsidRDefault="00B460A6" w:rsidP="001E5BE4">
      <w:pPr>
        <w:spacing w:after="0" w:line="360" w:lineRule="auto"/>
        <w:ind w:right="1089"/>
        <w:jc w:val="both"/>
        <w:rPr>
          <w:rFonts w:ascii="Times New Roman" w:hAnsi="Times New Roman" w:cs="Times New Roman"/>
          <w:sz w:val="24"/>
          <w:szCs w:val="24"/>
        </w:rPr>
      </w:pPr>
      <w:r>
        <w:rPr>
          <w:rFonts w:ascii="Times New Roman" w:hAnsi="Times New Roman" w:cs="Times New Roman"/>
          <w:sz w:val="24"/>
          <w:szCs w:val="24"/>
        </w:rPr>
        <w:t>In generale questi farmaci hanno un effetto ritardato di circa 3 settimane: in tale periodo nessuna differenza può essere riscontrata tra due gruppi di soggetti placebo/trattati.</w:t>
      </w:r>
    </w:p>
    <w:p w:rsidR="00A0541C" w:rsidRDefault="00B460A6" w:rsidP="001E5BE4">
      <w:pPr>
        <w:spacing w:after="0" w:line="360" w:lineRule="auto"/>
        <w:ind w:right="1089"/>
        <w:jc w:val="both"/>
        <w:rPr>
          <w:rFonts w:ascii="Times New Roman" w:hAnsi="Times New Roman" w:cs="Times New Roman"/>
          <w:sz w:val="24"/>
          <w:szCs w:val="24"/>
        </w:rPr>
      </w:pPr>
      <w:r>
        <w:rPr>
          <w:rFonts w:ascii="Times New Roman" w:hAnsi="Times New Roman" w:cs="Times New Roman"/>
          <w:sz w:val="24"/>
          <w:szCs w:val="24"/>
        </w:rPr>
        <w:t>Tale osservazione dimostra come meccanismi secondari, che coinvolgono modificazioni dell'espressione genica e/o della plasticità sinaptica, possano essere sottesi all'azione terapeutica di questi farmaci (Drevets, 2008).</w:t>
      </w:r>
    </w:p>
    <w:p w:rsidR="00A0541C" w:rsidRDefault="00B460A6" w:rsidP="001E5BE4">
      <w:pPr>
        <w:spacing w:after="0" w:line="360" w:lineRule="auto"/>
        <w:ind w:right="1089"/>
        <w:jc w:val="both"/>
        <w:rPr>
          <w:rFonts w:ascii="Times New Roman" w:hAnsi="Times New Roman" w:cs="Times New Roman"/>
          <w:sz w:val="24"/>
          <w:szCs w:val="24"/>
        </w:rPr>
      </w:pPr>
      <w:r>
        <w:rPr>
          <w:rFonts w:ascii="Times New Roman" w:hAnsi="Times New Roman" w:cs="Times New Roman"/>
          <w:sz w:val="24"/>
          <w:szCs w:val="24"/>
        </w:rPr>
        <w:t>Il meccanismo neurofarmacologico ipotizzato al fine di individuare un pathway comune per gli antidepressivi, include:</w:t>
      </w:r>
    </w:p>
    <w:p w:rsidR="00B460A6" w:rsidRDefault="00B460A6" w:rsidP="001E5BE4">
      <w:pPr>
        <w:spacing w:line="360" w:lineRule="auto"/>
        <w:ind w:right="1091"/>
        <w:jc w:val="both"/>
        <w:rPr>
          <w:rFonts w:ascii="Times New Roman" w:hAnsi="Times New Roman" w:cs="Times New Roman"/>
          <w:sz w:val="24"/>
          <w:szCs w:val="24"/>
        </w:rPr>
      </w:pP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1. aumento dell' espressione genica di fattori neurotrofici cerebrali (BDNF)</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2. miglioramento della funzionalità dei recettori post-sinaptici per la serotonina (5-HT1a)</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3. attenuazione della sensibilità o della trasmissione dei recettori per il glutammato (NMDA)</w:t>
      </w:r>
    </w:p>
    <w:p w:rsidR="00A0541C" w:rsidRDefault="00A0541C" w:rsidP="001E5BE4">
      <w:pPr>
        <w:spacing w:line="360" w:lineRule="auto"/>
        <w:ind w:right="1091"/>
        <w:jc w:val="both"/>
        <w:rPr>
          <w:rFonts w:ascii="Times New Roman" w:hAnsi="Times New Roman"/>
          <w:sz w:val="24"/>
          <w:szCs w:val="24"/>
        </w:rPr>
      </w:pPr>
    </w:p>
    <w:p w:rsidR="00A0541C" w:rsidRPr="00B460A6" w:rsidRDefault="00B460A6" w:rsidP="001E5BE4">
      <w:pPr>
        <w:spacing w:line="360" w:lineRule="auto"/>
        <w:ind w:right="1091"/>
        <w:jc w:val="both"/>
        <w:rPr>
          <w:rFonts w:ascii="Times New Roman" w:hAnsi="Times New Roman" w:cs="Times New Roman"/>
          <w:b/>
          <w:sz w:val="26"/>
          <w:szCs w:val="26"/>
        </w:rPr>
      </w:pPr>
      <w:r w:rsidRPr="00B460A6">
        <w:rPr>
          <w:rFonts w:ascii="Times New Roman" w:hAnsi="Times New Roman" w:cs="Times New Roman"/>
          <w:b/>
          <w:sz w:val="26"/>
          <w:szCs w:val="26"/>
        </w:rPr>
        <w:t>1.3.2 Trattamenti per il disturbo bipolare</w:t>
      </w:r>
    </w:p>
    <w:p w:rsidR="00A0541C" w:rsidRDefault="00B460A6" w:rsidP="001E5BE4">
      <w:pPr>
        <w:spacing w:after="0" w:line="360" w:lineRule="auto"/>
        <w:ind w:right="1089"/>
        <w:jc w:val="both"/>
        <w:rPr>
          <w:rFonts w:ascii="Times New Roman" w:hAnsi="Times New Roman" w:cs="Times New Roman"/>
          <w:sz w:val="24"/>
          <w:szCs w:val="24"/>
        </w:rPr>
      </w:pPr>
      <w:r>
        <w:rPr>
          <w:rFonts w:ascii="Times New Roman" w:hAnsi="Times New Roman" w:cs="Times New Roman"/>
          <w:sz w:val="24"/>
          <w:szCs w:val="24"/>
        </w:rPr>
        <w:t>Nella maggior parte dei pazienti con DB, gli episodi depressivi causa maggiori problemi che quelli maniacali. Pertanto gli aspetti generali dei trattamenti sono simili a quelli per gli unipolari, ma ci sono tuttavia delle differenze importanti relative all'efficacia e ai rischi ad esso correlati. Inoltre lo stato clinico del soggetto deve essere monitorato attentamente a causa delle rapide fluttuazioni d'umore.</w:t>
      </w:r>
    </w:p>
    <w:p w:rsidR="00A0541C" w:rsidRDefault="00B460A6" w:rsidP="001E5BE4">
      <w:pPr>
        <w:spacing w:after="0" w:line="360" w:lineRule="auto"/>
        <w:ind w:right="1089"/>
        <w:jc w:val="both"/>
        <w:rPr>
          <w:rFonts w:ascii="Times New Roman" w:hAnsi="Times New Roman" w:cs="Times New Roman"/>
          <w:i/>
          <w:iCs/>
          <w:sz w:val="24"/>
          <w:szCs w:val="24"/>
        </w:rPr>
      </w:pPr>
      <w:r>
        <w:rPr>
          <w:rFonts w:ascii="Times New Roman" w:hAnsi="Times New Roman" w:cs="Times New Roman"/>
          <w:sz w:val="24"/>
          <w:szCs w:val="24"/>
        </w:rPr>
        <w:t xml:space="preserve">Ad ogni modo circa il 5-10% di questi pazienti sviluppa un episodio di mania in seguito a trattamento con antidepressivi, con un maggiore rischio se si tratta di triciclici e di SSRI. Per questo motivo la terapia con antidepressivi è spesso associata  con farmaci detti </w:t>
      </w:r>
      <w:r>
        <w:rPr>
          <w:rFonts w:ascii="Times New Roman" w:hAnsi="Times New Roman" w:cs="Times New Roman"/>
          <w:i/>
          <w:iCs/>
          <w:sz w:val="24"/>
          <w:szCs w:val="24"/>
        </w:rPr>
        <w:t>“stabilizzanti dell'umore”.</w:t>
      </w:r>
    </w:p>
    <w:p w:rsidR="00A0541C" w:rsidRDefault="00B460A6" w:rsidP="001E5BE4">
      <w:pPr>
        <w:spacing w:after="0" w:line="360" w:lineRule="auto"/>
        <w:ind w:right="1089"/>
        <w:jc w:val="both"/>
        <w:rPr>
          <w:rFonts w:ascii="Times New Roman" w:hAnsi="Times New Roman" w:cs="Times New Roman"/>
          <w:sz w:val="24"/>
          <w:szCs w:val="24"/>
        </w:rPr>
      </w:pPr>
      <w:r>
        <w:rPr>
          <w:rFonts w:ascii="Times New Roman" w:hAnsi="Times New Roman" w:cs="Times New Roman"/>
          <w:sz w:val="24"/>
          <w:szCs w:val="24"/>
        </w:rPr>
        <w:t>La farmacoterapia del DB si focalizza sull'utilizzo degli stabilizzanti dell'umore. I principali stabilizzanti sono i sali di litio e un ristretto numero di antiepilettici che includono valproato, carbamazepina, e lamotrigina. Gli stabilizzanti dell' umore sono anche efficaci nel trattamento degli episodi acuti (lamotrigina e valproato sono efficaci per le crisi acute di mania e la lamotrigina si usa anche nel disturbo depressivo).</w:t>
      </w:r>
    </w:p>
    <w:p w:rsidR="00A0541C" w:rsidRDefault="00B460A6" w:rsidP="001E5BE4">
      <w:pPr>
        <w:spacing w:line="360" w:lineRule="auto"/>
        <w:ind w:right="1091"/>
        <w:jc w:val="both"/>
        <w:rPr>
          <w:rFonts w:ascii="Times New Roman" w:hAnsi="Times New Roman" w:cs="Times New Roman"/>
          <w:sz w:val="24"/>
          <w:szCs w:val="24"/>
        </w:rPr>
      </w:pPr>
      <w:r>
        <w:rPr>
          <w:rFonts w:ascii="Times New Roman" w:hAnsi="Times New Roman" w:cs="Times New Roman"/>
          <w:sz w:val="24"/>
          <w:szCs w:val="24"/>
        </w:rPr>
        <w:t>Lo stabilizzante ideale dovrebbe essere efficace in tutte le fasi della patologia, dal trattamento della mania, alla depressione o agli episodi misti, al fine di prevenire qualsiasi turbamento dell'umore del paziente. Il farmaco ideale non deve aggravare o peggiorare nessun sintomo, o condurre a rapidi cambiamenti dello stato umorale. In altre parole, il miglior stabilizzante dell'umore dovrebbe funzionare curando e prevenendo allo stesso tempo gli alti e bassi. Al giorno d'oggi non esiste un farmaco talmente efficace, sebbene molti sostengono che il litio sia il miglior compromesso (Bauer, 2004).</w:t>
      </w:r>
    </w:p>
    <w:p w:rsidR="00A0541C" w:rsidRDefault="00A0541C" w:rsidP="001E5BE4">
      <w:pPr>
        <w:spacing w:line="360" w:lineRule="auto"/>
        <w:ind w:right="1091"/>
        <w:jc w:val="both"/>
        <w:rPr>
          <w:rFonts w:ascii="Times New Roman" w:hAnsi="Times New Roman"/>
          <w:sz w:val="24"/>
          <w:szCs w:val="24"/>
        </w:rPr>
      </w:pPr>
    </w:p>
    <w:p w:rsidR="00A0541C" w:rsidRPr="00B460A6" w:rsidRDefault="00B460A6" w:rsidP="001E5BE4">
      <w:pPr>
        <w:spacing w:line="360" w:lineRule="auto"/>
        <w:ind w:right="1091"/>
        <w:jc w:val="both"/>
        <w:rPr>
          <w:rFonts w:ascii="Times New Roman" w:hAnsi="Times New Roman" w:cs="Times New Roman"/>
          <w:b/>
          <w:sz w:val="24"/>
          <w:szCs w:val="24"/>
        </w:rPr>
      </w:pPr>
      <w:r w:rsidRPr="00B460A6">
        <w:rPr>
          <w:rFonts w:ascii="Times New Roman" w:hAnsi="Times New Roman" w:cs="Times New Roman"/>
          <w:b/>
          <w:sz w:val="24"/>
          <w:szCs w:val="24"/>
        </w:rPr>
        <w:t>Il Litio</w:t>
      </w:r>
    </w:p>
    <w:p w:rsidR="00A0541C" w:rsidRDefault="00B460A6" w:rsidP="001E5BE4">
      <w:pPr>
        <w:spacing w:after="0" w:line="360" w:lineRule="auto"/>
        <w:ind w:right="1089"/>
        <w:jc w:val="both"/>
        <w:rPr>
          <w:rFonts w:ascii="Times New Roman" w:hAnsi="Times New Roman" w:cs="Times New Roman"/>
          <w:sz w:val="24"/>
          <w:szCs w:val="24"/>
        </w:rPr>
      </w:pPr>
      <w:r>
        <w:rPr>
          <w:rFonts w:ascii="Times New Roman" w:hAnsi="Times New Roman" w:cs="Times New Roman"/>
          <w:sz w:val="24"/>
          <w:szCs w:val="24"/>
        </w:rPr>
        <w:t>il litio è un sale basico, e di conseguenza uno stabilizzante a basso costo. Possiede una grande efficacia per le crisi di mania, ma un minore effetto per la depressione, nonostante per la mania siano necessari parecchi giorni prima di poter notare gli effetti.</w:t>
      </w:r>
    </w:p>
    <w:p w:rsidR="00A0541C" w:rsidRDefault="00B460A6" w:rsidP="001E5BE4">
      <w:pPr>
        <w:spacing w:after="0" w:line="360" w:lineRule="auto"/>
        <w:ind w:right="1089"/>
        <w:jc w:val="both"/>
        <w:rPr>
          <w:rFonts w:ascii="Times New Roman" w:hAnsi="Times New Roman" w:cs="Times New Roman"/>
          <w:sz w:val="24"/>
          <w:szCs w:val="24"/>
        </w:rPr>
      </w:pPr>
      <w:r>
        <w:rPr>
          <w:rFonts w:ascii="Times New Roman" w:hAnsi="Times New Roman" w:cs="Times New Roman"/>
          <w:sz w:val="24"/>
          <w:szCs w:val="24"/>
        </w:rPr>
        <w:t>Non è ben noto quali azioni del litio siano fondamentali per il suo effetto stabilizzante.</w:t>
      </w:r>
    </w:p>
    <w:p w:rsidR="00A0541C" w:rsidRDefault="00B460A6" w:rsidP="001E5BE4">
      <w:pPr>
        <w:spacing w:after="0" w:line="360" w:lineRule="auto"/>
        <w:ind w:right="1089"/>
        <w:jc w:val="both"/>
        <w:rPr>
          <w:rFonts w:ascii="Times New Roman" w:hAnsi="Times New Roman" w:cs="Times New Roman"/>
          <w:sz w:val="24"/>
          <w:szCs w:val="24"/>
        </w:rPr>
      </w:pPr>
      <w:r>
        <w:rPr>
          <w:rFonts w:ascii="Times New Roman" w:hAnsi="Times New Roman" w:cs="Times New Roman"/>
          <w:sz w:val="24"/>
          <w:szCs w:val="24"/>
        </w:rPr>
        <w:t>Si sa invece come il litio modifichi l'angolo di fase tra il ritmo circadiano della temperatura e il ciclo dell'attività di riposo, riducendo la periodicità (Lewy, 1986).</w:t>
      </w: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B460A6" w:rsidRDefault="00B460A6" w:rsidP="001E5BE4">
      <w:pPr>
        <w:spacing w:line="360" w:lineRule="auto"/>
        <w:ind w:right="1091"/>
        <w:jc w:val="both"/>
        <w:rPr>
          <w:rFonts w:ascii="Times New Roman" w:hAnsi="Times New Roman"/>
          <w:sz w:val="24"/>
          <w:szCs w:val="24"/>
        </w:rPr>
      </w:pPr>
    </w:p>
    <w:p w:rsidR="00B460A6" w:rsidRDefault="00B460A6"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Default="00A0541C" w:rsidP="001E5BE4">
      <w:pPr>
        <w:spacing w:line="360" w:lineRule="auto"/>
        <w:ind w:right="1091"/>
        <w:jc w:val="both"/>
        <w:rPr>
          <w:rFonts w:ascii="Times New Roman" w:hAnsi="Times New Roman"/>
          <w:sz w:val="24"/>
          <w:szCs w:val="24"/>
        </w:rPr>
      </w:pPr>
    </w:p>
    <w:p w:rsidR="00A0541C" w:rsidRPr="00B460A6" w:rsidRDefault="00B460A6" w:rsidP="001E5BE4">
      <w:pPr>
        <w:spacing w:line="360" w:lineRule="auto"/>
        <w:ind w:right="1091"/>
        <w:jc w:val="both"/>
        <w:rPr>
          <w:rFonts w:ascii="Times New Roman" w:hAnsi="Times New Roman" w:cs="Times New Roman"/>
          <w:b/>
          <w:bCs/>
          <w:color w:val="0D0D0D"/>
          <w:sz w:val="26"/>
          <w:szCs w:val="26"/>
        </w:rPr>
      </w:pPr>
      <w:r w:rsidRPr="00B460A6">
        <w:rPr>
          <w:rFonts w:ascii="Times New Roman" w:hAnsi="Times New Roman" w:cs="Times New Roman"/>
          <w:b/>
          <w:bCs/>
          <w:sz w:val="26"/>
          <w:szCs w:val="26"/>
        </w:rPr>
        <w:t>2 GLICOGENO SINTASI KINASI-3</w:t>
      </w:r>
      <w:r w:rsidRPr="00B460A6">
        <w:rPr>
          <w:rFonts w:ascii="Times New Roman" w:hAnsi="Times New Roman" w:cs="Times New Roman"/>
          <w:b/>
          <w:bCs/>
          <w:color w:val="0D0D0D"/>
          <w:sz w:val="26"/>
          <w:szCs w:val="26"/>
        </w:rPr>
        <w:t>β E LITIO</w:t>
      </w:r>
    </w:p>
    <w:p w:rsidR="00A0541C" w:rsidRPr="00B460A6" w:rsidRDefault="00A0541C" w:rsidP="001E5BE4">
      <w:pPr>
        <w:spacing w:line="360" w:lineRule="auto"/>
        <w:ind w:right="1091"/>
        <w:jc w:val="both"/>
        <w:rPr>
          <w:rFonts w:ascii="Times New Roman" w:hAnsi="Times New Roman"/>
          <w:sz w:val="26"/>
          <w:szCs w:val="26"/>
        </w:rPr>
      </w:pPr>
    </w:p>
    <w:p w:rsidR="00A0541C" w:rsidRPr="00B460A6" w:rsidRDefault="00B460A6" w:rsidP="001E5BE4">
      <w:pPr>
        <w:spacing w:line="360" w:lineRule="auto"/>
        <w:ind w:right="1091"/>
        <w:jc w:val="both"/>
        <w:rPr>
          <w:rFonts w:ascii="Times New Roman" w:hAnsi="Times New Roman" w:cs="Times New Roman"/>
          <w:b/>
          <w:bCs/>
          <w:color w:val="0D0D0D"/>
          <w:sz w:val="26"/>
          <w:szCs w:val="26"/>
        </w:rPr>
      </w:pPr>
      <w:r w:rsidRPr="00B460A6">
        <w:rPr>
          <w:rFonts w:ascii="Times New Roman" w:hAnsi="Times New Roman" w:cs="Times New Roman"/>
          <w:b/>
          <w:bCs/>
          <w:color w:val="0D0D0D"/>
          <w:sz w:val="26"/>
          <w:szCs w:val="26"/>
        </w:rPr>
        <w:t>2.1 GSK-3β</w:t>
      </w:r>
    </w:p>
    <w:p w:rsidR="00A0541C" w:rsidRDefault="00B460A6" w:rsidP="001E5BE4">
      <w:pPr>
        <w:spacing w:after="0" w:line="360" w:lineRule="auto"/>
        <w:ind w:right="1089"/>
        <w:jc w:val="both"/>
        <w:rPr>
          <w:rFonts w:ascii="Times New Roman" w:eastAsia="Times New Roman" w:hAnsi="Times New Roman" w:cs="Times New Roman"/>
          <w:color w:val="0D0D0D"/>
          <w:sz w:val="24"/>
          <w:szCs w:val="24"/>
        </w:rPr>
      </w:pPr>
      <w:r>
        <w:rPr>
          <w:rFonts w:ascii="Times New Roman" w:hAnsi="Times New Roman" w:cs="Times New Roman"/>
          <w:color w:val="0D0D0D"/>
          <w:sz w:val="24"/>
          <w:szCs w:val="24"/>
        </w:rPr>
        <w:t xml:space="preserve">La glicogeno sintasi kinasi 3 è un enzima dalle svariate attività, nonché cruciale regolatore di numerose funzioni cellulari. In particolare è una serina-treonina kinasi, inizialmente identificata come un forsofirlante e inattivante della glicogeno sintasi, enzima critico che regola lo stoccaggio del gucosio (Embi et al., 1980). Esistono due isoforme principali, alpha e beta, mappate relativamente in posizione  </w:t>
      </w:r>
      <w:r>
        <w:rPr>
          <w:rFonts w:ascii="Times New Roman" w:eastAsia="Times New Roman" w:hAnsi="Times New Roman" w:cs="Times New Roman"/>
          <w:color w:val="0D0D0D"/>
          <w:sz w:val="24"/>
          <w:szCs w:val="24"/>
        </w:rPr>
        <w:t xml:space="preserve">19q13.2 e  3q13.3 nel genoma umano e mostrano un alto grado di omologia degli aminoacidi (Stambolic and Woodgett, 1994). </w:t>
      </w:r>
    </w:p>
    <w:p w:rsidR="00A0541C" w:rsidRDefault="00B460A6" w:rsidP="001E5BE4">
      <w:pPr>
        <w:spacing w:after="0" w:line="360" w:lineRule="auto"/>
        <w:ind w:right="1089"/>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La GSK-3α è implicata nel controllo di numerose proteine regolatorie, come fattori di trascrizione e glicogeno sintasi. Gioca anche un ruolo importante nella catena Wnt (wingless type MMTV  integration site family) e nel PI3K (Phosphatidylinositol-3 kinase) (Ali et al., 2001).</w:t>
      </w:r>
    </w:p>
    <w:p w:rsidR="00A0541C" w:rsidRDefault="00B460A6" w:rsidP="001E5BE4">
      <w:pPr>
        <w:pStyle w:val="Tesi"/>
        <w:spacing w:after="0" w:line="360" w:lineRule="auto"/>
        <w:ind w:right="1089"/>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color w:val="0D0D0D"/>
          <w:sz w:val="24"/>
          <w:szCs w:val="24"/>
          <w:lang w:val="it-IT"/>
        </w:rPr>
        <w:t>La GSK-3</w:t>
      </w:r>
      <w:r>
        <w:rPr>
          <w:rFonts w:ascii="Times New Roman" w:eastAsia="Times New Roman" w:hAnsi="Times New Roman" w:cs="Times New Roman"/>
          <w:color w:val="0D0D0D"/>
          <w:sz w:val="24"/>
          <w:szCs w:val="24"/>
        </w:rPr>
        <w:t>β</w:t>
      </w:r>
      <w:r>
        <w:rPr>
          <w:rFonts w:ascii="Times New Roman" w:eastAsia="Times New Roman" w:hAnsi="Times New Roman" w:cs="Times New Roman"/>
          <w:color w:val="0D0D0D"/>
          <w:sz w:val="24"/>
          <w:szCs w:val="24"/>
          <w:lang w:val="it-IT"/>
        </w:rPr>
        <w:t>, più interessante dal punto di vista dei disturbi psichiatrici, è coinvolta nel metabolismo energetico e nello sviluppo delle cellule nervose (Plyte et al., 1992); ha un ruolo centrale nella regolazione della plasticità sinaptica, espressione genica, sopravvivenza cellulare, e può anche essere un mediatore chiave delle patologie neurodegenerative (Grimes and Jope, 2001), come l'Alzheimer (Hong and Lee, 1997; Sperber et al., 1995).</w:t>
      </w:r>
    </w:p>
    <w:p w:rsidR="00A0541C" w:rsidRDefault="00B460A6" w:rsidP="001E5BE4">
      <w:pPr>
        <w:pStyle w:val="Tesi"/>
        <w:spacing w:line="360" w:lineRule="auto"/>
        <w:ind w:right="1091"/>
        <w:jc w:val="both"/>
        <w:rPr>
          <w:rFonts w:ascii="Times New Roman" w:hAnsi="Times New Roman" w:cs="Times New Roman"/>
          <w:color w:val="0D0D0D"/>
          <w:sz w:val="24"/>
          <w:szCs w:val="24"/>
        </w:rPr>
      </w:pPr>
      <w:r>
        <w:rPr>
          <w:rFonts w:ascii="Times New Roman" w:hAnsi="Times New Roman" w:cs="Times New Roman"/>
          <w:color w:val="0D0D0D"/>
          <w:sz w:val="24"/>
          <w:szCs w:val="24"/>
        </w:rPr>
        <w:t>GSK-3 è implicata in:</w:t>
      </w:r>
    </w:p>
    <w:p w:rsidR="00A0541C" w:rsidRDefault="00B460A6" w:rsidP="001E5BE4">
      <w:pPr>
        <w:pStyle w:val="Tesi"/>
        <w:numPr>
          <w:ilvl w:val="0"/>
          <w:numId w:val="3"/>
        </w:numPr>
        <w:spacing w:line="360" w:lineRule="auto"/>
        <w:ind w:right="1091"/>
        <w:jc w:val="both"/>
        <w:rPr>
          <w:rFonts w:ascii="Times New Roman" w:hAnsi="Times New Roman" w:cs="Times New Roman"/>
          <w:color w:val="0D0D0D"/>
          <w:sz w:val="24"/>
          <w:szCs w:val="24"/>
          <w:lang w:val="it-IT"/>
        </w:rPr>
      </w:pPr>
      <w:r>
        <w:rPr>
          <w:rFonts w:ascii="Times New Roman" w:hAnsi="Times New Roman" w:cs="Times New Roman"/>
          <w:i/>
          <w:iCs/>
          <w:color w:val="0D0D0D"/>
          <w:sz w:val="24"/>
          <w:szCs w:val="24"/>
          <w:u w:val="single"/>
          <w:lang w:val="it-IT"/>
        </w:rPr>
        <w:t>architettura e motilità cellulare:</w:t>
      </w:r>
      <w:r>
        <w:rPr>
          <w:rFonts w:ascii="Times New Roman" w:hAnsi="Times New Roman" w:cs="Times New Roman"/>
          <w:color w:val="0D0D0D"/>
          <w:sz w:val="24"/>
          <w:szCs w:val="24"/>
          <w:lang w:val="it-IT"/>
        </w:rPr>
        <w:t xml:space="preserve"> ritrazione ed estensione dei neuriti, processi cruciali per lo sviluppo e il rimodellamento del sistema nervoso centrale. Questo enzima inoltre inibisce l'estensione dei coni di crescita; è infatti mantenuto in forma inibita sull'estremità dei coni di crescita (</w:t>
      </w:r>
      <w:r>
        <w:rPr>
          <w:rFonts w:ascii="Times New Roman" w:eastAsia="Times New Roman" w:hAnsi="Times New Roman" w:cs="Times New Roman"/>
          <w:color w:val="0D0D0D"/>
          <w:sz w:val="24"/>
          <w:szCs w:val="24"/>
          <w:lang w:val="it-IT"/>
        </w:rPr>
        <w:t>Etienne-Manneville and Hall, 2003; Eickholt et al., 2002)</w:t>
      </w:r>
      <w:r>
        <w:rPr>
          <w:rFonts w:ascii="Times New Roman" w:hAnsi="Times New Roman" w:cs="Times New Roman"/>
          <w:color w:val="0D0D0D"/>
          <w:sz w:val="24"/>
          <w:szCs w:val="24"/>
          <w:lang w:val="it-IT"/>
        </w:rPr>
        <w:t>. L' inibizione della GSK-3 è essenziale anche per un' appropriata estensione dei coni di crescita astrocitali oltre che per la motilità; l' attivazione di tale enzima causa il collasso del cono di crescita e la ritrazione dei neuriti (</w:t>
      </w:r>
      <w:r>
        <w:rPr>
          <w:rFonts w:ascii="Times New Roman" w:eastAsia="Times New Roman" w:hAnsi="Times New Roman" w:cs="Times New Roman"/>
          <w:color w:val="0D0D0D"/>
          <w:sz w:val="24"/>
          <w:szCs w:val="24"/>
          <w:lang w:val="it-IT"/>
        </w:rPr>
        <w:t>Etienne-Manneville and Hall, 2003</w:t>
      </w:r>
      <w:r>
        <w:rPr>
          <w:rFonts w:ascii="Times New Roman" w:hAnsi="Times New Roman" w:cs="Times New Roman"/>
          <w:color w:val="0D0D0D"/>
          <w:sz w:val="24"/>
          <w:szCs w:val="24"/>
          <w:lang w:val="it-IT"/>
        </w:rPr>
        <w:t>). Pertanto è stato provato che l' inattivazione e l' attivazione della GSK-3 promuove rispettivamente la crescita e il collasso dei processi chiave che regolano la dinamica neuronale e la crescita astrocitale. Andando avanti, l' inibizione localizzata della GSK-3 è essenziale per tutte le funzioni dei microtubuli. Pertanto la regolazione dell' attività della GSK-3 è di fondamentale importanza per l'architettura cellular</w:t>
      </w:r>
      <w:r w:rsidR="006F0EF7">
        <w:rPr>
          <w:rFonts w:ascii="Times New Roman" w:hAnsi="Times New Roman" w:cs="Times New Roman"/>
          <w:color w:val="0D0D0D"/>
          <w:sz w:val="24"/>
          <w:szCs w:val="24"/>
          <w:lang w:val="it-IT"/>
        </w:rPr>
        <w:t>e, i</w:t>
      </w:r>
      <w:r>
        <w:rPr>
          <w:rFonts w:ascii="Times New Roman" w:hAnsi="Times New Roman" w:cs="Times New Roman"/>
          <w:color w:val="0D0D0D"/>
          <w:sz w:val="24"/>
          <w:szCs w:val="24"/>
          <w:lang w:val="it-IT"/>
        </w:rPr>
        <w:t xml:space="preserve"> meccanismi di trasporto e gli eventi rimodellanti della cellula nervosa.</w:t>
      </w:r>
    </w:p>
    <w:p w:rsidR="00A0541C" w:rsidRDefault="00B460A6" w:rsidP="001E5BE4">
      <w:pPr>
        <w:pStyle w:val="Tesi"/>
        <w:numPr>
          <w:ilvl w:val="0"/>
          <w:numId w:val="3"/>
        </w:numPr>
        <w:spacing w:line="360" w:lineRule="auto"/>
        <w:ind w:right="1091"/>
        <w:jc w:val="both"/>
        <w:rPr>
          <w:rFonts w:ascii="Times New Roman" w:eastAsia="Times New Roman" w:hAnsi="Times New Roman" w:cs="Times New Roman"/>
          <w:color w:val="0D0D0D"/>
          <w:sz w:val="24"/>
          <w:szCs w:val="24"/>
          <w:lang w:val="it-IT"/>
        </w:rPr>
      </w:pPr>
      <w:r w:rsidRPr="00B460A6">
        <w:rPr>
          <w:rFonts w:ascii="Times New Roman" w:hAnsi="Times New Roman" w:cs="Times New Roman"/>
          <w:i/>
          <w:color w:val="0D0D0D"/>
          <w:sz w:val="24"/>
          <w:szCs w:val="24"/>
          <w:u w:val="single"/>
          <w:lang w:val="it-IT"/>
        </w:rPr>
        <w:t>Sopravvivenza cellulare</w:t>
      </w:r>
      <w:r>
        <w:rPr>
          <w:rFonts w:ascii="Times New Roman" w:hAnsi="Times New Roman" w:cs="Times New Roman"/>
          <w:color w:val="0D0D0D"/>
          <w:sz w:val="24"/>
          <w:szCs w:val="24"/>
          <w:lang w:val="it-IT"/>
        </w:rPr>
        <w:t xml:space="preserve">: è stato dimostrato come l' attivazione della GSK-3 promuova l' apoptosi in una grande varietà di condizioni, come in assenza di fattori trofici, o per esempio in caso di tossicità indotta dal </w:t>
      </w:r>
      <w:r>
        <w:rPr>
          <w:rFonts w:ascii="Times New Roman" w:eastAsia="Times New Roman" w:hAnsi="Times New Roman" w:cs="Times New Roman"/>
          <w:color w:val="0D0D0D"/>
          <w:sz w:val="24"/>
          <w:szCs w:val="24"/>
        </w:rPr>
        <w:t>β</w:t>
      </w:r>
      <w:r>
        <w:rPr>
          <w:rFonts w:ascii="Times New Roman" w:eastAsia="Times New Roman" w:hAnsi="Times New Roman" w:cs="Times New Roman"/>
          <w:color w:val="0D0D0D"/>
          <w:sz w:val="24"/>
          <w:szCs w:val="24"/>
          <w:lang w:val="it-IT"/>
        </w:rPr>
        <w:t xml:space="preserve">-peptide prodotto nell' Alzheimer, nell'ipossia, in caso di tossicità prionica e altri casi (Pap and Cooper, 1998; Grimes and Jope, 2001; Loberg et al., 2002; Perez et al., 2003, Song, L. et al., 2002). Il vasto spettro di condizioni apoptotiche, nei quali GSK-3 è implicata, suggerisce come giochi un ruolo fondamentale nella conduzione del segnale apoptotico, sebbene ad oggi rimanga non chiaro. Al contrario, GSK-3 è fondamentale per la sopravvivenza: un' importantissimo studio ha dimostrato che topi knockout per </w:t>
      </w:r>
      <w:r w:rsidR="006F0EF7">
        <w:rPr>
          <w:rFonts w:ascii="Times New Roman" w:eastAsia="Times New Roman" w:hAnsi="Times New Roman" w:cs="Times New Roman"/>
          <w:color w:val="0D0D0D"/>
          <w:sz w:val="24"/>
          <w:szCs w:val="24"/>
          <w:lang w:val="it-IT"/>
        </w:rPr>
        <w:t>GSK-3 sviluppano si sviluppano i</w:t>
      </w:r>
      <w:r>
        <w:rPr>
          <w:rFonts w:ascii="Times New Roman" w:eastAsia="Times New Roman" w:hAnsi="Times New Roman" w:cs="Times New Roman"/>
          <w:color w:val="0D0D0D"/>
          <w:sz w:val="24"/>
          <w:szCs w:val="24"/>
          <w:lang w:val="it-IT"/>
        </w:rPr>
        <w:t xml:space="preserve"> feti normalmente fino a metà della gravidanza, ma muoiono al quattordicesimo giorno per apoptosi degli epatociti (Hoeflich et al., 2000). pertanto, il mantenimento di appropriati livelli di attività della GSK-3 è cruciale, poiché sia ad alti che a bassi livelli, GSK può promuovere la morte cellulare.</w:t>
      </w:r>
    </w:p>
    <w:p w:rsidR="00A0541C" w:rsidRDefault="00B460A6" w:rsidP="001E5BE4">
      <w:pPr>
        <w:pStyle w:val="Tesi"/>
        <w:numPr>
          <w:ilvl w:val="0"/>
          <w:numId w:val="3"/>
        </w:numPr>
        <w:spacing w:line="360" w:lineRule="auto"/>
        <w:ind w:right="1091"/>
        <w:jc w:val="both"/>
        <w:rPr>
          <w:rFonts w:ascii="Times New Roman" w:hAnsi="Times New Roman" w:cs="Times New Roman"/>
          <w:color w:val="0D0D0D"/>
          <w:sz w:val="24"/>
          <w:szCs w:val="24"/>
          <w:lang w:val="it-IT"/>
        </w:rPr>
      </w:pPr>
      <w:r>
        <w:rPr>
          <w:rFonts w:ascii="Times New Roman" w:hAnsi="Times New Roman" w:cs="Times New Roman"/>
          <w:i/>
          <w:iCs/>
          <w:sz w:val="24"/>
          <w:szCs w:val="24"/>
          <w:u w:val="single"/>
          <w:lang w:val="it-IT"/>
        </w:rPr>
        <w:t xml:space="preserve">Altre patologie: </w:t>
      </w:r>
      <w:r>
        <w:rPr>
          <w:rFonts w:ascii="Times New Roman" w:hAnsi="Times New Roman" w:cs="Times New Roman"/>
          <w:sz w:val="24"/>
          <w:szCs w:val="24"/>
          <w:lang w:val="it-IT"/>
        </w:rPr>
        <w:t xml:space="preserve">GSK-3 è connessa a molte altre patologie come </w:t>
      </w:r>
      <w:r>
        <w:rPr>
          <w:rFonts w:ascii="Times New Roman" w:hAnsi="Times New Roman" w:cs="Times New Roman"/>
          <w:color w:val="0D0D0D"/>
          <w:sz w:val="24"/>
          <w:szCs w:val="24"/>
          <w:lang w:val="it-IT"/>
        </w:rPr>
        <w:t xml:space="preserve"> l' Alzheimer (Phiel et al., 2003; Kang et al., 1999), l' ipertrofia (</w:t>
      </w:r>
      <w:r>
        <w:rPr>
          <w:rFonts w:ascii="Times New Roman" w:eastAsia="Times New Roman" w:hAnsi="Times New Roman" w:cs="Times New Roman"/>
          <w:color w:val="0D0D0D"/>
          <w:sz w:val="24"/>
          <w:szCs w:val="24"/>
          <w:lang w:val="it-IT"/>
        </w:rPr>
        <w:t>Hardt and Sadoshima, 2002; Haq et al.</w:t>
      </w:r>
      <w:r>
        <w:rPr>
          <w:rFonts w:ascii="Times New Roman" w:hAnsi="Times New Roman" w:cs="Times New Roman"/>
          <w:color w:val="0D0D0D"/>
          <w:sz w:val="24"/>
          <w:szCs w:val="24"/>
          <w:lang w:val="it-IT"/>
        </w:rPr>
        <w:t>, 2003), il cancro (</w:t>
      </w:r>
      <w:r>
        <w:rPr>
          <w:rFonts w:ascii="Times New Roman" w:eastAsia="Times New Roman" w:hAnsi="Times New Roman" w:cs="Times New Roman"/>
          <w:color w:val="0D0D0D"/>
          <w:sz w:val="24"/>
          <w:szCs w:val="24"/>
          <w:lang w:val="it-IT"/>
        </w:rPr>
        <w:t>Manoukian and Woodgett, 2002; Hill and Hemmings, 2002</w:t>
      </w:r>
      <w:r>
        <w:rPr>
          <w:rFonts w:ascii="Times New Roman" w:hAnsi="Times New Roman" w:cs="Times New Roman"/>
          <w:color w:val="0D0D0D"/>
          <w:sz w:val="24"/>
          <w:szCs w:val="24"/>
          <w:lang w:val="it-IT"/>
        </w:rPr>
        <w:t>), la schizofrenia (</w:t>
      </w:r>
      <w:r>
        <w:rPr>
          <w:rFonts w:ascii="Times New Roman" w:eastAsia="Times New Roman" w:hAnsi="Times New Roman" w:cs="Times New Roman"/>
          <w:color w:val="0D0D0D"/>
          <w:sz w:val="24"/>
          <w:szCs w:val="24"/>
          <w:lang w:val="it-IT"/>
        </w:rPr>
        <w:t>Kozlovsky et al., 2002; Benedetti et al., 2010</w:t>
      </w:r>
      <w:r>
        <w:rPr>
          <w:rFonts w:ascii="Times New Roman" w:hAnsi="Times New Roman" w:cs="Times New Roman"/>
          <w:color w:val="0D0D0D"/>
          <w:sz w:val="24"/>
          <w:szCs w:val="24"/>
          <w:lang w:val="it-IT"/>
        </w:rPr>
        <w:t>) e il disturbo bipolare (Benedetti et al., 2004a, 2004b, 2005).</w:t>
      </w:r>
    </w:p>
    <w:p w:rsidR="00A0541C" w:rsidRDefault="00A0541C" w:rsidP="001E5BE4">
      <w:pPr>
        <w:pStyle w:val="Tesi"/>
        <w:spacing w:line="360" w:lineRule="auto"/>
        <w:ind w:right="1091"/>
        <w:jc w:val="both"/>
        <w:rPr>
          <w:rFonts w:ascii="Times New Roman" w:hAnsi="Times New Roman"/>
          <w:sz w:val="24"/>
          <w:szCs w:val="24"/>
        </w:rPr>
      </w:pPr>
    </w:p>
    <w:p w:rsidR="00A0541C" w:rsidRDefault="00B460A6" w:rsidP="001E5BE4">
      <w:pPr>
        <w:pStyle w:val="Tesi"/>
        <w:spacing w:line="360" w:lineRule="auto"/>
        <w:ind w:right="1091"/>
        <w:jc w:val="both"/>
        <w:rPr>
          <w:rFonts w:ascii="Times New Roman" w:hAnsi="Times New Roman" w:cs="Times New Roman"/>
          <w:color w:val="0D0D0D"/>
          <w:sz w:val="24"/>
          <w:szCs w:val="24"/>
          <w:lang w:val="it-IT"/>
        </w:rPr>
      </w:pPr>
      <w:r>
        <w:rPr>
          <w:rFonts w:ascii="Times New Roman" w:hAnsi="Times New Roman" w:cs="Times New Roman"/>
          <w:color w:val="0D0D0D"/>
          <w:sz w:val="24"/>
          <w:szCs w:val="24"/>
          <w:lang w:val="it-IT"/>
        </w:rPr>
        <w:t>di particolare interesse per la nostra ricerca è il vasto numero di pathway di segnale che convergono sulla GSK-3 e conseguentemente il vasto numero di target biologici (Grimes and Jope, 2001).</w:t>
      </w:r>
    </w:p>
    <w:p w:rsidR="00A0541C" w:rsidRDefault="00B460A6" w:rsidP="001E5BE4">
      <w:pPr>
        <w:pStyle w:val="Tesi"/>
        <w:spacing w:line="360" w:lineRule="auto"/>
        <w:ind w:right="1091"/>
        <w:jc w:val="both"/>
        <w:rPr>
          <w:rFonts w:ascii="Times New Roman" w:hAnsi="Times New Roman" w:cs="Times New Roman"/>
          <w:color w:val="0D0D0D"/>
          <w:sz w:val="24"/>
          <w:szCs w:val="24"/>
          <w:lang w:val="it-IT"/>
        </w:rPr>
      </w:pPr>
      <w:r>
        <w:rPr>
          <w:rFonts w:ascii="Times New Roman" w:hAnsi="Times New Roman" w:cs="Times New Roman"/>
          <w:color w:val="0D0D0D"/>
          <w:sz w:val="24"/>
          <w:szCs w:val="24"/>
          <w:lang w:val="it-IT"/>
        </w:rPr>
        <w:t>I t</w:t>
      </w:r>
      <w:r w:rsidR="006F0EF7">
        <w:rPr>
          <w:rFonts w:ascii="Times New Roman" w:hAnsi="Times New Roman" w:cs="Times New Roman"/>
          <w:color w:val="0D0D0D"/>
          <w:sz w:val="24"/>
          <w:szCs w:val="24"/>
          <w:lang w:val="it-IT"/>
        </w:rPr>
        <w:t>re più importanti pathway sono i</w:t>
      </w:r>
      <w:r>
        <w:rPr>
          <w:rFonts w:ascii="Times New Roman" w:hAnsi="Times New Roman" w:cs="Times New Roman"/>
          <w:color w:val="0D0D0D"/>
          <w:sz w:val="24"/>
          <w:szCs w:val="24"/>
          <w:lang w:val="it-IT"/>
        </w:rPr>
        <w:t xml:space="preserve"> seguenti:</w:t>
      </w:r>
    </w:p>
    <w:p w:rsidR="00A0541C" w:rsidRDefault="00B460A6" w:rsidP="001E5BE4">
      <w:pPr>
        <w:pStyle w:val="Tesi"/>
        <w:numPr>
          <w:ilvl w:val="0"/>
          <w:numId w:val="4"/>
        </w:numPr>
        <w:spacing w:line="360" w:lineRule="auto"/>
        <w:ind w:right="1091"/>
        <w:jc w:val="both"/>
        <w:rPr>
          <w:rFonts w:ascii="Times New Roman" w:hAnsi="Times New Roman" w:cs="Times New Roman"/>
          <w:color w:val="0D0D0D"/>
          <w:sz w:val="24"/>
          <w:szCs w:val="24"/>
          <w:lang w:val="it-IT"/>
        </w:rPr>
      </w:pPr>
      <w:r>
        <w:rPr>
          <w:rFonts w:ascii="Times New Roman" w:hAnsi="Times New Roman" w:cs="Times New Roman"/>
          <w:color w:val="0D0D0D"/>
          <w:sz w:val="24"/>
          <w:szCs w:val="24"/>
          <w:lang w:val="it-IT"/>
        </w:rPr>
        <w:t xml:space="preserve">GSK-3 funziona come regolatore del pathway Wnt, dove l'attivazione determina il destino della cellula embrionale durante lo sviluppo. GSK-3 è normalmente attiva in tale cascata di segnali e il suo target primario è la  </w:t>
      </w:r>
      <w:r>
        <w:rPr>
          <w:rFonts w:ascii="Times New Roman" w:hAnsi="Times New Roman" w:cs="Times New Roman"/>
          <w:color w:val="0D0D0D"/>
          <w:sz w:val="24"/>
          <w:szCs w:val="24"/>
        </w:rPr>
        <w:t>β</w:t>
      </w:r>
      <w:r>
        <w:rPr>
          <w:rFonts w:ascii="Times New Roman" w:hAnsi="Times New Roman" w:cs="Times New Roman"/>
          <w:color w:val="0D0D0D"/>
          <w:sz w:val="24"/>
          <w:szCs w:val="24"/>
          <w:lang w:val="it-IT"/>
        </w:rPr>
        <w:t xml:space="preserve">-catenina. Questa proteina ha diversi ruoli all' interno di una cellula: interagisce infatti con le caderine localizzate sulla membrana cellulare e agisce come fattore di trascrizione insieme ai fattori di trascrizione delle cellule T specifiche; la forma attiva di GSK-3 fosforila la </w:t>
      </w:r>
      <w:r>
        <w:rPr>
          <w:rFonts w:ascii="Times New Roman" w:hAnsi="Times New Roman" w:cs="Times New Roman"/>
          <w:color w:val="0D0D0D"/>
          <w:sz w:val="24"/>
          <w:szCs w:val="24"/>
        </w:rPr>
        <w:t>β</w:t>
      </w:r>
      <w:r>
        <w:rPr>
          <w:rFonts w:ascii="Times New Roman" w:hAnsi="Times New Roman" w:cs="Times New Roman"/>
          <w:color w:val="0D0D0D"/>
          <w:sz w:val="24"/>
          <w:szCs w:val="24"/>
          <w:lang w:val="it-IT"/>
        </w:rPr>
        <w:t xml:space="preserve">-catenina, poertandola alla degradazione ubiquitina-dipendente. Ad ogni modo, quando Wnt è attivato dalle glicoproteine secrete, GSK-3 è inibita. Sebbene l' interazione Wnt GSK non sia ancora ben studiata, l' inattivazione di GSK richiede3 la proteina </w:t>
      </w:r>
      <w:r>
        <w:rPr>
          <w:rFonts w:ascii="Times New Roman" w:hAnsi="Times New Roman" w:cs="Times New Roman"/>
          <w:i/>
          <w:iCs/>
          <w:color w:val="0D0D0D"/>
          <w:sz w:val="24"/>
          <w:szCs w:val="24"/>
          <w:lang w:val="it-IT"/>
        </w:rPr>
        <w:t xml:space="preserve">Disheveled. </w:t>
      </w:r>
      <w:r>
        <w:rPr>
          <w:rFonts w:ascii="Times New Roman" w:hAnsi="Times New Roman" w:cs="Times New Roman"/>
          <w:color w:val="0D0D0D"/>
          <w:sz w:val="24"/>
          <w:szCs w:val="24"/>
          <w:lang w:val="it-IT"/>
        </w:rPr>
        <w:t xml:space="preserve">L' inibizione di GSK risulta in una </w:t>
      </w:r>
      <w:r>
        <w:rPr>
          <w:rFonts w:ascii="Times New Roman" w:hAnsi="Times New Roman" w:cs="Times New Roman"/>
          <w:color w:val="0D0D0D"/>
          <w:sz w:val="24"/>
          <w:szCs w:val="24"/>
        </w:rPr>
        <w:t>β</w:t>
      </w:r>
      <w:r>
        <w:rPr>
          <w:rFonts w:ascii="Times New Roman" w:hAnsi="Times New Roman" w:cs="Times New Roman"/>
          <w:color w:val="0D0D0D"/>
          <w:sz w:val="24"/>
          <w:szCs w:val="24"/>
          <w:lang w:val="it-IT"/>
        </w:rPr>
        <w:t xml:space="preserve">-catenina non fosforilata e di conseguenza in un aumento di concentrazione di quest' ultima in forma defosforilata e dunque un aumento dell'espressione genica guidata dalla  </w:t>
      </w:r>
      <w:r>
        <w:rPr>
          <w:rFonts w:ascii="Times New Roman" w:hAnsi="Times New Roman" w:cs="Times New Roman"/>
          <w:color w:val="0D0D0D"/>
          <w:sz w:val="24"/>
          <w:szCs w:val="24"/>
        </w:rPr>
        <w:t>β</w:t>
      </w:r>
      <w:r>
        <w:rPr>
          <w:rFonts w:ascii="Times New Roman" w:hAnsi="Times New Roman" w:cs="Times New Roman"/>
          <w:color w:val="0D0D0D"/>
          <w:sz w:val="24"/>
          <w:szCs w:val="24"/>
          <w:lang w:val="it-IT"/>
        </w:rPr>
        <w:t>-catenina (Logan and Nusse, 2004).</w:t>
      </w:r>
    </w:p>
    <w:p w:rsidR="00A0541C" w:rsidRPr="002606F6" w:rsidRDefault="00B460A6" w:rsidP="001E5BE4">
      <w:pPr>
        <w:pStyle w:val="Tesi"/>
        <w:numPr>
          <w:ilvl w:val="0"/>
          <w:numId w:val="4"/>
        </w:numPr>
        <w:spacing w:line="360" w:lineRule="auto"/>
        <w:ind w:right="1091"/>
        <w:jc w:val="both"/>
        <w:rPr>
          <w:rFonts w:ascii="Times New Roman" w:hAnsi="Times New Roman" w:cs="Times New Roman"/>
          <w:color w:val="0D0D0D"/>
          <w:sz w:val="24"/>
          <w:szCs w:val="24"/>
          <w:lang w:val="it-IT"/>
        </w:rPr>
      </w:pPr>
      <w:r>
        <w:rPr>
          <w:rFonts w:ascii="Times New Roman" w:hAnsi="Times New Roman" w:cs="Times New Roman"/>
          <w:color w:val="0D0D0D"/>
          <w:sz w:val="24"/>
          <w:szCs w:val="24"/>
          <w:lang w:val="it-IT"/>
        </w:rPr>
        <w:t xml:space="preserve">Insulin Signalling Pathway: l' insulina attraverso il suo recettore tirosin chinasico, attiva il pathway mediato dalla kinasi PI3 che da come risultato un' inibizione della GSK-3 (Eldar-Finkelman and Ilouz, 2003). L' inibizione della GSK-3 in questo caso porta all' attivazione della glicogeno sintasi, la quale contribuisce alla sintesi di glicogeno. </w:t>
      </w:r>
    </w:p>
    <w:p w:rsidR="00A0541C" w:rsidRDefault="00B460A6" w:rsidP="001E5BE4">
      <w:pPr>
        <w:pStyle w:val="Tesi"/>
        <w:numPr>
          <w:ilvl w:val="0"/>
          <w:numId w:val="4"/>
        </w:numPr>
        <w:spacing w:line="360" w:lineRule="auto"/>
        <w:ind w:right="1091"/>
        <w:jc w:val="both"/>
        <w:rPr>
          <w:rFonts w:ascii="Times New Roman" w:hAnsi="Times New Roman" w:cs="Times New Roman"/>
          <w:color w:val="0D0D0D"/>
          <w:sz w:val="24"/>
          <w:szCs w:val="24"/>
          <w:lang w:val="it-IT"/>
        </w:rPr>
      </w:pPr>
      <w:r>
        <w:rPr>
          <w:rFonts w:ascii="Times New Roman" w:hAnsi="Times New Roman" w:cs="Times New Roman"/>
          <w:color w:val="0D0D0D"/>
          <w:sz w:val="24"/>
          <w:szCs w:val="24"/>
          <w:lang w:val="it-IT"/>
        </w:rPr>
        <w:t xml:space="preserve">Oltre alla mediazione degli effetti dell' insulina, PI3 e Akt hanno attività distinte come mediatori delle azioni di molecole neurotrofiche, e questo rappresenta la più importante via attraverso la quale GSK-3 esercita le sue azioni </w:t>
      </w:r>
      <w:r w:rsidR="006F0EF7">
        <w:rPr>
          <w:rFonts w:ascii="Times New Roman" w:hAnsi="Times New Roman" w:cs="Times New Roman"/>
          <w:color w:val="0D0D0D"/>
          <w:sz w:val="24"/>
          <w:szCs w:val="24"/>
          <w:lang w:val="it-IT"/>
        </w:rPr>
        <w:t>neurotrofiche/neuroprotettive. i</w:t>
      </w:r>
      <w:r>
        <w:rPr>
          <w:rFonts w:ascii="Times New Roman" w:hAnsi="Times New Roman" w:cs="Times New Roman"/>
          <w:color w:val="0D0D0D"/>
          <w:sz w:val="24"/>
          <w:szCs w:val="24"/>
          <w:lang w:val="it-IT"/>
        </w:rPr>
        <w:t xml:space="preserve"> fattori neurotrofici sono necessari per la sopravvivenza e il funzionamento dei neuroni. Le loro azioni aumentano la sopravvivenza cellulare, sia fornendo il supporto trofico necessario, sia esercitando un effetto inibitorio sulle vie apoptotiche. Le azioni primarie dei fattori neurotrofici sono mediate da vie di segnalazione intracellulari che seguono il legame dei fattori a recettori tirosin chinasici. In particolare, il BDNF, esercita la sua funzione interagendo con un TrkB. Il legame tra TrkB e BDNF determina la dimerizzazione di TrkB, che porta all' autofosforilazione di numerosi residui tirosinici nel dominio citoplasmatico, e conseguentemente una modulazione di vie di segnalazione intracellulari che includono l'attivazione di kinasi PI-3 di cui Akt è il principale bersaglio. Akt a sua volta fosforila GSK-3, tra i tanti bersagli. La precisa cascata di eventi che segue l'attivazione di GSK nelle vie di segnalazione nn sono ancora del tutto chiari, am si crede che includano altri effettori come CREB, heat-shock factor 1, C-Jun e Bax (Grimes and Jope, 2001; Linseman et al, 2004; Watcharasit et al, 2002).</w:t>
      </w:r>
    </w:p>
    <w:p w:rsidR="00A0541C" w:rsidRDefault="00A0541C" w:rsidP="001E5BE4">
      <w:pPr>
        <w:pStyle w:val="Tesi"/>
        <w:spacing w:line="360" w:lineRule="auto"/>
        <w:ind w:right="1091"/>
        <w:jc w:val="both"/>
        <w:rPr>
          <w:rFonts w:ascii="Times New Roman" w:hAnsi="Times New Roman"/>
          <w:sz w:val="24"/>
          <w:szCs w:val="24"/>
        </w:rPr>
      </w:pPr>
    </w:p>
    <w:p w:rsidR="00A0541C" w:rsidRDefault="00A0541C" w:rsidP="001E5BE4">
      <w:pPr>
        <w:pStyle w:val="Tesi"/>
        <w:spacing w:line="360" w:lineRule="auto"/>
        <w:ind w:right="1091"/>
        <w:jc w:val="both"/>
        <w:rPr>
          <w:rFonts w:ascii="Times New Roman" w:hAnsi="Times New Roman"/>
          <w:sz w:val="24"/>
          <w:szCs w:val="24"/>
        </w:rPr>
      </w:pPr>
    </w:p>
    <w:p w:rsidR="00B460A6" w:rsidRDefault="00B460A6" w:rsidP="001E5BE4">
      <w:pPr>
        <w:pStyle w:val="Tesi"/>
        <w:spacing w:line="360" w:lineRule="auto"/>
        <w:ind w:left="720" w:right="1091"/>
        <w:jc w:val="both"/>
        <w:rPr>
          <w:rFonts w:ascii="Times New Roman" w:hAnsi="Times New Roman" w:cs="Times New Roman"/>
          <w:b/>
          <w:bCs/>
          <w:color w:val="0D0D0D"/>
          <w:sz w:val="24"/>
          <w:szCs w:val="24"/>
          <w:lang w:val="it-IT"/>
        </w:rPr>
      </w:pPr>
    </w:p>
    <w:p w:rsidR="00B460A6" w:rsidRDefault="00B460A6" w:rsidP="001E5BE4">
      <w:pPr>
        <w:pStyle w:val="Tesi"/>
        <w:spacing w:line="360" w:lineRule="auto"/>
        <w:ind w:right="1091"/>
        <w:jc w:val="both"/>
        <w:rPr>
          <w:rFonts w:ascii="Times New Roman" w:hAnsi="Times New Roman" w:cs="Times New Roman"/>
          <w:b/>
          <w:bCs/>
          <w:color w:val="0D0D0D"/>
          <w:sz w:val="24"/>
          <w:szCs w:val="24"/>
          <w:lang w:val="it-IT"/>
        </w:rPr>
      </w:pPr>
    </w:p>
    <w:p w:rsidR="00B460A6" w:rsidRPr="00B460A6" w:rsidRDefault="00B460A6" w:rsidP="001E5BE4">
      <w:pPr>
        <w:pStyle w:val="Tesi"/>
        <w:spacing w:line="360" w:lineRule="auto"/>
        <w:ind w:right="1091"/>
        <w:jc w:val="both"/>
        <w:rPr>
          <w:rFonts w:ascii="Times New Roman" w:hAnsi="Times New Roman" w:cs="Times New Roman"/>
          <w:b/>
          <w:bCs/>
          <w:color w:val="0D0D0D"/>
          <w:sz w:val="24"/>
          <w:szCs w:val="24"/>
          <w:lang w:val="it-IT"/>
        </w:rPr>
      </w:pPr>
      <w:r>
        <w:rPr>
          <w:rFonts w:ascii="Times New Roman" w:hAnsi="Times New Roman" w:cs="Times New Roman"/>
          <w:b/>
          <w:bCs/>
          <w:noProof/>
          <w:color w:val="0D0D0D"/>
          <w:sz w:val="24"/>
          <w:szCs w:val="24"/>
          <w:lang w:val="it-IT" w:eastAsia="it-IT"/>
        </w:rPr>
        <w:drawing>
          <wp:inline distT="0" distB="0" distL="0" distR="0">
            <wp:extent cx="5599430" cy="35185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99430" cy="3518535"/>
                    </a:xfrm>
                    <a:prstGeom prst="rect">
                      <a:avLst/>
                    </a:prstGeom>
                    <a:solidFill>
                      <a:srgbClr val="FFFFFF"/>
                    </a:solidFill>
                    <a:ln>
                      <a:noFill/>
                    </a:ln>
                  </pic:spPr>
                </pic:pic>
              </a:graphicData>
            </a:graphic>
          </wp:inline>
        </w:drawing>
      </w:r>
    </w:p>
    <w:p w:rsidR="00A0541C" w:rsidRPr="00B460A6" w:rsidRDefault="00B460A6" w:rsidP="001E5BE4">
      <w:pPr>
        <w:pStyle w:val="Tesi"/>
        <w:spacing w:line="360" w:lineRule="auto"/>
        <w:ind w:right="1091"/>
        <w:jc w:val="both"/>
        <w:rPr>
          <w:rFonts w:ascii="Times New Roman" w:hAnsi="Times New Roman" w:cs="Times New Roman"/>
          <w:color w:val="0D0D0D"/>
          <w:sz w:val="20"/>
          <w:szCs w:val="20"/>
        </w:rPr>
      </w:pPr>
      <w:r w:rsidRPr="00B460A6">
        <w:rPr>
          <w:rFonts w:ascii="Times New Roman" w:hAnsi="Times New Roman" w:cs="Times New Roman"/>
          <w:b/>
          <w:bCs/>
          <w:color w:val="0D0D0D"/>
          <w:sz w:val="20"/>
          <w:szCs w:val="20"/>
        </w:rPr>
        <w:t>Fig. 1</w:t>
      </w:r>
      <w:r w:rsidRPr="00B460A6">
        <w:rPr>
          <w:rFonts w:ascii="Times New Roman" w:hAnsi="Times New Roman" w:cs="Times New Roman"/>
          <w:color w:val="0D0D0D"/>
          <w:sz w:val="20"/>
          <w:szCs w:val="20"/>
        </w:rPr>
        <w:t xml:space="preserve"> GSK-3 is a component of diverse signaling pathways. These include insulin/insulin-like growth factor </w:t>
      </w:r>
      <w:r w:rsidRPr="00B460A6">
        <w:rPr>
          <w:rFonts w:ascii="Times New Roman" w:hAnsi="Times New Roman" w:cs="Times New Roman"/>
          <w:color w:val="0D0D0D"/>
          <w:sz w:val="20"/>
          <w:szCs w:val="20"/>
        </w:rPr>
        <w:tab/>
        <w:t xml:space="preserve">(IGF-1) signaling (left), neurotrophic factor signaling (center), and the Wnt signaling pathway (right). GSK-3 </w:t>
      </w:r>
      <w:r w:rsidRPr="00B460A6">
        <w:rPr>
          <w:rFonts w:ascii="Times New Roman" w:hAnsi="Times New Roman" w:cs="Times New Roman"/>
          <w:color w:val="0D0D0D"/>
          <w:sz w:val="20"/>
          <w:szCs w:val="20"/>
        </w:rPr>
        <w:tab/>
        <w:t>modulates a number of signaling pathways not detailed in the figure (Gould and Manji, 2005).</w:t>
      </w:r>
    </w:p>
    <w:p w:rsidR="00A0541C" w:rsidRDefault="00A0541C" w:rsidP="001E5BE4">
      <w:pPr>
        <w:pStyle w:val="Tesi"/>
        <w:spacing w:line="360" w:lineRule="auto"/>
        <w:ind w:right="1091"/>
        <w:jc w:val="both"/>
        <w:rPr>
          <w:rFonts w:ascii="Times New Roman" w:hAnsi="Times New Roman"/>
          <w:sz w:val="24"/>
          <w:szCs w:val="24"/>
        </w:rPr>
      </w:pPr>
    </w:p>
    <w:p w:rsidR="00A0541C" w:rsidRPr="00B460A6" w:rsidRDefault="00B460A6" w:rsidP="001E5BE4">
      <w:pPr>
        <w:pStyle w:val="Tesi"/>
        <w:spacing w:line="360" w:lineRule="auto"/>
        <w:ind w:right="1091"/>
        <w:jc w:val="both"/>
        <w:rPr>
          <w:rFonts w:ascii="Times New Roman" w:hAnsi="Times New Roman" w:cs="Times New Roman"/>
          <w:color w:val="0D0D0D"/>
          <w:sz w:val="24"/>
          <w:szCs w:val="24"/>
          <w:lang w:val="it-IT"/>
        </w:rPr>
      </w:pPr>
      <w:r>
        <w:rPr>
          <w:rFonts w:ascii="Times New Roman" w:hAnsi="Times New Roman" w:cs="Times New Roman"/>
          <w:color w:val="0D0D0D"/>
          <w:sz w:val="24"/>
          <w:szCs w:val="24"/>
          <w:lang w:val="it-IT"/>
        </w:rPr>
        <w:t>La scoperta del ruolo di GSK-3 in questi pathway e nelle diverse condizioni di apoptosi, coincide con un considerevole aumento di interesse verso l' effetto neuroprotettivo del litio, il quale inibisce la GSK-3. Il litio ha molto effetti sulla cellula; è stato visto come provvede a proteggere la cellula dall' apoptosi, suggerendo che la capacità protettiva del litio sia in parte almeno dovuta alla GSK-3. Rimane da chiarire quale pathway di segnale è più rilevante al fine dell' espletamento di tale funzione del litio nel DB.</w:t>
      </w:r>
    </w:p>
    <w:p w:rsidR="002606F6" w:rsidRPr="0026553B" w:rsidRDefault="00B460A6" w:rsidP="001E5BE4">
      <w:pPr>
        <w:pStyle w:val="Tesi"/>
        <w:spacing w:line="360" w:lineRule="auto"/>
        <w:ind w:right="1091"/>
        <w:jc w:val="both"/>
        <w:rPr>
          <w:rFonts w:ascii="Times New Roman" w:hAnsi="Times New Roman" w:cs="Times New Roman"/>
          <w:color w:val="0D0D0D"/>
          <w:sz w:val="24"/>
          <w:szCs w:val="24"/>
          <w:lang w:val="it-IT"/>
        </w:rPr>
      </w:pPr>
      <w:r>
        <w:rPr>
          <w:rFonts w:ascii="Times New Roman" w:hAnsi="Times New Roman" w:cs="Times New Roman"/>
          <w:color w:val="0D0D0D"/>
          <w:sz w:val="24"/>
          <w:szCs w:val="24"/>
          <w:lang w:val="it-IT"/>
        </w:rPr>
        <w:t>Nel prossimo capitolo, tratterò in maniera più approfondita questi argomenti, visto il potenziale interesse nel disturbo bipolare.</w:t>
      </w:r>
    </w:p>
    <w:p w:rsidR="00A0541C" w:rsidRPr="00B460A6" w:rsidRDefault="00B460A6" w:rsidP="001E5BE4">
      <w:pPr>
        <w:pStyle w:val="Tesi"/>
        <w:spacing w:line="360" w:lineRule="auto"/>
        <w:ind w:right="1091"/>
        <w:jc w:val="both"/>
        <w:rPr>
          <w:rFonts w:ascii="Times New Roman" w:hAnsi="Times New Roman" w:cs="Times New Roman"/>
          <w:b/>
          <w:color w:val="0D0D0D"/>
          <w:sz w:val="26"/>
          <w:szCs w:val="26"/>
          <w:lang w:val="it-IT"/>
        </w:rPr>
      </w:pPr>
      <w:r w:rsidRPr="00B460A6">
        <w:rPr>
          <w:rFonts w:ascii="Times New Roman" w:hAnsi="Times New Roman" w:cs="Times New Roman"/>
          <w:b/>
          <w:color w:val="0D0D0D"/>
          <w:sz w:val="26"/>
          <w:szCs w:val="26"/>
          <w:lang w:val="it-IT"/>
        </w:rPr>
        <w:t>2.2 Litio</w:t>
      </w:r>
    </w:p>
    <w:p w:rsidR="00A0541C" w:rsidRDefault="00B460A6" w:rsidP="001E5BE4">
      <w:pPr>
        <w:pStyle w:val="Tesi"/>
        <w:spacing w:after="0" w:line="360" w:lineRule="auto"/>
        <w:ind w:right="1089"/>
        <w:jc w:val="both"/>
        <w:rPr>
          <w:rFonts w:ascii="Times New Roman" w:hAnsi="Times New Roman" w:cs="Times New Roman"/>
          <w:color w:val="0D0D0D"/>
          <w:sz w:val="24"/>
          <w:szCs w:val="24"/>
          <w:lang w:val="it-IT"/>
        </w:rPr>
      </w:pPr>
      <w:r>
        <w:rPr>
          <w:rFonts w:ascii="Times New Roman" w:hAnsi="Times New Roman" w:cs="Times New Roman"/>
          <w:color w:val="0D0D0D"/>
          <w:sz w:val="24"/>
          <w:szCs w:val="24"/>
          <w:lang w:val="it-IT"/>
        </w:rPr>
        <w:t>il litio è uno dei farmaci di prima scelta nel trattamento del disturbo bipolare. Risale a 60 anni fa il primo studio pubblicato sul litio e sugli effetti farmacologici. Nel 1949, John Cade pubblicò in letteratura uno studio sull' utilità di questo semplice catione monovalente nel trattamento dell' “eccitazione psicotica” (Cade, 1949). questo fu seguito da numerosi altri lavori durante le due successive decadi, consolidando la posizione del litio come farmaco per il trattamento del DB.</w:t>
      </w:r>
    </w:p>
    <w:p w:rsidR="00A0541C" w:rsidRDefault="00B460A6" w:rsidP="001E5BE4">
      <w:pPr>
        <w:pStyle w:val="Tesi"/>
        <w:spacing w:after="0" w:line="360" w:lineRule="auto"/>
        <w:ind w:right="1089"/>
        <w:jc w:val="both"/>
        <w:rPr>
          <w:rFonts w:ascii="Times New Roman" w:hAnsi="Times New Roman" w:cs="Times New Roman"/>
          <w:color w:val="0D0D0D"/>
          <w:sz w:val="24"/>
          <w:szCs w:val="24"/>
          <w:lang w:val="it-IT"/>
        </w:rPr>
      </w:pPr>
      <w:r>
        <w:rPr>
          <w:rFonts w:ascii="Times New Roman" w:hAnsi="Times New Roman" w:cs="Times New Roman"/>
          <w:color w:val="0D0D0D"/>
          <w:sz w:val="24"/>
          <w:szCs w:val="24"/>
          <w:lang w:val="it-IT"/>
        </w:rPr>
        <w:t>Molte azioni biochimiche del litio sono state identificate (Jope, 1999; Phiel and Klein, 2001), ma il meccanismo attraverso il quale esplica la sua azione terapeutica, rimane un enigma. Gli effetti terapeutici diventano evidenti solo dopo alcune settimane di trattamento, è possibile quindi pensare ad una conseguenza di più profondi cambiamenti strutturali nel cerebro, i quali si presentano solo dopo uno specifico intervallo di tempo.</w:t>
      </w:r>
    </w:p>
    <w:p w:rsidR="00A0541C" w:rsidRDefault="00A0541C" w:rsidP="001E5BE4">
      <w:pPr>
        <w:pStyle w:val="Tesi"/>
        <w:spacing w:line="360" w:lineRule="auto"/>
        <w:ind w:right="1091"/>
        <w:jc w:val="both"/>
        <w:rPr>
          <w:rFonts w:ascii="Times New Roman" w:hAnsi="Times New Roman"/>
          <w:sz w:val="24"/>
          <w:szCs w:val="24"/>
        </w:rPr>
      </w:pPr>
    </w:p>
    <w:p w:rsidR="00A0541C" w:rsidRDefault="00B460A6" w:rsidP="001E5BE4">
      <w:pPr>
        <w:pStyle w:val="Tesi"/>
        <w:spacing w:after="0" w:line="360" w:lineRule="auto"/>
        <w:ind w:right="1089"/>
        <w:jc w:val="both"/>
        <w:rPr>
          <w:rFonts w:ascii="Times New Roman" w:hAnsi="Times New Roman" w:cs="Times New Roman"/>
          <w:color w:val="0D0D0D"/>
          <w:sz w:val="24"/>
          <w:szCs w:val="24"/>
          <w:lang w:val="it-IT"/>
        </w:rPr>
      </w:pPr>
      <w:r>
        <w:rPr>
          <w:rFonts w:ascii="Times New Roman" w:hAnsi="Times New Roman" w:cs="Times New Roman"/>
          <w:color w:val="0D0D0D"/>
          <w:sz w:val="24"/>
          <w:szCs w:val="24"/>
          <w:lang w:val="it-IT"/>
        </w:rPr>
        <w:t>Comprendere esattamente come agisce il litio, attraverso una validazione clinica, può fornire importanti dati sulla patofisiologia dei disturbi dell’umore. È pertanto di critica importanza comprendere il target delle sue azioni terapeutiche. A concentrazioni terapeutiche il litio inibisce un numero di enzimi competendo col magnesio per un sito di legame (Gould et al., 2004a). Pur essendo possibile che il litio abbia più di un solo be</w:t>
      </w:r>
      <w:r w:rsidR="006F0EF7">
        <w:rPr>
          <w:rFonts w:ascii="Times New Roman" w:hAnsi="Times New Roman" w:cs="Times New Roman"/>
          <w:color w:val="0D0D0D"/>
          <w:sz w:val="24"/>
          <w:szCs w:val="24"/>
          <w:lang w:val="it-IT"/>
        </w:rPr>
        <w:t>rsaglio attraverso cui esplica i</w:t>
      </w:r>
      <w:r>
        <w:rPr>
          <w:rFonts w:ascii="Times New Roman" w:hAnsi="Times New Roman" w:cs="Times New Roman"/>
          <w:color w:val="0D0D0D"/>
          <w:sz w:val="24"/>
          <w:szCs w:val="24"/>
          <w:lang w:val="it-IT"/>
        </w:rPr>
        <w:t xml:space="preserve"> suoi effetti, l’ ipotesi meno azzardata è che abbia un bersaglio quantomeno preferenziale. Inoltre, molti sono gli effetti a cascata (es. Modulazione di diversi pathway di segnale) che possono essere rilevanti. Per più di una decade, il bersaglio più comunemente riconosciuto e accettato è stato l’ inibizione dell’ Inositolo monofosfatasi (IMPase) e dei suoi enzimi correlati. Teoricamente l’ inibizione dell’ IMPase nel cervello preverrebbe il riciclo dell’ inositolo, pertanto eliminando l’ inositolo libero, richiesto per la cascata mediata dal fosfoinositolo.</w:t>
      </w:r>
    </w:p>
    <w:p w:rsidR="00A0541C" w:rsidRDefault="00B460A6" w:rsidP="001E5BE4">
      <w:pPr>
        <w:pStyle w:val="Tesi"/>
        <w:spacing w:after="0" w:line="360" w:lineRule="auto"/>
        <w:ind w:right="1089"/>
        <w:jc w:val="both"/>
        <w:rPr>
          <w:rFonts w:ascii="Times New Roman" w:hAnsi="Times New Roman" w:cs="Times New Roman"/>
          <w:color w:val="0D0D0D"/>
          <w:sz w:val="24"/>
          <w:szCs w:val="24"/>
          <w:lang w:val="it-IT"/>
        </w:rPr>
      </w:pPr>
      <w:r>
        <w:rPr>
          <w:rFonts w:ascii="Times New Roman" w:hAnsi="Times New Roman" w:cs="Times New Roman"/>
          <w:color w:val="0D0D0D"/>
          <w:sz w:val="24"/>
          <w:szCs w:val="24"/>
          <w:lang w:val="it-IT"/>
        </w:rPr>
        <w:t>Infatti, alcuni estesi studi preclinici a altri clinici hanno fornito un supporto per tale ipotesi (Atack, 2000). In studi che sono stati ampiamente replicati, Allison e Stewart (1971) per primi riportarono che una somministrazione acuta di litio nei ratti diminuiva la concentrazione di inositolo cerebrale.</w:t>
      </w:r>
    </w:p>
    <w:p w:rsidR="00A0541C" w:rsidRDefault="00B460A6" w:rsidP="001E5BE4">
      <w:pPr>
        <w:pStyle w:val="Tesi"/>
        <w:spacing w:after="0" w:line="360" w:lineRule="auto"/>
        <w:ind w:right="1089"/>
        <w:jc w:val="both"/>
        <w:rPr>
          <w:rFonts w:ascii="Times New Roman" w:hAnsi="Times New Roman" w:cs="Times New Roman"/>
          <w:color w:val="0D0D0D"/>
          <w:sz w:val="24"/>
          <w:szCs w:val="24"/>
          <w:lang w:val="it-IT"/>
        </w:rPr>
      </w:pPr>
      <w:r>
        <w:rPr>
          <w:rFonts w:ascii="Times New Roman" w:hAnsi="Times New Roman" w:cs="Times New Roman"/>
          <w:color w:val="0D0D0D"/>
          <w:sz w:val="24"/>
          <w:szCs w:val="24"/>
          <w:lang w:val="it-IT"/>
        </w:rPr>
        <w:t>Moore et al. (1999) trovarono che dopo 5-7 giorni di somministrazioni di sali di litio in soggetti bipolari la concentrazione di mioinositolo nel lobo frontale, diminuiva. Ad ogni modo gli studi condotti, non sono in grado di determinare se questo effetto del litio possieda o meno una rilevanza terapeutica, poiché non è stato possibile testare l' efficacia terapeutica. Gli sforzi dei ricercatori rimangono comunque e potrebbero un giorno fornire comunque importanti informazioni a riguardo.</w:t>
      </w:r>
    </w:p>
    <w:p w:rsidR="00A0541C" w:rsidRDefault="00B460A6" w:rsidP="001E5BE4">
      <w:pPr>
        <w:pStyle w:val="Tesi"/>
        <w:spacing w:after="0" w:line="360" w:lineRule="auto"/>
        <w:ind w:right="1089"/>
        <w:jc w:val="both"/>
        <w:rPr>
          <w:rFonts w:ascii="Times New Roman" w:hAnsi="Times New Roman" w:cs="Times New Roman"/>
          <w:color w:val="0D0D0D"/>
          <w:sz w:val="24"/>
          <w:szCs w:val="24"/>
          <w:lang w:val="it-IT"/>
        </w:rPr>
      </w:pPr>
      <w:r>
        <w:rPr>
          <w:rFonts w:ascii="Times New Roman" w:hAnsi="Times New Roman" w:cs="Times New Roman"/>
          <w:color w:val="0D0D0D"/>
          <w:sz w:val="24"/>
          <w:szCs w:val="24"/>
          <w:lang w:val="it-IT"/>
        </w:rPr>
        <w:t>Nel 1996, è stato scoperto che il litio inibisce l' enzima GSK-3 (Klein e Melton, 1996; Strambolic et al., 1996). Questa scoperta ha aumentato la possibilità che l'inibizione di GSK-3 sia un' azione cruciale nel trattamento del DB. Nelle ultime decadi infatti parecchi studi biochimici, farmacologici, genetici e sugli animali, sono stati condotti per meglio investigare se GSK-3 rappresenti davvero un bersaglio terapeutico rilevante delle azioni del litio come stabilizzante dell' umore.</w:t>
      </w:r>
    </w:p>
    <w:p w:rsidR="00A0541C" w:rsidRDefault="00A0541C" w:rsidP="001E5BE4">
      <w:pPr>
        <w:pStyle w:val="Tesi"/>
        <w:spacing w:line="360" w:lineRule="auto"/>
        <w:ind w:right="1091"/>
        <w:jc w:val="both"/>
        <w:rPr>
          <w:rFonts w:ascii="Times New Roman" w:hAnsi="Times New Roman"/>
          <w:sz w:val="24"/>
          <w:szCs w:val="24"/>
        </w:rPr>
      </w:pPr>
    </w:p>
    <w:p w:rsidR="00A0541C" w:rsidRPr="0091018A" w:rsidRDefault="00B460A6" w:rsidP="001E5BE4">
      <w:pPr>
        <w:pStyle w:val="Tesi"/>
        <w:spacing w:line="360" w:lineRule="auto"/>
        <w:ind w:right="1091"/>
        <w:jc w:val="both"/>
        <w:rPr>
          <w:rFonts w:ascii="Times New Roman" w:hAnsi="Times New Roman" w:cs="Times New Roman"/>
          <w:b/>
          <w:bCs/>
          <w:color w:val="0D0D0D"/>
          <w:sz w:val="24"/>
          <w:szCs w:val="24"/>
          <w:lang w:val="it-IT"/>
        </w:rPr>
      </w:pPr>
      <w:r>
        <w:rPr>
          <w:rFonts w:ascii="Times New Roman" w:hAnsi="Times New Roman" w:cs="Times New Roman"/>
          <w:b/>
          <w:bCs/>
          <w:color w:val="0D0D0D"/>
          <w:sz w:val="24"/>
          <w:szCs w:val="24"/>
          <w:lang w:val="it-IT"/>
        </w:rPr>
        <w:t>2.3 Le due azioni inibitorie del Litio sulla GSK-3</w:t>
      </w:r>
    </w:p>
    <w:p w:rsidR="00A0541C" w:rsidRDefault="00B460A6" w:rsidP="001E5BE4">
      <w:pPr>
        <w:pStyle w:val="Tesi"/>
        <w:spacing w:line="360" w:lineRule="auto"/>
        <w:ind w:right="1091"/>
        <w:jc w:val="both"/>
        <w:rPr>
          <w:rFonts w:ascii="Times New Roman" w:hAnsi="Times New Roman" w:cs="Times New Roman"/>
          <w:color w:val="0D0D0D"/>
          <w:sz w:val="24"/>
          <w:szCs w:val="24"/>
          <w:lang w:val="it-IT"/>
        </w:rPr>
      </w:pPr>
      <w:r>
        <w:rPr>
          <w:rFonts w:ascii="Times New Roman" w:hAnsi="Times New Roman" w:cs="Times New Roman"/>
          <w:color w:val="0D0D0D"/>
          <w:sz w:val="24"/>
          <w:szCs w:val="24"/>
          <w:lang w:val="it-IT"/>
        </w:rPr>
        <w:t>Studi recenti hanno cominciato a far luce su alcuni effetti sconosciuti del litio. In particolare due meccanismi distinti contribuiscono all' inibizione del litio della GSK-3.</w:t>
      </w:r>
    </w:p>
    <w:p w:rsidR="00A0541C" w:rsidRDefault="00A0541C" w:rsidP="001E5BE4">
      <w:pPr>
        <w:pStyle w:val="Tesi"/>
        <w:spacing w:line="360" w:lineRule="auto"/>
        <w:ind w:right="1091"/>
        <w:jc w:val="both"/>
        <w:rPr>
          <w:rFonts w:ascii="Times New Roman" w:hAnsi="Times New Roman"/>
          <w:sz w:val="24"/>
          <w:szCs w:val="24"/>
        </w:rPr>
      </w:pPr>
    </w:p>
    <w:p w:rsidR="00A0541C" w:rsidRPr="0091018A" w:rsidRDefault="00B460A6" w:rsidP="001E5BE4">
      <w:pPr>
        <w:pStyle w:val="Tesi"/>
        <w:spacing w:line="360" w:lineRule="auto"/>
        <w:ind w:right="1091"/>
        <w:jc w:val="both"/>
        <w:rPr>
          <w:rFonts w:ascii="Times New Roman" w:hAnsi="Times New Roman" w:cs="Times New Roman"/>
          <w:b/>
          <w:color w:val="0D0D0D"/>
          <w:sz w:val="24"/>
          <w:szCs w:val="24"/>
          <w:lang w:val="it-IT"/>
        </w:rPr>
      </w:pPr>
      <w:r w:rsidRPr="0091018A">
        <w:rPr>
          <w:rFonts w:ascii="Times New Roman" w:hAnsi="Times New Roman" w:cs="Times New Roman"/>
          <w:b/>
          <w:color w:val="0D0D0D"/>
          <w:sz w:val="24"/>
          <w:szCs w:val="24"/>
          <w:lang w:val="it-IT"/>
        </w:rPr>
        <w:t>2.3.1 Effetto inibitorio diretto</w:t>
      </w:r>
    </w:p>
    <w:p w:rsidR="0091018A" w:rsidRPr="0026553B" w:rsidRDefault="00B460A6" w:rsidP="001E5BE4">
      <w:pPr>
        <w:pStyle w:val="Tesi"/>
        <w:spacing w:line="360" w:lineRule="auto"/>
        <w:ind w:right="1091"/>
        <w:jc w:val="both"/>
        <w:rPr>
          <w:rFonts w:ascii="Times New Roman" w:hAnsi="Times New Roman" w:cs="Times New Roman"/>
          <w:color w:val="0D0D0D"/>
          <w:sz w:val="24"/>
          <w:szCs w:val="24"/>
          <w:lang w:val="it-IT"/>
        </w:rPr>
      </w:pPr>
      <w:r>
        <w:rPr>
          <w:rFonts w:ascii="Times New Roman" w:hAnsi="Times New Roman" w:cs="Times New Roman"/>
          <w:color w:val="0D0D0D"/>
          <w:sz w:val="24"/>
          <w:szCs w:val="24"/>
          <w:lang w:val="it-IT"/>
        </w:rPr>
        <w:t>L' effetto inibitorio diretto del litio sulla GSK-3 è tipico degli inibitori appartenenti alla categoria delle “piccole molecole”: queste si legano a cofattori o a importanti domini di un enzima, al fine di impedire la sua azione. GSK-3 catalizza la fosforilazione di molti substrati proteici in presenza di  Mg2+‒ATP. Il litio è un inibitore competitivo del magnesio e porta all' inibizione dell' attività della GSK-3. La scoperta che il litio è un inibitore diretto e reversibile della GSK-3, suggerisce la possibilità che tale inibizione possa contribuire agli effetti stabilizzanti delle azioni del litio (Klein e Melton, 1996). Ciò nonostante, molti ricercatori mettono in discussione tale teoria, poiché il litio esplica le sue azioni solo dopo un lungo trattamento cronico, seppure l' inibizione diretta sia un processo molto rapido. Inoltre il grado di inibizione raggiunto da buona concentrazione di litio, è piuttosto modesto. Di contro, Jope (2003) e altri suggerirono che un0 inibizione a lungo termine sia necessaria per manifestare gli effetti terapeutici del litio nell' espressione genica o nella struttura cellulare. In seguito, un 0inibizione parziale della GSK-3 potrebbe essere vantaggiosa poiché questo enzima svolge altre funzioni chiave e pertanto un' inibizione troppo radicale potrebbe provocare effetti tossici</w:t>
      </w:r>
    </w:p>
    <w:p w:rsidR="00A0541C" w:rsidRPr="0091018A" w:rsidRDefault="00B460A6" w:rsidP="001E5BE4">
      <w:pPr>
        <w:pStyle w:val="Tesi"/>
        <w:spacing w:line="360" w:lineRule="auto"/>
        <w:ind w:right="1091"/>
        <w:jc w:val="both"/>
        <w:rPr>
          <w:rFonts w:ascii="Times New Roman" w:hAnsi="Times New Roman" w:cs="Times New Roman"/>
          <w:b/>
          <w:color w:val="0D0D0D"/>
          <w:sz w:val="24"/>
          <w:szCs w:val="24"/>
          <w:lang w:val="it-IT"/>
        </w:rPr>
      </w:pPr>
      <w:r w:rsidRPr="0091018A">
        <w:rPr>
          <w:rFonts w:ascii="Times New Roman" w:hAnsi="Times New Roman" w:cs="Times New Roman"/>
          <w:b/>
          <w:color w:val="0D0D0D"/>
          <w:sz w:val="24"/>
          <w:szCs w:val="24"/>
          <w:lang w:val="it-IT"/>
        </w:rPr>
        <w:t>2.3.2 Effetto inibitorio Indiretto</w:t>
      </w:r>
    </w:p>
    <w:p w:rsidR="00A0541C" w:rsidRDefault="00B460A6" w:rsidP="001E5BE4">
      <w:pPr>
        <w:pStyle w:val="Tesi"/>
        <w:spacing w:after="0" w:line="360" w:lineRule="auto"/>
        <w:ind w:right="1089"/>
        <w:jc w:val="both"/>
        <w:rPr>
          <w:rFonts w:ascii="Times New Roman" w:hAnsi="Times New Roman" w:cs="Times New Roman"/>
          <w:color w:val="0D0D0D"/>
          <w:sz w:val="24"/>
          <w:szCs w:val="24"/>
          <w:lang w:val="it-IT"/>
        </w:rPr>
      </w:pPr>
      <w:r>
        <w:rPr>
          <w:rFonts w:ascii="Times New Roman" w:hAnsi="Times New Roman" w:cs="Times New Roman"/>
          <w:color w:val="0D0D0D"/>
          <w:sz w:val="24"/>
          <w:szCs w:val="24"/>
          <w:lang w:val="it-IT"/>
        </w:rPr>
        <w:t>Un' altra categoria di inibitori, include quelli che regolano un enzima attraverso un meccanismo indiretto. Tale meccanismo può coinvolgere meccanismi post-translazionali che regolano e modificano l'attività dell' enzima, come la fosforilazione di una serina N-terminale: la Ser21 nella GSK-3</w:t>
      </w:r>
      <w:r>
        <w:rPr>
          <w:rFonts w:ascii="Times New Roman" w:eastAsia="Times New Roman" w:hAnsi="Times New Roman" w:cs="Times New Roman"/>
          <w:color w:val="0D0D0D"/>
          <w:sz w:val="24"/>
          <w:szCs w:val="24"/>
        </w:rPr>
        <w:t>α</w:t>
      </w:r>
      <w:r>
        <w:rPr>
          <w:rFonts w:ascii="Times New Roman" w:eastAsia="Times New Roman" w:hAnsi="Times New Roman" w:cs="Times New Roman"/>
          <w:color w:val="0D0D0D"/>
          <w:sz w:val="24"/>
          <w:szCs w:val="24"/>
          <w:lang w:val="it-IT"/>
        </w:rPr>
        <w:t xml:space="preserve"> o la Ser9 nella GSK-3</w:t>
      </w:r>
      <w:r>
        <w:rPr>
          <w:rFonts w:ascii="Times New Roman" w:eastAsia="Times New Roman" w:hAnsi="Times New Roman" w:cs="Times New Roman"/>
          <w:color w:val="0D0D0D"/>
          <w:sz w:val="24"/>
          <w:szCs w:val="24"/>
        </w:rPr>
        <w:t>β</w:t>
      </w:r>
      <w:r>
        <w:rPr>
          <w:rFonts w:ascii="Times New Roman" w:eastAsia="Times New Roman" w:hAnsi="Times New Roman" w:cs="Times New Roman"/>
          <w:color w:val="0D0D0D"/>
          <w:sz w:val="24"/>
          <w:szCs w:val="24"/>
          <w:lang w:val="it-IT"/>
        </w:rPr>
        <w:t>.</w:t>
      </w:r>
      <w:r>
        <w:rPr>
          <w:rFonts w:ascii="Times New Roman" w:hAnsi="Times New Roman" w:cs="Times New Roman"/>
          <w:color w:val="0D0D0D"/>
          <w:sz w:val="24"/>
          <w:szCs w:val="24"/>
          <w:lang w:val="it-IT"/>
        </w:rPr>
        <w:t xml:space="preserve"> Questa modifica dell' attività può essere catalizzata da diverse chinasi come la proteina chinasi B (PKB) o la proteina chinasi A (PKA) o ancora la forma c (PKC). La GSK fosfo-serina inattiva, può essere riattivata da alcune fosfatasi che rimuovono il fosfato dalla serina. In presenza del litio, l' azione di queste fosfatasi, è ridotta, lasciando una maggior concentrazione di GSK-3 nella sua forma fosforilata e quindi inattiva.</w:t>
      </w:r>
    </w:p>
    <w:p w:rsidR="00A0541C" w:rsidRPr="0091018A" w:rsidRDefault="00B460A6" w:rsidP="001E5BE4">
      <w:pPr>
        <w:pStyle w:val="Tesi"/>
        <w:spacing w:after="0" w:line="360" w:lineRule="auto"/>
        <w:ind w:right="1089"/>
        <w:jc w:val="both"/>
        <w:rPr>
          <w:rFonts w:ascii="Times New Roman" w:eastAsia="Times New Roman" w:hAnsi="Times New Roman" w:cs="Times New Roman"/>
          <w:color w:val="0D0D0D"/>
          <w:sz w:val="24"/>
          <w:szCs w:val="24"/>
          <w:lang w:val="it-IT"/>
        </w:rPr>
      </w:pPr>
      <w:r>
        <w:rPr>
          <w:rFonts w:ascii="Times New Roman" w:hAnsi="Times New Roman" w:cs="Times New Roman"/>
          <w:color w:val="0D0D0D"/>
          <w:sz w:val="24"/>
          <w:szCs w:val="24"/>
          <w:lang w:val="it-IT"/>
        </w:rPr>
        <w:t>E' stato visto come il litio somministrato cronicamente nei topi, causa un grosso aumento nella fosforilazione della Ser9 della GSK-3</w:t>
      </w:r>
      <w:r>
        <w:rPr>
          <w:rFonts w:ascii="Times New Roman" w:eastAsia="Times New Roman" w:hAnsi="Times New Roman" w:cs="Times New Roman"/>
          <w:color w:val="0D0D0D"/>
          <w:sz w:val="24"/>
          <w:szCs w:val="24"/>
        </w:rPr>
        <w:t>β</w:t>
      </w:r>
      <w:r>
        <w:rPr>
          <w:rFonts w:ascii="Times New Roman" w:eastAsia="Times New Roman" w:hAnsi="Times New Roman" w:cs="Times New Roman"/>
          <w:color w:val="0D0D0D"/>
          <w:sz w:val="24"/>
          <w:szCs w:val="24"/>
          <w:lang w:val="it-IT"/>
        </w:rPr>
        <w:t xml:space="preserve"> in vivo (De Sarno, 2002), e della Ser 21 della GSK-3</w:t>
      </w:r>
      <w:r>
        <w:rPr>
          <w:rFonts w:ascii="Times New Roman" w:eastAsia="Times New Roman" w:hAnsi="Times New Roman" w:cs="Times New Roman"/>
          <w:color w:val="0D0D0D"/>
          <w:sz w:val="24"/>
          <w:szCs w:val="24"/>
        </w:rPr>
        <w:t>α</w:t>
      </w:r>
      <w:r>
        <w:rPr>
          <w:rFonts w:ascii="Times New Roman" w:eastAsia="Times New Roman" w:hAnsi="Times New Roman" w:cs="Times New Roman"/>
          <w:color w:val="0D0D0D"/>
          <w:sz w:val="24"/>
          <w:szCs w:val="24"/>
          <w:lang w:val="it-IT"/>
        </w:rPr>
        <w:t xml:space="preserve"> (Chalecka-Franaszek and Chuang, 1999).</w:t>
      </w:r>
    </w:p>
    <w:p w:rsidR="00A0541C" w:rsidRDefault="0091018A" w:rsidP="001E5BE4">
      <w:pPr>
        <w:pStyle w:val="Tesi"/>
        <w:spacing w:line="360" w:lineRule="auto"/>
        <w:ind w:right="1091"/>
        <w:jc w:val="both"/>
        <w:rPr>
          <w:rFonts w:ascii="Times New Roman" w:eastAsia="Times New Roman" w:hAnsi="Times New Roman" w:cs="Times New Roman"/>
          <w:color w:val="0D0D0D"/>
          <w:sz w:val="24"/>
          <w:szCs w:val="24"/>
          <w:lang w:val="it-IT"/>
        </w:rPr>
      </w:pPr>
      <w:r>
        <w:rPr>
          <w:rFonts w:ascii="Times New Roman" w:hAnsi="Times New Roman"/>
          <w:noProof/>
          <w:sz w:val="24"/>
          <w:szCs w:val="24"/>
          <w:lang w:val="it-IT" w:eastAsia="it-IT"/>
        </w:rPr>
        <w:drawing>
          <wp:anchor distT="0" distB="0" distL="114300" distR="114300" simplePos="0" relativeHeight="251658240" behindDoc="0" locked="0" layoutInCell="1" allowOverlap="1">
            <wp:simplePos x="0" y="0"/>
            <wp:positionH relativeFrom="column">
              <wp:posOffset>829310</wp:posOffset>
            </wp:positionH>
            <wp:positionV relativeFrom="paragraph">
              <wp:posOffset>1027430</wp:posOffset>
            </wp:positionV>
            <wp:extent cx="4314190" cy="382079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14190" cy="3820795"/>
                    </a:xfrm>
                    <a:prstGeom prst="rect">
                      <a:avLst/>
                    </a:prstGeom>
                    <a:solidFill>
                      <a:srgbClr val="FFFFFF"/>
                    </a:solidFill>
                    <a:ln>
                      <a:noFill/>
                    </a:ln>
                  </pic:spPr>
                </pic:pic>
              </a:graphicData>
            </a:graphic>
          </wp:anchor>
        </w:drawing>
      </w:r>
      <w:r w:rsidR="00B460A6">
        <w:rPr>
          <w:rFonts w:ascii="Times New Roman" w:eastAsia="Times New Roman" w:hAnsi="Times New Roman" w:cs="Times New Roman"/>
          <w:color w:val="0D0D0D"/>
          <w:sz w:val="24"/>
          <w:szCs w:val="24"/>
          <w:lang w:val="it-IT"/>
        </w:rPr>
        <w:t>Pertanto, in seguito all' esposizione al litio, la GSK-3 è inibita sia dalla diretta azione del litio, sia indirettamente a causa della aumentata fosforilazione del residuo serinico. Di conseguenza, GSK-3 e litio hanno effetti opposti su numerosi processi cellulari (vedi figura 2).</w:t>
      </w:r>
    </w:p>
    <w:p w:rsidR="00A0541C" w:rsidRDefault="00A0541C" w:rsidP="001E5BE4">
      <w:pPr>
        <w:pStyle w:val="Tesi"/>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91018A" w:rsidRDefault="0091018A" w:rsidP="001E5BE4">
      <w:pPr>
        <w:pStyle w:val="Tesi"/>
        <w:tabs>
          <w:tab w:val="left" w:pos="8503"/>
        </w:tabs>
        <w:spacing w:line="360" w:lineRule="auto"/>
        <w:ind w:right="1091"/>
        <w:jc w:val="both"/>
        <w:rPr>
          <w:rFonts w:ascii="Times New Roman" w:eastAsia="Times New Roman" w:hAnsi="Times New Roman" w:cs="Times New Roman"/>
          <w:b/>
          <w:bCs/>
          <w:color w:val="0D0D0D"/>
          <w:sz w:val="24"/>
          <w:szCs w:val="24"/>
        </w:rPr>
      </w:pPr>
    </w:p>
    <w:p w:rsidR="0091018A" w:rsidRDefault="0091018A" w:rsidP="001E5BE4">
      <w:pPr>
        <w:pStyle w:val="Tesi"/>
        <w:tabs>
          <w:tab w:val="left" w:pos="8503"/>
        </w:tabs>
        <w:spacing w:line="360" w:lineRule="auto"/>
        <w:ind w:right="1091"/>
        <w:jc w:val="both"/>
        <w:rPr>
          <w:rFonts w:ascii="Times New Roman" w:eastAsia="Times New Roman" w:hAnsi="Times New Roman" w:cs="Times New Roman"/>
          <w:b/>
          <w:bCs/>
          <w:color w:val="0D0D0D"/>
          <w:sz w:val="24"/>
          <w:szCs w:val="24"/>
        </w:rPr>
      </w:pPr>
    </w:p>
    <w:p w:rsidR="0091018A" w:rsidRDefault="0091018A" w:rsidP="001E5BE4">
      <w:pPr>
        <w:pStyle w:val="Tesi"/>
        <w:tabs>
          <w:tab w:val="left" w:pos="8503"/>
        </w:tabs>
        <w:spacing w:line="360" w:lineRule="auto"/>
        <w:ind w:right="1091"/>
        <w:jc w:val="both"/>
        <w:rPr>
          <w:rFonts w:ascii="Times New Roman" w:eastAsia="Times New Roman" w:hAnsi="Times New Roman" w:cs="Times New Roman"/>
          <w:b/>
          <w:bCs/>
          <w:color w:val="0D0D0D"/>
          <w:sz w:val="24"/>
          <w:szCs w:val="24"/>
        </w:rPr>
      </w:pPr>
    </w:p>
    <w:p w:rsidR="0091018A" w:rsidRDefault="0091018A" w:rsidP="001E5BE4">
      <w:pPr>
        <w:pStyle w:val="Tesi"/>
        <w:tabs>
          <w:tab w:val="left" w:pos="8503"/>
        </w:tabs>
        <w:spacing w:line="360" w:lineRule="auto"/>
        <w:ind w:right="1091"/>
        <w:jc w:val="both"/>
        <w:rPr>
          <w:rFonts w:ascii="Times New Roman" w:eastAsia="Times New Roman" w:hAnsi="Times New Roman" w:cs="Times New Roman"/>
          <w:b/>
          <w:bCs/>
          <w:color w:val="0D0D0D"/>
          <w:sz w:val="24"/>
          <w:szCs w:val="24"/>
        </w:rPr>
      </w:pPr>
    </w:p>
    <w:p w:rsidR="0091018A" w:rsidRDefault="0091018A" w:rsidP="001E5BE4">
      <w:pPr>
        <w:pStyle w:val="Tesi"/>
        <w:tabs>
          <w:tab w:val="left" w:pos="8503"/>
        </w:tabs>
        <w:spacing w:line="360" w:lineRule="auto"/>
        <w:ind w:right="1091"/>
        <w:jc w:val="both"/>
        <w:rPr>
          <w:rFonts w:ascii="Times New Roman" w:eastAsia="Times New Roman" w:hAnsi="Times New Roman" w:cs="Times New Roman"/>
          <w:b/>
          <w:bCs/>
          <w:color w:val="0D0D0D"/>
          <w:sz w:val="24"/>
          <w:szCs w:val="24"/>
        </w:rPr>
      </w:pPr>
    </w:p>
    <w:p w:rsidR="00A0541C" w:rsidRPr="0091018A" w:rsidRDefault="00B460A6" w:rsidP="001E5BE4">
      <w:pPr>
        <w:pStyle w:val="Tesi"/>
        <w:tabs>
          <w:tab w:val="left" w:pos="8503"/>
        </w:tabs>
        <w:spacing w:line="360" w:lineRule="auto"/>
        <w:ind w:right="1091"/>
        <w:jc w:val="both"/>
        <w:rPr>
          <w:rFonts w:ascii="Times New Roman" w:eastAsia="Times New Roman" w:hAnsi="Times New Roman" w:cs="Times New Roman"/>
          <w:color w:val="0D0D0D"/>
          <w:sz w:val="20"/>
          <w:szCs w:val="20"/>
        </w:rPr>
      </w:pPr>
      <w:r w:rsidRPr="0091018A">
        <w:rPr>
          <w:rFonts w:ascii="Times New Roman" w:eastAsia="Times New Roman" w:hAnsi="Times New Roman" w:cs="Times New Roman"/>
          <w:b/>
          <w:bCs/>
          <w:color w:val="0D0D0D"/>
          <w:sz w:val="20"/>
          <w:szCs w:val="20"/>
        </w:rPr>
        <w:t>Fig. 2</w:t>
      </w:r>
      <w:r w:rsidRPr="0091018A">
        <w:rPr>
          <w:rFonts w:ascii="Times New Roman" w:eastAsia="Times New Roman" w:hAnsi="Times New Roman" w:cs="Times New Roman"/>
          <w:color w:val="0D0D0D"/>
          <w:sz w:val="20"/>
          <w:szCs w:val="20"/>
        </w:rPr>
        <w:t xml:space="preserve"> Interaction between lithium and GSK-3. Blue indicates aspects of signaling that are associated with active GSK-3. Red indicates inhibition of GSK-3 activity (Jope, 2003).    </w:t>
      </w:r>
    </w:p>
    <w:p w:rsidR="00A0541C" w:rsidRPr="0091018A" w:rsidRDefault="00B460A6" w:rsidP="001E5BE4">
      <w:pPr>
        <w:pStyle w:val="Tesi"/>
        <w:tabs>
          <w:tab w:val="left" w:pos="8503"/>
        </w:tabs>
        <w:spacing w:line="360" w:lineRule="auto"/>
        <w:ind w:right="1091"/>
        <w:jc w:val="both"/>
        <w:rPr>
          <w:rFonts w:ascii="Times New Roman" w:eastAsia="Times New Roman" w:hAnsi="Times New Roman" w:cs="Times New Roman"/>
          <w:b/>
          <w:bCs/>
          <w:color w:val="0D0D0D"/>
          <w:sz w:val="26"/>
          <w:szCs w:val="26"/>
        </w:rPr>
      </w:pPr>
      <w:r>
        <w:rPr>
          <w:rFonts w:ascii="Times New Roman" w:eastAsia="Times New Roman" w:hAnsi="Times New Roman" w:cs="Times New Roman"/>
          <w:b/>
          <w:bCs/>
          <w:color w:val="0D0D0D"/>
          <w:sz w:val="24"/>
          <w:szCs w:val="24"/>
        </w:rPr>
        <w:t xml:space="preserve">3. </w:t>
      </w:r>
      <w:r w:rsidRPr="0091018A">
        <w:rPr>
          <w:rFonts w:ascii="Times New Roman" w:eastAsia="Times New Roman" w:hAnsi="Times New Roman" w:cs="Times New Roman"/>
          <w:b/>
          <w:bCs/>
          <w:color w:val="0D0D0D"/>
          <w:sz w:val="26"/>
          <w:szCs w:val="26"/>
        </w:rPr>
        <w:t>METODI: TRACT-BASED SPATIAL STATISTICS</w:t>
      </w: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Pr="0091018A" w:rsidRDefault="00B460A6" w:rsidP="001E5BE4">
      <w:pPr>
        <w:pStyle w:val="Tesi"/>
        <w:tabs>
          <w:tab w:val="left" w:pos="8503"/>
        </w:tabs>
        <w:spacing w:line="360" w:lineRule="auto"/>
        <w:ind w:right="1091"/>
        <w:jc w:val="both"/>
        <w:rPr>
          <w:rFonts w:ascii="Times New Roman" w:eastAsia="Times New Roman" w:hAnsi="Times New Roman" w:cs="Times New Roman"/>
          <w:b/>
          <w:bCs/>
          <w:color w:val="0D0D0D"/>
          <w:sz w:val="24"/>
          <w:szCs w:val="24"/>
          <w:lang w:val="it-IT"/>
        </w:rPr>
      </w:pPr>
      <w:r>
        <w:rPr>
          <w:rFonts w:ascii="Times New Roman" w:eastAsia="Times New Roman" w:hAnsi="Times New Roman" w:cs="Times New Roman"/>
          <w:b/>
          <w:bCs/>
          <w:color w:val="0D0D0D"/>
          <w:sz w:val="24"/>
          <w:szCs w:val="24"/>
          <w:lang w:val="it-IT"/>
        </w:rPr>
        <w:t>3.1 DTI</w:t>
      </w:r>
    </w:p>
    <w:p w:rsidR="00A0541C" w:rsidRDefault="00B460A6" w:rsidP="001E5BE4">
      <w:pPr>
        <w:pStyle w:val="Tesi"/>
        <w:tabs>
          <w:tab w:val="left" w:pos="8503"/>
        </w:tabs>
        <w:spacing w:after="0" w:line="360" w:lineRule="auto"/>
        <w:ind w:right="1089"/>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color w:val="0D0D0D"/>
          <w:sz w:val="24"/>
          <w:szCs w:val="24"/>
          <w:lang w:val="it-IT"/>
        </w:rPr>
        <w:t>L' imaging a tensore di diffusione (DTI) permette lo studio in vivo dell'anatomia della sostanza bianca, grazie alla sua sensibilità alle caratteristiche della diffusione delle molecole d' acqua, quali la principale direzione di diffusione e la anisotropia di diffusione. Per meglio comprendere come l' imaging di risonanza magnetica riesca ad individuare la diffusione direzionale al fine di dedurre le proprietà dei fasci e la loro dir</w:t>
      </w:r>
      <w:r w:rsidR="006F0EF7">
        <w:rPr>
          <w:rFonts w:ascii="Times New Roman" w:eastAsia="Times New Roman" w:hAnsi="Times New Roman" w:cs="Times New Roman"/>
          <w:color w:val="0D0D0D"/>
          <w:sz w:val="24"/>
          <w:szCs w:val="24"/>
          <w:lang w:val="it-IT"/>
        </w:rPr>
        <w:t>ezione, è importante conoscere i</w:t>
      </w:r>
      <w:r>
        <w:rPr>
          <w:rFonts w:ascii="Times New Roman" w:eastAsia="Times New Roman" w:hAnsi="Times New Roman" w:cs="Times New Roman"/>
          <w:color w:val="0D0D0D"/>
          <w:sz w:val="24"/>
          <w:szCs w:val="24"/>
          <w:lang w:val="it-IT"/>
        </w:rPr>
        <w:t xml:space="preserve"> principi basici della risonanza magnetica (MRI).</w:t>
      </w:r>
    </w:p>
    <w:p w:rsidR="00A0541C" w:rsidRDefault="0066052B" w:rsidP="001E5BE4">
      <w:pPr>
        <w:pStyle w:val="Tesi"/>
        <w:tabs>
          <w:tab w:val="left" w:pos="8503"/>
        </w:tabs>
        <w:spacing w:after="0" w:line="360" w:lineRule="auto"/>
        <w:ind w:right="1089"/>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noProof/>
          <w:color w:val="0D0D0D"/>
          <w:sz w:val="24"/>
          <w:szCs w:val="24"/>
          <w:lang w:val="it-IT" w:eastAsia="it-IT"/>
        </w:rPr>
        <w:drawing>
          <wp:anchor distT="0" distB="0" distL="114935" distR="114935" simplePos="0" relativeHeight="251659264" behindDoc="0" locked="0" layoutInCell="1" allowOverlap="1">
            <wp:simplePos x="0" y="0"/>
            <wp:positionH relativeFrom="column">
              <wp:posOffset>2237740</wp:posOffset>
            </wp:positionH>
            <wp:positionV relativeFrom="paragraph">
              <wp:posOffset>2188845</wp:posOffset>
            </wp:positionV>
            <wp:extent cx="3883025" cy="2153920"/>
            <wp:effectExtent l="0" t="0" r="0" b="0"/>
            <wp:wrapThrough wrapText="bothSides">
              <wp:wrapPolygon edited="0">
                <wp:start x="0" y="0"/>
                <wp:lineTo x="0" y="21396"/>
                <wp:lineTo x="21476" y="21396"/>
                <wp:lineTo x="21476"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83025" cy="2153920"/>
                    </a:xfrm>
                    <a:prstGeom prst="rect">
                      <a:avLst/>
                    </a:prstGeom>
                    <a:solidFill>
                      <a:srgbClr val="FFFFFF"/>
                    </a:solidFill>
                    <a:ln>
                      <a:noFill/>
                    </a:ln>
                  </pic:spPr>
                </pic:pic>
              </a:graphicData>
            </a:graphic>
          </wp:anchor>
        </w:drawing>
      </w:r>
      <w:r w:rsidR="00B460A6">
        <w:rPr>
          <w:rFonts w:ascii="Times New Roman" w:eastAsia="Times New Roman" w:hAnsi="Times New Roman" w:cs="Times New Roman"/>
          <w:color w:val="0D0D0D"/>
          <w:sz w:val="24"/>
          <w:szCs w:val="24"/>
          <w:lang w:val="it-IT"/>
        </w:rPr>
        <w:t>L' MRI è basata sulla misurazione di una proprietà quanto-magnetica del nucleo atomico, conosciuta come spin. Le molecole d'acqua nel tessuto cerebrale contengono atomi di idrogeno. Quando il cervello viene posto all' interno di un forte campo magnetico, lo stato di spin di questi nuclei può essere indirizzato verso uno stato eccitato per mezzo di radiofrequenze pulsanti di brevissima durata. Il lento ritorno, chiamato decadimento, del nucleo di idrogeno verso lo stato non eccitato, genera un segnale che diminuisce in maniera esponenziale in funzione della costante di decadimento tempo, la quale dipende dalla tipologia di tessuto in questione. Questo rende possibile la ricostruzione di immagini della sostanza bianca e grigia, le quali sono chiaramente differenti.</w:t>
      </w:r>
    </w:p>
    <w:p w:rsidR="00A0541C" w:rsidRDefault="00B460A6" w:rsidP="001E5BE4">
      <w:pPr>
        <w:pStyle w:val="Tesi"/>
        <w:tabs>
          <w:tab w:val="left" w:pos="8503"/>
        </w:tabs>
        <w:spacing w:line="360" w:lineRule="auto"/>
        <w:ind w:right="1091"/>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color w:val="0D0D0D"/>
          <w:sz w:val="24"/>
          <w:szCs w:val="24"/>
          <w:lang w:val="it-IT"/>
        </w:rPr>
        <w:t xml:space="preserve">Il DTI è basato sul moto Browniano molecolare, descritto da Einstein nel 1905. L' idea di base prevede che una molecola immersa in un fluido, come l' acqua, si muova in maniera randomica quando il fluido viene agitato da un' energia termica. Se ci troviamo in assenza di confini e delimitazioni, come nel liquido cerebro-spinale, la diffusività di ogni molecola è la stessa in tutte le direzioni. In questo caso si dice che la diffusione è </w:t>
      </w:r>
      <w:r>
        <w:rPr>
          <w:rFonts w:ascii="Times New Roman" w:eastAsia="Times New Roman" w:hAnsi="Times New Roman" w:cs="Times New Roman"/>
          <w:b/>
          <w:bCs/>
          <w:color w:val="0D0D0D"/>
          <w:sz w:val="24"/>
          <w:szCs w:val="24"/>
          <w:lang w:val="it-IT"/>
        </w:rPr>
        <w:t>isotropica</w:t>
      </w:r>
      <w:r>
        <w:rPr>
          <w:rFonts w:ascii="Times New Roman" w:eastAsia="Times New Roman" w:hAnsi="Times New Roman" w:cs="Times New Roman"/>
          <w:color w:val="0D0D0D"/>
          <w:sz w:val="24"/>
          <w:szCs w:val="24"/>
          <w:lang w:val="it-IT"/>
        </w:rPr>
        <w:t xml:space="preserve"> e dipende esclusivamente dalla temperatura, dalla viscosità del fluido e dalla dimensione delle molecole. La diffusione isotropica può essere rappresentata come una sfera. Se invece ci sono dei limit</w:t>
      </w:r>
      <w:r w:rsidR="009F1675">
        <w:rPr>
          <w:rFonts w:ascii="Times New Roman" w:eastAsia="Times New Roman" w:hAnsi="Times New Roman" w:cs="Times New Roman"/>
          <w:color w:val="0D0D0D"/>
          <w:sz w:val="24"/>
          <w:szCs w:val="24"/>
          <w:lang w:val="it-IT"/>
        </w:rPr>
        <w:t>i o confini, per esempio lungo i</w:t>
      </w:r>
      <w:r>
        <w:rPr>
          <w:rFonts w:ascii="Times New Roman" w:eastAsia="Times New Roman" w:hAnsi="Times New Roman" w:cs="Times New Roman"/>
          <w:color w:val="0D0D0D"/>
          <w:sz w:val="24"/>
          <w:szCs w:val="24"/>
          <w:lang w:val="it-IT"/>
        </w:rPr>
        <w:t xml:space="preserve"> fasci di fibre nervose, la legge di Einstein non è più valida; la diffusività molecolare viene dunque ristretta e la </w:t>
      </w:r>
      <w:r w:rsidR="0066052B">
        <w:rPr>
          <w:rFonts w:ascii="Times New Roman" w:eastAsia="Times New Roman" w:hAnsi="Times New Roman" w:cs="Times New Roman"/>
          <w:noProof/>
          <w:color w:val="0D0D0D"/>
          <w:sz w:val="24"/>
          <w:szCs w:val="24"/>
          <w:lang w:val="it-IT" w:eastAsia="it-IT"/>
        </w:rPr>
        <w:drawing>
          <wp:anchor distT="0" distB="0" distL="114935" distR="114935" simplePos="0" relativeHeight="251660288" behindDoc="0" locked="0" layoutInCell="1" allowOverlap="1">
            <wp:simplePos x="0" y="0"/>
            <wp:positionH relativeFrom="column">
              <wp:posOffset>3469640</wp:posOffset>
            </wp:positionH>
            <wp:positionV relativeFrom="paragraph">
              <wp:posOffset>1944370</wp:posOffset>
            </wp:positionV>
            <wp:extent cx="2054225" cy="2169795"/>
            <wp:effectExtent l="0" t="0" r="0" b="0"/>
            <wp:wrapThrough wrapText="bothSides">
              <wp:wrapPolygon edited="0">
                <wp:start x="0" y="0"/>
                <wp:lineTo x="0" y="21240"/>
                <wp:lineTo x="21366" y="21240"/>
                <wp:lineTo x="21366"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54225" cy="2169795"/>
                    </a:xfrm>
                    <a:prstGeom prst="rect">
                      <a:avLst/>
                    </a:prstGeom>
                    <a:solidFill>
                      <a:srgbClr val="FFFFFF"/>
                    </a:solidFill>
                    <a:ln>
                      <a:noFill/>
                    </a:ln>
                  </pic:spPr>
                </pic:pic>
              </a:graphicData>
            </a:graphic>
          </wp:anchor>
        </w:drawing>
      </w:r>
      <w:r>
        <w:rPr>
          <w:rFonts w:ascii="Times New Roman" w:eastAsia="Times New Roman" w:hAnsi="Times New Roman" w:cs="Times New Roman"/>
          <w:color w:val="0D0D0D"/>
          <w:sz w:val="24"/>
          <w:szCs w:val="24"/>
          <w:lang w:val="it-IT"/>
        </w:rPr>
        <w:t xml:space="preserve">diffusione viene detta  </w:t>
      </w:r>
      <w:r>
        <w:rPr>
          <w:rFonts w:ascii="Times New Roman" w:eastAsia="Times New Roman" w:hAnsi="Times New Roman" w:cs="Times New Roman"/>
          <w:b/>
          <w:bCs/>
          <w:color w:val="0D0D0D"/>
          <w:sz w:val="24"/>
          <w:szCs w:val="24"/>
          <w:lang w:val="it-IT"/>
        </w:rPr>
        <w:t>anisotropica</w:t>
      </w:r>
      <w:r>
        <w:rPr>
          <w:rFonts w:ascii="Times New Roman" w:eastAsia="Times New Roman" w:hAnsi="Times New Roman" w:cs="Times New Roman"/>
          <w:color w:val="0D0D0D"/>
          <w:sz w:val="24"/>
          <w:szCs w:val="24"/>
          <w:lang w:val="it-IT"/>
        </w:rPr>
        <w:t xml:space="preserve">. La diffusione può essere quantificata dal coefficiente di diffusione apparente (ACD), il quale è maggior quando la diffusione dell' acqua non è impedita (per es. Nei ventricoli o nelle fibre demielinate). Tale diffusione può essere rappresentata graficamente da un ellissoide. In risonanza magnetica, si può ottenere un set di informazioni sulla superficie dell' ellissoide al fine di definire la grandezza, la forma e l' orientamento di ciascun voxel, applicando gradienti di diffusione in direzioni diverse e di diversa intensità. </w:t>
      </w:r>
    </w:p>
    <w:p w:rsidR="00A0541C" w:rsidRDefault="00B460A6" w:rsidP="001E5BE4">
      <w:pPr>
        <w:pStyle w:val="Tesi"/>
        <w:tabs>
          <w:tab w:val="left" w:pos="8503"/>
        </w:tabs>
        <w:spacing w:line="360" w:lineRule="auto"/>
        <w:ind w:right="1091"/>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color w:val="0D0D0D"/>
          <w:sz w:val="24"/>
          <w:szCs w:val="24"/>
          <w:lang w:val="it-IT"/>
        </w:rPr>
        <w:t xml:space="preserve">Il costrutto matematico usato per definire la diffusione anisotropica è il tensore di diffusione. Dal tensore stimato in ogni voxel si può dedurre l'intensità e la direzione della diffusione per mezzo dell' analisi degli </w:t>
      </w:r>
      <w:r>
        <w:rPr>
          <w:rFonts w:ascii="Times New Roman" w:eastAsia="Times New Roman" w:hAnsi="Times New Roman" w:cs="Times New Roman"/>
          <w:i/>
          <w:iCs/>
          <w:color w:val="0D0D0D"/>
          <w:sz w:val="24"/>
          <w:szCs w:val="24"/>
          <w:lang w:val="it-IT"/>
        </w:rPr>
        <w:t>autovettori e degli autovalori</w:t>
      </w:r>
      <w:r>
        <w:rPr>
          <w:rFonts w:ascii="Times New Roman" w:eastAsia="Times New Roman" w:hAnsi="Times New Roman" w:cs="Times New Roman"/>
          <w:color w:val="0D0D0D"/>
          <w:sz w:val="24"/>
          <w:szCs w:val="24"/>
          <w:lang w:val="it-IT"/>
        </w:rPr>
        <w:t>. Gli autovettori del tensore di diff</w:t>
      </w:r>
      <w:r w:rsidR="009F1675">
        <w:rPr>
          <w:rFonts w:ascii="Times New Roman" w:eastAsia="Times New Roman" w:hAnsi="Times New Roman" w:cs="Times New Roman"/>
          <w:color w:val="0D0D0D"/>
          <w:sz w:val="24"/>
          <w:szCs w:val="24"/>
          <w:lang w:val="it-IT"/>
        </w:rPr>
        <w:t>usione delineano i</w:t>
      </w:r>
      <w:r>
        <w:rPr>
          <w:rFonts w:ascii="Times New Roman" w:eastAsia="Times New Roman" w:hAnsi="Times New Roman" w:cs="Times New Roman"/>
          <w:color w:val="0D0D0D"/>
          <w:sz w:val="24"/>
          <w:szCs w:val="24"/>
          <w:lang w:val="it-IT"/>
        </w:rPr>
        <w:t xml:space="preserve"> tre assi dell' ellissoide. I tre autovalori, invece, rappresentano il grado di diffusività lungo ognuna delle tre direzioni. L' autovettore che corrisponde al più alto degli autovalori (</w:t>
      </w:r>
      <w:r>
        <w:rPr>
          <w:rFonts w:ascii="Times New Roman" w:eastAsia="Times New Roman" w:hAnsi="Times New Roman" w:cs="Times New Roman"/>
          <w:color w:val="0D0D0D"/>
          <w:sz w:val="24"/>
          <w:szCs w:val="24"/>
        </w:rPr>
        <w:t>λ</w:t>
      </w:r>
      <w:r>
        <w:rPr>
          <w:rFonts w:ascii="Times New Roman" w:eastAsia="Times New Roman" w:hAnsi="Times New Roman" w:cs="Times New Roman"/>
          <w:color w:val="0D0D0D"/>
          <w:sz w:val="24"/>
          <w:szCs w:val="24"/>
          <w:lang w:val="it-IT"/>
        </w:rPr>
        <w:t xml:space="preserve">1), che rappresenta il più lungo dei tre assi dell' ellissoide, viene chiamato direzione di diffusione principale o </w:t>
      </w:r>
      <w:r>
        <w:rPr>
          <w:rFonts w:ascii="Times New Roman" w:eastAsia="Times New Roman" w:hAnsi="Times New Roman" w:cs="Times New Roman"/>
          <w:b/>
          <w:bCs/>
          <w:color w:val="0D0D0D"/>
          <w:sz w:val="24"/>
          <w:szCs w:val="24"/>
          <w:lang w:val="it-IT"/>
        </w:rPr>
        <w:t xml:space="preserve">Diffusività Assiale </w:t>
      </w:r>
      <w:r>
        <w:rPr>
          <w:rFonts w:ascii="Times New Roman" w:eastAsia="Times New Roman" w:hAnsi="Times New Roman" w:cs="Times New Roman"/>
          <w:color w:val="0D0D0D"/>
          <w:sz w:val="24"/>
          <w:szCs w:val="24"/>
          <w:lang w:val="it-IT"/>
        </w:rPr>
        <w:t xml:space="preserve">(AD). La media degli altri due autovalori corrisponde alla </w:t>
      </w:r>
      <w:r>
        <w:rPr>
          <w:rFonts w:ascii="Times New Roman" w:eastAsia="Times New Roman" w:hAnsi="Times New Roman" w:cs="Times New Roman"/>
          <w:b/>
          <w:bCs/>
          <w:color w:val="0D0D0D"/>
          <w:sz w:val="24"/>
          <w:szCs w:val="24"/>
          <w:lang w:val="it-IT"/>
        </w:rPr>
        <w:t xml:space="preserve">Diffusività Radiale </w:t>
      </w:r>
      <w:r>
        <w:rPr>
          <w:rFonts w:ascii="Times New Roman" w:eastAsia="Times New Roman" w:hAnsi="Times New Roman" w:cs="Times New Roman"/>
          <w:color w:val="0D0D0D"/>
          <w:sz w:val="24"/>
          <w:szCs w:val="24"/>
          <w:lang w:val="it-IT"/>
        </w:rPr>
        <w:t xml:space="preserve">(RD). </w:t>
      </w:r>
    </w:p>
    <w:p w:rsidR="00A0541C" w:rsidRDefault="0066052B" w:rsidP="001E5BE4">
      <w:pPr>
        <w:pStyle w:val="Tesi"/>
        <w:tabs>
          <w:tab w:val="left" w:pos="8503"/>
        </w:tabs>
        <w:spacing w:line="360" w:lineRule="auto"/>
        <w:ind w:right="1091"/>
        <w:jc w:val="both"/>
        <w:rPr>
          <w:rFonts w:ascii="Times New Roman" w:eastAsia="Times New Roman" w:hAnsi="Times New Roman" w:cs="Times New Roman"/>
          <w:color w:val="0D0D0D"/>
          <w:sz w:val="24"/>
          <w:szCs w:val="24"/>
          <w:lang w:val="it-IT"/>
        </w:rPr>
      </w:pPr>
      <w:r>
        <w:rPr>
          <w:noProof/>
          <w:color w:val="0D0D0D"/>
          <w:sz w:val="24"/>
          <w:szCs w:val="24"/>
          <w:lang w:val="it-IT" w:eastAsia="it-IT"/>
        </w:rPr>
        <w:drawing>
          <wp:anchor distT="0" distB="0" distL="114300" distR="114300" simplePos="0" relativeHeight="251661312" behindDoc="0" locked="0" layoutInCell="1" allowOverlap="1">
            <wp:simplePos x="0" y="0"/>
            <wp:positionH relativeFrom="column">
              <wp:posOffset>2286000</wp:posOffset>
            </wp:positionH>
            <wp:positionV relativeFrom="paragraph">
              <wp:posOffset>635</wp:posOffset>
            </wp:positionV>
            <wp:extent cx="1058545" cy="431800"/>
            <wp:effectExtent l="0" t="0" r="0" b="0"/>
            <wp:wrapNone/>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58545" cy="431800"/>
                    </a:xfrm>
                    <a:prstGeom prst="rect">
                      <a:avLst/>
                    </a:prstGeom>
                    <a:noFill/>
                    <a:ln>
                      <a:noFill/>
                    </a:ln>
                  </pic:spPr>
                </pic:pic>
              </a:graphicData>
            </a:graphic>
          </wp:anchor>
        </w:drawing>
      </w:r>
      <w:r w:rsidR="00B460A6">
        <w:rPr>
          <w:rFonts w:ascii="Times New Roman" w:eastAsia="Times New Roman" w:hAnsi="Times New Roman" w:cs="Times New Roman"/>
          <w:color w:val="0D0D0D"/>
          <w:sz w:val="24"/>
          <w:szCs w:val="24"/>
          <w:lang w:val="it-IT"/>
        </w:rPr>
        <w:t xml:space="preserve">     </w:t>
      </w: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B460A6" w:rsidP="001E5BE4">
      <w:pPr>
        <w:pStyle w:val="Tesi"/>
        <w:tabs>
          <w:tab w:val="left" w:pos="8503"/>
        </w:tabs>
        <w:spacing w:line="360" w:lineRule="auto"/>
        <w:ind w:right="1091"/>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color w:val="0D0D0D"/>
          <w:sz w:val="24"/>
          <w:szCs w:val="24"/>
          <w:lang w:val="it-IT"/>
        </w:rPr>
        <w:t xml:space="preserve">Facendo invece la media dei tre autovalori, è possibile ottenere la </w:t>
      </w:r>
      <w:r>
        <w:rPr>
          <w:rFonts w:ascii="Times New Roman" w:eastAsia="Times New Roman" w:hAnsi="Times New Roman" w:cs="Times New Roman"/>
          <w:b/>
          <w:bCs/>
          <w:color w:val="0D0D0D"/>
          <w:sz w:val="24"/>
          <w:szCs w:val="24"/>
          <w:lang w:val="it-IT"/>
        </w:rPr>
        <w:t xml:space="preserve">Diffusività Media </w:t>
      </w:r>
      <w:r>
        <w:rPr>
          <w:rFonts w:ascii="Times New Roman" w:eastAsia="Times New Roman" w:hAnsi="Times New Roman" w:cs="Times New Roman"/>
          <w:color w:val="0D0D0D"/>
          <w:sz w:val="24"/>
          <w:szCs w:val="24"/>
          <w:lang w:val="it-IT"/>
        </w:rPr>
        <w:t xml:space="preserve">(MD), che equivale alla diffusione molecolare media. </w:t>
      </w:r>
    </w:p>
    <w:p w:rsidR="00A0541C" w:rsidRDefault="003A701E" w:rsidP="001E5BE4">
      <w:pPr>
        <w:pStyle w:val="Tesi"/>
        <w:tabs>
          <w:tab w:val="left" w:pos="8503"/>
        </w:tabs>
        <w:spacing w:line="360" w:lineRule="auto"/>
        <w:ind w:right="1091"/>
        <w:jc w:val="both"/>
        <w:rPr>
          <w:rFonts w:ascii="Times New Roman" w:eastAsia="Times New Roman" w:hAnsi="Times New Roman" w:cs="Times New Roman"/>
          <w:color w:val="0D0D0D"/>
          <w:sz w:val="24"/>
          <w:szCs w:val="24"/>
          <w:lang w:val="it-IT"/>
        </w:rPr>
      </w:pPr>
      <w:r>
        <w:rPr>
          <w:b/>
          <w:noProof/>
          <w:color w:val="0D0D0D"/>
          <w:sz w:val="24"/>
          <w:szCs w:val="24"/>
          <w:lang w:val="it-IT" w:eastAsia="it-IT"/>
        </w:rPr>
        <w:drawing>
          <wp:anchor distT="0" distB="0" distL="114300" distR="114300" simplePos="0" relativeHeight="251662336" behindDoc="0" locked="0" layoutInCell="1" allowOverlap="1">
            <wp:simplePos x="0" y="0"/>
            <wp:positionH relativeFrom="column">
              <wp:posOffset>1943100</wp:posOffset>
            </wp:positionH>
            <wp:positionV relativeFrom="paragraph">
              <wp:posOffset>-3810</wp:posOffset>
            </wp:positionV>
            <wp:extent cx="1838960" cy="431800"/>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38960" cy="431800"/>
                    </a:xfrm>
                    <a:prstGeom prst="rect">
                      <a:avLst/>
                    </a:prstGeom>
                    <a:noFill/>
                    <a:ln>
                      <a:noFill/>
                    </a:ln>
                  </pic:spPr>
                </pic:pic>
              </a:graphicData>
            </a:graphic>
          </wp:anchor>
        </w:drawing>
      </w:r>
      <w:r w:rsidR="00B460A6">
        <w:rPr>
          <w:rFonts w:ascii="Times New Roman" w:eastAsia="Times New Roman" w:hAnsi="Times New Roman" w:cs="Times New Roman"/>
          <w:color w:val="0D0D0D"/>
          <w:sz w:val="24"/>
          <w:szCs w:val="24"/>
          <w:lang w:val="it-IT"/>
        </w:rPr>
        <w:t xml:space="preserve">   </w:t>
      </w: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B460A6" w:rsidP="001E5BE4">
      <w:pPr>
        <w:pStyle w:val="Tesi"/>
        <w:tabs>
          <w:tab w:val="left" w:pos="8503"/>
        </w:tabs>
        <w:spacing w:line="360" w:lineRule="auto"/>
        <w:ind w:right="1091"/>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color w:val="0D0D0D"/>
          <w:sz w:val="24"/>
          <w:szCs w:val="24"/>
          <w:lang w:val="it-IT"/>
        </w:rPr>
        <w:t>E' possibile determinare in che misura la diffusione è vincolata dall'</w:t>
      </w:r>
      <w:r>
        <w:rPr>
          <w:rFonts w:ascii="Times New Roman" w:eastAsia="Times New Roman" w:hAnsi="Times New Roman" w:cs="Times New Roman"/>
          <w:b/>
          <w:bCs/>
          <w:color w:val="0D0D0D"/>
          <w:sz w:val="24"/>
          <w:szCs w:val="24"/>
          <w:lang w:val="it-IT"/>
        </w:rPr>
        <w:t xml:space="preserve">anisotropia frazionaria </w:t>
      </w:r>
      <w:r>
        <w:rPr>
          <w:rFonts w:ascii="Times New Roman" w:eastAsia="Times New Roman" w:hAnsi="Times New Roman" w:cs="Times New Roman"/>
          <w:color w:val="0D0D0D"/>
          <w:sz w:val="24"/>
          <w:szCs w:val="24"/>
          <w:lang w:val="it-IT"/>
        </w:rPr>
        <w:t xml:space="preserve">(FA); quest' ultima è una misura scalare, che indica la grandezza del tensore di diffusione  anisotropico. </w:t>
      </w:r>
    </w:p>
    <w:p w:rsidR="00A0541C" w:rsidRDefault="003A701E" w:rsidP="001E5BE4">
      <w:pPr>
        <w:pStyle w:val="Tesi"/>
        <w:tabs>
          <w:tab w:val="left" w:pos="8503"/>
        </w:tabs>
        <w:spacing w:line="360" w:lineRule="auto"/>
        <w:ind w:right="1091"/>
        <w:jc w:val="both"/>
        <w:rPr>
          <w:rFonts w:ascii="Times New Roman" w:eastAsia="Times New Roman" w:hAnsi="Times New Roman" w:cs="Times New Roman"/>
          <w:color w:val="0D0D0D"/>
          <w:sz w:val="24"/>
          <w:szCs w:val="24"/>
          <w:lang w:val="it-IT"/>
        </w:rPr>
      </w:pPr>
      <w:r>
        <w:rPr>
          <w:noProof/>
          <w:color w:val="0D0D0D"/>
          <w:sz w:val="24"/>
          <w:szCs w:val="24"/>
          <w:lang w:val="it-IT" w:eastAsia="it-IT"/>
        </w:rPr>
        <w:drawing>
          <wp:anchor distT="0" distB="0" distL="114300" distR="114300" simplePos="0" relativeHeight="251663360" behindDoc="0" locked="0" layoutInCell="1" allowOverlap="1">
            <wp:simplePos x="0" y="0"/>
            <wp:positionH relativeFrom="column">
              <wp:posOffset>1485900</wp:posOffset>
            </wp:positionH>
            <wp:positionV relativeFrom="paragraph">
              <wp:posOffset>-3810</wp:posOffset>
            </wp:positionV>
            <wp:extent cx="3338830" cy="719455"/>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338830" cy="719455"/>
                    </a:xfrm>
                    <a:prstGeom prst="rect">
                      <a:avLst/>
                    </a:prstGeom>
                    <a:noFill/>
                    <a:ln>
                      <a:noFill/>
                    </a:ln>
                  </pic:spPr>
                </pic:pic>
              </a:graphicData>
            </a:graphic>
          </wp:anchor>
        </w:drawing>
      </w:r>
      <w:r w:rsidR="00B460A6">
        <w:rPr>
          <w:rFonts w:ascii="Times New Roman" w:eastAsia="Times New Roman" w:hAnsi="Times New Roman" w:cs="Times New Roman"/>
          <w:color w:val="0D0D0D"/>
          <w:sz w:val="24"/>
          <w:szCs w:val="24"/>
          <w:lang w:val="it-IT"/>
        </w:rPr>
        <w:t xml:space="preserve">    </w:t>
      </w: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3A701E" w:rsidP="001E5BE4">
      <w:pPr>
        <w:pStyle w:val="Tesi"/>
        <w:tabs>
          <w:tab w:val="left" w:pos="8503"/>
        </w:tabs>
        <w:spacing w:after="0" w:line="360" w:lineRule="auto"/>
        <w:ind w:right="1089"/>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noProof/>
          <w:color w:val="0D0D0D"/>
          <w:sz w:val="24"/>
          <w:szCs w:val="24"/>
          <w:lang w:val="it-IT" w:eastAsia="it-IT"/>
        </w:rPr>
        <w:drawing>
          <wp:anchor distT="0" distB="0" distL="114935" distR="114935" simplePos="0" relativeHeight="251664384" behindDoc="0" locked="0" layoutInCell="1" allowOverlap="1">
            <wp:simplePos x="0" y="0"/>
            <wp:positionH relativeFrom="column">
              <wp:posOffset>0</wp:posOffset>
            </wp:positionH>
            <wp:positionV relativeFrom="paragraph">
              <wp:posOffset>571500</wp:posOffset>
            </wp:positionV>
            <wp:extent cx="2611120" cy="1368425"/>
            <wp:effectExtent l="0" t="0" r="0" b="0"/>
            <wp:wrapThrough wrapText="bothSides">
              <wp:wrapPolygon edited="0">
                <wp:start x="0" y="0"/>
                <wp:lineTo x="0" y="21249"/>
                <wp:lineTo x="21432" y="21249"/>
                <wp:lineTo x="21432" y="0"/>
                <wp:lineTo x="0" y="0"/>
              </wp:wrapPolygon>
            </wp:wrapThrough>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11120" cy="1368425"/>
                    </a:xfrm>
                    <a:prstGeom prst="rect">
                      <a:avLst/>
                    </a:prstGeom>
                    <a:solidFill>
                      <a:srgbClr val="FFFFFF"/>
                    </a:solidFill>
                    <a:ln>
                      <a:noFill/>
                    </a:ln>
                  </pic:spPr>
                </pic:pic>
              </a:graphicData>
            </a:graphic>
          </wp:anchor>
        </w:drawing>
      </w:r>
      <w:r w:rsidR="00B460A6">
        <w:rPr>
          <w:rFonts w:ascii="Times New Roman" w:eastAsia="Times New Roman" w:hAnsi="Times New Roman" w:cs="Times New Roman"/>
          <w:color w:val="0D0D0D"/>
          <w:sz w:val="24"/>
          <w:szCs w:val="24"/>
          <w:lang w:val="it-IT"/>
        </w:rPr>
        <w:t>La FA può avere valori da 1 a 0, dove 0 rappresenta nessuna direzione preferenziale, e pertanto diffusione isotropica; 1 rappresenta invece un movimento unidirzionale e quindi diffusione anisotropica.</w:t>
      </w:r>
    </w:p>
    <w:p w:rsidR="00A0541C" w:rsidRDefault="003A701E" w:rsidP="001E5BE4">
      <w:pPr>
        <w:pStyle w:val="Tesi"/>
        <w:tabs>
          <w:tab w:val="left" w:pos="8503"/>
        </w:tabs>
        <w:spacing w:after="0" w:line="360" w:lineRule="auto"/>
        <w:ind w:right="1089"/>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noProof/>
          <w:color w:val="0D0D0D"/>
          <w:sz w:val="24"/>
          <w:szCs w:val="24"/>
          <w:lang w:val="it-IT" w:eastAsia="it-IT"/>
        </w:rPr>
        <w:drawing>
          <wp:anchor distT="0" distB="0" distL="114935" distR="114935" simplePos="0" relativeHeight="251665408" behindDoc="0" locked="0" layoutInCell="1" allowOverlap="1">
            <wp:simplePos x="0" y="0"/>
            <wp:positionH relativeFrom="column">
              <wp:posOffset>1341755</wp:posOffset>
            </wp:positionH>
            <wp:positionV relativeFrom="paragraph">
              <wp:posOffset>2411730</wp:posOffset>
            </wp:positionV>
            <wp:extent cx="1438910" cy="2159635"/>
            <wp:effectExtent l="0" t="0" r="0" b="0"/>
            <wp:wrapThrough wrapText="bothSides">
              <wp:wrapPolygon edited="0">
                <wp:start x="0" y="0"/>
                <wp:lineTo x="0" y="21340"/>
                <wp:lineTo x="21352" y="21340"/>
                <wp:lineTo x="21352" y="0"/>
                <wp:lineTo x="0" y="0"/>
              </wp:wrapPolygon>
            </wp:wrapThrough>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38910" cy="2159635"/>
                    </a:xfrm>
                    <a:prstGeom prst="rect">
                      <a:avLst/>
                    </a:prstGeom>
                    <a:solidFill>
                      <a:srgbClr val="FFFFFF"/>
                    </a:solidFill>
                    <a:ln>
                      <a:noFill/>
                    </a:ln>
                  </pic:spPr>
                </pic:pic>
              </a:graphicData>
            </a:graphic>
          </wp:anchor>
        </w:drawing>
      </w:r>
      <w:r w:rsidR="00B460A6">
        <w:rPr>
          <w:rFonts w:ascii="Times New Roman" w:eastAsia="Times New Roman" w:hAnsi="Times New Roman" w:cs="Times New Roman"/>
          <w:color w:val="0D0D0D"/>
          <w:sz w:val="24"/>
          <w:szCs w:val="24"/>
          <w:lang w:val="it-IT"/>
        </w:rPr>
        <w:t>Le molecole d' acqua del liquido cerebro spinale si diffondono ugualmente in tutte le direzioni. Al contrario, nella sostanza bianca, il movimento è vincolato lungo le fibre. Gli assoni infatti, posseggono dei fogli isolanti di mielina, che li rivestono, facilitando pertanto il movimento delle molecole d' acqua contenute nell' assone in una direzione particolare, riducendo la loro possibilità di fluire al di fuori delle pareti assonali. Inoltre, la barriera alla diffusione data dalla sostanza bianca, include le membrane assonali, i microtubuli e i neurofilamenti (Beaulieu, 2002). Il DTI regola quanto la randomica diffusività delle molecole d'acqua in ogni voxel. Partendo da tali premesse, il DTI permette l'investigazione dell'integrità e della densità delle fibre, insieme con la direzione di diffusione.</w:t>
      </w:r>
    </w:p>
    <w:p w:rsidR="00A0541C" w:rsidRDefault="003A701E" w:rsidP="001E5BE4">
      <w:pPr>
        <w:pStyle w:val="Tesi"/>
        <w:tabs>
          <w:tab w:val="left" w:pos="8503"/>
        </w:tabs>
        <w:spacing w:after="0" w:line="360" w:lineRule="auto"/>
        <w:ind w:right="1089"/>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noProof/>
          <w:color w:val="0D0D0D"/>
          <w:sz w:val="24"/>
          <w:szCs w:val="24"/>
          <w:lang w:val="it-IT" w:eastAsia="it-IT"/>
        </w:rPr>
        <w:drawing>
          <wp:anchor distT="0" distB="0" distL="114935" distR="114935" simplePos="0" relativeHeight="251666432" behindDoc="0" locked="0" layoutInCell="1" allowOverlap="1">
            <wp:simplePos x="0" y="0"/>
            <wp:positionH relativeFrom="column">
              <wp:posOffset>0</wp:posOffset>
            </wp:positionH>
            <wp:positionV relativeFrom="paragraph">
              <wp:posOffset>1052195</wp:posOffset>
            </wp:positionV>
            <wp:extent cx="2625725" cy="3006090"/>
            <wp:effectExtent l="0" t="0" r="0" b="0"/>
            <wp:wrapThrough wrapText="bothSides">
              <wp:wrapPolygon edited="0">
                <wp:start x="0" y="0"/>
                <wp:lineTo x="0" y="21354"/>
                <wp:lineTo x="21313" y="21354"/>
                <wp:lineTo x="21313" y="0"/>
                <wp:lineTo x="0" y="0"/>
              </wp:wrapPolygon>
            </wp:wrapThrough>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25725" cy="3006090"/>
                    </a:xfrm>
                    <a:prstGeom prst="rect">
                      <a:avLst/>
                    </a:prstGeom>
                    <a:solidFill>
                      <a:srgbClr val="FFFFFF"/>
                    </a:solidFill>
                    <a:ln>
                      <a:noFill/>
                    </a:ln>
                  </pic:spPr>
                </pic:pic>
              </a:graphicData>
            </a:graphic>
          </wp:anchor>
        </w:drawing>
      </w:r>
      <w:r w:rsidR="00B460A6">
        <w:rPr>
          <w:rFonts w:ascii="Times New Roman" w:eastAsia="Times New Roman" w:hAnsi="Times New Roman" w:cs="Times New Roman"/>
          <w:color w:val="0D0D0D"/>
          <w:sz w:val="24"/>
          <w:szCs w:val="24"/>
          <w:lang w:val="it-IT"/>
        </w:rPr>
        <w:t>Bassi valori di AD, riflettono un danno sia in lesioni ischemiche (Song et al., 2003, 2005), sia in lesioni indotte chimicamente  (Sun et al., 2006), pertanto fornisce informazioni riguardo a possibili alterazioni dell' integrità assonale.</w:t>
      </w:r>
    </w:p>
    <w:p w:rsidR="00A0541C" w:rsidRDefault="00B460A6" w:rsidP="001E5BE4">
      <w:pPr>
        <w:pStyle w:val="Tesi"/>
        <w:tabs>
          <w:tab w:val="left" w:pos="8503"/>
        </w:tabs>
        <w:spacing w:after="0" w:line="360" w:lineRule="auto"/>
        <w:ind w:right="1089"/>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color w:val="0D0D0D"/>
          <w:sz w:val="24"/>
          <w:szCs w:val="24"/>
          <w:lang w:val="it-IT"/>
        </w:rPr>
        <w:t xml:space="preserve">Un aumento nella diffusività radiale invece, è stato associato ad una incompleta mielinizzazione nei ratti (Song et al., 2002), a mielinizzazione indotta dall'abuso di sostanze (Song et al., 2005) e alla perdita di mielina in seguito a danni assonali (Song et al., 2003, 2005); da queste evidenze possiamo dire che la diffusività radiale è una misura importante in quanto fornisce informazioni importanti sulla integrità della mielina. </w:t>
      </w:r>
    </w:p>
    <w:p w:rsidR="00A0541C" w:rsidRDefault="00B460A6" w:rsidP="001E5BE4">
      <w:pPr>
        <w:pStyle w:val="Tesi"/>
        <w:tabs>
          <w:tab w:val="left" w:pos="8503"/>
        </w:tabs>
        <w:spacing w:after="0" w:line="360" w:lineRule="auto"/>
        <w:ind w:right="1089"/>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color w:val="0D0D0D"/>
          <w:sz w:val="24"/>
          <w:szCs w:val="24"/>
          <w:lang w:val="it-IT"/>
        </w:rPr>
        <w:t>Una riduzione di diffusività assiale e un aumento di diffusività radiale possono indicare altresì una perdita di integrità assonale e mielinica (Versace et al., 2008).</w:t>
      </w:r>
    </w:p>
    <w:p w:rsidR="00A0541C" w:rsidRDefault="00B460A6" w:rsidP="001E5BE4">
      <w:pPr>
        <w:pStyle w:val="Tesi"/>
        <w:tabs>
          <w:tab w:val="left" w:pos="8503"/>
        </w:tabs>
        <w:spacing w:after="0" w:line="360" w:lineRule="auto"/>
        <w:ind w:right="1089"/>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color w:val="0D0D0D"/>
          <w:sz w:val="24"/>
          <w:szCs w:val="24"/>
          <w:lang w:val="it-IT"/>
        </w:rPr>
        <w:t>La FA riflette la densità delle fibre e la coesione tra esse all'interno di un voxel; riduzioni di FA sono associate in varie condizioni dove è prevista una perdita di integrità della sostanza bianca.</w:t>
      </w:r>
    </w:p>
    <w:p w:rsidR="00A0541C" w:rsidRDefault="00B460A6" w:rsidP="001E5BE4">
      <w:pPr>
        <w:pStyle w:val="Tesi"/>
        <w:tabs>
          <w:tab w:val="left" w:pos="8503"/>
        </w:tabs>
        <w:spacing w:after="0" w:line="360" w:lineRule="auto"/>
        <w:ind w:right="1089"/>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color w:val="0D0D0D"/>
          <w:sz w:val="24"/>
          <w:szCs w:val="24"/>
          <w:lang w:val="it-IT"/>
        </w:rPr>
        <w:t xml:space="preserve">Un aumento di MD invece viene osservato in condizioni di riduzione della densità delle membrane (Sen and Basser, 2005), come la degenerazione tissutale in seguito a lesioni (Beaulieu, 2002; Concha et al., 2006); può essere un sensibile indicatore dei cambiamenti complessivi che avvengono nel tessuto cerebrale (Pierpaoli et al. 1996). </w:t>
      </w:r>
    </w:p>
    <w:p w:rsidR="00A0541C" w:rsidRDefault="00B460A6" w:rsidP="001E5BE4">
      <w:pPr>
        <w:pStyle w:val="Tesi"/>
        <w:tabs>
          <w:tab w:val="left" w:pos="8503"/>
        </w:tabs>
        <w:spacing w:after="0" w:line="360" w:lineRule="auto"/>
        <w:ind w:right="1089"/>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color w:val="0D0D0D"/>
          <w:sz w:val="24"/>
          <w:szCs w:val="24"/>
          <w:lang w:val="it-IT"/>
        </w:rPr>
        <w:t>Attraverso queste misure microscopiche di diffusione, è possibile caratterizzare in maniera non invasiva, l' anatomia della sostanza bianca.</w:t>
      </w:r>
    </w:p>
    <w:p w:rsidR="00A0541C" w:rsidRDefault="00B460A6" w:rsidP="001E5BE4">
      <w:pPr>
        <w:pStyle w:val="Tesi"/>
        <w:tabs>
          <w:tab w:val="left" w:pos="8503"/>
        </w:tabs>
        <w:spacing w:after="0" w:line="360" w:lineRule="auto"/>
        <w:ind w:right="1089"/>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color w:val="0D0D0D"/>
          <w:sz w:val="24"/>
          <w:szCs w:val="24"/>
          <w:lang w:val="it-IT"/>
        </w:rPr>
        <w:t xml:space="preserve">Pertanto, l' anisotropia della diffusione è considerata un marker per l' integrità della sostanza bianca, frequentemente utilizzata per l' individuazione di varie patologie, per la progressione degli studi, per investigazioni su sviluppo e invecchiamento e per esaminare normali funzioni cerebrali (Horsfield and Jones, 2002; Moseley, 2002; Moseley et al., 2002; Pagani et al., 2005). </w:t>
      </w: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Pr="003A701E" w:rsidRDefault="00B460A6" w:rsidP="001E5BE4">
      <w:pPr>
        <w:pStyle w:val="Tesi"/>
        <w:tabs>
          <w:tab w:val="left" w:pos="8503"/>
        </w:tabs>
        <w:spacing w:line="360" w:lineRule="auto"/>
        <w:ind w:right="1091"/>
        <w:jc w:val="both"/>
        <w:rPr>
          <w:rFonts w:ascii="Times New Roman" w:eastAsia="Times New Roman" w:hAnsi="Times New Roman" w:cs="Times New Roman"/>
          <w:b/>
          <w:color w:val="0D0D0D"/>
          <w:sz w:val="24"/>
          <w:szCs w:val="24"/>
          <w:lang w:val="it-IT"/>
        </w:rPr>
      </w:pPr>
      <w:r w:rsidRPr="003A701E">
        <w:rPr>
          <w:rFonts w:ascii="Times New Roman" w:eastAsia="Times New Roman" w:hAnsi="Times New Roman" w:cs="Times New Roman"/>
          <w:b/>
          <w:color w:val="0D0D0D"/>
          <w:sz w:val="24"/>
          <w:szCs w:val="24"/>
          <w:lang w:val="it-IT"/>
        </w:rPr>
        <w:t>3.2 Analisi di dati di diffusione multi-soggetto</w:t>
      </w:r>
    </w:p>
    <w:p w:rsidR="00A0541C" w:rsidRDefault="00B460A6" w:rsidP="001E5BE4">
      <w:pPr>
        <w:pStyle w:val="Tesi"/>
        <w:tabs>
          <w:tab w:val="left" w:pos="8503"/>
        </w:tabs>
        <w:spacing w:line="360" w:lineRule="auto"/>
        <w:ind w:right="1091"/>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color w:val="0D0D0D"/>
          <w:sz w:val="24"/>
          <w:szCs w:val="24"/>
          <w:lang w:val="it-IT"/>
        </w:rPr>
        <w:t>Per confrontare il DTI di differenti soggetti, alcuni ricercatori hanno riassunto in maniera molto semplice le caratteristiche di diffusione, sebbene sarebbe di grande aiuto localizzare i cambiamenti legati al</w:t>
      </w:r>
      <w:r w:rsidR="009F1675">
        <w:rPr>
          <w:rFonts w:ascii="Times New Roman" w:eastAsia="Times New Roman" w:hAnsi="Times New Roman" w:cs="Times New Roman"/>
          <w:color w:val="0D0D0D"/>
          <w:sz w:val="24"/>
          <w:szCs w:val="24"/>
          <w:lang w:val="it-IT"/>
        </w:rPr>
        <w:t>la diffusione. Per fare questo i</w:t>
      </w:r>
      <w:r>
        <w:rPr>
          <w:rFonts w:ascii="Times New Roman" w:eastAsia="Times New Roman" w:hAnsi="Times New Roman" w:cs="Times New Roman"/>
          <w:color w:val="0D0D0D"/>
          <w:sz w:val="24"/>
          <w:szCs w:val="24"/>
          <w:lang w:val="it-IT"/>
        </w:rPr>
        <w:t xml:space="preserve"> ricercatori devono seguire un' analisi della FA con un approccio simile alla VBM (voxel based morphometry), nel quale l'immagine FA di ogni soggetto viene registrata all' interno di uno spazio standard e in seguito delle statistiche voxel-wise sono portate avanti per trovare aree che correlano con la c</w:t>
      </w:r>
      <w:r w:rsidR="009F1675">
        <w:rPr>
          <w:rFonts w:ascii="Times New Roman" w:eastAsia="Times New Roman" w:hAnsi="Times New Roman" w:cs="Times New Roman"/>
          <w:color w:val="0D0D0D"/>
          <w:sz w:val="24"/>
          <w:szCs w:val="24"/>
          <w:lang w:val="it-IT"/>
        </w:rPr>
        <w:t>ovariata di interesse. Smith e i</w:t>
      </w:r>
      <w:r>
        <w:rPr>
          <w:rFonts w:ascii="Times New Roman" w:eastAsia="Times New Roman" w:hAnsi="Times New Roman" w:cs="Times New Roman"/>
          <w:color w:val="0D0D0D"/>
          <w:sz w:val="24"/>
          <w:szCs w:val="24"/>
          <w:lang w:val="it-IT"/>
        </w:rPr>
        <w:t xml:space="preserve"> suoi colleghi nel 2006 hanno proposto un nuovo approccio, chiamato </w:t>
      </w:r>
      <w:r>
        <w:rPr>
          <w:rFonts w:ascii="Times New Roman" w:eastAsia="Times New Roman" w:hAnsi="Times New Roman" w:cs="Times New Roman"/>
          <w:b/>
          <w:color w:val="0D0D0D"/>
          <w:sz w:val="24"/>
          <w:szCs w:val="24"/>
          <w:lang w:val="it-IT"/>
        </w:rPr>
        <w:t>Tract-Based Spatial Statistics</w:t>
      </w:r>
      <w:r>
        <w:rPr>
          <w:rFonts w:ascii="Times New Roman" w:eastAsia="Times New Roman" w:hAnsi="Times New Roman" w:cs="Times New Roman"/>
          <w:color w:val="0D0D0D"/>
          <w:sz w:val="24"/>
          <w:szCs w:val="24"/>
          <w:lang w:val="it-IT"/>
        </w:rPr>
        <w:t xml:space="preserve"> (TBSS), che effettua test statistici della FA e degli altri parametri legati alla diffusione. Tale approccio proietta l'immagine FA di ogni soggetto in uno spazio comune, in un modo che non è tuttavia dipendente dalla perfetta registrazione non lineare. Questo risultato si ottiene attraverso l' uso di un' iniziale e approssimativa registrazione non lineare, seguita da una proiezione su un immagine chiamata  mean_FA_skeleton. Nessuno smoothing dell'immagine è necessario nella processazione dell' immagine (Smith et al., 2006).</w:t>
      </w: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B460A6" w:rsidP="001E5BE4">
      <w:pPr>
        <w:pStyle w:val="Tesi"/>
        <w:tabs>
          <w:tab w:val="left" w:pos="8503"/>
        </w:tabs>
        <w:spacing w:line="360" w:lineRule="auto"/>
        <w:ind w:right="1091"/>
        <w:jc w:val="both"/>
        <w:rPr>
          <w:rFonts w:ascii="Times New Roman" w:eastAsia="Times New Roman" w:hAnsi="Times New Roman" w:cs="Times New Roman"/>
          <w:b/>
          <w:bCs/>
          <w:color w:val="0D0D0D"/>
          <w:sz w:val="24"/>
          <w:szCs w:val="24"/>
          <w:lang w:val="it-IT"/>
        </w:rPr>
      </w:pPr>
      <w:r>
        <w:rPr>
          <w:rFonts w:ascii="Times New Roman" w:eastAsia="Times New Roman" w:hAnsi="Times New Roman" w:cs="Times New Roman"/>
          <w:b/>
          <w:bCs/>
          <w:color w:val="0D0D0D"/>
          <w:sz w:val="24"/>
          <w:szCs w:val="24"/>
          <w:lang w:val="it-IT"/>
        </w:rPr>
        <w:t>3.2.1 Analisi della FA con metodo VBM</w:t>
      </w:r>
    </w:p>
    <w:p w:rsidR="00A0541C" w:rsidRPr="003A701E" w:rsidRDefault="00B460A6" w:rsidP="001E5BE4">
      <w:pPr>
        <w:pStyle w:val="Tesi"/>
        <w:tabs>
          <w:tab w:val="left" w:pos="8503"/>
        </w:tabs>
        <w:spacing w:line="360" w:lineRule="auto"/>
        <w:ind w:right="1091"/>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color w:val="0D0D0D"/>
          <w:sz w:val="24"/>
          <w:szCs w:val="24"/>
          <w:lang w:val="it-IT"/>
        </w:rPr>
        <w:t>La voxel base morphometry è stata usata in numerosi studi di imaging strutturale per localizzare differenze nella densità della sostanza grigia. Questa tecnica è molto utile poiché permette ai ricercatori di individuare cambiamenti ovunque all' interno del cervello, senza la necessità di stabilire a priori delle regioni di interesse.</w:t>
      </w:r>
    </w:p>
    <w:p w:rsidR="00A0541C" w:rsidRDefault="00B460A6" w:rsidP="001E5BE4">
      <w:pPr>
        <w:pStyle w:val="Tesi"/>
        <w:tabs>
          <w:tab w:val="left" w:pos="8503"/>
        </w:tabs>
        <w:spacing w:line="360" w:lineRule="auto"/>
        <w:ind w:right="1091"/>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color w:val="0D0D0D"/>
          <w:sz w:val="24"/>
          <w:szCs w:val="24"/>
          <w:lang w:val="it-IT"/>
        </w:rPr>
        <w:t xml:space="preserve">I principali steps di tale approccio sono: </w:t>
      </w:r>
    </w:p>
    <w:p w:rsidR="00A0541C" w:rsidRDefault="00B460A6" w:rsidP="001E5BE4">
      <w:pPr>
        <w:pStyle w:val="Tesi"/>
        <w:numPr>
          <w:ilvl w:val="0"/>
          <w:numId w:val="5"/>
        </w:numPr>
        <w:tabs>
          <w:tab w:val="left" w:pos="1429"/>
          <w:tab w:val="left" w:pos="2149"/>
          <w:tab w:val="left" w:pos="2869"/>
          <w:tab w:val="left" w:pos="3589"/>
          <w:tab w:val="left" w:pos="11383"/>
        </w:tabs>
        <w:spacing w:line="360" w:lineRule="auto"/>
        <w:ind w:right="1091"/>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color w:val="0D0D0D"/>
          <w:sz w:val="24"/>
          <w:szCs w:val="24"/>
          <w:lang w:val="it-IT"/>
        </w:rPr>
        <w:t>creazione di un template di registrazione specifico per lo studio, allineando tutte le immagini strutturali dei soggetti in uno spazio standard, come il MNI152.</w:t>
      </w:r>
    </w:p>
    <w:p w:rsidR="00A0541C" w:rsidRDefault="00B460A6" w:rsidP="001E5BE4">
      <w:pPr>
        <w:pStyle w:val="Tesi"/>
        <w:numPr>
          <w:ilvl w:val="0"/>
          <w:numId w:val="5"/>
        </w:numPr>
        <w:tabs>
          <w:tab w:val="left" w:pos="1429"/>
          <w:tab w:val="left" w:pos="2149"/>
          <w:tab w:val="left" w:pos="2869"/>
          <w:tab w:val="left" w:pos="3589"/>
          <w:tab w:val="left" w:pos="11383"/>
        </w:tabs>
        <w:spacing w:line="360" w:lineRule="auto"/>
        <w:ind w:right="1091"/>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color w:val="0D0D0D"/>
          <w:sz w:val="24"/>
          <w:szCs w:val="24"/>
          <w:lang w:val="it-IT"/>
        </w:rPr>
        <w:t>Allineamento delle immagini strutturali al template scelto.</w:t>
      </w:r>
    </w:p>
    <w:p w:rsidR="00A0541C" w:rsidRDefault="00B460A6" w:rsidP="001E5BE4">
      <w:pPr>
        <w:pStyle w:val="Tesi"/>
        <w:numPr>
          <w:ilvl w:val="0"/>
          <w:numId w:val="5"/>
        </w:numPr>
        <w:tabs>
          <w:tab w:val="left" w:pos="1429"/>
          <w:tab w:val="left" w:pos="2149"/>
          <w:tab w:val="left" w:pos="2869"/>
          <w:tab w:val="left" w:pos="3589"/>
          <w:tab w:val="left" w:pos="11383"/>
        </w:tabs>
        <w:spacing w:line="360" w:lineRule="auto"/>
        <w:ind w:right="1091"/>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color w:val="0D0D0D"/>
          <w:sz w:val="24"/>
          <w:szCs w:val="24"/>
          <w:lang w:val="it-IT"/>
        </w:rPr>
        <w:t>Segmentazione di ogni immagine strutturale nei diversi tipi di tessuto: sostanza grigia e sostanza bianca.</w:t>
      </w:r>
    </w:p>
    <w:p w:rsidR="00A0541C" w:rsidRDefault="00B460A6" w:rsidP="001E5BE4">
      <w:pPr>
        <w:pStyle w:val="Tesi"/>
        <w:numPr>
          <w:ilvl w:val="0"/>
          <w:numId w:val="5"/>
        </w:numPr>
        <w:tabs>
          <w:tab w:val="left" w:pos="1429"/>
          <w:tab w:val="left" w:pos="2149"/>
          <w:tab w:val="left" w:pos="2869"/>
          <w:tab w:val="left" w:pos="3589"/>
          <w:tab w:val="left" w:pos="11383"/>
        </w:tabs>
        <w:spacing w:line="360" w:lineRule="auto"/>
        <w:ind w:right="1091"/>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color w:val="0D0D0D"/>
          <w:sz w:val="24"/>
          <w:szCs w:val="24"/>
          <w:lang w:val="it-IT"/>
        </w:rPr>
        <w:t>Smoothing dei dati segmentati al fine di migliorare gli effetti del disallineamento delle strutture cerebrali, quando la registrazione non è perfetta. Lo smoothing può inoltre accrescere la sensibilità.</w:t>
      </w:r>
    </w:p>
    <w:p w:rsidR="00A0541C" w:rsidRDefault="00B460A6" w:rsidP="001E5BE4">
      <w:pPr>
        <w:pStyle w:val="Tesi"/>
        <w:numPr>
          <w:ilvl w:val="0"/>
          <w:numId w:val="5"/>
        </w:numPr>
        <w:tabs>
          <w:tab w:val="left" w:pos="1429"/>
          <w:tab w:val="left" w:pos="2149"/>
          <w:tab w:val="left" w:pos="2869"/>
          <w:tab w:val="left" w:pos="3589"/>
          <w:tab w:val="left" w:pos="11383"/>
        </w:tabs>
        <w:spacing w:line="360" w:lineRule="auto"/>
        <w:ind w:right="1091"/>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color w:val="0D0D0D"/>
          <w:sz w:val="24"/>
          <w:szCs w:val="24"/>
          <w:lang w:val="it-IT"/>
        </w:rPr>
        <w:t>Portare avanti una statistica di tipo voxel-wise, usando ogni covariata utile per la matrice del disegno sperimentale.</w:t>
      </w:r>
    </w:p>
    <w:p w:rsidR="00A0541C" w:rsidRDefault="00B460A6" w:rsidP="001E5BE4">
      <w:pPr>
        <w:pStyle w:val="Tesi"/>
        <w:numPr>
          <w:ilvl w:val="0"/>
          <w:numId w:val="5"/>
        </w:numPr>
        <w:tabs>
          <w:tab w:val="left" w:pos="1429"/>
          <w:tab w:val="left" w:pos="2149"/>
          <w:tab w:val="left" w:pos="2869"/>
          <w:tab w:val="left" w:pos="3589"/>
          <w:tab w:val="left" w:pos="11383"/>
        </w:tabs>
        <w:spacing w:line="360" w:lineRule="auto"/>
        <w:ind w:right="1091"/>
        <w:jc w:val="both"/>
        <w:rPr>
          <w:rFonts w:ascii="Times New Roman" w:eastAsia="Times New Roman" w:hAnsi="Times New Roman" w:cs="Times New Roman"/>
          <w:color w:val="0D0D0D"/>
          <w:sz w:val="24"/>
          <w:szCs w:val="24"/>
          <w:lang w:val="it-IT"/>
        </w:rPr>
      </w:pPr>
      <w:r>
        <w:rPr>
          <w:rFonts w:ascii="Times New Roman" w:eastAsia="Times New Roman" w:hAnsi="Times New Roman" w:cs="Times New Roman"/>
          <w:color w:val="0D0D0D"/>
          <w:sz w:val="24"/>
          <w:szCs w:val="24"/>
          <w:lang w:val="it-IT"/>
        </w:rPr>
        <w:t>Individuare la soglia per le risultanti immagini, prendendo in considerazione le correzioni per fattori multipli.</w:t>
      </w:r>
    </w:p>
    <w:p w:rsidR="003A701E" w:rsidRDefault="003A701E" w:rsidP="001E5BE4">
      <w:pPr>
        <w:pStyle w:val="Tesi"/>
        <w:tabs>
          <w:tab w:val="left" w:pos="8503"/>
        </w:tabs>
        <w:spacing w:line="360" w:lineRule="auto"/>
        <w:ind w:right="1091"/>
        <w:jc w:val="both"/>
        <w:rPr>
          <w:rFonts w:ascii="Times New Roman" w:eastAsia="Times New Roman" w:hAnsi="Times New Roman" w:cs="Times New Roman"/>
          <w:color w:val="0D0D0D"/>
          <w:sz w:val="24"/>
          <w:szCs w:val="24"/>
          <w:lang w:val="it-IT"/>
        </w:rPr>
      </w:pPr>
    </w:p>
    <w:p w:rsidR="00A0541C" w:rsidRDefault="00B460A6" w:rsidP="001E5BE4">
      <w:pPr>
        <w:pStyle w:val="Tesi"/>
        <w:tabs>
          <w:tab w:val="left" w:pos="8503"/>
        </w:tabs>
        <w:spacing w:line="360" w:lineRule="auto"/>
        <w:ind w:right="1091"/>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lang w:val="it-IT"/>
        </w:rPr>
        <w:t xml:space="preserve">L' analisi in stile VBM possiede punti di forza e debolezze. </w:t>
      </w:r>
      <w:r>
        <w:rPr>
          <w:rFonts w:ascii="Times New Roman" w:eastAsia="Times New Roman" w:hAnsi="Times New Roman" w:cs="Times New Roman"/>
          <w:color w:val="0D0D0D"/>
          <w:sz w:val="24"/>
          <w:szCs w:val="24"/>
        </w:rPr>
        <w:t>I primi sono:</w:t>
      </w:r>
    </w:p>
    <w:p w:rsidR="00A0541C" w:rsidRPr="003A701E" w:rsidRDefault="00B460A6" w:rsidP="001E5BE4">
      <w:pPr>
        <w:pStyle w:val="Tesi"/>
        <w:numPr>
          <w:ilvl w:val="0"/>
          <w:numId w:val="6"/>
        </w:numPr>
        <w:tabs>
          <w:tab w:val="left" w:pos="1429"/>
          <w:tab w:val="left" w:pos="2149"/>
          <w:tab w:val="left" w:pos="2869"/>
          <w:tab w:val="left" w:pos="3589"/>
          <w:tab w:val="left" w:pos="11383"/>
        </w:tabs>
        <w:spacing w:line="360" w:lineRule="auto"/>
        <w:ind w:right="1091"/>
        <w:jc w:val="both"/>
        <w:rPr>
          <w:rFonts w:ascii="Times New Roman" w:eastAsia="Times New Roman" w:hAnsi="Times New Roman" w:cs="Times New Roman"/>
          <w:i/>
          <w:color w:val="0D0D0D"/>
          <w:sz w:val="24"/>
          <w:szCs w:val="24"/>
        </w:rPr>
      </w:pPr>
      <w:r w:rsidRPr="003A701E">
        <w:rPr>
          <w:rFonts w:ascii="Times New Roman" w:eastAsia="Times New Roman" w:hAnsi="Times New Roman" w:cs="Times New Roman"/>
          <w:i/>
          <w:color w:val="0D0D0D"/>
          <w:sz w:val="24"/>
          <w:szCs w:val="24"/>
        </w:rPr>
        <w:t>tecnica completamente automatizzata</w:t>
      </w:r>
    </w:p>
    <w:p w:rsidR="00A0541C" w:rsidRPr="003A701E" w:rsidRDefault="00B460A6" w:rsidP="001E5BE4">
      <w:pPr>
        <w:pStyle w:val="Tesi"/>
        <w:numPr>
          <w:ilvl w:val="0"/>
          <w:numId w:val="6"/>
        </w:numPr>
        <w:tabs>
          <w:tab w:val="left" w:pos="1429"/>
          <w:tab w:val="left" w:pos="2149"/>
          <w:tab w:val="left" w:pos="2869"/>
          <w:tab w:val="left" w:pos="3589"/>
          <w:tab w:val="left" w:pos="11383"/>
        </w:tabs>
        <w:spacing w:line="360" w:lineRule="auto"/>
        <w:ind w:right="1091"/>
        <w:jc w:val="both"/>
        <w:rPr>
          <w:rFonts w:ascii="Times New Roman" w:eastAsia="Times New Roman" w:hAnsi="Times New Roman" w:cs="Times New Roman"/>
          <w:i/>
          <w:color w:val="0D0D0D"/>
          <w:sz w:val="24"/>
          <w:szCs w:val="24"/>
        </w:rPr>
      </w:pPr>
      <w:r w:rsidRPr="003A701E">
        <w:rPr>
          <w:rFonts w:ascii="Times New Roman" w:eastAsia="Times New Roman" w:hAnsi="Times New Roman" w:cs="Times New Roman"/>
          <w:i/>
          <w:color w:val="0D0D0D"/>
          <w:sz w:val="24"/>
          <w:szCs w:val="24"/>
        </w:rPr>
        <w:t>semplice applicazione della tecnica</w:t>
      </w:r>
    </w:p>
    <w:p w:rsidR="00A0541C" w:rsidRPr="003A701E" w:rsidRDefault="00B460A6" w:rsidP="001E5BE4">
      <w:pPr>
        <w:pStyle w:val="Tesi"/>
        <w:numPr>
          <w:ilvl w:val="0"/>
          <w:numId w:val="6"/>
        </w:numPr>
        <w:tabs>
          <w:tab w:val="left" w:pos="1429"/>
          <w:tab w:val="left" w:pos="2149"/>
          <w:tab w:val="left" w:pos="2869"/>
          <w:tab w:val="left" w:pos="3589"/>
          <w:tab w:val="left" w:pos="11383"/>
        </w:tabs>
        <w:spacing w:line="360" w:lineRule="auto"/>
        <w:ind w:right="1091"/>
        <w:jc w:val="both"/>
        <w:rPr>
          <w:rFonts w:ascii="Times New Roman" w:eastAsia="Times New Roman" w:hAnsi="Times New Roman" w:cs="Times New Roman"/>
          <w:i/>
          <w:color w:val="0D0D0D"/>
          <w:sz w:val="24"/>
          <w:szCs w:val="24"/>
          <w:lang w:val="it-IT"/>
        </w:rPr>
      </w:pPr>
      <w:r w:rsidRPr="003A701E">
        <w:rPr>
          <w:rFonts w:ascii="Times New Roman" w:eastAsia="Times New Roman" w:hAnsi="Times New Roman" w:cs="Times New Roman"/>
          <w:i/>
          <w:color w:val="0D0D0D"/>
          <w:sz w:val="24"/>
          <w:szCs w:val="24"/>
          <w:lang w:val="it-IT"/>
        </w:rPr>
        <w:t>indagine dell' intero cerebro senza richiedere pre-specificazione e pre-localizzazione di regioni di interesse (ROIs).</w:t>
      </w:r>
    </w:p>
    <w:p w:rsidR="00A0541C" w:rsidRDefault="00B460A6" w:rsidP="001E5BE4">
      <w:pPr>
        <w:pStyle w:val="Tesi"/>
        <w:tabs>
          <w:tab w:val="left" w:pos="8503"/>
        </w:tabs>
        <w:spacing w:line="360" w:lineRule="auto"/>
        <w:ind w:right="1091"/>
        <w:jc w:val="both"/>
        <w:rPr>
          <w:rFonts w:ascii="Times New Roman" w:hAnsi="Times New Roman"/>
          <w:color w:val="0D0D0D"/>
          <w:sz w:val="24"/>
          <w:szCs w:val="24"/>
          <w:lang w:val="it-IT"/>
        </w:rPr>
      </w:pPr>
      <w:r>
        <w:rPr>
          <w:rFonts w:ascii="Times New Roman" w:eastAsia="Times New Roman" w:hAnsi="Times New Roman" w:cs="Times New Roman"/>
          <w:color w:val="0D0D0D"/>
          <w:sz w:val="24"/>
          <w:szCs w:val="24"/>
          <w:lang w:val="it-IT"/>
        </w:rPr>
        <w:t xml:space="preserve">Relativamente alle limitazioni, la prima è legata al disallineamento residuo: non è possibile essere sicuri che ogni voxel dello spazio standard contenga dati provenienti dalla stessa parte dello stesso tratto della sostanza bianca di ogni soggetto. Questi disallineamenti imprevisti, possono causare una mal interpretazione dei dati, visto che tali difetti portano a cambiamenti dei valori di FA. Un altro problema è collegato all'intensità di smoothing che viene scelta; infatti non esiste una regola nella scelta di questo parametro. Inoltre lo smoothing accresce il problema del volume: l'ambiguità nel discernere se i cambiamenti stimati come variazioni del valore di FA sono dovuti a reali cambiamenti  nell'anisotropia della sostanza bianca piuttosto che in ad un cambiamento relativo alle quantità dei differenti tessuti. Alcuni studi dimostrano che il risultato finale dipende fortemente dall'intensità dello smoothing </w:t>
      </w:r>
      <w:r>
        <w:rPr>
          <w:rFonts w:ascii="Times New Roman" w:hAnsi="Times New Roman"/>
          <w:color w:val="0D0D0D"/>
          <w:sz w:val="24"/>
          <w:szCs w:val="24"/>
          <w:lang w:val="it-IT"/>
        </w:rPr>
        <w:t>(Jones et al., 2005).</w:t>
      </w: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Pr="00DE6E74" w:rsidRDefault="00B460A6" w:rsidP="001E5BE4">
      <w:pPr>
        <w:pStyle w:val="Tesi"/>
        <w:tabs>
          <w:tab w:val="left" w:pos="8503"/>
        </w:tabs>
        <w:spacing w:line="360" w:lineRule="auto"/>
        <w:ind w:right="1091"/>
        <w:jc w:val="both"/>
        <w:rPr>
          <w:rFonts w:ascii="Times New Roman" w:hAnsi="Times New Roman"/>
          <w:b/>
          <w:color w:val="0D0D0D"/>
          <w:sz w:val="24"/>
          <w:szCs w:val="24"/>
          <w:lang w:val="it-IT"/>
        </w:rPr>
      </w:pPr>
      <w:r>
        <w:rPr>
          <w:rFonts w:ascii="Times New Roman" w:hAnsi="Times New Roman"/>
          <w:b/>
          <w:color w:val="0D0D0D"/>
          <w:sz w:val="24"/>
          <w:szCs w:val="24"/>
          <w:lang w:val="it-IT"/>
        </w:rPr>
        <w:t>3.2.2 Trattografia</w:t>
      </w:r>
    </w:p>
    <w:p w:rsidR="00A0541C" w:rsidRDefault="00B460A6" w:rsidP="001E5BE4">
      <w:pPr>
        <w:pStyle w:val="Tesi"/>
        <w:tabs>
          <w:tab w:val="left" w:pos="8503"/>
        </w:tabs>
        <w:spacing w:line="360" w:lineRule="auto"/>
        <w:ind w:right="1091"/>
        <w:jc w:val="both"/>
        <w:rPr>
          <w:rFonts w:ascii="Times New Roman" w:hAnsi="Times New Roman"/>
          <w:color w:val="0D0D0D"/>
          <w:sz w:val="24"/>
          <w:szCs w:val="24"/>
          <w:lang w:val="it-IT"/>
        </w:rPr>
      </w:pPr>
      <w:r>
        <w:rPr>
          <w:rFonts w:ascii="Times New Roman" w:hAnsi="Times New Roman"/>
          <w:color w:val="0D0D0D"/>
          <w:sz w:val="24"/>
          <w:szCs w:val="24"/>
          <w:lang w:val="it-IT"/>
        </w:rPr>
        <w:t>La trattografia è un metodo che consente lo studio in vivo, delle fibre di sostanza bianca, sia in condizioni patologiche che normali. Permette infatti la ricostruzione dei fasci di ogni soggetto, i quali possono poi essere confrontati in maniera incrociata per individuare le differenze, anche in tratti specifici di ogni fascio. Questa procedura richiede un operatore che inserisca e definisca manualmente le ROIs che costituiranno il punto di inizio a partire dal quale si tracceranno i fasci in ogni immagine di diffusione di ogni soggetto. Dopo di ciò viene calcolato un tratto medio dalla media delle immagini e verrà usato come maschera. Similmente all'approccio VBM, la trattografia confida nella accuratezza. Anche se i ricercatori hanno messo a punto dei metodi più sofisticati ancora (Jones et al., 2006) per confrontare la variazione della FA in maniera diretta tra i soggetti, non vengono sfruttati tanto poicheè non sono cosi fortemente supportati dall'allineamento delle immagini cross-subject. Inoltre il problema del indispensabile intervento dell'operatore per la definizione delle aree ROI rimane non risolto; Pertanto costituisce un grosso limite per questo metodo. Un'altra limitazione consiste nella possibilità di valutare FA solo nei tratti che sono stati specificatamente analizzati, usando le ROI selezionate a mano. Alcuni studi hanno provato a risolvere queste limitazioni, ma prima dell'avvento della TBSS: “non è sicuro né corretto assumere che la registrazione delle immagini nell spazio comune riesca ad allineare i dati della FA sufficientemente bene tra i diversi soggetti da permettere semplici e non ambigue intepretazioni della statistica voxelwise” (Smith et al., 2006).</w:t>
      </w: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Pr="00DE6E74" w:rsidRDefault="00B460A6" w:rsidP="001E5BE4">
      <w:pPr>
        <w:pStyle w:val="Tesi"/>
        <w:tabs>
          <w:tab w:val="left" w:pos="8503"/>
        </w:tabs>
        <w:spacing w:line="360" w:lineRule="auto"/>
        <w:ind w:right="1091"/>
        <w:jc w:val="both"/>
        <w:rPr>
          <w:rFonts w:ascii="Times New Roman" w:hAnsi="Times New Roman"/>
          <w:b/>
          <w:color w:val="0D0D0D"/>
          <w:sz w:val="24"/>
          <w:szCs w:val="24"/>
          <w:lang w:val="it-IT"/>
        </w:rPr>
      </w:pPr>
      <w:r w:rsidRPr="00DE6E74">
        <w:rPr>
          <w:rFonts w:ascii="Times New Roman" w:hAnsi="Times New Roman"/>
          <w:b/>
          <w:color w:val="0D0D0D"/>
          <w:sz w:val="24"/>
          <w:szCs w:val="24"/>
          <w:lang w:val="it-IT"/>
        </w:rPr>
        <w:t>3.2.3 TBSS</w:t>
      </w:r>
    </w:p>
    <w:p w:rsidR="00A0541C" w:rsidRDefault="00B460A6" w:rsidP="001E5BE4">
      <w:pPr>
        <w:pStyle w:val="Tesi"/>
        <w:tabs>
          <w:tab w:val="left" w:pos="8503"/>
        </w:tabs>
        <w:spacing w:line="360" w:lineRule="auto"/>
        <w:ind w:right="1091"/>
        <w:jc w:val="both"/>
        <w:rPr>
          <w:rFonts w:ascii="Times New Roman" w:hAnsi="Times New Roman"/>
          <w:color w:val="0D0D0D"/>
          <w:sz w:val="24"/>
          <w:szCs w:val="24"/>
          <w:lang w:val="en-GB"/>
        </w:rPr>
      </w:pPr>
      <w:r>
        <w:rPr>
          <w:rFonts w:ascii="Times New Roman" w:hAnsi="Times New Roman"/>
          <w:sz w:val="24"/>
          <w:szCs w:val="24"/>
        </w:rPr>
        <w:t xml:space="preserve">I più comuni metodi che usano le immagini FA in analisi con statistica di tipo voxelwise, al fine di localizzare i cambiamenti morfologici del cervello, sono compromessi dall'uso di algoritmi standard di registrazione; non è ancora stata fornita una soluzione soddisfacente su come allineare le immagini FA da soggetti multipli in modo da permettere una corrispondenza fedele di ogni voxel, nelle immagini di ogni paziente. Inoltre l'arbitrarietà della scelta dello smoothing spaziale non è ancora stata risolta. La TBSS si è proposta in passato di fronteggiare tali problematiche attraverso un'attenta registrazione non lineare, seguita da una retroproiezione su uno scheletro di allineamento, la </w:t>
      </w:r>
      <w:r w:rsidRPr="00210647">
        <w:rPr>
          <w:rFonts w:ascii="Courier" w:hAnsi="Courier" w:cs="Courier New"/>
          <w:color w:val="0D0D0D"/>
          <w:sz w:val="24"/>
          <w:szCs w:val="24"/>
          <w:lang w:val="en-GB"/>
        </w:rPr>
        <w:t>mean_FA_skeleton</w:t>
      </w:r>
      <w:r>
        <w:rPr>
          <w:rFonts w:ascii="Times New Roman" w:hAnsi="Times New Roman"/>
          <w:color w:val="0D0D0D"/>
          <w:sz w:val="24"/>
          <w:szCs w:val="24"/>
          <w:lang w:val="en-GB"/>
        </w:rPr>
        <w:t xml:space="preserve"> (Smith et al., 2006).  Come abbiamo</w:t>
      </w:r>
      <w:r w:rsidR="009F1675">
        <w:rPr>
          <w:rFonts w:ascii="Times New Roman" w:hAnsi="Times New Roman"/>
          <w:color w:val="0D0D0D"/>
          <w:sz w:val="24"/>
          <w:szCs w:val="24"/>
          <w:lang w:val="en-GB"/>
        </w:rPr>
        <w:t xml:space="preserve"> già discusso precedentemente, i</w:t>
      </w:r>
      <w:r>
        <w:rPr>
          <w:rFonts w:ascii="Times New Roman" w:hAnsi="Times New Roman"/>
          <w:color w:val="0D0D0D"/>
          <w:sz w:val="24"/>
          <w:szCs w:val="24"/>
          <w:lang w:val="en-GB"/>
        </w:rPr>
        <w:t xml:space="preserve"> punti di forza della VBM sono l'automazione dei processi di analisi, la facile applicazione, la possibilità di analizzare l'intero cerebro e il mancato obbligo nel selezionare le ROIs. La TBSS invece</w:t>
      </w:r>
      <w:r w:rsidR="009F1675">
        <w:rPr>
          <w:rFonts w:ascii="Times New Roman" w:hAnsi="Times New Roman"/>
          <w:color w:val="0D0D0D"/>
          <w:sz w:val="24"/>
          <w:szCs w:val="24"/>
          <w:lang w:val="en-GB"/>
        </w:rPr>
        <w:t xml:space="preserve"> si propone di mettere insieme i</w:t>
      </w:r>
      <w:r>
        <w:rPr>
          <w:rFonts w:ascii="Times New Roman" w:hAnsi="Times New Roman"/>
          <w:color w:val="0D0D0D"/>
          <w:sz w:val="24"/>
          <w:szCs w:val="24"/>
          <w:lang w:val="en-GB"/>
        </w:rPr>
        <w:t xml:space="preserve"> punti di forza della VBM e quelli della trattografia. V</w:t>
      </w:r>
      <w:r w:rsidR="009F1675">
        <w:rPr>
          <w:rFonts w:ascii="Times New Roman" w:hAnsi="Times New Roman"/>
          <w:color w:val="0D0D0D"/>
          <w:sz w:val="24"/>
          <w:szCs w:val="24"/>
          <w:lang w:val="en-GB"/>
        </w:rPr>
        <w:t>ediamo i</w:t>
      </w:r>
      <w:r>
        <w:rPr>
          <w:rFonts w:ascii="Times New Roman" w:hAnsi="Times New Roman"/>
          <w:color w:val="0D0D0D"/>
          <w:sz w:val="24"/>
          <w:szCs w:val="24"/>
          <w:lang w:val="en-GB"/>
        </w:rPr>
        <w:t xml:space="preserve"> passaggi fondamentali di questa tecnica.</w:t>
      </w:r>
    </w:p>
    <w:p w:rsidR="00A0541C" w:rsidRDefault="00B460A6" w:rsidP="001E5BE4">
      <w:pPr>
        <w:pStyle w:val="Tesi"/>
        <w:tabs>
          <w:tab w:val="left" w:pos="8503"/>
        </w:tabs>
        <w:spacing w:line="360" w:lineRule="auto"/>
        <w:ind w:right="1091"/>
        <w:jc w:val="both"/>
        <w:rPr>
          <w:rFonts w:ascii="Times New Roman" w:hAnsi="Times New Roman"/>
          <w:b/>
          <w:bCs/>
          <w:i/>
          <w:iCs/>
          <w:color w:val="0D0D0D"/>
          <w:sz w:val="24"/>
          <w:szCs w:val="24"/>
          <w:u w:val="single"/>
          <w:lang w:val="en-GB"/>
        </w:rPr>
      </w:pPr>
      <w:r>
        <w:rPr>
          <w:rFonts w:ascii="Times New Roman" w:hAnsi="Times New Roman"/>
          <w:b/>
          <w:bCs/>
          <w:i/>
          <w:iCs/>
          <w:color w:val="0D0D0D"/>
          <w:sz w:val="24"/>
          <w:szCs w:val="24"/>
          <w:u w:val="single"/>
          <w:lang w:val="en-GB"/>
        </w:rPr>
        <w:t>Pre-processazione</w:t>
      </w:r>
    </w:p>
    <w:p w:rsidR="00A0541C" w:rsidRDefault="00B460A6" w:rsidP="001E5BE4">
      <w:pPr>
        <w:pStyle w:val="Tesi"/>
        <w:tabs>
          <w:tab w:val="left" w:pos="8503"/>
        </w:tabs>
        <w:spacing w:line="360" w:lineRule="auto"/>
        <w:ind w:right="1091"/>
        <w:jc w:val="both"/>
        <w:rPr>
          <w:rFonts w:ascii="Times New Roman" w:hAnsi="Times New Roman"/>
          <w:color w:val="0D0D0D"/>
          <w:sz w:val="24"/>
          <w:szCs w:val="24"/>
          <w:lang w:val="en-GB"/>
        </w:rPr>
      </w:pPr>
      <w:r>
        <w:rPr>
          <w:rFonts w:ascii="Times New Roman" w:hAnsi="Times New Roman"/>
          <w:color w:val="0D0D0D"/>
          <w:sz w:val="24"/>
          <w:szCs w:val="24"/>
          <w:lang w:val="en-GB"/>
        </w:rPr>
        <w:t>Nella fase di preprocessazione, le immagini vengono cor</w:t>
      </w:r>
      <w:r w:rsidR="009F1675">
        <w:rPr>
          <w:rFonts w:ascii="Times New Roman" w:hAnsi="Times New Roman"/>
          <w:color w:val="0D0D0D"/>
          <w:sz w:val="24"/>
          <w:szCs w:val="24"/>
          <w:lang w:val="en-GB"/>
        </w:rPr>
        <w:t>rette per le “eddy currents” e i</w:t>
      </w:r>
      <w:r>
        <w:rPr>
          <w:rFonts w:ascii="Times New Roman" w:hAnsi="Times New Roman"/>
          <w:color w:val="0D0D0D"/>
          <w:sz w:val="24"/>
          <w:szCs w:val="24"/>
          <w:lang w:val="en-GB"/>
        </w:rPr>
        <w:t xml:space="preserve"> movimenti della testa; un altro step importante di questa fase è la divisione tra cervello e porzioni esterne dello scalpo e il tensore in questa fase viene fittato per ogni voxel di ogni soggetto.</w:t>
      </w:r>
    </w:p>
    <w:p w:rsidR="00A0541C" w:rsidRDefault="00B460A6" w:rsidP="001E5BE4">
      <w:pPr>
        <w:pStyle w:val="Tesi"/>
        <w:tabs>
          <w:tab w:val="left" w:pos="8503"/>
        </w:tabs>
        <w:spacing w:line="360" w:lineRule="auto"/>
        <w:ind w:right="1091"/>
        <w:jc w:val="both"/>
        <w:rPr>
          <w:rFonts w:ascii="Times New Roman" w:hAnsi="Times New Roman"/>
          <w:b/>
          <w:bCs/>
          <w:i/>
          <w:iCs/>
          <w:sz w:val="24"/>
          <w:szCs w:val="24"/>
          <w:u w:val="single"/>
        </w:rPr>
      </w:pPr>
      <w:r>
        <w:rPr>
          <w:rFonts w:ascii="Times New Roman" w:hAnsi="Times New Roman"/>
          <w:b/>
          <w:bCs/>
          <w:i/>
          <w:iCs/>
          <w:sz w:val="24"/>
          <w:szCs w:val="24"/>
          <w:u w:val="single"/>
        </w:rPr>
        <w:t>Identificazione del target per l'allineamento</w:t>
      </w:r>
    </w:p>
    <w:p w:rsidR="00A0541C" w:rsidRDefault="00B460A6" w:rsidP="001E5BE4">
      <w:pPr>
        <w:pStyle w:val="Tesi"/>
        <w:tabs>
          <w:tab w:val="left" w:pos="8503"/>
        </w:tabs>
        <w:spacing w:line="360" w:lineRule="auto"/>
        <w:ind w:right="1091"/>
        <w:jc w:val="both"/>
        <w:rPr>
          <w:rFonts w:ascii="Times New Roman" w:hAnsi="Times New Roman"/>
          <w:sz w:val="24"/>
          <w:szCs w:val="24"/>
        </w:rPr>
      </w:pPr>
      <w:r>
        <w:rPr>
          <w:rFonts w:ascii="Times New Roman" w:hAnsi="Times New Roman"/>
          <w:sz w:val="24"/>
          <w:szCs w:val="24"/>
        </w:rPr>
        <w:t>Dopo la preprocessazione, il primo step è l'identificazione dell'immagine FA più adatta per fungere da target per le registrazioni non lineari. Può essere un target pre-definito, o può essere scelta automaticamente  per essere il soggetto piu rappresentativo del campione in studio. È anche possibile allineare ogni immagine a tutte le altre in maniera incrociata, identificare la piu rappresentativa e usarla come immagine target, dopo l'allineamento di questa sullo spazio standard MNI152. Ad ogni modo, gli autori raccomandano di usare la FMRIB58_FA standard come immagine su cui basarsi e da usa come target.</w:t>
      </w:r>
    </w:p>
    <w:p w:rsidR="00A0541C" w:rsidRDefault="00B460A6" w:rsidP="001E5BE4">
      <w:pPr>
        <w:pStyle w:val="Tesi"/>
        <w:tabs>
          <w:tab w:val="left" w:pos="8503"/>
        </w:tabs>
        <w:spacing w:line="360" w:lineRule="auto"/>
        <w:ind w:right="1091"/>
        <w:jc w:val="both"/>
        <w:rPr>
          <w:rFonts w:ascii="Times New Roman" w:hAnsi="Times New Roman"/>
          <w:b/>
          <w:bCs/>
          <w:i/>
          <w:iCs/>
          <w:sz w:val="24"/>
          <w:szCs w:val="24"/>
          <w:u w:val="single"/>
        </w:rPr>
      </w:pPr>
      <w:r>
        <w:rPr>
          <w:rFonts w:ascii="Times New Roman" w:hAnsi="Times New Roman"/>
          <w:b/>
          <w:bCs/>
          <w:i/>
          <w:iCs/>
          <w:sz w:val="24"/>
          <w:szCs w:val="24"/>
          <w:u w:val="single"/>
        </w:rPr>
        <w:t>Allineamento non lineare</w:t>
      </w:r>
    </w:p>
    <w:p w:rsidR="00A0541C" w:rsidRDefault="00B460A6" w:rsidP="001E5BE4">
      <w:pPr>
        <w:pStyle w:val="Tesi"/>
        <w:tabs>
          <w:tab w:val="left" w:pos="8503"/>
        </w:tabs>
        <w:spacing w:line="360" w:lineRule="auto"/>
        <w:ind w:right="1091"/>
        <w:jc w:val="both"/>
        <w:rPr>
          <w:rFonts w:ascii="Times New Roman" w:hAnsi="Times New Roman"/>
          <w:sz w:val="24"/>
          <w:szCs w:val="24"/>
        </w:rPr>
      </w:pPr>
      <w:r>
        <w:rPr>
          <w:rFonts w:ascii="Times New Roman" w:hAnsi="Times New Roman"/>
          <w:sz w:val="24"/>
          <w:szCs w:val="24"/>
        </w:rPr>
        <w:t xml:space="preserve">il secondo step è l'allineamento di tutte le immagini FA sul template, mediante registrazione non lineare. Al fine di allineare le immagini sufficientemente bene  in modo che il prossimo step funzioni correttamente, viene applicato un allineamento non lineare con gradi di liberta intermedi. Dopo l'allineamento, l'intero set di dati allineati viene traformato in uno spazio </w:t>
      </w:r>
      <w:r>
        <w:rPr>
          <w:rFonts w:ascii="Times New Roman" w:hAnsi="Times New Roman"/>
          <w:color w:val="0D0D0D"/>
          <w:sz w:val="24"/>
          <w:szCs w:val="24"/>
          <w:lang w:val="en-GB"/>
        </w:rPr>
        <w:t xml:space="preserve">MNI152 </w:t>
      </w:r>
      <w:r>
        <w:rPr>
          <w:rFonts w:ascii="Times New Roman" w:hAnsi="Times New Roman"/>
          <w:sz w:val="24"/>
          <w:szCs w:val="24"/>
        </w:rPr>
        <w:t xml:space="preserve">di 1x1x1 </w:t>
      </w:r>
      <w:r>
        <w:rPr>
          <w:rFonts w:ascii="Times New Roman" w:hAnsi="Times New Roman"/>
          <w:color w:val="0D0D0D"/>
          <w:sz w:val="24"/>
          <w:szCs w:val="24"/>
          <w:lang w:val="en-GB"/>
        </w:rPr>
        <w:t>mm3</w:t>
      </w:r>
      <w:r>
        <w:rPr>
          <w:rFonts w:ascii="Times New Roman" w:hAnsi="Times New Roman"/>
          <w:sz w:val="24"/>
          <w:szCs w:val="24"/>
        </w:rPr>
        <w:t>; tutti i successivi steps sono effettuati su questo spazio e con questa risoluzione.</w:t>
      </w:r>
    </w:p>
    <w:p w:rsidR="00A0541C" w:rsidRDefault="00B460A6" w:rsidP="001E5BE4">
      <w:pPr>
        <w:pStyle w:val="Tesi"/>
        <w:tabs>
          <w:tab w:val="left" w:pos="8503"/>
        </w:tabs>
        <w:spacing w:line="360" w:lineRule="auto"/>
        <w:ind w:right="1091"/>
        <w:jc w:val="both"/>
        <w:rPr>
          <w:rFonts w:ascii="Times New Roman" w:hAnsi="Times New Roman"/>
          <w:b/>
          <w:bCs/>
          <w:i/>
          <w:iCs/>
          <w:sz w:val="24"/>
          <w:szCs w:val="24"/>
          <w:u w:val="single"/>
        </w:rPr>
      </w:pPr>
      <w:r>
        <w:rPr>
          <w:rFonts w:ascii="Times New Roman" w:hAnsi="Times New Roman"/>
          <w:b/>
          <w:bCs/>
          <w:i/>
          <w:iCs/>
          <w:sz w:val="24"/>
          <w:szCs w:val="24"/>
          <w:u w:val="single"/>
        </w:rPr>
        <w:t>Creazione della mean-FA e del suo scheletro</w:t>
      </w:r>
    </w:p>
    <w:p w:rsidR="00A0541C" w:rsidRDefault="00B460A6" w:rsidP="001E5BE4">
      <w:pPr>
        <w:pStyle w:val="Tesi"/>
        <w:tabs>
          <w:tab w:val="left" w:pos="8503"/>
        </w:tabs>
        <w:spacing w:after="0" w:line="360" w:lineRule="auto"/>
        <w:ind w:right="1091"/>
        <w:jc w:val="both"/>
        <w:rPr>
          <w:rFonts w:ascii="Times New Roman" w:hAnsi="Times New Roman"/>
          <w:sz w:val="24"/>
          <w:szCs w:val="24"/>
        </w:rPr>
      </w:pPr>
      <w:r>
        <w:rPr>
          <w:rFonts w:ascii="Times New Roman" w:hAnsi="Times New Roman"/>
          <w:sz w:val="24"/>
          <w:szCs w:val="24"/>
        </w:rPr>
        <w:t xml:space="preserve">In questo passaggio, le immagini FA sono mediate per creare la mean_FA. Successivamente viene applicato un processo di </w:t>
      </w:r>
      <w:r>
        <w:rPr>
          <w:rFonts w:ascii="Times New Roman" w:hAnsi="Times New Roman"/>
          <w:i/>
          <w:iCs/>
          <w:sz w:val="24"/>
          <w:szCs w:val="24"/>
        </w:rPr>
        <w:t xml:space="preserve">“thinning”, </w:t>
      </w:r>
      <w:r>
        <w:rPr>
          <w:rFonts w:ascii="Times New Roman" w:hAnsi="Times New Roman"/>
          <w:sz w:val="24"/>
          <w:szCs w:val="24"/>
        </w:rPr>
        <w:t>per ottenerel uno schel</w:t>
      </w:r>
      <w:r w:rsidR="009F1675">
        <w:rPr>
          <w:rFonts w:ascii="Times New Roman" w:hAnsi="Times New Roman"/>
          <w:sz w:val="24"/>
          <w:szCs w:val="24"/>
        </w:rPr>
        <w:t>etro dei tratti comuni a tutti i</w:t>
      </w:r>
      <w:r>
        <w:rPr>
          <w:rFonts w:ascii="Times New Roman" w:hAnsi="Times New Roman"/>
          <w:sz w:val="24"/>
          <w:szCs w:val="24"/>
        </w:rPr>
        <w:t xml:space="preserve"> soggetti: il </w:t>
      </w:r>
      <w:r w:rsidRPr="00210647">
        <w:rPr>
          <w:rFonts w:ascii="Courier" w:hAnsi="Courier"/>
          <w:sz w:val="24"/>
          <w:szCs w:val="24"/>
        </w:rPr>
        <w:t>mean_FA_skeleton</w:t>
      </w:r>
      <w:r>
        <w:rPr>
          <w:rFonts w:ascii="Times New Roman" w:hAnsi="Times New Roman"/>
          <w:sz w:val="24"/>
          <w:szCs w:val="24"/>
        </w:rPr>
        <w:t xml:space="preserve">. Lo scheletro rappresenta il centro dei tratti di fibre in modo che un fascio fi fibre venga rappresentato dalla linea che lo percorre centralmente (per es. Fascio del cingolo), mentre una sottile foglio rappresenterebbe lo scheletro di uno fascio dalla superficie piu larga (per es. Il corpo </w:t>
      </w:r>
      <w:r w:rsidR="00753303">
        <w:rPr>
          <w:rFonts w:ascii="Times New Roman" w:hAnsi="Times New Roman"/>
          <w:noProof/>
          <w:sz w:val="24"/>
          <w:szCs w:val="24"/>
          <w:lang w:val="it-IT" w:eastAsia="it-IT"/>
        </w:rPr>
        <w:drawing>
          <wp:anchor distT="0" distB="0" distL="114300" distR="114300" simplePos="0" relativeHeight="251657215" behindDoc="0" locked="0" layoutInCell="1" allowOverlap="1">
            <wp:simplePos x="0" y="0"/>
            <wp:positionH relativeFrom="column">
              <wp:posOffset>2628900</wp:posOffset>
            </wp:positionH>
            <wp:positionV relativeFrom="paragraph">
              <wp:posOffset>1485900</wp:posOffset>
            </wp:positionV>
            <wp:extent cx="2740025" cy="1765300"/>
            <wp:effectExtent l="0" t="0" r="0" b="0"/>
            <wp:wrapTight wrapText="bothSides">
              <wp:wrapPolygon edited="0">
                <wp:start x="0" y="0"/>
                <wp:lineTo x="0" y="21445"/>
                <wp:lineTo x="21425" y="21445"/>
                <wp:lineTo x="21425"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40025" cy="1765300"/>
                    </a:xfrm>
                    <a:prstGeom prst="rect">
                      <a:avLst/>
                    </a:prstGeom>
                    <a:solidFill>
                      <a:srgbClr val="FFFFFF"/>
                    </a:solidFill>
                    <a:ln>
                      <a:noFill/>
                    </a:ln>
                  </pic:spPr>
                </pic:pic>
              </a:graphicData>
            </a:graphic>
          </wp:anchor>
        </w:drawing>
      </w:r>
      <w:r>
        <w:rPr>
          <w:rFonts w:ascii="Times New Roman" w:hAnsi="Times New Roman"/>
          <w:sz w:val="24"/>
          <w:szCs w:val="24"/>
        </w:rPr>
        <w:t>calloso).</w:t>
      </w:r>
    </w:p>
    <w:p w:rsidR="00DE6E74" w:rsidRDefault="00B460A6" w:rsidP="001E5BE4">
      <w:pPr>
        <w:pStyle w:val="Tesi"/>
        <w:tabs>
          <w:tab w:val="left" w:pos="8503"/>
        </w:tabs>
        <w:spacing w:after="0" w:line="360" w:lineRule="auto"/>
        <w:ind w:right="1091"/>
        <w:jc w:val="both"/>
        <w:rPr>
          <w:rFonts w:ascii="Times New Roman" w:hAnsi="Times New Roman"/>
          <w:sz w:val="24"/>
          <w:szCs w:val="24"/>
        </w:rPr>
      </w:pPr>
      <w:r>
        <w:rPr>
          <w:rFonts w:ascii="Times New Roman" w:hAnsi="Times New Roman"/>
          <w:sz w:val="24"/>
          <w:szCs w:val="24"/>
        </w:rPr>
        <w:t xml:space="preserve">Il </w:t>
      </w:r>
      <w:r w:rsidRPr="00DE6E74">
        <w:rPr>
          <w:rFonts w:ascii="Courier" w:hAnsi="Courier"/>
          <w:sz w:val="24"/>
          <w:szCs w:val="24"/>
        </w:rPr>
        <w:t>mean_FA_skeleton</w:t>
      </w:r>
      <w:r>
        <w:rPr>
          <w:rFonts w:ascii="Times New Roman" w:hAnsi="Times New Roman"/>
          <w:sz w:val="24"/>
          <w:szCs w:val="24"/>
        </w:rPr>
        <w:t xml:space="preserve">, viene creato prima attraverso tre complicati step automatizzati in cui vengono identificati i fasci e i tratti comunia tutti i fasci. </w:t>
      </w:r>
    </w:p>
    <w:p w:rsidR="00753303" w:rsidRDefault="00570A61" w:rsidP="001E5BE4">
      <w:pPr>
        <w:pStyle w:val="Tesi"/>
        <w:tabs>
          <w:tab w:val="left" w:pos="8503"/>
        </w:tabs>
        <w:spacing w:after="0" w:line="360" w:lineRule="auto"/>
        <w:ind w:right="1091"/>
        <w:jc w:val="both"/>
        <w:rPr>
          <w:rFonts w:ascii="Times New Roman" w:hAnsi="Times New Roman" w:cs="Times New Roman"/>
          <w:color w:val="0D0D0D"/>
          <w:sz w:val="24"/>
          <w:szCs w:val="24"/>
          <w:lang w:val="en-GB"/>
        </w:rPr>
      </w:pPr>
      <w:r w:rsidRPr="00570A61">
        <w:rPr>
          <w:rFonts w:ascii="Times New Roman" w:hAnsi="Times New Roman"/>
          <w:noProof/>
          <w:sz w:val="24"/>
          <w:szCs w:val="24"/>
        </w:rPr>
        <w:pict>
          <v:shape id="_x0000_s1034" type="#_x0000_t202" style="position:absolute;left:0;text-align:left;margin-left:3in;margin-top:44.65pt;width:212.5pt;height:39.6pt;z-index:251667456;mso-wrap-edited:f;mso-wrap-distance-left:9.05pt;mso-wrap-distance-right:9.05pt" wrapcoords="0 0 21600 0 21600 21600 0 21600 0 0" stroked="f">
            <v:fill opacity="0" color2="black"/>
            <v:textbox style="mso-next-textbox:#_x0000_s1034" inset="0,0,0,0">
              <w:txbxContent>
                <w:p w:rsidR="00D325B6" w:rsidRPr="00753303" w:rsidRDefault="00D325B6" w:rsidP="00753303">
                  <w:pPr>
                    <w:jc w:val="both"/>
                    <w:rPr>
                      <w:rFonts w:ascii="Times" w:hAnsi="Times"/>
                      <w:sz w:val="20"/>
                      <w:szCs w:val="20"/>
                      <w:lang w:val="en-GB"/>
                    </w:rPr>
                  </w:pPr>
                  <w:r w:rsidRPr="00753303">
                    <w:rPr>
                      <w:rFonts w:ascii="Times" w:hAnsi="Times"/>
                      <w:b/>
                      <w:sz w:val="20"/>
                      <w:szCs w:val="20"/>
                      <w:lang w:val="en-GB"/>
                    </w:rPr>
                    <w:t>Fig. 1</w:t>
                  </w:r>
                  <w:r w:rsidRPr="00753303">
                    <w:rPr>
                      <w:rFonts w:ascii="Times" w:hAnsi="Times"/>
                      <w:sz w:val="20"/>
                      <w:szCs w:val="20"/>
                      <w:lang w:val="en-GB"/>
                    </w:rPr>
                    <w:t xml:space="preserve"> Examples of fibre bundles; a “thick sheet” with a thin surface as its skeleton, and a “tube”, with a line as its skeleton.</w:t>
                  </w:r>
                </w:p>
              </w:txbxContent>
            </v:textbox>
            <w10:wrap type="through"/>
          </v:shape>
        </w:pict>
      </w:r>
      <w:r w:rsidR="00B460A6">
        <w:rPr>
          <w:rFonts w:ascii="Times New Roman" w:hAnsi="Times New Roman"/>
          <w:sz w:val="24"/>
          <w:szCs w:val="24"/>
        </w:rPr>
        <w:t xml:space="preserve">Il metodo usato in TBSS per identificare la superficie perpendicolare al tratto è basato sul principiio di massimizzazione. Dei cubi di 3x3x3 </w:t>
      </w:r>
      <w:r w:rsidR="00B460A6">
        <w:rPr>
          <w:rFonts w:ascii="Times New Roman" w:hAnsi="Times New Roman" w:cs="Times New Roman"/>
          <w:color w:val="0D0D0D"/>
          <w:sz w:val="24"/>
          <w:szCs w:val="24"/>
          <w:lang w:val="en-GB"/>
        </w:rPr>
        <w:t>mm</w:t>
      </w:r>
      <w:r w:rsidR="00B460A6">
        <w:rPr>
          <w:rFonts w:ascii="Times New Roman" w:hAnsi="Times New Roman" w:cs="Times New Roman"/>
          <w:color w:val="0D0D0D"/>
          <w:sz w:val="24"/>
          <w:szCs w:val="24"/>
          <w:vertAlign w:val="superscript"/>
          <w:lang w:val="en-GB"/>
        </w:rPr>
        <w:t xml:space="preserve">3  </w:t>
      </w:r>
      <w:r w:rsidR="00B460A6">
        <w:rPr>
          <w:rFonts w:ascii="Times New Roman" w:hAnsi="Times New Roman" w:cs="Times New Roman"/>
          <w:color w:val="0D0D0D"/>
          <w:sz w:val="24"/>
          <w:szCs w:val="24"/>
          <w:lang w:val="en-GB"/>
        </w:rPr>
        <w:t xml:space="preserve">svengono considerati uno per volta, viene individuato il punto di FA massimo in ogni cubo e definito “vicino” se è localizzato a 0.1 nm dal centro del cubo, viceversa viene detto “lontano”. </w:t>
      </w:r>
    </w:p>
    <w:p w:rsidR="00A0541C" w:rsidRDefault="00A908D4" w:rsidP="001E5BE4">
      <w:pPr>
        <w:pStyle w:val="Tesi"/>
        <w:tabs>
          <w:tab w:val="left" w:pos="8503"/>
        </w:tabs>
        <w:spacing w:after="0" w:line="360" w:lineRule="auto"/>
        <w:ind w:right="1091"/>
        <w:jc w:val="both"/>
        <w:rPr>
          <w:rFonts w:ascii="Times New Roman" w:hAnsi="Times New Roman" w:cs="Times New Roman"/>
          <w:color w:val="0D0D0D"/>
          <w:sz w:val="24"/>
          <w:szCs w:val="24"/>
          <w:lang w:val="en-GB"/>
        </w:rPr>
      </w:pPr>
      <w:r>
        <w:rPr>
          <w:rFonts w:ascii="Times New Roman" w:hAnsi="Times New Roman"/>
          <w:noProof/>
          <w:sz w:val="24"/>
          <w:szCs w:val="24"/>
          <w:lang w:val="it-IT" w:eastAsia="it-IT"/>
        </w:rPr>
        <w:drawing>
          <wp:anchor distT="0" distB="0" distL="114935" distR="114935" simplePos="0" relativeHeight="251668480" behindDoc="0" locked="0" layoutInCell="1" allowOverlap="1">
            <wp:simplePos x="0" y="0"/>
            <wp:positionH relativeFrom="column">
              <wp:posOffset>1485900</wp:posOffset>
            </wp:positionH>
            <wp:positionV relativeFrom="paragraph">
              <wp:posOffset>1587500</wp:posOffset>
            </wp:positionV>
            <wp:extent cx="2419985" cy="2968625"/>
            <wp:effectExtent l="0" t="0" r="0" b="0"/>
            <wp:wrapThrough wrapText="bothSides">
              <wp:wrapPolygon edited="0">
                <wp:start x="0" y="0"/>
                <wp:lineTo x="0" y="21438"/>
                <wp:lineTo x="21311" y="21438"/>
                <wp:lineTo x="21311" y="0"/>
                <wp:lineTo x="0" y="0"/>
              </wp:wrapPolygon>
            </wp:wrapThrough>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419985" cy="2968625"/>
                    </a:xfrm>
                    <a:prstGeom prst="rect">
                      <a:avLst/>
                    </a:prstGeom>
                    <a:solidFill>
                      <a:srgbClr val="FFFFFF"/>
                    </a:solidFill>
                    <a:ln>
                      <a:noFill/>
                    </a:ln>
                  </pic:spPr>
                </pic:pic>
              </a:graphicData>
            </a:graphic>
          </wp:anchor>
        </w:drawing>
      </w:r>
      <w:r w:rsidR="00B460A6">
        <w:rPr>
          <w:rFonts w:ascii="Times New Roman" w:hAnsi="Times New Roman" w:cs="Times New Roman"/>
          <w:color w:val="0D0D0D"/>
          <w:sz w:val="24"/>
          <w:szCs w:val="24"/>
          <w:lang w:val="en-GB"/>
        </w:rPr>
        <w:t>Se tale punto è vicino, la direzione perpendicolare è definita come la direzione in cui il cambiamento di FA è massimo, o dove la differenza tra due voxel opposti è massimizzata.</w:t>
      </w:r>
      <w:r w:rsidR="009506D3">
        <w:rPr>
          <w:rFonts w:ascii="Times New Roman" w:hAnsi="Times New Roman" w:cs="Times New Roman"/>
          <w:color w:val="0D0D0D"/>
          <w:sz w:val="24"/>
          <w:szCs w:val="24"/>
          <w:lang w:val="en-GB"/>
        </w:rPr>
        <w:t xml:space="preserve"> In altre parole se il centro di gravità è già vicino al centro del voxel significa che è il punto di maggiore FA, e include il centro del tratto, </w:t>
      </w:r>
      <w:r w:rsidR="009F1675">
        <w:rPr>
          <w:rFonts w:ascii="Times New Roman" w:hAnsi="Times New Roman" w:cs="Times New Roman"/>
          <w:color w:val="0D0D0D"/>
          <w:sz w:val="24"/>
          <w:szCs w:val="24"/>
          <w:lang w:val="en-GB"/>
        </w:rPr>
        <w:t>pertanto i</w:t>
      </w:r>
      <w:r>
        <w:rPr>
          <w:rFonts w:ascii="Times New Roman" w:hAnsi="Times New Roman" w:cs="Times New Roman"/>
          <w:color w:val="0D0D0D"/>
          <w:sz w:val="24"/>
          <w:szCs w:val="24"/>
          <w:lang w:val="en-GB"/>
        </w:rPr>
        <w:t xml:space="preserve"> voxels contigui che comprendono altre porzioni del tratto, avranno anch’essi alti valori di FA, mentre  bassi valori di FA si trovano lungo le direzioni radiali.</w:t>
      </w:r>
    </w:p>
    <w:p w:rsidR="00A0541C" w:rsidRDefault="00A0541C" w:rsidP="001E5BE4">
      <w:pPr>
        <w:pStyle w:val="Tesi"/>
        <w:tabs>
          <w:tab w:val="left" w:pos="8503"/>
        </w:tabs>
        <w:spacing w:after="0" w:line="360" w:lineRule="auto"/>
        <w:ind w:right="1091"/>
        <w:jc w:val="both"/>
        <w:rPr>
          <w:rFonts w:ascii="Times New Roman" w:hAnsi="Times New Roman"/>
          <w:sz w:val="24"/>
          <w:szCs w:val="24"/>
        </w:rPr>
      </w:pPr>
    </w:p>
    <w:p w:rsidR="00753303" w:rsidRDefault="00753303" w:rsidP="001E5BE4">
      <w:pPr>
        <w:pStyle w:val="Tesi"/>
        <w:tabs>
          <w:tab w:val="left" w:pos="8503"/>
        </w:tabs>
        <w:spacing w:after="0" w:line="360" w:lineRule="auto"/>
        <w:ind w:right="1091"/>
        <w:jc w:val="both"/>
        <w:rPr>
          <w:rFonts w:ascii="Times New Roman" w:hAnsi="Times New Roman"/>
          <w:sz w:val="24"/>
          <w:szCs w:val="24"/>
        </w:rPr>
      </w:pPr>
    </w:p>
    <w:p w:rsidR="00753303" w:rsidRDefault="00753303" w:rsidP="001E5BE4">
      <w:pPr>
        <w:pStyle w:val="Tesi"/>
        <w:tabs>
          <w:tab w:val="left" w:pos="8503"/>
        </w:tabs>
        <w:spacing w:after="0" w:line="360" w:lineRule="auto"/>
        <w:ind w:right="1091"/>
        <w:jc w:val="both"/>
        <w:rPr>
          <w:rFonts w:ascii="Times New Roman" w:hAnsi="Times New Roman"/>
          <w:sz w:val="24"/>
          <w:szCs w:val="24"/>
        </w:rPr>
      </w:pPr>
    </w:p>
    <w:p w:rsidR="00753303" w:rsidRDefault="00753303" w:rsidP="001E5BE4">
      <w:pPr>
        <w:pStyle w:val="Tesi"/>
        <w:tabs>
          <w:tab w:val="left" w:pos="8503"/>
        </w:tabs>
        <w:spacing w:after="0" w:line="360" w:lineRule="auto"/>
        <w:ind w:right="1091"/>
        <w:jc w:val="both"/>
        <w:rPr>
          <w:rFonts w:ascii="Times New Roman" w:hAnsi="Times New Roman"/>
          <w:sz w:val="24"/>
          <w:szCs w:val="24"/>
        </w:rPr>
      </w:pPr>
    </w:p>
    <w:p w:rsidR="00753303" w:rsidRDefault="00753303" w:rsidP="001E5BE4">
      <w:pPr>
        <w:pStyle w:val="Tesi"/>
        <w:tabs>
          <w:tab w:val="left" w:pos="8503"/>
        </w:tabs>
        <w:spacing w:after="0" w:line="360" w:lineRule="auto"/>
        <w:ind w:right="1091"/>
        <w:jc w:val="both"/>
        <w:rPr>
          <w:rFonts w:ascii="Times New Roman" w:hAnsi="Times New Roman"/>
          <w:sz w:val="24"/>
          <w:szCs w:val="24"/>
        </w:rPr>
      </w:pPr>
    </w:p>
    <w:p w:rsidR="00753303" w:rsidRDefault="00753303" w:rsidP="001E5BE4">
      <w:pPr>
        <w:pStyle w:val="Tesi"/>
        <w:tabs>
          <w:tab w:val="left" w:pos="8503"/>
        </w:tabs>
        <w:spacing w:after="0" w:line="360" w:lineRule="auto"/>
        <w:ind w:right="1091"/>
        <w:jc w:val="both"/>
        <w:rPr>
          <w:rFonts w:ascii="Times New Roman" w:hAnsi="Times New Roman"/>
          <w:sz w:val="24"/>
          <w:szCs w:val="24"/>
        </w:rPr>
      </w:pPr>
    </w:p>
    <w:p w:rsidR="00753303" w:rsidRDefault="00753303" w:rsidP="001E5BE4">
      <w:pPr>
        <w:pStyle w:val="Tesi"/>
        <w:tabs>
          <w:tab w:val="left" w:pos="8503"/>
        </w:tabs>
        <w:spacing w:after="0" w:line="360" w:lineRule="auto"/>
        <w:ind w:right="1091"/>
        <w:jc w:val="both"/>
        <w:rPr>
          <w:rFonts w:ascii="Times New Roman" w:hAnsi="Times New Roman"/>
          <w:sz w:val="24"/>
          <w:szCs w:val="24"/>
        </w:rPr>
      </w:pPr>
    </w:p>
    <w:p w:rsidR="00753303" w:rsidRDefault="00753303" w:rsidP="001E5BE4">
      <w:pPr>
        <w:pStyle w:val="Tesi"/>
        <w:tabs>
          <w:tab w:val="left" w:pos="8503"/>
        </w:tabs>
        <w:spacing w:after="0" w:line="360" w:lineRule="auto"/>
        <w:ind w:right="1091"/>
        <w:jc w:val="both"/>
        <w:rPr>
          <w:rFonts w:ascii="Times New Roman" w:hAnsi="Times New Roman"/>
          <w:sz w:val="24"/>
          <w:szCs w:val="24"/>
        </w:rPr>
      </w:pPr>
    </w:p>
    <w:p w:rsidR="00A908D4" w:rsidRDefault="00A908D4" w:rsidP="001E5BE4">
      <w:pPr>
        <w:pStyle w:val="Tesi"/>
        <w:tabs>
          <w:tab w:val="left" w:pos="8503"/>
        </w:tabs>
        <w:spacing w:after="0" w:line="360" w:lineRule="auto"/>
        <w:ind w:right="1091"/>
        <w:jc w:val="both"/>
        <w:rPr>
          <w:rFonts w:ascii="Times New Roman" w:hAnsi="Times New Roman"/>
          <w:sz w:val="24"/>
          <w:szCs w:val="24"/>
        </w:rPr>
      </w:pP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A908D4" w:rsidRDefault="00570A61"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r w:rsidRPr="00570A61">
        <w:rPr>
          <w:rFonts w:ascii="Times New Roman" w:hAnsi="Times New Roman"/>
          <w:noProof/>
          <w:sz w:val="24"/>
          <w:szCs w:val="24"/>
        </w:rPr>
        <w:pict>
          <v:shape id="_x0000_s1037" type="#_x0000_t202" style="position:absolute;left:0;text-align:left;margin-left:90pt;margin-top:36.6pt;width:270pt;height:50.1pt;z-index:251669504;mso-wrap-edited:f;mso-wrap-distance-left:9.05pt;mso-wrap-distance-right:9.05pt" wrapcoords="0 0 21600 0 21600 21600 0 21600 0 0" stroked="f">
            <v:fill opacity="0" color2="black"/>
            <v:textbox style="mso-next-textbox:#_x0000_s1037" inset="0,0,0,0">
              <w:txbxContent>
                <w:p w:rsidR="00D325B6" w:rsidRPr="009506D3" w:rsidRDefault="00D325B6" w:rsidP="00753303">
                  <w:pPr>
                    <w:jc w:val="both"/>
                    <w:rPr>
                      <w:rFonts w:ascii="Times" w:hAnsi="Times"/>
                      <w:color w:val="000000"/>
                      <w:sz w:val="20"/>
                      <w:szCs w:val="20"/>
                      <w:lang w:val="en-GB"/>
                    </w:rPr>
                  </w:pPr>
                  <w:r w:rsidRPr="009506D3">
                    <w:rPr>
                      <w:rFonts w:ascii="Times" w:hAnsi="Times"/>
                      <w:b/>
                      <w:sz w:val="20"/>
                      <w:szCs w:val="20"/>
                      <w:lang w:val="en-GB"/>
                    </w:rPr>
                    <w:t xml:space="preserve">Fig. </w:t>
                  </w:r>
                  <w:r w:rsidRPr="009506D3">
                    <w:rPr>
                      <w:rFonts w:ascii="Times" w:hAnsi="Times"/>
                      <w:b/>
                      <w:color w:val="000000"/>
                      <w:sz w:val="20"/>
                      <w:szCs w:val="20"/>
                      <w:lang w:val="en-GB"/>
                    </w:rPr>
                    <w:t xml:space="preserve">2 </w:t>
                  </w:r>
                  <w:r w:rsidRPr="009506D3">
                    <w:rPr>
                      <w:rFonts w:ascii="Times" w:hAnsi="Times"/>
                      <w:color w:val="000000"/>
                      <w:sz w:val="20"/>
                      <w:szCs w:val="20"/>
                      <w:lang w:val="en-GB"/>
                    </w:rPr>
                    <w:t>Example of (1) a voxel where the local centre-of-gravity points in the local tract perpendicular direction, and (2) a voxel lying on the tract centre.</w:t>
                  </w:r>
                </w:p>
              </w:txbxContent>
            </v:textbox>
            <w10:wrap type="through"/>
          </v:shape>
        </w:pict>
      </w: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r>
        <w:rPr>
          <w:rFonts w:ascii="Times New Roman" w:hAnsi="Times New Roman" w:cs="Times New Roman"/>
          <w:b/>
          <w:bCs/>
          <w:i/>
          <w:iCs/>
          <w:noProof/>
          <w:color w:val="0D0D0D"/>
          <w:sz w:val="24"/>
          <w:szCs w:val="24"/>
          <w:u w:val="single"/>
          <w:lang w:val="it-IT" w:eastAsia="it-IT"/>
        </w:rPr>
        <w:drawing>
          <wp:anchor distT="0" distB="0" distL="0" distR="114935" simplePos="0" relativeHeight="251670528" behindDoc="0" locked="0" layoutInCell="1" allowOverlap="1">
            <wp:simplePos x="0" y="0"/>
            <wp:positionH relativeFrom="column">
              <wp:posOffset>181610</wp:posOffset>
            </wp:positionH>
            <wp:positionV relativeFrom="paragraph">
              <wp:posOffset>0</wp:posOffset>
            </wp:positionV>
            <wp:extent cx="5577205" cy="5821045"/>
            <wp:effectExtent l="0" t="0" r="0" b="0"/>
            <wp:wrapThrough wrapText="bothSides">
              <wp:wrapPolygon edited="0">
                <wp:start x="0" y="0"/>
                <wp:lineTo x="0" y="21489"/>
                <wp:lineTo x="21543" y="21489"/>
                <wp:lineTo x="21543" y="0"/>
                <wp:lineTo x="0" y="0"/>
              </wp:wrapPolygon>
            </wp:wrapThrough>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77205" cy="5821045"/>
                    </a:xfrm>
                    <a:prstGeom prst="rect">
                      <a:avLst/>
                    </a:prstGeom>
                    <a:solidFill>
                      <a:srgbClr val="FFFFFF"/>
                    </a:solidFill>
                    <a:ln>
                      <a:noFill/>
                    </a:ln>
                  </pic:spPr>
                </pic:pic>
              </a:graphicData>
            </a:graphic>
          </wp:anchor>
        </w:drawing>
      </w: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F11D03" w:rsidRDefault="00F11D03" w:rsidP="001E5BE4">
      <w:pPr>
        <w:pStyle w:val="NormaleWeb1"/>
        <w:spacing w:before="0" w:after="0" w:line="360" w:lineRule="auto"/>
        <w:jc w:val="both"/>
        <w:rPr>
          <w:rFonts w:ascii="Times New Roman" w:hAnsi="Times New Roman"/>
          <w:b/>
          <w:color w:val="0D0D0D"/>
          <w:lang w:val="en-GB"/>
        </w:rPr>
      </w:pPr>
    </w:p>
    <w:p w:rsidR="00A908D4" w:rsidRPr="008409BD" w:rsidRDefault="00A908D4" w:rsidP="001E5BE4">
      <w:pPr>
        <w:pStyle w:val="NormaleWeb1"/>
        <w:spacing w:before="0" w:after="0" w:line="360" w:lineRule="auto"/>
        <w:jc w:val="both"/>
        <w:rPr>
          <w:rFonts w:ascii="Times New Roman" w:hAnsi="Times New Roman"/>
          <w:color w:val="0D0D0D"/>
          <w:lang w:val="en-GB"/>
        </w:rPr>
      </w:pPr>
      <w:r w:rsidRPr="008409BD">
        <w:rPr>
          <w:rFonts w:ascii="Times New Roman" w:hAnsi="Times New Roman"/>
          <w:b/>
          <w:color w:val="0D0D0D"/>
          <w:lang w:val="en-GB"/>
        </w:rPr>
        <w:t>Fig 3</w:t>
      </w:r>
      <w:r w:rsidRPr="008409BD">
        <w:rPr>
          <w:rFonts w:ascii="Times New Roman" w:hAnsi="Times New Roman"/>
          <w:color w:val="0D0D0D"/>
          <w:lang w:val="en-GB"/>
        </w:rPr>
        <w:t xml:space="preserve"> </w:t>
      </w:r>
      <w:r w:rsidR="004E5999">
        <w:rPr>
          <w:rFonts w:ascii="Times New Roman" w:hAnsi="Times New Roman"/>
          <w:color w:val="0D0D0D"/>
          <w:lang w:val="en-GB"/>
        </w:rPr>
        <w:t xml:space="preserve">Trasformazione della Mean_FA in </w:t>
      </w:r>
      <w:r w:rsidR="00A71E02">
        <w:rPr>
          <w:rFonts w:ascii="Times New Roman" w:hAnsi="Times New Roman"/>
          <w:color w:val="0D0D0D"/>
          <w:lang w:val="en-GB"/>
        </w:rPr>
        <w:t>skeleton</w:t>
      </w:r>
      <w:r w:rsidRPr="008409BD">
        <w:rPr>
          <w:rFonts w:ascii="Times New Roman" w:hAnsi="Times New Roman"/>
          <w:color w:val="0D0D0D"/>
          <w:lang w:val="en-GB"/>
        </w:rPr>
        <w:t xml:space="preserve">. </w:t>
      </w:r>
      <w:r w:rsidRPr="008409BD">
        <w:rPr>
          <w:rFonts w:ascii="Times New Roman" w:hAnsi="Times New Roman"/>
          <w:b/>
          <w:bCs/>
          <w:color w:val="0D0D0D"/>
          <w:lang w:val="en-GB"/>
        </w:rPr>
        <w:t xml:space="preserve">A. </w:t>
      </w:r>
      <w:r w:rsidR="00A71E02">
        <w:rPr>
          <w:rFonts w:ascii="Times New Roman" w:hAnsi="Times New Roman"/>
          <w:color w:val="0D0D0D"/>
          <w:lang w:val="en-GB"/>
        </w:rPr>
        <w:t>Porzione assiale di un’immagine Mean_FA</w:t>
      </w:r>
      <w:r w:rsidRPr="008409BD">
        <w:rPr>
          <w:rFonts w:ascii="Times New Roman" w:hAnsi="Times New Roman"/>
          <w:color w:val="0D0D0D"/>
          <w:lang w:val="en-GB"/>
        </w:rPr>
        <w:t xml:space="preserve">; overlaid is the final skeleton, </w:t>
      </w:r>
      <w:r w:rsidR="00A71E02">
        <w:rPr>
          <w:rFonts w:ascii="Times New Roman" w:hAnsi="Times New Roman"/>
          <w:color w:val="0D0D0D"/>
          <w:lang w:val="en-GB"/>
        </w:rPr>
        <w:t>viene mostrata la ROI utilizzata per le restanti immagini.</w:t>
      </w:r>
      <w:r w:rsidRPr="008409BD">
        <w:rPr>
          <w:rFonts w:ascii="Times New Roman" w:hAnsi="Times New Roman"/>
          <w:color w:val="0D0D0D"/>
          <w:lang w:val="en-GB"/>
        </w:rPr>
        <w:t xml:space="preserve"> </w:t>
      </w:r>
      <w:r w:rsidRPr="008409BD">
        <w:rPr>
          <w:rFonts w:ascii="Times New Roman" w:hAnsi="Times New Roman"/>
          <w:b/>
          <w:bCs/>
          <w:color w:val="0D0D0D"/>
          <w:lang w:val="en-GB"/>
        </w:rPr>
        <w:t xml:space="preserve">B. </w:t>
      </w:r>
      <w:r w:rsidR="00A71E02">
        <w:rPr>
          <w:rFonts w:ascii="Times New Roman" w:hAnsi="Times New Roman"/>
          <w:bCs/>
          <w:color w:val="0D0D0D"/>
          <w:lang w:val="en-GB"/>
        </w:rPr>
        <w:t>Risultato del primo step di calcolo della direzione perpendicolare della struttura dei tratti locali</w:t>
      </w:r>
      <w:r w:rsidRPr="008409BD">
        <w:rPr>
          <w:rFonts w:ascii="Times New Roman" w:hAnsi="Times New Roman"/>
          <w:color w:val="0D0D0D"/>
          <w:lang w:val="en-GB"/>
        </w:rPr>
        <w:t xml:space="preserve">; </w:t>
      </w:r>
      <w:r w:rsidR="00A71E02">
        <w:rPr>
          <w:rFonts w:ascii="Times New Roman" w:hAnsi="Times New Roman"/>
          <w:color w:val="0D0D0D"/>
          <w:lang w:val="en-GB"/>
        </w:rPr>
        <w:t>le linee mostrano le direzioni stimate sulla base del punto di FA maggiore di ogni voxel.</w:t>
      </w:r>
      <w:r w:rsidRPr="008409BD">
        <w:rPr>
          <w:rFonts w:ascii="Times New Roman" w:hAnsi="Times New Roman"/>
          <w:color w:val="0D0D0D"/>
          <w:lang w:val="en-GB"/>
        </w:rPr>
        <w:t xml:space="preserve"> </w:t>
      </w:r>
      <w:r w:rsidRPr="008409BD">
        <w:rPr>
          <w:rFonts w:ascii="Times New Roman" w:hAnsi="Times New Roman"/>
          <w:b/>
          <w:bCs/>
          <w:color w:val="0D0D0D"/>
          <w:lang w:val="en-GB"/>
        </w:rPr>
        <w:t xml:space="preserve">C. </w:t>
      </w:r>
      <w:r w:rsidR="00A71E02">
        <w:rPr>
          <w:rFonts w:ascii="Times New Roman" w:hAnsi="Times New Roman"/>
          <w:bCs/>
          <w:color w:val="0D0D0D"/>
          <w:lang w:val="en-GB"/>
        </w:rPr>
        <w:t>Dopo il secondo step,</w:t>
      </w:r>
      <w:r w:rsidRPr="008409BD">
        <w:rPr>
          <w:rFonts w:ascii="Times New Roman" w:hAnsi="Times New Roman"/>
          <w:color w:val="0D0D0D"/>
          <w:lang w:val="en-GB"/>
        </w:rPr>
        <w:t xml:space="preserve"> </w:t>
      </w:r>
      <w:r w:rsidR="00A71E02">
        <w:rPr>
          <w:rFonts w:ascii="Times New Roman" w:hAnsi="Times New Roman"/>
          <w:color w:val="0D0D0D"/>
          <w:lang w:val="en-GB"/>
        </w:rPr>
        <w:t>viene stimata la direzione perpendicolare per tutti I voxels in cui la FA non è vicina a zero.</w:t>
      </w:r>
      <w:r w:rsidRPr="008409BD">
        <w:rPr>
          <w:rFonts w:ascii="Times New Roman" w:hAnsi="Times New Roman"/>
          <w:color w:val="0D0D0D"/>
          <w:lang w:val="en-GB"/>
        </w:rPr>
        <w:t xml:space="preserve"> </w:t>
      </w:r>
      <w:r w:rsidRPr="008409BD">
        <w:rPr>
          <w:rFonts w:ascii="Times New Roman" w:hAnsi="Times New Roman"/>
          <w:b/>
          <w:bCs/>
          <w:color w:val="0D0D0D"/>
          <w:lang w:val="en-GB"/>
        </w:rPr>
        <w:t xml:space="preserve">D. </w:t>
      </w:r>
      <w:r w:rsidR="00A71E02">
        <w:rPr>
          <w:rFonts w:ascii="Times New Roman" w:hAnsi="Times New Roman"/>
          <w:bCs/>
          <w:color w:val="0D0D0D"/>
          <w:lang w:val="en-GB"/>
        </w:rPr>
        <w:t>Le stime delle direzioni vengono smussate.</w:t>
      </w: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A908D4" w:rsidRDefault="00A908D4"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p>
    <w:p w:rsidR="00A0541C" w:rsidRPr="00753303" w:rsidRDefault="00B460A6" w:rsidP="001E5BE4">
      <w:pPr>
        <w:pStyle w:val="Tesi"/>
        <w:tabs>
          <w:tab w:val="left" w:pos="8503"/>
        </w:tabs>
        <w:spacing w:after="0" w:line="360" w:lineRule="auto"/>
        <w:ind w:right="1091"/>
        <w:jc w:val="both"/>
        <w:rPr>
          <w:rFonts w:ascii="Times New Roman" w:hAnsi="Times New Roman" w:cs="Times New Roman"/>
          <w:b/>
          <w:bCs/>
          <w:i/>
          <w:iCs/>
          <w:color w:val="0D0D0D"/>
          <w:sz w:val="24"/>
          <w:szCs w:val="24"/>
          <w:u w:val="single"/>
          <w:lang w:val="en-GB"/>
        </w:rPr>
      </w:pPr>
      <w:r>
        <w:rPr>
          <w:rFonts w:ascii="Times New Roman" w:hAnsi="Times New Roman" w:cs="Times New Roman"/>
          <w:b/>
          <w:bCs/>
          <w:i/>
          <w:iCs/>
          <w:color w:val="0D0D0D"/>
          <w:sz w:val="24"/>
          <w:szCs w:val="24"/>
          <w:u w:val="single"/>
          <w:lang w:val="en-GB"/>
        </w:rPr>
        <w:t>Proiezione della FA di ogni soggetto sullo scheletro</w:t>
      </w:r>
    </w:p>
    <w:p w:rsidR="00F11D03" w:rsidRDefault="003352BF" w:rsidP="001E5BE4">
      <w:pPr>
        <w:pStyle w:val="Tesi"/>
        <w:tabs>
          <w:tab w:val="left" w:pos="8503"/>
        </w:tabs>
        <w:spacing w:line="360" w:lineRule="auto"/>
        <w:ind w:right="1091"/>
        <w:jc w:val="both"/>
        <w:rPr>
          <w:rFonts w:ascii="Times New Roman" w:hAnsi="Times New Roman"/>
          <w:sz w:val="24"/>
          <w:szCs w:val="24"/>
        </w:rPr>
      </w:pPr>
      <w:r>
        <w:rPr>
          <w:rFonts w:ascii="Times New Roman" w:hAnsi="Times New Roman"/>
          <w:sz w:val="24"/>
          <w:szCs w:val="24"/>
        </w:rPr>
        <w:t>Per proiettare l'immagine FA</w:t>
      </w:r>
      <w:r w:rsidR="00B460A6">
        <w:rPr>
          <w:rFonts w:ascii="Times New Roman" w:hAnsi="Times New Roman"/>
          <w:sz w:val="24"/>
          <w:szCs w:val="24"/>
        </w:rPr>
        <w:t xml:space="preserve"> di ogni soggetto sullo scheletro, il valore massimo di FA di ogni voxel direzionato perpendicolarmente viene assegnato al voxel più vicino dello stesso tratto delle scheletro. L'obiettivo di questo passaggio è quello di eliminare ogni residuo allineamento sbagliato dopo l0iniziale registrazione non lineare. Per restringere la ricerca del valore piu altr</w:t>
      </w:r>
      <w:r w:rsidR="009F1675">
        <w:rPr>
          <w:rFonts w:ascii="Times New Roman" w:hAnsi="Times New Roman"/>
          <w:sz w:val="24"/>
          <w:szCs w:val="24"/>
        </w:rPr>
        <w:t>o di FA, i</w:t>
      </w:r>
      <w:r w:rsidR="00B460A6">
        <w:rPr>
          <w:rFonts w:ascii="Times New Roman" w:hAnsi="Times New Roman"/>
          <w:sz w:val="24"/>
          <w:szCs w:val="24"/>
        </w:rPr>
        <w:t xml:space="preserve"> valori dei voxel che si trovano vicini abbastanza allo scheletro, viene creata una mappa per ogni sogetto, dove viene indicata la distanza </w:t>
      </w:r>
    </w:p>
    <w:p w:rsidR="00A0541C" w:rsidRDefault="00B460A6" w:rsidP="001E5BE4">
      <w:pPr>
        <w:pStyle w:val="Tesi"/>
        <w:tabs>
          <w:tab w:val="left" w:pos="8503"/>
        </w:tabs>
        <w:spacing w:line="360" w:lineRule="auto"/>
        <w:ind w:right="1091"/>
        <w:jc w:val="both"/>
        <w:rPr>
          <w:rFonts w:ascii="Times New Roman" w:hAnsi="Times New Roman"/>
          <w:sz w:val="24"/>
          <w:szCs w:val="24"/>
        </w:rPr>
      </w:pPr>
      <w:r>
        <w:rPr>
          <w:rFonts w:ascii="Times New Roman" w:hAnsi="Times New Roman"/>
          <w:sz w:val="24"/>
          <w:szCs w:val="24"/>
        </w:rPr>
        <w:t>di ogni voxel dal più vicino tratto nello scheletro. Questo effettivamente risulta in un perfetto allineamento, senza bisogno di ricorrere a registrazioni non lineari.</w:t>
      </w:r>
    </w:p>
    <w:p w:rsidR="00F11D03" w:rsidRDefault="00F11D03" w:rsidP="001E5BE4">
      <w:pPr>
        <w:pStyle w:val="Tesi"/>
        <w:tabs>
          <w:tab w:val="left" w:pos="8503"/>
        </w:tabs>
        <w:spacing w:line="360" w:lineRule="auto"/>
        <w:ind w:right="1091"/>
        <w:jc w:val="both"/>
        <w:rPr>
          <w:rFonts w:ascii="Times New Roman" w:hAnsi="Times New Roman"/>
          <w:sz w:val="24"/>
          <w:szCs w:val="24"/>
        </w:rPr>
      </w:pPr>
      <w:r w:rsidRPr="00F11D03">
        <w:rPr>
          <w:noProof/>
          <w:lang w:val="it-IT" w:eastAsia="it-IT"/>
        </w:rPr>
        <w:drawing>
          <wp:anchor distT="0" distB="0" distL="114300" distR="114300" simplePos="0" relativeHeight="251676672" behindDoc="0" locked="0" layoutInCell="1" allowOverlap="1">
            <wp:simplePos x="0" y="0"/>
            <wp:positionH relativeFrom="column">
              <wp:posOffset>685800</wp:posOffset>
            </wp:positionH>
            <wp:positionV relativeFrom="paragraph">
              <wp:posOffset>58420</wp:posOffset>
            </wp:positionV>
            <wp:extent cx="4381500" cy="2603500"/>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81500" cy="2603500"/>
                    </a:xfrm>
                    <a:prstGeom prst="rect">
                      <a:avLst/>
                    </a:prstGeom>
                    <a:noFill/>
                    <a:ln>
                      <a:noFill/>
                    </a:ln>
                  </pic:spPr>
                </pic:pic>
              </a:graphicData>
            </a:graphic>
          </wp:anchor>
        </w:drawing>
      </w:r>
    </w:p>
    <w:p w:rsidR="00F11D03" w:rsidRDefault="00F11D03" w:rsidP="001E5BE4">
      <w:pPr>
        <w:pStyle w:val="Tesi"/>
        <w:tabs>
          <w:tab w:val="left" w:pos="8503"/>
        </w:tabs>
        <w:spacing w:line="360" w:lineRule="auto"/>
        <w:ind w:right="1091"/>
        <w:jc w:val="both"/>
        <w:rPr>
          <w:rFonts w:ascii="Times New Roman" w:hAnsi="Times New Roman"/>
          <w:sz w:val="24"/>
          <w:szCs w:val="24"/>
        </w:rPr>
      </w:pPr>
    </w:p>
    <w:p w:rsidR="00F11D03" w:rsidRDefault="00F11D03" w:rsidP="001E5BE4">
      <w:pPr>
        <w:pStyle w:val="Tesi"/>
        <w:tabs>
          <w:tab w:val="left" w:pos="8503"/>
        </w:tabs>
        <w:spacing w:line="360" w:lineRule="auto"/>
        <w:ind w:right="1091"/>
        <w:jc w:val="both"/>
        <w:rPr>
          <w:rFonts w:ascii="Times New Roman" w:hAnsi="Times New Roman"/>
          <w:sz w:val="24"/>
          <w:szCs w:val="24"/>
        </w:rPr>
      </w:pPr>
    </w:p>
    <w:p w:rsidR="00F11D03" w:rsidRDefault="00F11D03"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F11D03" w:rsidRDefault="00F11D03" w:rsidP="001E5BE4">
      <w:pPr>
        <w:pStyle w:val="Tesi"/>
        <w:tabs>
          <w:tab w:val="left" w:pos="8503"/>
        </w:tabs>
        <w:spacing w:line="360" w:lineRule="auto"/>
        <w:ind w:right="1091"/>
        <w:jc w:val="both"/>
        <w:rPr>
          <w:rFonts w:ascii="Times New Roman" w:hAnsi="Times New Roman"/>
          <w:b/>
          <w:bCs/>
          <w:i/>
          <w:iCs/>
          <w:sz w:val="24"/>
          <w:szCs w:val="24"/>
          <w:u w:val="single"/>
        </w:rPr>
      </w:pPr>
    </w:p>
    <w:p w:rsidR="00F11D03" w:rsidRDefault="00F11D03" w:rsidP="001E5BE4">
      <w:pPr>
        <w:pStyle w:val="Tesi"/>
        <w:tabs>
          <w:tab w:val="left" w:pos="8503"/>
        </w:tabs>
        <w:spacing w:line="360" w:lineRule="auto"/>
        <w:ind w:right="1091"/>
        <w:jc w:val="both"/>
        <w:rPr>
          <w:rFonts w:ascii="Times New Roman" w:hAnsi="Times New Roman"/>
          <w:b/>
          <w:bCs/>
          <w:i/>
          <w:iCs/>
          <w:sz w:val="24"/>
          <w:szCs w:val="24"/>
          <w:u w:val="single"/>
        </w:rPr>
      </w:pPr>
    </w:p>
    <w:p w:rsidR="00F11D03" w:rsidRPr="000D0594" w:rsidRDefault="00F11D03" w:rsidP="001E5BE4">
      <w:pPr>
        <w:pStyle w:val="Tesi"/>
        <w:tabs>
          <w:tab w:val="left" w:pos="8503"/>
        </w:tabs>
        <w:spacing w:line="360" w:lineRule="auto"/>
        <w:ind w:right="1091"/>
        <w:jc w:val="both"/>
        <w:rPr>
          <w:rFonts w:ascii="Times New Roman" w:hAnsi="Times New Roman"/>
          <w:color w:val="0D0D0D"/>
          <w:sz w:val="20"/>
          <w:szCs w:val="20"/>
          <w:lang w:val="en-GB"/>
        </w:rPr>
      </w:pPr>
      <w:r w:rsidRPr="00F11D03">
        <w:rPr>
          <w:rFonts w:ascii="Times New Roman" w:hAnsi="Times New Roman"/>
          <w:b/>
          <w:color w:val="0D0D0D"/>
          <w:sz w:val="20"/>
          <w:szCs w:val="20"/>
          <w:lang w:val="en-GB"/>
        </w:rPr>
        <w:t>Fig. 4</w:t>
      </w:r>
      <w:r w:rsidRPr="00F11D03">
        <w:rPr>
          <w:rFonts w:ascii="Times New Roman" w:hAnsi="Times New Roman"/>
          <w:color w:val="0D0D0D"/>
          <w:sz w:val="20"/>
          <w:szCs w:val="20"/>
          <w:lang w:val="en-GB"/>
        </w:rPr>
        <w:t xml:space="preserve"> </w:t>
      </w:r>
      <w:r w:rsidR="003352BF">
        <w:rPr>
          <w:rFonts w:ascii="Times New Roman" w:hAnsi="Times New Roman"/>
          <w:color w:val="0D0D0D"/>
          <w:sz w:val="20"/>
          <w:szCs w:val="20"/>
          <w:lang w:val="en-GB"/>
        </w:rPr>
        <w:t>Esempio di “Distance-map”</w:t>
      </w:r>
      <w:r w:rsidRPr="00F11D03">
        <w:rPr>
          <w:rFonts w:ascii="Times New Roman" w:hAnsi="Times New Roman"/>
          <w:color w:val="0D0D0D"/>
          <w:sz w:val="20"/>
          <w:szCs w:val="20"/>
          <w:lang w:val="en-GB"/>
        </w:rPr>
        <w:t xml:space="preserve">: </w:t>
      </w:r>
      <w:r w:rsidR="009F1675">
        <w:rPr>
          <w:rFonts w:ascii="Times New Roman" w:hAnsi="Times New Roman"/>
          <w:color w:val="0D0D0D"/>
          <w:sz w:val="20"/>
          <w:szCs w:val="20"/>
          <w:lang w:val="en-GB"/>
        </w:rPr>
        <w:t>i</w:t>
      </w:r>
      <w:r w:rsidR="003352BF">
        <w:rPr>
          <w:rFonts w:ascii="Times New Roman" w:hAnsi="Times New Roman"/>
          <w:color w:val="0D0D0D"/>
          <w:sz w:val="20"/>
          <w:szCs w:val="20"/>
          <w:lang w:val="en-GB"/>
        </w:rPr>
        <w:t xml:space="preserve"> colori rosso-giallo codificano, per ogni voxel del cervello, quanto dista il tratto di scheletro più vicino.</w:t>
      </w:r>
      <w:r w:rsidRPr="00F11D03">
        <w:rPr>
          <w:rFonts w:ascii="Times New Roman" w:hAnsi="Times New Roman"/>
          <w:color w:val="0D0D0D"/>
          <w:sz w:val="20"/>
          <w:szCs w:val="20"/>
          <w:lang w:val="en-GB"/>
        </w:rPr>
        <w:t xml:space="preserve"> </w:t>
      </w:r>
      <w:r w:rsidR="003352BF">
        <w:rPr>
          <w:rFonts w:ascii="Times New Roman" w:hAnsi="Times New Roman"/>
          <w:color w:val="0D0D0D"/>
          <w:sz w:val="20"/>
          <w:szCs w:val="20"/>
          <w:lang w:val="en-GB"/>
        </w:rPr>
        <w:t>Questo viene usato durante la proiezione delle immagini FA individuali sullo scheletro</w:t>
      </w:r>
      <w:r w:rsidR="000D0594">
        <w:rPr>
          <w:rFonts w:ascii="Times New Roman" w:hAnsi="Times New Roman"/>
          <w:color w:val="0D0D0D"/>
          <w:sz w:val="20"/>
          <w:szCs w:val="20"/>
          <w:lang w:val="en-GB"/>
        </w:rPr>
        <w:t>, per assicurar</w:t>
      </w:r>
      <w:r w:rsidR="009F1675">
        <w:rPr>
          <w:rFonts w:ascii="Times New Roman" w:hAnsi="Times New Roman"/>
          <w:color w:val="0D0D0D"/>
          <w:sz w:val="20"/>
          <w:szCs w:val="20"/>
          <w:lang w:val="en-GB"/>
        </w:rPr>
        <w:t>si che vengano utilizzati solo i</w:t>
      </w:r>
      <w:r w:rsidR="000D0594">
        <w:rPr>
          <w:rFonts w:ascii="Times New Roman" w:hAnsi="Times New Roman"/>
          <w:color w:val="0D0D0D"/>
          <w:sz w:val="20"/>
          <w:szCs w:val="20"/>
          <w:lang w:val="en-GB"/>
        </w:rPr>
        <w:t xml:space="preserve"> valori delle porzioni di scheletro più vicine.</w:t>
      </w:r>
      <w:r w:rsidRPr="00F11D03">
        <w:rPr>
          <w:rFonts w:ascii="Times New Roman" w:hAnsi="Times New Roman"/>
          <w:color w:val="0D0D0D"/>
          <w:sz w:val="20"/>
          <w:szCs w:val="20"/>
          <w:lang w:val="en-GB"/>
        </w:rPr>
        <w:t xml:space="preserve"> </w:t>
      </w:r>
      <w:r w:rsidR="00210647">
        <w:rPr>
          <w:rFonts w:ascii="Times New Roman" w:hAnsi="Times New Roman"/>
          <w:color w:val="0D0D0D"/>
          <w:sz w:val="20"/>
          <w:szCs w:val="20"/>
          <w:lang w:val="en-GB"/>
        </w:rPr>
        <w:t>La m</w:t>
      </w:r>
      <w:r w:rsidR="000D0594">
        <w:rPr>
          <w:rFonts w:ascii="Times New Roman" w:hAnsi="Times New Roman"/>
          <w:color w:val="0D0D0D"/>
          <w:sz w:val="20"/>
          <w:szCs w:val="20"/>
          <w:lang w:val="en-GB"/>
        </w:rPr>
        <w:t>ean_FA sottostante è visibile nelle zone in cui la distanza è uguale a zero.</w:t>
      </w:r>
    </w:p>
    <w:p w:rsidR="00F11D03" w:rsidRDefault="00F11D03" w:rsidP="001E5BE4">
      <w:pPr>
        <w:pStyle w:val="Tesi"/>
        <w:tabs>
          <w:tab w:val="left" w:pos="8503"/>
        </w:tabs>
        <w:spacing w:line="360" w:lineRule="auto"/>
        <w:ind w:right="1091"/>
        <w:jc w:val="both"/>
        <w:rPr>
          <w:rFonts w:ascii="Times New Roman" w:hAnsi="Times New Roman"/>
          <w:b/>
          <w:bCs/>
          <w:i/>
          <w:iCs/>
          <w:sz w:val="24"/>
          <w:szCs w:val="24"/>
          <w:u w:val="single"/>
        </w:rPr>
      </w:pPr>
    </w:p>
    <w:p w:rsidR="00A0541C" w:rsidRDefault="00B460A6" w:rsidP="001E5BE4">
      <w:pPr>
        <w:pStyle w:val="Tesi"/>
        <w:tabs>
          <w:tab w:val="left" w:pos="8503"/>
        </w:tabs>
        <w:spacing w:line="360" w:lineRule="auto"/>
        <w:ind w:right="1091"/>
        <w:jc w:val="both"/>
        <w:rPr>
          <w:rFonts w:ascii="Times New Roman" w:hAnsi="Times New Roman"/>
          <w:b/>
          <w:bCs/>
          <w:i/>
          <w:iCs/>
          <w:sz w:val="24"/>
          <w:szCs w:val="24"/>
          <w:u w:val="single"/>
        </w:rPr>
      </w:pPr>
      <w:r>
        <w:rPr>
          <w:rFonts w:ascii="Times New Roman" w:hAnsi="Times New Roman"/>
          <w:b/>
          <w:bCs/>
          <w:i/>
          <w:iCs/>
          <w:sz w:val="24"/>
          <w:szCs w:val="24"/>
          <w:u w:val="single"/>
        </w:rPr>
        <w:t>Statistiche e soglie</w:t>
      </w:r>
    </w:p>
    <w:p w:rsidR="00A0541C" w:rsidRDefault="00F11D03" w:rsidP="001E5BE4">
      <w:pPr>
        <w:pStyle w:val="Tesi"/>
        <w:tabs>
          <w:tab w:val="left" w:pos="8503"/>
        </w:tabs>
        <w:spacing w:after="0" w:line="360" w:lineRule="auto"/>
        <w:ind w:right="1089"/>
        <w:jc w:val="both"/>
        <w:rPr>
          <w:rFonts w:ascii="Times New Roman" w:hAnsi="Times New Roman"/>
          <w:sz w:val="24"/>
          <w:szCs w:val="24"/>
        </w:rPr>
      </w:pPr>
      <w:r>
        <w:rPr>
          <w:rFonts w:ascii="Times New Roman" w:hAnsi="Times New Roman"/>
          <w:sz w:val="24"/>
          <w:szCs w:val="24"/>
        </w:rPr>
        <w:t>A</w:t>
      </w:r>
      <w:r w:rsidR="00B460A6">
        <w:rPr>
          <w:rFonts w:ascii="Times New Roman" w:hAnsi="Times New Roman"/>
          <w:sz w:val="24"/>
          <w:szCs w:val="24"/>
        </w:rPr>
        <w:t xml:space="preserve"> questo punto vengono effettuate le statistiche voxelwise sull'immagine 4D che viene composta dall'unione delle immagini scheltro di ogni sogge</w:t>
      </w:r>
      <w:r w:rsidR="009F1675">
        <w:rPr>
          <w:rFonts w:ascii="Times New Roman" w:hAnsi="Times New Roman"/>
          <w:sz w:val="24"/>
          <w:szCs w:val="24"/>
        </w:rPr>
        <w:t>tto; la quarta dimensione sono i</w:t>
      </w:r>
      <w:r w:rsidR="00B460A6">
        <w:rPr>
          <w:rFonts w:ascii="Times New Roman" w:hAnsi="Times New Roman"/>
          <w:sz w:val="24"/>
          <w:szCs w:val="24"/>
        </w:rPr>
        <w:t xml:space="preserve"> soggetti, per ogni punto dello scheletro comune. È possibile applicare il modello lineare generale per ogni voxel dello scheletro indipendentemente. Data la curva gaussiana della distribuzione dei valori di FA per ogni voxel, dimostrata da Smith et al nel 2006, è possibile performare una semplice regressione parametrica. La correzione per fattori multipli è l'ultima difficile scelta da compiere. Nel nostro studio abbiamo deciso per le permutazioni (Nichols and Holmes, 2011), che s</w:t>
      </w:r>
      <w:r w:rsidR="009F1675">
        <w:rPr>
          <w:rFonts w:ascii="Times New Roman" w:hAnsi="Times New Roman"/>
          <w:sz w:val="24"/>
          <w:szCs w:val="24"/>
        </w:rPr>
        <w:t>embra essere il più adatto per i</w:t>
      </w:r>
      <w:r w:rsidR="00B460A6">
        <w:rPr>
          <w:rFonts w:ascii="Times New Roman" w:hAnsi="Times New Roman"/>
          <w:sz w:val="24"/>
          <w:szCs w:val="24"/>
        </w:rPr>
        <w:t xml:space="preserve"> dati TBSS. In accordo con tale approccio, un appropriato test statistico viene provato contro la distribuzione nulla (generato attraverso permutazione randomiche multiple) dei valori massimi del test statistico. Questo fornisce un forte controllo dei “familywise errors” (FWE) ed una appropriata ricerca nell' intero scheletro di regioni con effetto singificativo. Questo approccio non richiede che la distribuzione dei valori sia Gaussiana.</w:t>
      </w:r>
    </w:p>
    <w:p w:rsidR="00A0541C" w:rsidRDefault="00B460A6" w:rsidP="001E5BE4">
      <w:pPr>
        <w:pStyle w:val="Tesi"/>
        <w:tabs>
          <w:tab w:val="left" w:pos="8503"/>
        </w:tabs>
        <w:spacing w:after="0" w:line="360" w:lineRule="auto"/>
        <w:ind w:right="1089"/>
        <w:jc w:val="both"/>
        <w:rPr>
          <w:rFonts w:ascii="Times New Roman" w:hAnsi="Times New Roman"/>
          <w:sz w:val="24"/>
          <w:szCs w:val="24"/>
        </w:rPr>
      </w:pPr>
      <w:r>
        <w:rPr>
          <w:rFonts w:ascii="Times New Roman" w:hAnsi="Times New Roman"/>
          <w:sz w:val="24"/>
          <w:szCs w:val="24"/>
        </w:rPr>
        <w:t>Sebbene la TBSS sembri bypassare molte controindicazioni dei precedenti metodi DTI , presenta comunque alcuni svantaggi. Prima di tutto, nonostante i movimenti della testa dovrebbero essere corretti insieme alla eddy currents, nel primo step del pre-processing, si possono presentare lo stesso delle anomalie, per esempio quando si confrontano gruppi di pazienti con in con</w:t>
      </w:r>
      <w:r w:rsidR="009F1675">
        <w:rPr>
          <w:rFonts w:ascii="Times New Roman" w:hAnsi="Times New Roman"/>
          <w:sz w:val="24"/>
          <w:szCs w:val="24"/>
        </w:rPr>
        <w:t>trolli sani, può succedere che i</w:t>
      </w:r>
      <w:r>
        <w:rPr>
          <w:rFonts w:ascii="Times New Roman" w:hAnsi="Times New Roman"/>
          <w:sz w:val="24"/>
          <w:szCs w:val="24"/>
        </w:rPr>
        <w:t xml:space="preserve"> pazienti muovano la testa molto piu dei controlli. Alcuni di questi problemi non sono ancora stati risolti nell'approccio standard della TBSS. Un' altra area dove occorre una attenta interpretazione è quella de</w:t>
      </w:r>
      <w:r w:rsidR="009F1675">
        <w:rPr>
          <w:rFonts w:ascii="Times New Roman" w:hAnsi="Times New Roman"/>
          <w:sz w:val="24"/>
          <w:szCs w:val="24"/>
        </w:rPr>
        <w:t>lle regioni dove si incrociano i</w:t>
      </w:r>
      <w:r>
        <w:rPr>
          <w:rFonts w:ascii="Times New Roman" w:hAnsi="Times New Roman"/>
          <w:sz w:val="24"/>
          <w:szCs w:val="24"/>
        </w:rPr>
        <w:t xml:space="preserve"> fasci o nelle giunzioni degli stessi. Come detto prima, una riduzione di FA in questi punti può essere dovuta ad un aumento dei fasci che si incrociano, piuttosto che ad una vera diminuzione di anisotropia. Un' altra possibilità, legata alle condizioni cliniche, è che la patologia può ridurre la FA in maniera talmente forte che aree di potenziale interesse vengono escluse quando viene applicata la soglia. Ad ogni modo, questo non avviene cosi spesso, poichè tali patologie come i tumori o le ischemie, vwengono studiate con altre tecniche analitiche. </w:t>
      </w:r>
    </w:p>
    <w:p w:rsidR="00A0541C" w:rsidRDefault="00B460A6" w:rsidP="001E5BE4">
      <w:pPr>
        <w:pStyle w:val="Tesi"/>
        <w:tabs>
          <w:tab w:val="left" w:pos="8503"/>
        </w:tabs>
        <w:spacing w:line="360" w:lineRule="auto"/>
        <w:ind w:right="1091"/>
        <w:jc w:val="both"/>
        <w:rPr>
          <w:rFonts w:ascii="Times New Roman" w:hAnsi="Times New Roman"/>
          <w:sz w:val="24"/>
          <w:szCs w:val="24"/>
        </w:rPr>
      </w:pPr>
      <w:r>
        <w:rPr>
          <w:rFonts w:ascii="Times New Roman" w:hAnsi="Times New Roman"/>
          <w:sz w:val="24"/>
          <w:szCs w:val="24"/>
        </w:rPr>
        <w:t xml:space="preserve">Per finire, le limitazioni di questo nuovo approccio alle analisi del tensore di diffusione, sembrano essere meno rilevanti di quelle presenti negli approcci più vecchi. Al contrario, la TBSS migliora la sensibilità, l'oggettività e l'interpretabilità delle analisi </w:t>
      </w:r>
      <w:r w:rsidR="00BC2DED">
        <w:rPr>
          <w:rFonts w:ascii="Times New Roman" w:hAnsi="Times New Roman"/>
          <w:sz w:val="24"/>
          <w:szCs w:val="24"/>
        </w:rPr>
        <w:t>DTI</w:t>
      </w:r>
      <w:r>
        <w:rPr>
          <w:rFonts w:ascii="Times New Roman" w:hAnsi="Times New Roman"/>
          <w:sz w:val="24"/>
          <w:szCs w:val="24"/>
        </w:rPr>
        <w:t xml:space="preserve"> multi-soggetto.</w:t>
      </w: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CD2867" w:rsidRDefault="00CD2867" w:rsidP="001E5BE4">
      <w:pPr>
        <w:pStyle w:val="Tesi"/>
        <w:tabs>
          <w:tab w:val="left" w:pos="8503"/>
        </w:tabs>
        <w:spacing w:line="360" w:lineRule="auto"/>
        <w:ind w:right="1091"/>
        <w:jc w:val="both"/>
        <w:rPr>
          <w:rFonts w:ascii="Times New Roman" w:hAnsi="Times New Roman"/>
          <w:sz w:val="24"/>
          <w:szCs w:val="24"/>
        </w:rPr>
      </w:pPr>
    </w:p>
    <w:p w:rsidR="00CD2867" w:rsidRDefault="00CD2867"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Pr="00CD2867" w:rsidRDefault="00B460A6" w:rsidP="001E5BE4">
      <w:pPr>
        <w:pStyle w:val="Tesi"/>
        <w:tabs>
          <w:tab w:val="left" w:pos="8503"/>
        </w:tabs>
        <w:spacing w:line="360" w:lineRule="auto"/>
        <w:ind w:right="1091"/>
        <w:jc w:val="both"/>
        <w:rPr>
          <w:rFonts w:ascii="Times New Roman" w:hAnsi="Times New Roman"/>
          <w:b/>
          <w:bCs/>
          <w:sz w:val="26"/>
          <w:szCs w:val="26"/>
        </w:rPr>
      </w:pPr>
      <w:r w:rsidRPr="00CD2867">
        <w:rPr>
          <w:rFonts w:ascii="Times New Roman" w:hAnsi="Times New Roman"/>
          <w:b/>
          <w:bCs/>
          <w:sz w:val="26"/>
          <w:szCs w:val="26"/>
        </w:rPr>
        <w:t>4 STUDIO SPERIMENTALE</w:t>
      </w: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B460A6" w:rsidP="001E5BE4">
      <w:pPr>
        <w:pStyle w:val="Tesi"/>
        <w:tabs>
          <w:tab w:val="left" w:pos="8503"/>
        </w:tabs>
        <w:spacing w:line="360" w:lineRule="auto"/>
        <w:ind w:right="1091"/>
        <w:jc w:val="both"/>
        <w:rPr>
          <w:rFonts w:ascii="Times New Roman" w:hAnsi="Times New Roman"/>
          <w:b/>
          <w:bCs/>
          <w:sz w:val="24"/>
          <w:szCs w:val="24"/>
        </w:rPr>
      </w:pPr>
      <w:r>
        <w:rPr>
          <w:rFonts w:ascii="Times New Roman" w:hAnsi="Times New Roman"/>
          <w:b/>
          <w:bCs/>
          <w:sz w:val="24"/>
          <w:szCs w:val="24"/>
        </w:rPr>
        <w:t>4.1 Background</w:t>
      </w:r>
    </w:p>
    <w:p w:rsidR="00A0541C" w:rsidRDefault="00B460A6" w:rsidP="001E5BE4">
      <w:pPr>
        <w:pStyle w:val="Tesi"/>
        <w:tabs>
          <w:tab w:val="left" w:pos="8503"/>
        </w:tabs>
        <w:spacing w:line="360" w:lineRule="auto"/>
        <w:ind w:right="1091"/>
        <w:jc w:val="both"/>
        <w:rPr>
          <w:rFonts w:ascii="Times New Roman" w:hAnsi="Times New Roman"/>
          <w:b/>
          <w:bCs/>
          <w:i/>
          <w:iCs/>
          <w:sz w:val="24"/>
          <w:szCs w:val="24"/>
        </w:rPr>
      </w:pPr>
      <w:r>
        <w:rPr>
          <w:rFonts w:ascii="Times New Roman" w:hAnsi="Times New Roman"/>
          <w:b/>
          <w:bCs/>
          <w:i/>
          <w:iCs/>
          <w:sz w:val="24"/>
          <w:szCs w:val="24"/>
        </w:rPr>
        <w:t>4.1.1 Precedenti studi su Sostanza bianca e DB</w:t>
      </w:r>
    </w:p>
    <w:p w:rsidR="00A0541C" w:rsidRDefault="00B460A6" w:rsidP="001E5BE4">
      <w:pPr>
        <w:pStyle w:val="Tesi"/>
        <w:tabs>
          <w:tab w:val="left" w:pos="8503"/>
        </w:tabs>
        <w:spacing w:line="360" w:lineRule="auto"/>
        <w:ind w:right="1091"/>
        <w:jc w:val="both"/>
        <w:rPr>
          <w:rFonts w:ascii="Times New Roman" w:hAnsi="Times New Roman"/>
          <w:sz w:val="24"/>
          <w:szCs w:val="24"/>
        </w:rPr>
      </w:pPr>
      <w:r>
        <w:rPr>
          <w:rFonts w:ascii="Times New Roman" w:hAnsi="Times New Roman"/>
          <w:sz w:val="24"/>
          <w:szCs w:val="24"/>
        </w:rPr>
        <w:t>Nonostante l'ampia conoscenza sui sintomi della patologia, la neurofisiologia del DB è poco nota. Dati recenti suggeriscono che la sintomatologia bipolare nasce da una serie di disfuzioni in numerose strutture della sostanza bianca che includono specifici network neurali. Studi di imaging recenti dimostrano come il network limbico anteriore presenti delle disfunzioni nel DB che sono responsabili per la sintomatologia affettiva e cognitiva, possibilmente correlate alla neuropatologia dei tratti di sostanza bianca che collegano strutture del netowork limbico anteriore (Adler</w:t>
      </w:r>
      <w:r w:rsidR="00CD2867">
        <w:rPr>
          <w:rFonts w:ascii="Times New Roman" w:hAnsi="Times New Roman"/>
          <w:sz w:val="24"/>
          <w:szCs w:val="24"/>
        </w:rPr>
        <w:t>, 2006a). Altshuler e colleghi (</w:t>
      </w:r>
      <w:r>
        <w:rPr>
          <w:rFonts w:ascii="Times New Roman" w:hAnsi="Times New Roman"/>
          <w:sz w:val="24"/>
          <w:szCs w:val="24"/>
        </w:rPr>
        <w:t>1995</w:t>
      </w:r>
      <w:r w:rsidR="009F1675">
        <w:rPr>
          <w:rFonts w:ascii="Times New Roman" w:hAnsi="Times New Roman"/>
          <w:sz w:val="24"/>
          <w:szCs w:val="24"/>
        </w:rPr>
        <w:t>) sostengono che i</w:t>
      </w:r>
      <w:r>
        <w:rPr>
          <w:rFonts w:ascii="Times New Roman" w:hAnsi="Times New Roman"/>
          <w:sz w:val="24"/>
          <w:szCs w:val="24"/>
        </w:rPr>
        <w:t xml:space="preserve"> pazienti bipolari, in particolare affetti da DB di tipo I, quando paragonati a controlli sani, presentano frequentemente iper-intensità della sostanza bianca (aree che presentano un segnale piu forte nelle immagini T2), che possono essere indicativi di cambiamenti neuropatologici in vari tratti della sostanza bianca e segni precosi di demielinizzazione (Hajek, 2005). Inoltre sono stati trovati dei deficit nel volume della sostanza bianca nei pazienti bipolari (Davis et al., 2004). Numerosi studi di imaging sul volume e sulla densitò della sostanzabianca hanno localizzato deficit dei network fronto-striatali, in particolare (Bruno , 2004). </w:t>
      </w:r>
    </w:p>
    <w:p w:rsidR="00A0541C" w:rsidRDefault="00B460A6" w:rsidP="001E5BE4">
      <w:pPr>
        <w:pStyle w:val="Tesi"/>
        <w:tabs>
          <w:tab w:val="left" w:pos="8503"/>
        </w:tabs>
        <w:spacing w:line="360" w:lineRule="auto"/>
        <w:ind w:right="1091"/>
        <w:jc w:val="both"/>
        <w:rPr>
          <w:rFonts w:ascii="Times New Roman" w:hAnsi="Times New Roman"/>
          <w:color w:val="0D0D0D"/>
          <w:sz w:val="24"/>
          <w:szCs w:val="24"/>
          <w:lang w:val="en-GB"/>
        </w:rPr>
      </w:pPr>
      <w:r>
        <w:rPr>
          <w:rFonts w:ascii="Times New Roman" w:hAnsi="Times New Roman"/>
          <w:sz w:val="24"/>
          <w:szCs w:val="24"/>
        </w:rPr>
        <w:t>Studi DTI con l'uso delle ROIs sono stati condotti su pazienti con DB; le anomalie sono state riscontrate nei tratti si sost bianca che connettono la corteccia pre-frontale alle strutture sub corticali nei network limbici anteriori.  Haznedar e colleghi (2005) hanno effettuato delle analisi volumetrico-strutturali sulla sostanza bianca nel lobo frontale in un campione di 40 pazienti e 36 soggetti di controllo. Hanno osservato una diminuzione di FA nel fascicolo fronto-occipitale anteriore, che include tratti che collegano la corteccia orbito-frontale ai lobi occipitale e temporale, e nella capsula interna posteriore adiacente allo striato. Adler (2004, 2006b) similmente ha osservato una diminuzione della FA nella sostanza bianca prefrontale, in particolare nella WM superiore-frontale e sotto la commissura anteriore. Sempre Adler e colleghi nel 2005 hanno vi</w:t>
      </w:r>
      <w:r w:rsidR="009F1675">
        <w:rPr>
          <w:rFonts w:ascii="Times New Roman" w:hAnsi="Times New Roman"/>
          <w:sz w:val="24"/>
          <w:szCs w:val="24"/>
        </w:rPr>
        <w:t>sto che i</w:t>
      </w:r>
      <w:r>
        <w:rPr>
          <w:rFonts w:ascii="Times New Roman" w:hAnsi="Times New Roman"/>
          <w:sz w:val="24"/>
          <w:szCs w:val="24"/>
        </w:rPr>
        <w:t xml:space="preserve"> valori di FA sono inversamente correlati con il numero di episodi depressivi, suggerendo che il deficit di tali strutture corticali possa essere collegato allo stato umorale. Wang et al. Nel testare la loro ipotesi che il Db è associato ad un'anormale integrità della sostanza bianca nel cingolo, hanno registrato valori di FA significativamente diminuiti nel cingolo anteriore ma non a livello posteriore. In un altro studio, sempre Wang e colleghi (2008b) hanno riportato una ridotta FA nel corpo calloso anteriore e medio, in un campione di 33 pazienti e 40 controlli sani. Due studi mostrano invece ridotta FA nel braccio anteriore della capsula interna , nella radiazione talamica anteriore e nel fascicolo uncinato, in 42 pazienti (Sussmann, 2009)  e 40 pazienti (McIntosh, 2008), tutti con familiarià per il DB. Tali riduzioni si è visto che non sono collegate all'età, alla durata di malattia e alla terapia. Inoltre ci sono degli studi che dimostrano un aumento di diffusività in 8 pazienti rispetto a 8 controlli (</w:t>
      </w:r>
      <w:r>
        <w:rPr>
          <w:rFonts w:ascii="Times New Roman" w:hAnsi="Times New Roman"/>
          <w:color w:val="0D0D0D"/>
          <w:sz w:val="24"/>
          <w:szCs w:val="24"/>
          <w:lang w:val="en-GB"/>
        </w:rPr>
        <w:t>Regenold, 2006) e in 14 pazienti contro 21 controlli sani  (Beyer, 2005). Infine Houenou e colleghi nel 2007 mostrarono normali valori di FA e MD in molte regioni cerebrali ma con un numero maggiore di fibre assonali e un' aumentata connettività tra il cingolo subgenuale e l'amigdala, in 16 pazienti bipolari eutimici confrontati con 16 controlli sani.</w:t>
      </w:r>
    </w:p>
    <w:p w:rsidR="00A0541C" w:rsidRDefault="00CD2867" w:rsidP="001E5BE4">
      <w:pPr>
        <w:pStyle w:val="Tesi"/>
        <w:tabs>
          <w:tab w:val="left" w:pos="8503"/>
        </w:tabs>
        <w:spacing w:line="360" w:lineRule="auto"/>
        <w:ind w:right="1091"/>
        <w:jc w:val="both"/>
        <w:rPr>
          <w:rFonts w:ascii="Times New Roman" w:hAnsi="Times New Roman"/>
          <w:sz w:val="24"/>
          <w:szCs w:val="24"/>
        </w:rPr>
      </w:pPr>
      <w:r>
        <w:rPr>
          <w:noProof/>
          <w:color w:val="0D0D0D"/>
          <w:lang w:val="it-IT" w:eastAsia="it-IT"/>
        </w:rPr>
        <w:drawing>
          <wp:anchor distT="0" distB="0" distL="114300" distR="114300" simplePos="0" relativeHeight="251677696" behindDoc="0" locked="0" layoutInCell="1" allowOverlap="1">
            <wp:simplePos x="0" y="0"/>
            <wp:positionH relativeFrom="column">
              <wp:posOffset>0</wp:posOffset>
            </wp:positionH>
            <wp:positionV relativeFrom="paragraph">
              <wp:posOffset>-81280</wp:posOffset>
            </wp:positionV>
            <wp:extent cx="5579110" cy="2229485"/>
            <wp:effectExtent l="0" t="0" r="0" b="0"/>
            <wp:wrapNone/>
            <wp:docPr id="2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79110" cy="2229485"/>
                    </a:xfrm>
                    <a:prstGeom prst="rect">
                      <a:avLst/>
                    </a:prstGeom>
                    <a:solidFill>
                      <a:srgbClr val="FFFFFF"/>
                    </a:solidFill>
                    <a:ln>
                      <a:noFill/>
                    </a:ln>
                  </pic:spPr>
                </pic:pic>
              </a:graphicData>
            </a:graphic>
          </wp:anchor>
        </w:drawing>
      </w:r>
    </w:p>
    <w:p w:rsidR="00A0541C" w:rsidRDefault="00A0541C" w:rsidP="001E5BE4">
      <w:pPr>
        <w:pStyle w:val="Tesi"/>
        <w:tabs>
          <w:tab w:val="left" w:pos="8503"/>
        </w:tabs>
        <w:spacing w:line="360" w:lineRule="auto"/>
        <w:ind w:right="1091"/>
        <w:jc w:val="both"/>
        <w:rPr>
          <w:rFonts w:ascii="Times New Roman" w:hAnsi="Times New Roman"/>
          <w:color w:val="0D0D0D"/>
          <w:sz w:val="24"/>
          <w:szCs w:val="24"/>
          <w:lang w:val="en-GB"/>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CD2867" w:rsidRDefault="00CD2867" w:rsidP="001E5BE4">
      <w:pPr>
        <w:pStyle w:val="Tesi"/>
        <w:tabs>
          <w:tab w:val="left" w:pos="8503"/>
        </w:tabs>
        <w:spacing w:line="360" w:lineRule="auto"/>
        <w:ind w:right="1091"/>
        <w:jc w:val="both"/>
        <w:rPr>
          <w:rFonts w:ascii="Times New Roman" w:hAnsi="Times New Roman"/>
          <w:sz w:val="24"/>
          <w:szCs w:val="24"/>
        </w:rPr>
      </w:pPr>
    </w:p>
    <w:p w:rsidR="00CD2867" w:rsidRDefault="00CD2867" w:rsidP="001E5BE4">
      <w:pPr>
        <w:pStyle w:val="Tesi"/>
        <w:tabs>
          <w:tab w:val="left" w:pos="8503"/>
        </w:tabs>
        <w:spacing w:line="360" w:lineRule="auto"/>
        <w:ind w:right="1091"/>
        <w:jc w:val="both"/>
        <w:rPr>
          <w:rFonts w:ascii="Times New Roman" w:hAnsi="Times New Roman"/>
          <w:sz w:val="24"/>
          <w:szCs w:val="24"/>
        </w:rPr>
      </w:pPr>
    </w:p>
    <w:p w:rsidR="00CD2867" w:rsidRDefault="00CD2867" w:rsidP="001E5BE4">
      <w:pPr>
        <w:pStyle w:val="Tesi"/>
        <w:tabs>
          <w:tab w:val="left" w:pos="8503"/>
        </w:tabs>
        <w:spacing w:line="360" w:lineRule="auto"/>
        <w:ind w:right="1091"/>
        <w:jc w:val="both"/>
        <w:rPr>
          <w:rFonts w:ascii="Times New Roman" w:hAnsi="Times New Roman"/>
          <w:sz w:val="24"/>
          <w:szCs w:val="24"/>
        </w:rPr>
      </w:pPr>
    </w:p>
    <w:p w:rsidR="00CD2867" w:rsidRPr="00CD2867" w:rsidRDefault="00CD2867" w:rsidP="001E5BE4">
      <w:pPr>
        <w:pStyle w:val="NormaleWeb"/>
        <w:spacing w:before="0" w:after="0" w:line="360" w:lineRule="auto"/>
        <w:ind w:right="849"/>
        <w:jc w:val="both"/>
        <w:rPr>
          <w:rFonts w:ascii="Times New Roman" w:hAnsi="Times New Roman"/>
          <w:color w:val="0D0D0D"/>
          <w:sz w:val="20"/>
          <w:szCs w:val="20"/>
          <w:lang w:val="en-GB"/>
        </w:rPr>
      </w:pPr>
      <w:r w:rsidRPr="00CD2867">
        <w:rPr>
          <w:rFonts w:ascii="Times New Roman" w:hAnsi="Times New Roman"/>
          <w:b/>
          <w:bCs/>
          <w:color w:val="0D0D0D"/>
          <w:sz w:val="20"/>
          <w:szCs w:val="20"/>
          <w:lang w:val="en-GB"/>
        </w:rPr>
        <w:t>Fig. 1</w:t>
      </w:r>
      <w:r w:rsidRPr="00CD2867">
        <w:rPr>
          <w:rFonts w:ascii="Times New Roman" w:hAnsi="Times New Roman"/>
          <w:color w:val="0D0D0D"/>
          <w:sz w:val="20"/>
          <w:szCs w:val="20"/>
          <w:lang w:val="en-GB"/>
        </w:rPr>
        <w:t xml:space="preserve"> </w:t>
      </w:r>
      <w:r w:rsidR="00752072">
        <w:rPr>
          <w:rFonts w:ascii="Times New Roman" w:hAnsi="Times New Roman"/>
          <w:color w:val="0D0D0D"/>
          <w:sz w:val="20"/>
          <w:szCs w:val="20"/>
          <w:lang w:val="en-GB"/>
        </w:rPr>
        <w:t>Principali regioni cerebrali coinvolte nel DB</w:t>
      </w:r>
      <w:r w:rsidR="009512BB">
        <w:rPr>
          <w:rFonts w:ascii="Times New Roman" w:hAnsi="Times New Roman"/>
          <w:color w:val="0D0D0D"/>
          <w:sz w:val="20"/>
          <w:szCs w:val="20"/>
          <w:lang w:val="en-GB"/>
        </w:rPr>
        <w:t xml:space="preserve">. Una sezione parasagittale del cervello </w:t>
      </w:r>
      <w:r w:rsidR="009A6745">
        <w:rPr>
          <w:rFonts w:ascii="Times New Roman" w:hAnsi="Times New Roman"/>
          <w:color w:val="0D0D0D"/>
          <w:sz w:val="20"/>
          <w:szCs w:val="20"/>
          <w:lang w:val="en-GB"/>
        </w:rPr>
        <w:t>mostra le principali regioni e i</w:t>
      </w:r>
      <w:r w:rsidR="009512BB">
        <w:rPr>
          <w:rFonts w:ascii="Times New Roman" w:hAnsi="Times New Roman"/>
          <w:color w:val="0D0D0D"/>
          <w:sz w:val="20"/>
          <w:szCs w:val="20"/>
          <w:lang w:val="en-GB"/>
        </w:rPr>
        <w:t xml:space="preserve"> fasci di sostanza bianca, i.e lobo prefrontale (rosa), lobo frontale (verde), corpo calloso (giallo), capsula interna, fascicolo uncinato e fascicolo longitudinale superiore e inferiore. Questi fasci in particolare sono quelli compromessi nel DB (Heng, 2010).</w:t>
      </w:r>
    </w:p>
    <w:p w:rsidR="00CD2867" w:rsidRDefault="00CD2867" w:rsidP="001E5BE4">
      <w:pPr>
        <w:pStyle w:val="Tesi"/>
        <w:tabs>
          <w:tab w:val="left" w:pos="8503"/>
        </w:tabs>
        <w:spacing w:line="360" w:lineRule="auto"/>
        <w:ind w:right="1091"/>
        <w:jc w:val="both"/>
        <w:rPr>
          <w:rFonts w:ascii="Times New Roman" w:hAnsi="Times New Roman"/>
          <w:sz w:val="24"/>
          <w:szCs w:val="24"/>
        </w:rPr>
      </w:pPr>
    </w:p>
    <w:p w:rsidR="00A0541C" w:rsidRDefault="00B460A6" w:rsidP="001E5BE4">
      <w:pPr>
        <w:pStyle w:val="Tesi"/>
        <w:tabs>
          <w:tab w:val="left" w:pos="8503"/>
        </w:tabs>
        <w:spacing w:after="0" w:line="360" w:lineRule="auto"/>
        <w:ind w:right="1091"/>
        <w:jc w:val="both"/>
        <w:rPr>
          <w:rFonts w:ascii="Times New Roman" w:hAnsi="Times New Roman"/>
          <w:color w:val="0D0D0D"/>
          <w:sz w:val="24"/>
          <w:szCs w:val="24"/>
          <w:lang w:val="en-GB"/>
        </w:rPr>
      </w:pPr>
      <w:r>
        <w:rPr>
          <w:rFonts w:ascii="Times New Roman" w:hAnsi="Times New Roman"/>
          <w:color w:val="0D0D0D"/>
          <w:sz w:val="24"/>
          <w:szCs w:val="24"/>
          <w:lang w:val="en-GB"/>
        </w:rPr>
        <w:t>Ci sono anche degli studi che estendono l'utilizzo del DTI a tutto il cervello con l'utilizzo dell' analisi voxelwise. Bruno et al. (2008) studiarono 36 pazienti con DB che assumevano antidepressivi o stabilizzanti dell'umore, confrontandoli con 28 soggetti sani e trovarono che nel gruppo dei pazienti, la MD era aumentata nella sostanza bianca posteriore frontale destra e prefrontale bilaterale, mentre la FA era diminuita nelle regioni temporo-occipitali.</w:t>
      </w:r>
    </w:p>
    <w:p w:rsidR="00A0541C" w:rsidRDefault="00B460A6" w:rsidP="001E5BE4">
      <w:pPr>
        <w:pStyle w:val="Tesi"/>
        <w:tabs>
          <w:tab w:val="left" w:pos="8503"/>
        </w:tabs>
        <w:spacing w:after="0" w:line="360" w:lineRule="auto"/>
        <w:ind w:right="1091"/>
        <w:jc w:val="both"/>
        <w:rPr>
          <w:rFonts w:ascii="Times New Roman" w:hAnsi="Times New Roman"/>
          <w:color w:val="0D0D0D"/>
          <w:sz w:val="24"/>
          <w:szCs w:val="24"/>
          <w:lang w:val="en-GB"/>
        </w:rPr>
      </w:pPr>
      <w:r>
        <w:rPr>
          <w:rFonts w:ascii="Times New Roman" w:hAnsi="Times New Roman"/>
          <w:color w:val="0D0D0D"/>
          <w:sz w:val="24"/>
          <w:szCs w:val="24"/>
          <w:lang w:val="en-GB"/>
        </w:rPr>
        <w:t>Chaddock et al. Nel 2009 osservarono in un campione di 19 soggetti con DB psicotico di tipo I, una diminuzione di FA nel ginocchio del corpo calloso, nel fascicolo longitudibnale inferiore destro e nel fascicolo longitudinale superiore sinistro. Zanetti e colleghi (2009) studiando la densità delle fibre e l'integrità strutturale della sostanza bianca in 37 pazienti affetti da DB di tipo I e 26 conrtrolli sani, hanno scoperto una significativa diminuzione di FA e un aumentata MD nella sostanza bianca profrontale, limbica e striatale bilaterale. Mahon invece nel 2009 studiando 30 pazienti e 38 c</w:t>
      </w:r>
      <w:r w:rsidR="009A6745">
        <w:rPr>
          <w:rFonts w:ascii="Times New Roman" w:hAnsi="Times New Roman"/>
          <w:color w:val="0D0D0D"/>
          <w:sz w:val="24"/>
          <w:szCs w:val="24"/>
          <w:lang w:val="en-GB"/>
        </w:rPr>
        <w:t>ontrolli sani, ha scoperto che i</w:t>
      </w:r>
      <w:r>
        <w:rPr>
          <w:rFonts w:ascii="Times New Roman" w:hAnsi="Times New Roman"/>
          <w:color w:val="0D0D0D"/>
          <w:sz w:val="24"/>
          <w:szCs w:val="24"/>
          <w:lang w:val="en-GB"/>
        </w:rPr>
        <w:t xml:space="preserve"> pazienti presentavano una FA significativamente più alta nella sostanza bianca frontale bilaterale e una FA piu bassa nella cerebellare sinistra.</w:t>
      </w:r>
    </w:p>
    <w:p w:rsidR="00A0541C" w:rsidRDefault="00B460A6" w:rsidP="001E5BE4">
      <w:pPr>
        <w:pStyle w:val="Tesi"/>
        <w:tabs>
          <w:tab w:val="left" w:pos="8503"/>
        </w:tabs>
        <w:spacing w:after="0" w:line="360" w:lineRule="auto"/>
        <w:ind w:right="1091"/>
        <w:contextualSpacing/>
        <w:jc w:val="both"/>
        <w:rPr>
          <w:rFonts w:ascii="Times New Roman" w:hAnsi="Times New Roman"/>
          <w:color w:val="0D0D0D"/>
          <w:sz w:val="24"/>
          <w:szCs w:val="24"/>
          <w:lang w:val="en-GB"/>
        </w:rPr>
      </w:pPr>
      <w:r>
        <w:rPr>
          <w:rFonts w:ascii="Times New Roman" w:hAnsi="Times New Roman"/>
          <w:color w:val="0D0D0D"/>
          <w:sz w:val="24"/>
          <w:szCs w:val="24"/>
          <w:lang w:val="en-GB"/>
        </w:rPr>
        <w:t xml:space="preserve">Recentemente solo pochi studi si sono avvalsi della TBSS nei pazienti bipolari. </w:t>
      </w:r>
    </w:p>
    <w:p w:rsidR="00A0541C" w:rsidRDefault="00B460A6" w:rsidP="001E5BE4">
      <w:pPr>
        <w:pStyle w:val="Tesi"/>
        <w:tabs>
          <w:tab w:val="left" w:pos="8503"/>
        </w:tabs>
        <w:spacing w:after="0" w:line="360" w:lineRule="auto"/>
        <w:ind w:right="1091"/>
        <w:contextualSpacing/>
        <w:jc w:val="both"/>
        <w:rPr>
          <w:rFonts w:ascii="Times New Roman" w:hAnsi="Times New Roman"/>
          <w:color w:val="0D0D0D"/>
          <w:sz w:val="24"/>
          <w:szCs w:val="24"/>
          <w:lang w:val="en-GB"/>
        </w:rPr>
      </w:pPr>
      <w:r>
        <w:rPr>
          <w:rFonts w:ascii="Times New Roman" w:hAnsi="Times New Roman"/>
          <w:color w:val="0D0D0D"/>
          <w:sz w:val="24"/>
          <w:szCs w:val="24"/>
          <w:lang w:val="en-GB"/>
        </w:rPr>
        <w:t xml:space="preserve">Versace et al. (2008) hanno usato tale tecnica in 31 pazienti con stati di malattia eterogenei (depressione, mania, eutimia) e trattati con diversi farmaci sia singoli che in terapia multipla. </w:t>
      </w:r>
    </w:p>
    <w:p w:rsidR="00A0541C" w:rsidRDefault="009A6745" w:rsidP="001E5BE4">
      <w:pPr>
        <w:pStyle w:val="Tesi"/>
        <w:tabs>
          <w:tab w:val="left" w:pos="8503"/>
        </w:tabs>
        <w:spacing w:after="0" w:line="360" w:lineRule="auto"/>
        <w:ind w:right="1091"/>
        <w:contextualSpacing/>
        <w:jc w:val="both"/>
        <w:rPr>
          <w:rFonts w:ascii="Times New Roman" w:hAnsi="Times New Roman"/>
          <w:color w:val="0D0D0D"/>
          <w:sz w:val="24"/>
          <w:szCs w:val="24"/>
          <w:lang w:val="en-GB"/>
        </w:rPr>
      </w:pPr>
      <w:r>
        <w:rPr>
          <w:rFonts w:ascii="Times New Roman" w:hAnsi="Times New Roman"/>
          <w:color w:val="0D0D0D"/>
          <w:sz w:val="24"/>
          <w:szCs w:val="24"/>
          <w:lang w:val="en-GB"/>
        </w:rPr>
        <w:t>I risultati mostrano che i</w:t>
      </w:r>
      <w:r w:rsidR="00B460A6">
        <w:rPr>
          <w:rFonts w:ascii="Times New Roman" w:hAnsi="Times New Roman"/>
          <w:color w:val="0D0D0D"/>
          <w:sz w:val="24"/>
          <w:szCs w:val="24"/>
          <w:lang w:val="en-GB"/>
        </w:rPr>
        <w:t xml:space="preserve"> soggetti malati possiedono una FA notevolmente aumentata nel fascicolo unicinato sinistro, nella radiazione ottica sinistra, nella radiazione antero-talamica destra, mentre una FA significativamente ridotta nel fascicolo uncinato destro. Nei soggetti affetti da DB sono state trovate inoltre correlazioni negative tra l'età e la FA bilateralmente nel fascicolo uncinato e nella radiazione antero-talamica destra; tra la terapia farmacolgica e la FA nella radiazione ottica sinistra. Una FA diminuita è stata trovata nei soggetti con DB quando paragonati ai soggetti con DB che non assumono  stabilizzanti dell'umore. Inoltre i soggetti con DB quando paragonati con soggetti senza storia di alcoholo o di abuso di droghe presentano FA diminuita nel fascicolo uncinato sinistro.</w:t>
      </w:r>
    </w:p>
    <w:p w:rsidR="00A0541C" w:rsidRDefault="00B460A6" w:rsidP="001E5BE4">
      <w:pPr>
        <w:pStyle w:val="Tesi"/>
        <w:tabs>
          <w:tab w:val="left" w:pos="8503"/>
        </w:tabs>
        <w:spacing w:after="0" w:line="360" w:lineRule="auto"/>
        <w:ind w:right="1091"/>
        <w:contextualSpacing/>
        <w:jc w:val="both"/>
        <w:rPr>
          <w:rFonts w:ascii="Times New Roman" w:hAnsi="Times New Roman"/>
          <w:color w:val="0D0D0D"/>
          <w:sz w:val="24"/>
          <w:szCs w:val="24"/>
          <w:lang w:val="en-GB"/>
        </w:rPr>
      </w:pPr>
      <w:r>
        <w:rPr>
          <w:rFonts w:ascii="Times New Roman" w:hAnsi="Times New Roman"/>
          <w:color w:val="0D0D0D"/>
          <w:sz w:val="24"/>
          <w:szCs w:val="24"/>
          <w:lang w:val="en-GB"/>
        </w:rPr>
        <w:t xml:space="preserve">Un altro studio, riporta una FA aumentata diffusamente nella sostanza bianca mediale, pre-centerale, inferiore, parietale e occipitale, in 22 soggetti con DB di tipo I e II in remissione, paragonati a 21 controlli. </w:t>
      </w:r>
    </w:p>
    <w:p w:rsidR="00A0541C" w:rsidRDefault="00B460A6" w:rsidP="001E5BE4">
      <w:pPr>
        <w:pStyle w:val="Tesi"/>
        <w:tabs>
          <w:tab w:val="left" w:pos="8503"/>
        </w:tabs>
        <w:spacing w:after="0" w:line="360" w:lineRule="auto"/>
        <w:ind w:right="1089"/>
        <w:contextualSpacing/>
        <w:jc w:val="both"/>
        <w:rPr>
          <w:rFonts w:ascii="Times New Roman" w:hAnsi="Times New Roman"/>
          <w:color w:val="0D0D0D"/>
          <w:sz w:val="24"/>
          <w:szCs w:val="24"/>
          <w:lang w:val="en-GB"/>
        </w:rPr>
      </w:pPr>
      <w:r>
        <w:rPr>
          <w:rFonts w:ascii="Times New Roman" w:hAnsi="Times New Roman"/>
          <w:color w:val="0D0D0D"/>
          <w:sz w:val="24"/>
          <w:szCs w:val="24"/>
          <w:lang w:val="en-GB"/>
        </w:rPr>
        <w:t>Il più recente di questi studi (Benedetti et al., 2011a) riporta una diminuzione della FA nel ginocchio del corpo calloso e nella corona radiata posteriore e anteriore; valori aumentati anche di RD  nei tratti come lo splenio, il ginocchio e il tronco del corpo calloso, cingolo dorsale destro, corona radiata anteriore sinistra, bilaterale superiore e posteriore, fascicolo longitudinale superiore bilaterale e radiazione talamica posteriore destra, in 40 pazienti affetti da DB di tipo I durante un episodio depressivo maggiore, comparati a 21 controlli volontari.</w:t>
      </w:r>
    </w:p>
    <w:p w:rsidR="00A0541C" w:rsidRDefault="00B460A6" w:rsidP="001E5BE4">
      <w:pPr>
        <w:pStyle w:val="Tesi"/>
        <w:tabs>
          <w:tab w:val="left" w:pos="8503"/>
        </w:tabs>
        <w:spacing w:after="0" w:line="360" w:lineRule="auto"/>
        <w:ind w:right="1089"/>
        <w:contextualSpacing/>
        <w:jc w:val="both"/>
        <w:rPr>
          <w:rFonts w:ascii="Times New Roman" w:hAnsi="Times New Roman" w:cs="Times New Roman"/>
          <w:color w:val="0D0D0D"/>
          <w:sz w:val="24"/>
          <w:szCs w:val="24"/>
          <w:lang w:val="en-GB"/>
        </w:rPr>
      </w:pPr>
      <w:r>
        <w:rPr>
          <w:rFonts w:ascii="Times New Roman" w:hAnsi="Times New Roman"/>
          <w:color w:val="0D0D0D"/>
          <w:sz w:val="24"/>
          <w:szCs w:val="24"/>
          <w:lang w:val="en-GB"/>
        </w:rPr>
        <w:t xml:space="preserve">Oltretutto, studi post-mortem sui pazienti bipoari hanno identificato una ridotta densità e misura dei neuroni  un numero diminuito di cellule oligodendrogliali in regioni come il cingolo anteriore, la corteccia orbito frontale e la corteccia dorsolaterale prefrontale </w:t>
      </w:r>
      <w:r>
        <w:rPr>
          <w:rFonts w:ascii="Times New Roman" w:hAnsi="Times New Roman" w:cs="Times New Roman"/>
          <w:color w:val="0D0D0D"/>
          <w:sz w:val="24"/>
          <w:szCs w:val="24"/>
          <w:lang w:val="en-GB"/>
        </w:rPr>
        <w:t>(Lopez et al., 2004; Rajkowska, 2002).</w:t>
      </w:r>
    </w:p>
    <w:p w:rsidR="00A0541C" w:rsidRDefault="00B460A6" w:rsidP="001E5BE4">
      <w:pPr>
        <w:pStyle w:val="Tesi"/>
        <w:tabs>
          <w:tab w:val="left" w:pos="8503"/>
        </w:tabs>
        <w:spacing w:after="0" w:line="360" w:lineRule="auto"/>
        <w:ind w:right="1091"/>
        <w:contextualSpacing/>
        <w:jc w:val="both"/>
        <w:rPr>
          <w:rFonts w:ascii="Times New Roman" w:hAnsi="Times New Roman" w:cs="Times New Roman"/>
          <w:color w:val="0D0D0D"/>
          <w:sz w:val="24"/>
          <w:szCs w:val="24"/>
          <w:lang w:val="en-GB"/>
        </w:rPr>
      </w:pPr>
      <w:r>
        <w:rPr>
          <w:rFonts w:ascii="Times New Roman" w:hAnsi="Times New Roman" w:cs="Times New Roman"/>
          <w:color w:val="0D0D0D"/>
          <w:sz w:val="24"/>
          <w:szCs w:val="24"/>
          <w:lang w:val="en-GB"/>
        </w:rPr>
        <w:t>I pazienti bipolari presentano cambiamenti sia macroscopici che microscopici a livello del cerebro che li distinguono nettamente dai soggetti sani.</w:t>
      </w:r>
    </w:p>
    <w:p w:rsidR="001A6334" w:rsidRDefault="001A6334" w:rsidP="001E5BE4">
      <w:pPr>
        <w:pStyle w:val="Tesi"/>
        <w:tabs>
          <w:tab w:val="left" w:pos="8503"/>
        </w:tabs>
        <w:spacing w:after="0" w:line="360" w:lineRule="auto"/>
        <w:ind w:right="1091"/>
        <w:contextualSpacing/>
        <w:jc w:val="both"/>
        <w:rPr>
          <w:rFonts w:ascii="Times New Roman" w:hAnsi="Times New Roman"/>
          <w:b/>
          <w:bCs/>
          <w:color w:val="0D0D0D"/>
          <w:sz w:val="24"/>
          <w:szCs w:val="24"/>
          <w:lang w:val="en-GB"/>
        </w:rPr>
      </w:pPr>
    </w:p>
    <w:p w:rsidR="00A0541C" w:rsidRDefault="00B460A6" w:rsidP="001E5BE4">
      <w:pPr>
        <w:pStyle w:val="Tesi"/>
        <w:tabs>
          <w:tab w:val="left" w:pos="8503"/>
        </w:tabs>
        <w:spacing w:after="0" w:line="360" w:lineRule="auto"/>
        <w:ind w:right="1091"/>
        <w:contextualSpacing/>
        <w:jc w:val="both"/>
        <w:rPr>
          <w:rFonts w:ascii="Times New Roman" w:hAnsi="Times New Roman" w:cs="Times New Roman"/>
          <w:b/>
          <w:bCs/>
          <w:i/>
          <w:iCs/>
          <w:color w:val="0D0D0D"/>
          <w:sz w:val="24"/>
          <w:szCs w:val="24"/>
          <w:lang w:val="en-GB"/>
        </w:rPr>
      </w:pPr>
      <w:r>
        <w:rPr>
          <w:rFonts w:ascii="Times New Roman" w:hAnsi="Times New Roman"/>
          <w:b/>
          <w:bCs/>
          <w:color w:val="0D0D0D"/>
          <w:sz w:val="24"/>
          <w:szCs w:val="24"/>
          <w:lang w:val="en-GB"/>
        </w:rPr>
        <w:t>4.1.2 Link tra GSK-3</w:t>
      </w:r>
      <w:r>
        <w:rPr>
          <w:rFonts w:ascii="Times New Roman" w:hAnsi="Times New Roman" w:cs="Times New Roman"/>
          <w:b/>
          <w:bCs/>
          <w:i/>
          <w:iCs/>
          <w:color w:val="0D0D0D"/>
          <w:sz w:val="24"/>
          <w:szCs w:val="24"/>
          <w:lang w:val="en-GB"/>
        </w:rPr>
        <w:t>β DB e litio</w:t>
      </w:r>
    </w:p>
    <w:p w:rsidR="00A0541C" w:rsidRDefault="00A0541C" w:rsidP="001E5BE4">
      <w:pPr>
        <w:pStyle w:val="Tesi"/>
        <w:tabs>
          <w:tab w:val="left" w:pos="8503"/>
        </w:tabs>
        <w:spacing w:after="0" w:line="360" w:lineRule="auto"/>
        <w:ind w:right="1091"/>
        <w:contextualSpacing/>
        <w:jc w:val="both"/>
        <w:rPr>
          <w:rFonts w:ascii="Times New Roman" w:hAnsi="Times New Roman"/>
          <w:sz w:val="24"/>
          <w:szCs w:val="24"/>
        </w:rPr>
      </w:pPr>
    </w:p>
    <w:p w:rsidR="00A0541C" w:rsidRDefault="00B460A6" w:rsidP="001E5BE4">
      <w:pPr>
        <w:pStyle w:val="Tesi"/>
        <w:tabs>
          <w:tab w:val="left" w:pos="8503"/>
        </w:tabs>
        <w:spacing w:after="0" w:line="360" w:lineRule="auto"/>
        <w:ind w:right="1091"/>
        <w:contextualSpacing/>
        <w:jc w:val="both"/>
        <w:rPr>
          <w:rFonts w:ascii="Times New Roman" w:eastAsia="Times New Roman" w:hAnsi="Times New Roman" w:cs="Times New Roman"/>
          <w:color w:val="0D0D0D"/>
          <w:sz w:val="24"/>
          <w:szCs w:val="24"/>
          <w:lang w:val="en-GB"/>
        </w:rPr>
      </w:pPr>
      <w:r>
        <w:rPr>
          <w:rFonts w:ascii="Times New Roman" w:hAnsi="Times New Roman" w:cs="Times New Roman"/>
          <w:color w:val="0D0D0D"/>
          <w:sz w:val="24"/>
          <w:szCs w:val="24"/>
          <w:lang w:val="en-GB"/>
        </w:rPr>
        <w:t>Alcuni studi riguardo all'età di esordio dei disturbi dell'umore, confermano l'importanza dei fattori genetici (Greshon et al., 1976; James, 1977), suggerendo che l'età di esordio può servire come indicatore per identificare sottogruppi patologici omogenei, e può essere quindi presa come valido criterio per delineare sottogruppi con diversi pattern di ereditarietà. Tali scoperte hanno incrementato l'interesse per studi su geni candidati che possono influenzare l'età di onset dei disturbi psichiatrici. Studi sono stati condotti infatti, sul genotipo promotore del trasportatore della serotoni</w:t>
      </w:r>
      <w:r w:rsidR="009A6745">
        <w:rPr>
          <w:rFonts w:ascii="Times New Roman" w:hAnsi="Times New Roman" w:cs="Times New Roman"/>
          <w:color w:val="0D0D0D"/>
          <w:sz w:val="24"/>
          <w:szCs w:val="24"/>
          <w:lang w:val="en-GB"/>
        </w:rPr>
        <w:t>na (5-HTTLPR), osservando come i</w:t>
      </w:r>
      <w:r>
        <w:rPr>
          <w:rFonts w:ascii="Times New Roman" w:hAnsi="Times New Roman" w:cs="Times New Roman"/>
          <w:color w:val="0D0D0D"/>
          <w:sz w:val="24"/>
          <w:szCs w:val="24"/>
          <w:lang w:val="en-GB"/>
        </w:rPr>
        <w:t xml:space="preserve"> pazienti omozigoti per la variante corta del gene abbiano una età </w:t>
      </w:r>
      <w:r w:rsidR="009A6745">
        <w:rPr>
          <w:rFonts w:ascii="Times New Roman" w:hAnsi="Times New Roman" w:cs="Times New Roman"/>
          <w:color w:val="0D0D0D"/>
          <w:sz w:val="24"/>
          <w:szCs w:val="24"/>
          <w:lang w:val="en-GB"/>
        </w:rPr>
        <w:t>di onset precoce piuttosto che i</w:t>
      </w:r>
      <w:r>
        <w:rPr>
          <w:rFonts w:ascii="Times New Roman" w:hAnsi="Times New Roman" w:cs="Times New Roman"/>
          <w:color w:val="0D0D0D"/>
          <w:sz w:val="24"/>
          <w:szCs w:val="24"/>
          <w:lang w:val="en-GB"/>
        </w:rPr>
        <w:t xml:space="preserve"> pazienti che trasportano la variante lunga (Bellivier et al, 2002; Ospina-Duque et al, 2000; Smeraldi et al, 2002). Su queste basi Benedetti e colleghi credono che la GSK-3 possa essere un buon candidato a causa del suo coinvolgimento nel controllo dell'espressione genica, del comportamento cellulare , della polarità cellulare, della regolazione della plasticità sinaptica e infine della sua interazione con il litio. Pertanto Benedetti e la sua squadra hanno deciso di considerare un polimorfismo a singolo nucleotide (SNP) (-50T/C), scoperto da Russ nel 2001, il quale cade in una regione del promotore (nt -171 to +29) del gene che codifica per la GSK-3, e di studiare l'effeto di questo polimorfismo sull'età di onset di 185 pazienti affetti da DB di tipo I (Benedetti et al., 2004a).  in questo studio non hanno trovato nessuna associazione  tra  </w:t>
      </w:r>
      <w:r>
        <w:rPr>
          <w:rFonts w:ascii="Times New Roman" w:eastAsia="Times New Roman" w:hAnsi="Times New Roman" w:cs="Times New Roman"/>
          <w:color w:val="0D0D0D"/>
          <w:sz w:val="24"/>
          <w:szCs w:val="24"/>
          <w:lang w:val="en-GB"/>
        </w:rPr>
        <w:t>GSK3-</w:t>
      </w:r>
      <w:r>
        <w:rPr>
          <w:rFonts w:ascii="Times New Roman" w:hAnsi="Times New Roman" w:cs="Times New Roman"/>
          <w:color w:val="0D0D0D"/>
          <w:sz w:val="24"/>
          <w:szCs w:val="24"/>
          <w:lang w:val="en-GB"/>
        </w:rPr>
        <w:t>β</w:t>
      </w:r>
      <w:r>
        <w:rPr>
          <w:rFonts w:ascii="Times New Roman" w:eastAsia="Times New Roman" w:hAnsi="Times New Roman" w:cs="Times New Roman"/>
          <w:b/>
          <w:bCs/>
          <w:color w:val="0D0D0D"/>
          <w:sz w:val="24"/>
          <w:szCs w:val="24"/>
          <w:lang w:val="en-GB"/>
        </w:rPr>
        <w:t xml:space="preserve"> </w:t>
      </w:r>
      <w:r>
        <w:rPr>
          <w:rFonts w:ascii="Times New Roman" w:eastAsia="Times New Roman" w:hAnsi="Times New Roman" w:cs="Times New Roman"/>
          <w:color w:val="0D0D0D"/>
          <w:sz w:val="24"/>
          <w:szCs w:val="24"/>
          <w:lang w:val="en-GB"/>
        </w:rPr>
        <w:t>–50 T/C SNP e la presenza del disturbo bipolare; omozigoti per la variante T/T mostrano però un'età di onset precoce rispetto ai portatori dell'allele mutante. In un altro esperimento Benedetti et al. (2004b) hanno studiato gli effetti di questo polimorfismo sulla risposta acuta alla deprivazione di sonno (TDS) di 60 pazienti depressi affetti da disturbo bipolare di tipo I</w:t>
      </w:r>
      <w:r w:rsidR="003C7BCD">
        <w:rPr>
          <w:rFonts w:ascii="Times New Roman" w:eastAsia="Times New Roman" w:hAnsi="Times New Roman" w:cs="Times New Roman"/>
          <w:color w:val="0D0D0D"/>
          <w:sz w:val="24"/>
          <w:szCs w:val="24"/>
          <w:lang w:val="en-GB"/>
        </w:rPr>
        <w:t>°</w:t>
      </w:r>
      <w:r>
        <w:rPr>
          <w:rFonts w:ascii="Times New Roman" w:eastAsia="Times New Roman" w:hAnsi="Times New Roman" w:cs="Times New Roman"/>
          <w:color w:val="0D0D0D"/>
          <w:sz w:val="24"/>
          <w:szCs w:val="24"/>
          <w:lang w:val="en-GB"/>
        </w:rPr>
        <w:t>. Hanno trovato che gli omozigoti per l'allele mutante C/C mostrano un onset piu tardivo e migliori effetti acuti del trattamento con TSD sull'umore percepito.</w:t>
      </w:r>
    </w:p>
    <w:p w:rsidR="00A0541C" w:rsidRDefault="00B460A6" w:rsidP="001E5BE4">
      <w:pPr>
        <w:pStyle w:val="Tesi"/>
        <w:tabs>
          <w:tab w:val="left" w:pos="8503"/>
        </w:tabs>
        <w:spacing w:after="0" w:line="360" w:lineRule="auto"/>
        <w:ind w:right="1089"/>
        <w:jc w:val="both"/>
        <w:rPr>
          <w:rFonts w:ascii="Times New Roman" w:hAnsi="Times New Roman"/>
          <w:sz w:val="24"/>
          <w:szCs w:val="24"/>
        </w:rPr>
      </w:pPr>
      <w:r>
        <w:rPr>
          <w:rFonts w:ascii="Times New Roman" w:hAnsi="Times New Roman"/>
          <w:sz w:val="24"/>
          <w:szCs w:val="24"/>
        </w:rPr>
        <w:t>Lo stesso gruppo (</w:t>
      </w:r>
      <w:r w:rsidR="003C7BCD">
        <w:rPr>
          <w:rFonts w:ascii="Times New Roman" w:hAnsi="Times New Roman"/>
          <w:sz w:val="24"/>
          <w:szCs w:val="24"/>
        </w:rPr>
        <w:t>Benedetti et al., 2005) ha cond</w:t>
      </w:r>
      <w:r>
        <w:rPr>
          <w:rFonts w:ascii="Times New Roman" w:hAnsi="Times New Roman"/>
          <w:sz w:val="24"/>
          <w:szCs w:val="24"/>
        </w:rPr>
        <w:t>otto un altro esperimenti per studiare gli effetti del polimorfismo di GSK-3 sulla risposta terapeutica ai sali di litio su 88 pazienti bipolari. I risultati mostrano che gli omozigo</w:t>
      </w:r>
      <w:r w:rsidR="009F0C3E">
        <w:rPr>
          <w:rFonts w:ascii="Times New Roman" w:hAnsi="Times New Roman"/>
          <w:sz w:val="24"/>
          <w:szCs w:val="24"/>
        </w:rPr>
        <w:t>ti per la variante selvaggia T/T</w:t>
      </w:r>
      <w:r>
        <w:rPr>
          <w:rFonts w:ascii="Times New Roman" w:hAnsi="Times New Roman"/>
          <w:sz w:val="24"/>
          <w:szCs w:val="24"/>
        </w:rPr>
        <w:t xml:space="preserve"> non migliorano la loro </w:t>
      </w:r>
      <w:r w:rsidR="003C7BCD">
        <w:rPr>
          <w:rFonts w:ascii="Times New Roman" w:hAnsi="Times New Roman"/>
          <w:sz w:val="24"/>
          <w:szCs w:val="24"/>
        </w:rPr>
        <w:t>ricorrenza di episodi , mentro i</w:t>
      </w:r>
      <w:r>
        <w:rPr>
          <w:rFonts w:ascii="Times New Roman" w:hAnsi="Times New Roman"/>
          <w:sz w:val="24"/>
          <w:szCs w:val="24"/>
        </w:rPr>
        <w:t xml:space="preserve"> carrier dell'allele mutante si.</w:t>
      </w:r>
    </w:p>
    <w:p w:rsidR="00A0541C" w:rsidRDefault="00B460A6" w:rsidP="001E5BE4">
      <w:pPr>
        <w:pStyle w:val="Tesi"/>
        <w:tabs>
          <w:tab w:val="left" w:pos="8503"/>
        </w:tabs>
        <w:spacing w:after="0" w:line="360" w:lineRule="auto"/>
        <w:ind w:right="1089"/>
        <w:jc w:val="both"/>
        <w:rPr>
          <w:rFonts w:ascii="Times New Roman" w:hAnsi="Times New Roman"/>
          <w:sz w:val="24"/>
          <w:szCs w:val="24"/>
        </w:rPr>
      </w:pPr>
      <w:r>
        <w:rPr>
          <w:rFonts w:ascii="Times New Roman" w:hAnsi="Times New Roman"/>
          <w:sz w:val="24"/>
          <w:szCs w:val="24"/>
        </w:rPr>
        <w:t xml:space="preserve">Questo gruppo di ricerca ha suggerito dunque di considerare le varianti di GSK-3 come endofenotipi del disturbo bipolare potenzialmente utili. Inoltre la GSK-3 può essere considerato un target per una nuova classe di farmaci antidepressivi. Infine hanno </w:t>
      </w:r>
      <w:r w:rsidR="003C7BCD">
        <w:rPr>
          <w:rFonts w:ascii="Times New Roman" w:hAnsi="Times New Roman"/>
          <w:sz w:val="24"/>
          <w:szCs w:val="24"/>
        </w:rPr>
        <w:t>ipotizzato che i</w:t>
      </w:r>
      <w:r>
        <w:rPr>
          <w:rFonts w:ascii="Times New Roman" w:hAnsi="Times New Roman"/>
          <w:sz w:val="24"/>
          <w:szCs w:val="24"/>
        </w:rPr>
        <w:t xml:space="preserve"> soggetti C/C perla GSK-3 costituiscono un sottogruppo biologicamente omogeneo di soggetti bipolari caratterizzati da una forma di disturbo più lieve con un outcome favorevole a trattamenti terapeutici non farmacologici come la deprivazione di sonno. Pertanto suggeriscono che tale genotipo abbia un ruolo protettivo nei riguardi della patologia bipolare.  Attualmente, in uno studio recente Benedetti e colleghi, studiando gli effetti di GSK-3 sul volume di sostanza grigia in 57 pazienti affetti da s</w:t>
      </w:r>
      <w:r w:rsidR="003C7BCD">
        <w:rPr>
          <w:rFonts w:ascii="Times New Roman" w:hAnsi="Times New Roman"/>
          <w:sz w:val="24"/>
          <w:szCs w:val="24"/>
        </w:rPr>
        <w:t>chizofrenia, hanno trovato che i</w:t>
      </w:r>
      <w:r>
        <w:rPr>
          <w:rFonts w:ascii="Times New Roman" w:hAnsi="Times New Roman"/>
          <w:sz w:val="24"/>
          <w:szCs w:val="24"/>
        </w:rPr>
        <w:t xml:space="preserve"> portatori della variante allelica meno attiva C, mostrano volumi cerebrali significativamente più alti in un area compresa tra regioni posteriori e il giro temporale superiore medio destro, dimostrando pertanto che la GSK_3 ha un effetto protettivo. Il lobo temporale, infatti, è la regione con la più alta percentuale d</w:t>
      </w:r>
      <w:r w:rsidR="003C7BCD">
        <w:rPr>
          <w:rFonts w:ascii="Times New Roman" w:hAnsi="Times New Roman"/>
          <w:sz w:val="24"/>
          <w:szCs w:val="24"/>
        </w:rPr>
        <w:t>i anomali morfometriche e dove i</w:t>
      </w:r>
      <w:r>
        <w:rPr>
          <w:rFonts w:ascii="Times New Roman" w:hAnsi="Times New Roman"/>
          <w:sz w:val="24"/>
          <w:szCs w:val="24"/>
        </w:rPr>
        <w:t xml:space="preserve"> processi neuropatologici si sviluppano prima durante l'intero decorseo della malattia. Tali risultati supportano l'interesse attuale per la GSK-3 come fattore che influisce sulla neuropatologia dei principali disturbi dell'umore, come la schizofrenia.</w:t>
      </w:r>
    </w:p>
    <w:p w:rsidR="00A0541C" w:rsidRDefault="00B460A6" w:rsidP="001E5BE4">
      <w:pPr>
        <w:pStyle w:val="Tesi"/>
        <w:tabs>
          <w:tab w:val="left" w:pos="8503"/>
        </w:tabs>
        <w:spacing w:line="360" w:lineRule="auto"/>
        <w:ind w:right="1091"/>
        <w:jc w:val="both"/>
        <w:rPr>
          <w:rFonts w:ascii="Times New Roman" w:hAnsi="Times New Roman"/>
          <w:sz w:val="24"/>
          <w:szCs w:val="24"/>
        </w:rPr>
      </w:pPr>
      <w:r>
        <w:rPr>
          <w:rFonts w:ascii="Times New Roman" w:hAnsi="Times New Roman"/>
          <w:sz w:val="24"/>
          <w:szCs w:val="24"/>
        </w:rPr>
        <w:t>Infine uno studio post-mortem ha fornito interessanti risultati sul DB: Lesrot e colleghi nel 2009 infatti hanno trovato che le concentrazioni di quetsa chinasi in cervelli post-mortem di pazienti bipolari, non erano diverse da quelle dei controlli sani. Ad ogni modo, le differenze trovate nel livello di fosforilazione della proteina tau (substrato della GSK-3) erano significative. Questo ci suggerisce unapossibile ass</w:t>
      </w:r>
      <w:r w:rsidR="003C7BCD">
        <w:rPr>
          <w:rFonts w:ascii="Times New Roman" w:hAnsi="Times New Roman"/>
          <w:sz w:val="24"/>
          <w:szCs w:val="24"/>
        </w:rPr>
        <w:t>ociazione tra Wnt/B-catenina e i</w:t>
      </w:r>
      <w:r>
        <w:rPr>
          <w:rFonts w:ascii="Times New Roman" w:hAnsi="Times New Roman"/>
          <w:sz w:val="24"/>
          <w:szCs w:val="24"/>
        </w:rPr>
        <w:t xml:space="preserve"> cambiamenti dell'espressione genica nel DB.</w:t>
      </w: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CD2867" w:rsidRDefault="00CD2867" w:rsidP="001E5BE4">
      <w:pPr>
        <w:pStyle w:val="Tesi"/>
        <w:tabs>
          <w:tab w:val="left" w:pos="8503"/>
        </w:tabs>
        <w:spacing w:line="360" w:lineRule="auto"/>
        <w:ind w:right="1091"/>
        <w:jc w:val="both"/>
        <w:rPr>
          <w:rFonts w:ascii="Times New Roman" w:hAnsi="Times New Roman"/>
          <w:sz w:val="24"/>
          <w:szCs w:val="24"/>
        </w:rPr>
      </w:pPr>
    </w:p>
    <w:p w:rsidR="00CD2867" w:rsidRDefault="00CD2867" w:rsidP="001E5BE4">
      <w:pPr>
        <w:pStyle w:val="Tesi"/>
        <w:tabs>
          <w:tab w:val="left" w:pos="8503"/>
        </w:tabs>
        <w:spacing w:line="360" w:lineRule="auto"/>
        <w:ind w:right="1091"/>
        <w:jc w:val="both"/>
        <w:rPr>
          <w:rFonts w:ascii="Times New Roman" w:hAnsi="Times New Roman"/>
          <w:sz w:val="24"/>
          <w:szCs w:val="24"/>
        </w:rPr>
      </w:pPr>
    </w:p>
    <w:p w:rsidR="00CD2867" w:rsidRDefault="00CD2867" w:rsidP="001E5BE4">
      <w:pPr>
        <w:pStyle w:val="Tesi"/>
        <w:tabs>
          <w:tab w:val="left" w:pos="8503"/>
        </w:tabs>
        <w:spacing w:line="360" w:lineRule="auto"/>
        <w:ind w:right="1091"/>
        <w:jc w:val="both"/>
        <w:rPr>
          <w:rFonts w:ascii="Times New Roman" w:hAnsi="Times New Roman"/>
          <w:sz w:val="24"/>
          <w:szCs w:val="24"/>
        </w:rPr>
      </w:pPr>
    </w:p>
    <w:p w:rsidR="00A0541C" w:rsidRDefault="00B460A6" w:rsidP="001E5BE4">
      <w:pPr>
        <w:pStyle w:val="Tesi"/>
        <w:tabs>
          <w:tab w:val="left" w:pos="8503"/>
        </w:tabs>
        <w:spacing w:line="360" w:lineRule="auto"/>
        <w:ind w:right="1091"/>
        <w:jc w:val="both"/>
        <w:rPr>
          <w:rFonts w:ascii="Times New Roman" w:hAnsi="Times New Roman"/>
          <w:b/>
          <w:bCs/>
          <w:sz w:val="24"/>
          <w:szCs w:val="24"/>
        </w:rPr>
      </w:pPr>
      <w:r>
        <w:rPr>
          <w:rFonts w:ascii="Times New Roman" w:hAnsi="Times New Roman"/>
          <w:b/>
          <w:bCs/>
          <w:sz w:val="24"/>
          <w:szCs w:val="24"/>
        </w:rPr>
        <w:t>4.2 Obiettivi</w:t>
      </w:r>
    </w:p>
    <w:p w:rsidR="00A0541C" w:rsidRDefault="00B460A6" w:rsidP="001E5BE4">
      <w:pPr>
        <w:pStyle w:val="Tesi"/>
        <w:tabs>
          <w:tab w:val="left" w:pos="8503"/>
        </w:tabs>
        <w:spacing w:line="360" w:lineRule="auto"/>
        <w:ind w:right="1091"/>
        <w:jc w:val="both"/>
        <w:rPr>
          <w:rFonts w:ascii="Times New Roman" w:hAnsi="Times New Roman" w:cs="Times New Roman"/>
          <w:color w:val="0D0D0D"/>
          <w:sz w:val="24"/>
          <w:szCs w:val="24"/>
          <w:lang w:val="en-GB"/>
        </w:rPr>
      </w:pPr>
      <w:r>
        <w:rPr>
          <w:rFonts w:ascii="Times New Roman" w:hAnsi="Times New Roman"/>
          <w:sz w:val="24"/>
          <w:szCs w:val="24"/>
        </w:rPr>
        <w:t xml:space="preserve">Una grossa mole di studi suggerisce che l'integrità della sostanza bianca è compromessa nel DB. Sempre piu dati sperimentali confermano un link tra la GSK-3, il </w:t>
      </w:r>
      <w:r w:rsidR="003C7BCD">
        <w:rPr>
          <w:rFonts w:ascii="Times New Roman" w:hAnsi="Times New Roman"/>
          <w:sz w:val="24"/>
          <w:szCs w:val="24"/>
        </w:rPr>
        <w:t>dis</w:t>
      </w:r>
      <w:r>
        <w:rPr>
          <w:rFonts w:ascii="Times New Roman" w:hAnsi="Times New Roman"/>
          <w:sz w:val="24"/>
          <w:szCs w:val="24"/>
        </w:rPr>
        <w:t xml:space="preserve">turbo bipolare e gli effetti terapeutici degli stabilizzanti </w:t>
      </w:r>
      <w:r w:rsidR="003C7BCD">
        <w:rPr>
          <w:rFonts w:ascii="Times New Roman" w:hAnsi="Times New Roman"/>
          <w:sz w:val="24"/>
          <w:szCs w:val="24"/>
        </w:rPr>
        <w:t>dell'umore, in particolare con i</w:t>
      </w:r>
      <w:r>
        <w:rPr>
          <w:rFonts w:ascii="Times New Roman" w:hAnsi="Times New Roman"/>
          <w:sz w:val="24"/>
          <w:szCs w:val="24"/>
        </w:rPr>
        <w:t xml:space="preserve"> sali di litio. Lo scopo di questo studio è quello di avanzare la conoscenza sul DB, facendo attenzione alle alterazioni strutturali della sos</w:t>
      </w:r>
      <w:r w:rsidR="003C7BCD">
        <w:rPr>
          <w:rFonts w:ascii="Times New Roman" w:hAnsi="Times New Roman"/>
          <w:sz w:val="24"/>
          <w:szCs w:val="24"/>
        </w:rPr>
        <w:t>tanza bianca in pazienti adulti</w:t>
      </w:r>
      <w:r>
        <w:rPr>
          <w:rFonts w:ascii="Times New Roman" w:hAnsi="Times New Roman"/>
          <w:sz w:val="24"/>
          <w:szCs w:val="24"/>
        </w:rPr>
        <w:t>, in associazione sia con l'assunzione di litio, sia ai polimorfismi della GSK-3</w:t>
      </w:r>
      <w:r>
        <w:rPr>
          <w:rFonts w:ascii="Times New Roman" w:hAnsi="Times New Roman" w:cs="Times New Roman"/>
          <w:color w:val="0D0D0D"/>
          <w:sz w:val="24"/>
          <w:szCs w:val="24"/>
          <w:lang w:val="en-GB"/>
        </w:rPr>
        <w:t>β. In particolare siamo interessati al polimorfismo a singolo nucleotide della GSK-3</w:t>
      </w:r>
      <w:r w:rsidR="003C7BCD">
        <w:rPr>
          <w:rFonts w:ascii="Times New Roman" w:hAnsi="Times New Roman" w:cs="Times New Roman"/>
          <w:color w:val="0D0D0D"/>
          <w:sz w:val="24"/>
          <w:szCs w:val="24"/>
          <w:lang w:val="en-GB"/>
        </w:rPr>
        <w:t>β</w:t>
      </w:r>
      <w:r>
        <w:rPr>
          <w:rFonts w:ascii="Times New Roman" w:hAnsi="Times New Roman" w:cs="Times New Roman"/>
          <w:color w:val="0D0D0D"/>
          <w:sz w:val="24"/>
          <w:szCs w:val="24"/>
          <w:lang w:val="en-GB"/>
        </w:rPr>
        <w:t xml:space="preserve"> (</w:t>
      </w:r>
      <w:r>
        <w:rPr>
          <w:rFonts w:ascii="Times New Roman" w:eastAsia="Times New Roman" w:hAnsi="Times New Roman" w:cs="Times New Roman"/>
          <w:color w:val="0D0D0D"/>
          <w:sz w:val="24"/>
          <w:szCs w:val="24"/>
          <w:lang w:val="en-GB"/>
        </w:rPr>
        <w:t>–</w:t>
      </w:r>
      <w:r>
        <w:rPr>
          <w:rFonts w:ascii="Times New Roman" w:hAnsi="Times New Roman" w:cs="Times New Roman"/>
          <w:color w:val="0D0D0D"/>
          <w:sz w:val="24"/>
          <w:szCs w:val="24"/>
          <w:lang w:val="en-GB"/>
        </w:rPr>
        <w:t>50 T/C) , scoperto da Russ et al. nel 2001, che cade nella regione del promotore del gene che codifica per GSK-3β. Questo SNP influenza la forza trascrizionale, e la forma meno attiva è associata a effetti meno debilitanti dei disturbi dell'umore.</w:t>
      </w:r>
    </w:p>
    <w:p w:rsidR="00A0541C" w:rsidRDefault="00B460A6" w:rsidP="001E5BE4">
      <w:pPr>
        <w:pStyle w:val="Tesi"/>
        <w:tabs>
          <w:tab w:val="left" w:pos="8503"/>
        </w:tabs>
        <w:spacing w:line="360" w:lineRule="auto"/>
        <w:ind w:right="1091"/>
        <w:jc w:val="both"/>
        <w:rPr>
          <w:rFonts w:ascii="Times New Roman" w:hAnsi="Times New Roman" w:cs="Times New Roman"/>
          <w:color w:val="0D0D0D"/>
          <w:sz w:val="24"/>
          <w:szCs w:val="24"/>
          <w:lang w:val="en-GB"/>
        </w:rPr>
      </w:pPr>
      <w:r>
        <w:rPr>
          <w:rFonts w:ascii="Times New Roman" w:hAnsi="Times New Roman" w:cs="Times New Roman"/>
          <w:color w:val="0D0D0D"/>
          <w:sz w:val="24"/>
          <w:szCs w:val="24"/>
          <w:lang w:val="en-GB"/>
        </w:rPr>
        <w:t>Abbiamo quindi testato le seguenti ipotesi:</w:t>
      </w:r>
    </w:p>
    <w:p w:rsidR="00A0541C" w:rsidRDefault="00B460A6" w:rsidP="001E5BE4">
      <w:pPr>
        <w:pStyle w:val="Tesi"/>
        <w:numPr>
          <w:ilvl w:val="0"/>
          <w:numId w:val="7"/>
        </w:numPr>
        <w:tabs>
          <w:tab w:val="clear" w:pos="720"/>
          <w:tab w:val="left" w:pos="709"/>
          <w:tab w:val="left" w:pos="8503"/>
        </w:tabs>
        <w:spacing w:line="360" w:lineRule="auto"/>
        <w:jc w:val="both"/>
        <w:rPr>
          <w:rFonts w:ascii="Times New Roman" w:hAnsi="Times New Roman" w:cs="Times New Roman"/>
          <w:color w:val="0D0D0D"/>
          <w:sz w:val="24"/>
          <w:szCs w:val="24"/>
          <w:lang w:val="en-GB"/>
        </w:rPr>
      </w:pPr>
      <w:r>
        <w:rPr>
          <w:rFonts w:ascii="Times New Roman" w:hAnsi="Times New Roman" w:cs="Times New Roman"/>
          <w:color w:val="0D0D0D"/>
          <w:sz w:val="24"/>
          <w:szCs w:val="24"/>
          <w:lang w:val="en-GB"/>
        </w:rPr>
        <w:t>Se il trattamento corrento con litio può influenzare o meno le misure DTI di integrità della sostanza bianca.</w:t>
      </w:r>
    </w:p>
    <w:p w:rsidR="00A0541C" w:rsidRDefault="00B460A6" w:rsidP="001E5BE4">
      <w:pPr>
        <w:pStyle w:val="Tesi"/>
        <w:numPr>
          <w:ilvl w:val="0"/>
          <w:numId w:val="7"/>
        </w:numPr>
        <w:tabs>
          <w:tab w:val="clear" w:pos="720"/>
          <w:tab w:val="left" w:pos="709"/>
          <w:tab w:val="left" w:pos="8503"/>
        </w:tabs>
        <w:spacing w:line="360" w:lineRule="auto"/>
        <w:jc w:val="both"/>
        <w:rPr>
          <w:rFonts w:ascii="Times New Roman" w:hAnsi="Times New Roman" w:cs="Times New Roman"/>
          <w:color w:val="0D0D0D"/>
          <w:sz w:val="24"/>
          <w:szCs w:val="24"/>
          <w:lang w:val="en-GB"/>
        </w:rPr>
      </w:pPr>
      <w:r>
        <w:rPr>
          <w:rFonts w:ascii="Times New Roman" w:hAnsi="Times New Roman" w:cs="Times New Roman"/>
          <w:color w:val="0D0D0D"/>
          <w:sz w:val="24"/>
          <w:szCs w:val="24"/>
          <w:lang w:val="en-GB"/>
        </w:rPr>
        <w:t>Se il polimorfismo rs</w:t>
      </w:r>
      <w:r w:rsidR="009F0C3E">
        <w:rPr>
          <w:rFonts w:ascii="Times New Roman" w:hAnsi="Times New Roman" w:cs="Times New Roman"/>
          <w:color w:val="0D0D0D"/>
          <w:sz w:val="24"/>
          <w:szCs w:val="24"/>
          <w:lang w:val="en-GB"/>
        </w:rPr>
        <w:t>-</w:t>
      </w:r>
      <w:r>
        <w:rPr>
          <w:rFonts w:ascii="Times New Roman" w:hAnsi="Times New Roman" w:cs="Times New Roman"/>
          <w:color w:val="0D0D0D"/>
          <w:sz w:val="24"/>
          <w:szCs w:val="24"/>
          <w:lang w:val="en-GB"/>
        </w:rPr>
        <w:t>334558 può influenzare le stesse misure DTI</w:t>
      </w:r>
    </w:p>
    <w:p w:rsidR="00A0541C" w:rsidRDefault="00B460A6" w:rsidP="001E5BE4">
      <w:pPr>
        <w:pStyle w:val="Tesi"/>
        <w:numPr>
          <w:ilvl w:val="0"/>
          <w:numId w:val="7"/>
        </w:numPr>
        <w:tabs>
          <w:tab w:val="clear" w:pos="720"/>
          <w:tab w:val="left" w:pos="709"/>
          <w:tab w:val="left" w:pos="8503"/>
        </w:tabs>
        <w:spacing w:line="360" w:lineRule="auto"/>
        <w:jc w:val="both"/>
        <w:rPr>
          <w:rFonts w:ascii="Times New Roman" w:hAnsi="Times New Roman" w:cs="Times New Roman"/>
          <w:color w:val="0D0D0D"/>
          <w:sz w:val="24"/>
          <w:szCs w:val="24"/>
          <w:lang w:val="en-GB"/>
        </w:rPr>
      </w:pPr>
      <w:r>
        <w:rPr>
          <w:rFonts w:ascii="Times New Roman" w:hAnsi="Times New Roman" w:cs="Times New Roman"/>
          <w:color w:val="0D0D0D"/>
          <w:sz w:val="24"/>
          <w:szCs w:val="24"/>
          <w:lang w:val="en-GB"/>
        </w:rPr>
        <w:t>Se questi due fattori insieme possono coopartecipare nella modificazione delle strutture della sostanza bianca.</w:t>
      </w:r>
    </w:p>
    <w:p w:rsidR="00A0541C" w:rsidRDefault="00B460A6" w:rsidP="001E5BE4">
      <w:pPr>
        <w:pStyle w:val="Tesi"/>
        <w:tabs>
          <w:tab w:val="left" w:pos="8503"/>
        </w:tabs>
        <w:spacing w:line="360" w:lineRule="auto"/>
        <w:jc w:val="both"/>
        <w:rPr>
          <w:rFonts w:ascii="Times New Roman" w:hAnsi="Times New Roman" w:cs="Times New Roman"/>
          <w:color w:val="0D0D0D"/>
          <w:sz w:val="24"/>
          <w:szCs w:val="24"/>
          <w:lang w:val="en-GB"/>
        </w:rPr>
      </w:pPr>
      <w:r>
        <w:rPr>
          <w:rFonts w:ascii="Times New Roman" w:hAnsi="Times New Roman" w:cs="Times New Roman"/>
          <w:color w:val="0D0D0D"/>
          <w:sz w:val="24"/>
          <w:szCs w:val="24"/>
          <w:lang w:val="en-GB"/>
        </w:rPr>
        <w:t>Abbiamo pertanto performato un analisi whole-brai</w:t>
      </w:r>
      <w:r w:rsidR="003C7BCD">
        <w:rPr>
          <w:rFonts w:ascii="Times New Roman" w:hAnsi="Times New Roman" w:cs="Times New Roman"/>
          <w:color w:val="0D0D0D"/>
          <w:sz w:val="24"/>
          <w:szCs w:val="24"/>
          <w:lang w:val="en-GB"/>
        </w:rPr>
        <w:t>n usando le recenti tecniche di</w:t>
      </w:r>
      <w:r>
        <w:rPr>
          <w:rFonts w:ascii="Times New Roman" w:hAnsi="Times New Roman" w:cs="Times New Roman"/>
          <w:color w:val="0D0D0D"/>
          <w:sz w:val="24"/>
          <w:szCs w:val="24"/>
          <w:lang w:val="en-GB"/>
        </w:rPr>
        <w:t xml:space="preserve"> TBSS per l'analisi delle immagini DTI.</w:t>
      </w:r>
    </w:p>
    <w:p w:rsidR="00A0541C" w:rsidRDefault="00A0541C" w:rsidP="001E5BE4">
      <w:pPr>
        <w:pStyle w:val="Tesi"/>
        <w:tabs>
          <w:tab w:val="left" w:pos="8503"/>
        </w:tabs>
        <w:spacing w:line="360" w:lineRule="auto"/>
        <w:jc w:val="both"/>
        <w:rPr>
          <w:rFonts w:ascii="Times New Roman" w:hAnsi="Times New Roman"/>
          <w:sz w:val="24"/>
          <w:szCs w:val="24"/>
        </w:rPr>
      </w:pPr>
    </w:p>
    <w:p w:rsidR="00F813FD" w:rsidRDefault="00F813FD" w:rsidP="001E5BE4">
      <w:pPr>
        <w:pStyle w:val="Tesi"/>
        <w:tabs>
          <w:tab w:val="left" w:pos="8503"/>
        </w:tabs>
        <w:spacing w:line="360" w:lineRule="auto"/>
        <w:jc w:val="both"/>
        <w:rPr>
          <w:rFonts w:ascii="Times New Roman" w:hAnsi="Times New Roman" w:cs="Times New Roman"/>
          <w:b/>
          <w:bCs/>
          <w:color w:val="0D0D0D"/>
          <w:sz w:val="26"/>
          <w:szCs w:val="26"/>
          <w:lang w:val="en-GB"/>
        </w:rPr>
      </w:pPr>
    </w:p>
    <w:p w:rsidR="00271128" w:rsidRDefault="00271128" w:rsidP="001E5BE4">
      <w:pPr>
        <w:pStyle w:val="Tesi"/>
        <w:tabs>
          <w:tab w:val="left" w:pos="8503"/>
        </w:tabs>
        <w:spacing w:line="360" w:lineRule="auto"/>
        <w:jc w:val="both"/>
        <w:rPr>
          <w:rFonts w:ascii="Times New Roman" w:hAnsi="Times New Roman" w:cs="Times New Roman"/>
          <w:b/>
          <w:bCs/>
          <w:color w:val="0D0D0D"/>
          <w:sz w:val="26"/>
          <w:szCs w:val="26"/>
          <w:lang w:val="en-GB"/>
        </w:rPr>
      </w:pPr>
    </w:p>
    <w:p w:rsidR="00271128" w:rsidRDefault="00271128" w:rsidP="001E5BE4">
      <w:pPr>
        <w:pStyle w:val="Tesi"/>
        <w:tabs>
          <w:tab w:val="left" w:pos="8503"/>
        </w:tabs>
        <w:spacing w:line="360" w:lineRule="auto"/>
        <w:jc w:val="both"/>
        <w:rPr>
          <w:rFonts w:ascii="Times New Roman" w:hAnsi="Times New Roman" w:cs="Times New Roman"/>
          <w:b/>
          <w:bCs/>
          <w:color w:val="0D0D0D"/>
          <w:sz w:val="26"/>
          <w:szCs w:val="26"/>
          <w:lang w:val="en-GB"/>
        </w:rPr>
      </w:pPr>
    </w:p>
    <w:p w:rsidR="00271128" w:rsidRDefault="00271128" w:rsidP="001E5BE4">
      <w:pPr>
        <w:pStyle w:val="Tesi"/>
        <w:tabs>
          <w:tab w:val="left" w:pos="8503"/>
        </w:tabs>
        <w:spacing w:line="360" w:lineRule="auto"/>
        <w:jc w:val="both"/>
        <w:rPr>
          <w:rFonts w:ascii="Times New Roman" w:hAnsi="Times New Roman" w:cs="Times New Roman"/>
          <w:b/>
          <w:bCs/>
          <w:color w:val="0D0D0D"/>
          <w:sz w:val="26"/>
          <w:szCs w:val="26"/>
          <w:lang w:val="en-GB"/>
        </w:rPr>
      </w:pPr>
    </w:p>
    <w:p w:rsidR="00271128" w:rsidRDefault="00271128" w:rsidP="001E5BE4">
      <w:pPr>
        <w:pStyle w:val="Tesi"/>
        <w:tabs>
          <w:tab w:val="left" w:pos="8503"/>
        </w:tabs>
        <w:spacing w:line="360" w:lineRule="auto"/>
        <w:jc w:val="both"/>
        <w:rPr>
          <w:rFonts w:ascii="Times New Roman" w:hAnsi="Times New Roman" w:cs="Times New Roman"/>
          <w:b/>
          <w:bCs/>
          <w:color w:val="0D0D0D"/>
          <w:sz w:val="26"/>
          <w:szCs w:val="26"/>
          <w:lang w:val="en-GB"/>
        </w:rPr>
      </w:pPr>
    </w:p>
    <w:p w:rsidR="00271128" w:rsidRDefault="00271128" w:rsidP="001E5BE4">
      <w:pPr>
        <w:pStyle w:val="Tesi"/>
        <w:tabs>
          <w:tab w:val="left" w:pos="8503"/>
        </w:tabs>
        <w:spacing w:line="360" w:lineRule="auto"/>
        <w:jc w:val="both"/>
        <w:rPr>
          <w:rFonts w:ascii="Times New Roman" w:hAnsi="Times New Roman" w:cs="Times New Roman"/>
          <w:b/>
          <w:bCs/>
          <w:color w:val="0D0D0D"/>
          <w:sz w:val="26"/>
          <w:szCs w:val="26"/>
          <w:lang w:val="en-GB"/>
        </w:rPr>
      </w:pPr>
    </w:p>
    <w:p w:rsidR="00A0541C" w:rsidRPr="00F813FD" w:rsidRDefault="00B460A6" w:rsidP="001E5BE4">
      <w:pPr>
        <w:pStyle w:val="Tesi"/>
        <w:tabs>
          <w:tab w:val="left" w:pos="8503"/>
        </w:tabs>
        <w:spacing w:line="360" w:lineRule="auto"/>
        <w:jc w:val="both"/>
        <w:rPr>
          <w:rFonts w:ascii="Times New Roman" w:hAnsi="Times New Roman" w:cs="Times New Roman"/>
          <w:b/>
          <w:bCs/>
          <w:color w:val="0D0D0D"/>
          <w:sz w:val="26"/>
          <w:szCs w:val="26"/>
          <w:lang w:val="en-GB"/>
        </w:rPr>
      </w:pPr>
      <w:r w:rsidRPr="00F813FD">
        <w:rPr>
          <w:rFonts w:ascii="Times New Roman" w:hAnsi="Times New Roman" w:cs="Times New Roman"/>
          <w:b/>
          <w:bCs/>
          <w:color w:val="0D0D0D"/>
          <w:sz w:val="26"/>
          <w:szCs w:val="26"/>
          <w:lang w:val="en-GB"/>
        </w:rPr>
        <w:t>4.3 Metodi</w:t>
      </w:r>
    </w:p>
    <w:p w:rsidR="00A0541C" w:rsidRDefault="00B460A6" w:rsidP="001E5BE4">
      <w:pPr>
        <w:pStyle w:val="Tesi"/>
        <w:tabs>
          <w:tab w:val="left" w:pos="8503"/>
        </w:tabs>
        <w:spacing w:line="360" w:lineRule="auto"/>
        <w:jc w:val="both"/>
        <w:rPr>
          <w:rFonts w:ascii="Times New Roman" w:hAnsi="Times New Roman" w:cs="Times New Roman"/>
          <w:b/>
          <w:bCs/>
          <w:color w:val="0D0D0D"/>
          <w:sz w:val="24"/>
          <w:szCs w:val="24"/>
          <w:lang w:val="en-GB"/>
        </w:rPr>
      </w:pPr>
      <w:r>
        <w:rPr>
          <w:rFonts w:ascii="Times New Roman" w:hAnsi="Times New Roman" w:cs="Times New Roman"/>
          <w:b/>
          <w:bCs/>
          <w:color w:val="0D0D0D"/>
          <w:sz w:val="24"/>
          <w:szCs w:val="24"/>
          <w:lang w:val="en-GB"/>
        </w:rPr>
        <w:t>4.3.1 Partecipanti</w:t>
      </w:r>
    </w:p>
    <w:p w:rsidR="00A0541C" w:rsidRDefault="00B460A6" w:rsidP="001E5BE4">
      <w:pPr>
        <w:pStyle w:val="Tesi"/>
        <w:tabs>
          <w:tab w:val="left" w:pos="8503"/>
        </w:tabs>
        <w:spacing w:line="360" w:lineRule="auto"/>
        <w:jc w:val="both"/>
        <w:rPr>
          <w:rFonts w:ascii="Times New Roman" w:hAnsi="Times New Roman" w:cs="Times New Roman"/>
          <w:color w:val="0D0D0D"/>
          <w:sz w:val="24"/>
          <w:szCs w:val="24"/>
          <w:lang w:val="en-GB"/>
        </w:rPr>
      </w:pPr>
      <w:r>
        <w:rPr>
          <w:rFonts w:ascii="Times New Roman" w:hAnsi="Times New Roman" w:cs="Times New Roman"/>
          <w:color w:val="0D0D0D"/>
          <w:sz w:val="24"/>
          <w:szCs w:val="24"/>
          <w:lang w:val="en-GB"/>
        </w:rPr>
        <w:t xml:space="preserve">I partecipanti erano 69 (19 uomini) affetti da DB di tipo I e II (criteri DSM-IV) e consecutivamente ricoverati all'ospedale San raffaele di Milano. </w:t>
      </w:r>
    </w:p>
    <w:p w:rsidR="00A0541C" w:rsidRDefault="00B460A6" w:rsidP="001E5BE4">
      <w:pPr>
        <w:pStyle w:val="Tesi"/>
        <w:tabs>
          <w:tab w:val="left" w:pos="8503"/>
        </w:tabs>
        <w:spacing w:after="0" w:line="360" w:lineRule="auto"/>
        <w:jc w:val="both"/>
        <w:rPr>
          <w:rFonts w:ascii="Times New Roman" w:hAnsi="Times New Roman" w:cs="Times New Roman"/>
          <w:color w:val="0D0D0D"/>
          <w:sz w:val="24"/>
          <w:szCs w:val="24"/>
          <w:lang w:val="en-GB"/>
        </w:rPr>
      </w:pPr>
      <w:r>
        <w:rPr>
          <w:rFonts w:ascii="Times New Roman" w:hAnsi="Times New Roman" w:cs="Times New Roman"/>
          <w:color w:val="0D0D0D"/>
          <w:sz w:val="24"/>
          <w:szCs w:val="24"/>
          <w:lang w:val="en-GB"/>
        </w:rPr>
        <w:t>Non abbiamo riscontrato nessuna differenza significativa per età, sesso, onset, scolarità, numero di epis</w:t>
      </w:r>
      <w:r w:rsidR="003C7BCD">
        <w:rPr>
          <w:rFonts w:ascii="Times New Roman" w:hAnsi="Times New Roman" w:cs="Times New Roman"/>
          <w:color w:val="0D0D0D"/>
          <w:sz w:val="24"/>
          <w:szCs w:val="24"/>
          <w:lang w:val="en-GB"/>
        </w:rPr>
        <w:t>odi maniacali o depressivi tra i</w:t>
      </w:r>
      <w:r>
        <w:rPr>
          <w:rFonts w:ascii="Times New Roman" w:hAnsi="Times New Roman" w:cs="Times New Roman"/>
          <w:color w:val="0D0D0D"/>
          <w:sz w:val="24"/>
          <w:szCs w:val="24"/>
          <w:lang w:val="en-GB"/>
        </w:rPr>
        <w:t xml:space="preserve"> gruppi genotipici. Alla luce della rara frequenza dei genotipi C/C omozigoti, le analisi sono state effettuate sia dividendo il campione nei tre gurppi genotipici, sia confrontando gli omozigoti T/T con l'insieme degli eterozigoti e omozigoti trasportatori dell'allele C (T/C;C/C). Tale approccio è stato inoltre supportato da studi che dimostrano che il litio ha effetti terapeutici simili nei T/C e C/C, entrambi diversi da T/T (Benedetti et</w:t>
      </w:r>
      <w:r w:rsidR="003C7BCD">
        <w:rPr>
          <w:rFonts w:ascii="Times New Roman" w:hAnsi="Times New Roman" w:cs="Times New Roman"/>
          <w:color w:val="0D0D0D"/>
          <w:sz w:val="24"/>
          <w:szCs w:val="24"/>
          <w:lang w:val="en-GB"/>
        </w:rPr>
        <w:t xml:space="preserve"> al., 2004b, Adli 2007), e che i</w:t>
      </w:r>
      <w:r>
        <w:rPr>
          <w:rFonts w:ascii="Times New Roman" w:hAnsi="Times New Roman" w:cs="Times New Roman"/>
          <w:color w:val="0D0D0D"/>
          <w:sz w:val="24"/>
          <w:szCs w:val="24"/>
          <w:lang w:val="en-GB"/>
        </w:rPr>
        <w:t xml:space="preserve"> volumi di sostanza grigia nei pazienti affetti da schizofrenia erano molto simili nei T/C  e C/C, entrambi differenti dai T/T. T/C e C/C  non presentavano differenze demografiche (Benedetti et al., 2010).</w:t>
      </w:r>
      <w:r w:rsidR="00F813FD">
        <w:rPr>
          <w:rFonts w:ascii="Times New Roman" w:hAnsi="Times New Roman" w:cs="Times New Roman"/>
          <w:color w:val="0D0D0D"/>
          <w:sz w:val="24"/>
          <w:szCs w:val="24"/>
          <w:lang w:val="en-GB"/>
        </w:rPr>
        <w:t xml:space="preserve">  </w:t>
      </w:r>
    </w:p>
    <w:p w:rsidR="00F813FD" w:rsidRDefault="00F813FD" w:rsidP="001E5BE4">
      <w:pPr>
        <w:pStyle w:val="Tesi"/>
        <w:tabs>
          <w:tab w:val="left" w:pos="8503"/>
        </w:tabs>
        <w:spacing w:after="0" w:line="360" w:lineRule="auto"/>
        <w:jc w:val="both"/>
        <w:rPr>
          <w:rFonts w:ascii="Times New Roman" w:hAnsi="Times New Roman" w:cs="Times New Roman"/>
          <w:color w:val="0D0D0D"/>
          <w:sz w:val="24"/>
          <w:szCs w:val="24"/>
          <w:lang w:val="en-GB"/>
        </w:rPr>
      </w:pPr>
    </w:p>
    <w:tbl>
      <w:tblPr>
        <w:tblW w:w="8647" w:type="dxa"/>
        <w:tblInd w:w="55" w:type="dxa"/>
        <w:tblLayout w:type="fixed"/>
        <w:tblCellMar>
          <w:top w:w="55" w:type="dxa"/>
          <w:left w:w="55" w:type="dxa"/>
          <w:bottom w:w="55" w:type="dxa"/>
          <w:right w:w="55" w:type="dxa"/>
        </w:tblCellMar>
        <w:tblLook w:val="0000"/>
      </w:tblPr>
      <w:tblGrid>
        <w:gridCol w:w="1418"/>
        <w:gridCol w:w="722"/>
        <w:gridCol w:w="723"/>
        <w:gridCol w:w="723"/>
        <w:gridCol w:w="723"/>
        <w:gridCol w:w="723"/>
        <w:gridCol w:w="723"/>
        <w:gridCol w:w="723"/>
        <w:gridCol w:w="723"/>
        <w:gridCol w:w="723"/>
        <w:gridCol w:w="723"/>
      </w:tblGrid>
      <w:tr w:rsidR="00F813FD" w:rsidRPr="008409BD" w:rsidTr="003C7BCD">
        <w:trPr>
          <w:trHeight w:val="618"/>
        </w:trPr>
        <w:tc>
          <w:tcPr>
            <w:tcW w:w="1418" w:type="dxa"/>
            <w:vMerge w:val="restart"/>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E74EE2"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Caratteristiche demografiche</w:t>
            </w:r>
          </w:p>
        </w:tc>
        <w:tc>
          <w:tcPr>
            <w:tcW w:w="1445"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b/>
                <w:bCs/>
                <w:color w:val="0D0D0D"/>
                <w:sz w:val="20"/>
                <w:szCs w:val="20"/>
                <w:lang w:val="en-GB"/>
              </w:rPr>
            </w:pPr>
            <w:r w:rsidRPr="008409BD">
              <w:rPr>
                <w:rFonts w:ascii="Calibri" w:hAnsi="Calibri"/>
                <w:b/>
                <w:bCs/>
                <w:color w:val="0D0D0D"/>
                <w:sz w:val="20"/>
                <w:szCs w:val="20"/>
                <w:lang w:val="en-GB"/>
              </w:rPr>
              <w:t>All</w:t>
            </w:r>
          </w:p>
        </w:tc>
        <w:tc>
          <w:tcPr>
            <w:tcW w:w="1446"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b/>
                <w:bCs/>
                <w:color w:val="0D0D0D"/>
                <w:sz w:val="20"/>
                <w:szCs w:val="20"/>
                <w:lang w:val="en-GB"/>
              </w:rPr>
            </w:pPr>
            <w:r w:rsidRPr="008409BD">
              <w:rPr>
                <w:rFonts w:ascii="Calibri" w:hAnsi="Calibri"/>
                <w:b/>
                <w:bCs/>
                <w:color w:val="0D0D0D"/>
                <w:sz w:val="20"/>
                <w:szCs w:val="20"/>
                <w:lang w:val="en-GB"/>
              </w:rPr>
              <w:t>T/T</w:t>
            </w:r>
          </w:p>
        </w:tc>
        <w:tc>
          <w:tcPr>
            <w:tcW w:w="1446"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b/>
                <w:bCs/>
                <w:color w:val="0D0D0D"/>
                <w:sz w:val="20"/>
                <w:szCs w:val="20"/>
                <w:lang w:val="en-GB"/>
              </w:rPr>
            </w:pPr>
            <w:r w:rsidRPr="008409BD">
              <w:rPr>
                <w:rFonts w:ascii="Calibri" w:hAnsi="Calibri"/>
                <w:b/>
                <w:bCs/>
                <w:color w:val="0D0D0D"/>
                <w:sz w:val="20"/>
                <w:szCs w:val="20"/>
                <w:lang w:val="en-GB"/>
              </w:rPr>
              <w:t>C carriers</w:t>
            </w:r>
          </w:p>
        </w:tc>
        <w:tc>
          <w:tcPr>
            <w:tcW w:w="1446"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E74EE2"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Litio-trattati</w:t>
            </w:r>
          </w:p>
        </w:tc>
        <w:tc>
          <w:tcPr>
            <w:tcW w:w="1446"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E74EE2"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Litio</w:t>
            </w:r>
            <w:r w:rsidR="00F813FD" w:rsidRPr="008409BD">
              <w:rPr>
                <w:rFonts w:ascii="Calibri" w:hAnsi="Calibri"/>
                <w:b/>
                <w:bCs/>
                <w:color w:val="0D0D0D"/>
                <w:sz w:val="20"/>
                <w:szCs w:val="20"/>
                <w:lang w:val="en-GB"/>
              </w:rPr>
              <w:t>-free</w:t>
            </w:r>
          </w:p>
        </w:tc>
      </w:tr>
      <w:tr w:rsidR="00F813FD" w:rsidRPr="008409BD" w:rsidTr="003C7BCD">
        <w:trPr>
          <w:trHeight w:val="618"/>
        </w:trPr>
        <w:tc>
          <w:tcPr>
            <w:tcW w:w="1418" w:type="dxa"/>
            <w:vMerge/>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F813FD" w:rsidP="001E5BE4">
            <w:pPr>
              <w:pStyle w:val="Contenutotabella"/>
              <w:snapToGrid w:val="0"/>
              <w:spacing w:line="360" w:lineRule="auto"/>
              <w:jc w:val="center"/>
              <w:rPr>
                <w:color w:val="0D0D0D"/>
              </w:rPr>
            </w:pPr>
          </w:p>
        </w:tc>
        <w:tc>
          <w:tcPr>
            <w:tcW w:w="722"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E74EE2"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Media</w:t>
            </w:r>
          </w:p>
        </w:tc>
        <w:tc>
          <w:tcPr>
            <w:tcW w:w="723"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E74EE2"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DS</w:t>
            </w:r>
          </w:p>
        </w:tc>
        <w:tc>
          <w:tcPr>
            <w:tcW w:w="723"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E74EE2"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Media</w:t>
            </w:r>
          </w:p>
        </w:tc>
        <w:tc>
          <w:tcPr>
            <w:tcW w:w="723"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E74EE2"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DS</w:t>
            </w:r>
          </w:p>
        </w:tc>
        <w:tc>
          <w:tcPr>
            <w:tcW w:w="723"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E74EE2"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Media</w:t>
            </w:r>
          </w:p>
        </w:tc>
        <w:tc>
          <w:tcPr>
            <w:tcW w:w="723"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E74EE2"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DS</w:t>
            </w:r>
          </w:p>
        </w:tc>
        <w:tc>
          <w:tcPr>
            <w:tcW w:w="723"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E74EE2"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Media</w:t>
            </w:r>
          </w:p>
        </w:tc>
        <w:tc>
          <w:tcPr>
            <w:tcW w:w="723"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E74EE2"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DS</w:t>
            </w:r>
          </w:p>
        </w:tc>
        <w:tc>
          <w:tcPr>
            <w:tcW w:w="723"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E74EE2"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Media</w:t>
            </w:r>
          </w:p>
        </w:tc>
        <w:tc>
          <w:tcPr>
            <w:tcW w:w="723"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E74EE2"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DS</w:t>
            </w:r>
          </w:p>
        </w:tc>
      </w:tr>
      <w:tr w:rsidR="00F813FD" w:rsidRPr="008409BD" w:rsidTr="003C7BCD">
        <w:trPr>
          <w:trHeight w:val="618"/>
        </w:trPr>
        <w:tc>
          <w:tcPr>
            <w:tcW w:w="1418"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E74EE2"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 xml:space="preserve">Età </w:t>
            </w:r>
          </w:p>
        </w:tc>
        <w:tc>
          <w:tcPr>
            <w:tcW w:w="722" w:type="dxa"/>
            <w:tcBorders>
              <w:top w:val="single" w:sz="18" w:space="0" w:color="000000"/>
              <w:left w:val="single" w:sz="18"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45.65</w:t>
            </w:r>
          </w:p>
        </w:tc>
        <w:tc>
          <w:tcPr>
            <w:tcW w:w="723" w:type="dxa"/>
            <w:tcBorders>
              <w:top w:val="single" w:sz="18" w:space="0" w:color="000000"/>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10.74</w:t>
            </w:r>
          </w:p>
        </w:tc>
        <w:tc>
          <w:tcPr>
            <w:tcW w:w="723" w:type="dxa"/>
            <w:tcBorders>
              <w:top w:val="single" w:sz="18" w:space="0" w:color="000000"/>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46.42</w:t>
            </w:r>
          </w:p>
        </w:tc>
        <w:tc>
          <w:tcPr>
            <w:tcW w:w="723" w:type="dxa"/>
            <w:tcBorders>
              <w:top w:val="single" w:sz="18" w:space="0" w:color="000000"/>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10.66</w:t>
            </w:r>
          </w:p>
        </w:tc>
        <w:tc>
          <w:tcPr>
            <w:tcW w:w="723" w:type="dxa"/>
            <w:tcBorders>
              <w:top w:val="single" w:sz="18" w:space="0" w:color="000000"/>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45.19</w:t>
            </w:r>
          </w:p>
        </w:tc>
        <w:tc>
          <w:tcPr>
            <w:tcW w:w="723" w:type="dxa"/>
            <w:tcBorders>
              <w:top w:val="single" w:sz="18" w:space="0" w:color="000000"/>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10.89</w:t>
            </w:r>
          </w:p>
        </w:tc>
        <w:tc>
          <w:tcPr>
            <w:tcW w:w="723" w:type="dxa"/>
            <w:tcBorders>
              <w:top w:val="single" w:sz="18" w:space="0" w:color="000000"/>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44.43</w:t>
            </w:r>
          </w:p>
        </w:tc>
        <w:tc>
          <w:tcPr>
            <w:tcW w:w="723" w:type="dxa"/>
            <w:tcBorders>
              <w:top w:val="single" w:sz="18" w:space="0" w:color="000000"/>
              <w:left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9.63</w:t>
            </w:r>
          </w:p>
        </w:tc>
        <w:tc>
          <w:tcPr>
            <w:tcW w:w="723" w:type="dxa"/>
            <w:tcBorders>
              <w:top w:val="single" w:sz="18" w:space="0" w:color="000000"/>
              <w:left w:val="single" w:sz="1" w:space="0" w:color="000000"/>
            </w:tcBorders>
            <w:shd w:val="clear" w:color="auto" w:fill="auto"/>
            <w:vAlign w:val="center"/>
          </w:tcPr>
          <w:p w:rsidR="00F813FD" w:rsidRPr="008409BD" w:rsidRDefault="00F813FD" w:rsidP="001E5BE4">
            <w:pPr>
              <w:snapToGrid w:val="0"/>
              <w:spacing w:line="360" w:lineRule="auto"/>
              <w:jc w:val="center"/>
              <w:rPr>
                <w:color w:val="0D0D0D"/>
                <w:lang w:val="en-GB"/>
              </w:rPr>
            </w:pPr>
            <w:r w:rsidRPr="008409BD">
              <w:rPr>
                <w:color w:val="0D0D0D"/>
                <w:lang w:val="en-GB"/>
              </w:rPr>
              <w:t>46.26</w:t>
            </w:r>
          </w:p>
        </w:tc>
        <w:tc>
          <w:tcPr>
            <w:tcW w:w="723" w:type="dxa"/>
            <w:tcBorders>
              <w:top w:val="single" w:sz="18" w:space="0" w:color="000000"/>
              <w:left w:val="single" w:sz="1" w:space="0" w:color="000000"/>
              <w:right w:val="single" w:sz="1" w:space="0" w:color="000000"/>
            </w:tcBorders>
            <w:shd w:val="clear" w:color="auto" w:fill="auto"/>
            <w:vAlign w:val="center"/>
          </w:tcPr>
          <w:p w:rsidR="00F813FD" w:rsidRPr="008409BD" w:rsidRDefault="00F813FD" w:rsidP="001E5BE4">
            <w:pPr>
              <w:snapToGrid w:val="0"/>
              <w:spacing w:line="360" w:lineRule="auto"/>
              <w:jc w:val="center"/>
              <w:rPr>
                <w:color w:val="0D0D0D"/>
                <w:lang w:val="en-GB"/>
              </w:rPr>
            </w:pPr>
            <w:r w:rsidRPr="008409BD">
              <w:rPr>
                <w:color w:val="0D0D0D"/>
                <w:lang w:val="en-GB"/>
              </w:rPr>
              <w:t>11.31</w:t>
            </w:r>
          </w:p>
        </w:tc>
      </w:tr>
      <w:tr w:rsidR="00F813FD" w:rsidRPr="008409BD" w:rsidTr="003C7BCD">
        <w:trPr>
          <w:trHeight w:val="618"/>
        </w:trPr>
        <w:tc>
          <w:tcPr>
            <w:tcW w:w="1418"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E74EE2"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Età di onset</w:t>
            </w:r>
          </w:p>
        </w:tc>
        <w:tc>
          <w:tcPr>
            <w:tcW w:w="722" w:type="dxa"/>
            <w:tcBorders>
              <w:left w:val="single" w:sz="18"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29.23</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8.94</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30.08</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9.79</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28.72</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8.47</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29.87</w:t>
            </w:r>
          </w:p>
        </w:tc>
        <w:tc>
          <w:tcPr>
            <w:tcW w:w="723" w:type="dxa"/>
            <w:tcBorders>
              <w:top w:val="single" w:sz="1" w:space="0" w:color="000000"/>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7.33</w:t>
            </w:r>
          </w:p>
        </w:tc>
        <w:tc>
          <w:tcPr>
            <w:tcW w:w="723" w:type="dxa"/>
            <w:tcBorders>
              <w:top w:val="single" w:sz="1" w:space="0" w:color="000000"/>
              <w:left w:val="single" w:sz="1" w:space="0" w:color="000000"/>
              <w:bottom w:val="single" w:sz="1" w:space="0" w:color="000000"/>
            </w:tcBorders>
            <w:shd w:val="clear" w:color="auto" w:fill="auto"/>
            <w:vAlign w:val="center"/>
          </w:tcPr>
          <w:p w:rsidR="00F813FD" w:rsidRPr="008409BD" w:rsidRDefault="00F813FD" w:rsidP="001E5BE4">
            <w:pPr>
              <w:snapToGrid w:val="0"/>
              <w:spacing w:line="360" w:lineRule="auto"/>
              <w:jc w:val="center"/>
              <w:rPr>
                <w:color w:val="0D0D0D"/>
                <w:lang w:val="en-GB"/>
              </w:rPr>
            </w:pPr>
            <w:r w:rsidRPr="008409BD">
              <w:rPr>
                <w:color w:val="0D0D0D"/>
                <w:lang w:val="en-GB"/>
              </w:rPr>
              <w:t>28.91</w:t>
            </w:r>
          </w:p>
        </w:tc>
        <w:tc>
          <w:tcPr>
            <w:tcW w:w="723" w:type="dxa"/>
            <w:tcBorders>
              <w:top w:val="single" w:sz="1" w:space="0" w:color="000000"/>
              <w:left w:val="single" w:sz="1" w:space="0" w:color="000000"/>
              <w:bottom w:val="single" w:sz="1" w:space="0" w:color="000000"/>
              <w:right w:val="single" w:sz="1" w:space="0" w:color="000000"/>
            </w:tcBorders>
            <w:shd w:val="clear" w:color="auto" w:fill="auto"/>
            <w:vAlign w:val="center"/>
          </w:tcPr>
          <w:p w:rsidR="00F813FD" w:rsidRPr="008409BD" w:rsidRDefault="00F813FD" w:rsidP="001E5BE4">
            <w:pPr>
              <w:snapToGrid w:val="0"/>
              <w:spacing w:line="360" w:lineRule="auto"/>
              <w:jc w:val="center"/>
              <w:rPr>
                <w:color w:val="0D0D0D"/>
                <w:lang w:val="en-GB"/>
              </w:rPr>
            </w:pPr>
            <w:r w:rsidRPr="008409BD">
              <w:rPr>
                <w:color w:val="0D0D0D"/>
                <w:lang w:val="en-GB"/>
              </w:rPr>
              <w:t>9.71</w:t>
            </w:r>
          </w:p>
        </w:tc>
      </w:tr>
      <w:tr w:rsidR="00F813FD" w:rsidRPr="008409BD" w:rsidTr="003C7BCD">
        <w:trPr>
          <w:trHeight w:val="618"/>
        </w:trPr>
        <w:tc>
          <w:tcPr>
            <w:tcW w:w="1418"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E74EE2"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Scolarità</w:t>
            </w:r>
          </w:p>
        </w:tc>
        <w:tc>
          <w:tcPr>
            <w:tcW w:w="722" w:type="dxa"/>
            <w:tcBorders>
              <w:left w:val="single" w:sz="18"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11.11</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3.87</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11.48</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4.32</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10.87</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3.60</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11.05</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3.79</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snapToGrid w:val="0"/>
              <w:spacing w:line="360" w:lineRule="auto"/>
              <w:jc w:val="center"/>
              <w:rPr>
                <w:color w:val="0D0D0D"/>
                <w:lang w:val="en-GB"/>
              </w:rPr>
            </w:pPr>
            <w:r w:rsidRPr="008409BD">
              <w:rPr>
                <w:color w:val="0D0D0D"/>
                <w:lang w:val="en-GB"/>
              </w:rPr>
              <w:t>11.14</w:t>
            </w:r>
          </w:p>
        </w:tc>
        <w:tc>
          <w:tcPr>
            <w:tcW w:w="723" w:type="dxa"/>
            <w:tcBorders>
              <w:left w:val="single" w:sz="1" w:space="0" w:color="000000"/>
              <w:bottom w:val="single" w:sz="1" w:space="0" w:color="000000"/>
              <w:right w:val="single" w:sz="1" w:space="0" w:color="000000"/>
            </w:tcBorders>
            <w:shd w:val="clear" w:color="auto" w:fill="auto"/>
            <w:vAlign w:val="center"/>
          </w:tcPr>
          <w:p w:rsidR="00F813FD" w:rsidRPr="008409BD" w:rsidRDefault="00F813FD" w:rsidP="001E5BE4">
            <w:pPr>
              <w:snapToGrid w:val="0"/>
              <w:spacing w:line="360" w:lineRule="auto"/>
              <w:jc w:val="center"/>
              <w:rPr>
                <w:color w:val="0D0D0D"/>
                <w:lang w:val="en-GB"/>
              </w:rPr>
            </w:pPr>
            <w:r w:rsidRPr="008409BD">
              <w:rPr>
                <w:color w:val="0D0D0D"/>
                <w:lang w:val="en-GB"/>
              </w:rPr>
              <w:t>3.96</w:t>
            </w:r>
          </w:p>
        </w:tc>
      </w:tr>
      <w:tr w:rsidR="00F813FD" w:rsidRPr="008409BD" w:rsidTr="003C7BCD">
        <w:trPr>
          <w:trHeight w:val="618"/>
        </w:trPr>
        <w:tc>
          <w:tcPr>
            <w:tcW w:w="1418"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b/>
                <w:bCs/>
                <w:color w:val="0D0D0D"/>
                <w:sz w:val="20"/>
                <w:szCs w:val="20"/>
                <w:lang w:val="en-GB"/>
              </w:rPr>
            </w:pPr>
            <w:r w:rsidRPr="008409BD">
              <w:rPr>
                <w:rFonts w:ascii="Calibri" w:hAnsi="Calibri"/>
                <w:b/>
                <w:bCs/>
                <w:color w:val="0D0D0D"/>
                <w:sz w:val="20"/>
                <w:szCs w:val="20"/>
                <w:lang w:val="en-GB"/>
              </w:rPr>
              <w:t xml:space="preserve">N° </w:t>
            </w:r>
            <w:r w:rsidR="00E74EE2">
              <w:rPr>
                <w:rFonts w:ascii="Calibri" w:hAnsi="Calibri"/>
                <w:b/>
                <w:bCs/>
                <w:color w:val="0D0D0D"/>
                <w:sz w:val="20"/>
                <w:szCs w:val="20"/>
                <w:lang w:val="en-GB"/>
              </w:rPr>
              <w:t>episodi maniacali</w:t>
            </w:r>
          </w:p>
        </w:tc>
        <w:tc>
          <w:tcPr>
            <w:tcW w:w="722" w:type="dxa"/>
            <w:tcBorders>
              <w:left w:val="single" w:sz="18"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3.19</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3.45</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2.65</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3.12</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3.52</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3.65</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3.87</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3.48</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snapToGrid w:val="0"/>
              <w:spacing w:line="360" w:lineRule="auto"/>
              <w:jc w:val="center"/>
              <w:rPr>
                <w:color w:val="0D0D0D"/>
                <w:lang w:val="en-GB"/>
              </w:rPr>
            </w:pPr>
            <w:r w:rsidRPr="008409BD">
              <w:rPr>
                <w:color w:val="0D0D0D"/>
                <w:lang w:val="en-GB"/>
              </w:rPr>
              <w:t>2.83</w:t>
            </w:r>
          </w:p>
        </w:tc>
        <w:tc>
          <w:tcPr>
            <w:tcW w:w="723" w:type="dxa"/>
            <w:tcBorders>
              <w:left w:val="single" w:sz="1" w:space="0" w:color="000000"/>
              <w:bottom w:val="single" w:sz="1" w:space="0" w:color="000000"/>
              <w:right w:val="single" w:sz="1" w:space="0" w:color="000000"/>
            </w:tcBorders>
            <w:shd w:val="clear" w:color="auto" w:fill="auto"/>
            <w:vAlign w:val="center"/>
          </w:tcPr>
          <w:p w:rsidR="00F813FD" w:rsidRPr="008409BD" w:rsidRDefault="00F813FD" w:rsidP="001E5BE4">
            <w:pPr>
              <w:snapToGrid w:val="0"/>
              <w:spacing w:line="360" w:lineRule="auto"/>
              <w:jc w:val="center"/>
              <w:rPr>
                <w:color w:val="0D0D0D"/>
                <w:lang w:val="en-GB"/>
              </w:rPr>
            </w:pPr>
            <w:r w:rsidRPr="008409BD">
              <w:rPr>
                <w:color w:val="0D0D0D"/>
                <w:lang w:val="en-GB"/>
              </w:rPr>
              <w:t>3.44</w:t>
            </w:r>
          </w:p>
        </w:tc>
      </w:tr>
      <w:tr w:rsidR="00F813FD" w:rsidRPr="008409BD" w:rsidTr="003C7BCD">
        <w:trPr>
          <w:trHeight w:val="618"/>
        </w:trPr>
        <w:tc>
          <w:tcPr>
            <w:tcW w:w="1418"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b/>
                <w:bCs/>
                <w:color w:val="0D0D0D"/>
                <w:sz w:val="20"/>
                <w:szCs w:val="20"/>
                <w:lang w:val="en-GB"/>
              </w:rPr>
            </w:pPr>
            <w:r w:rsidRPr="008409BD">
              <w:rPr>
                <w:rFonts w:ascii="Calibri" w:hAnsi="Calibri"/>
                <w:b/>
                <w:bCs/>
                <w:color w:val="0D0D0D"/>
                <w:sz w:val="20"/>
                <w:szCs w:val="20"/>
                <w:lang w:val="en-GB"/>
              </w:rPr>
              <w:t xml:space="preserve">N° </w:t>
            </w:r>
            <w:r w:rsidR="00E74EE2">
              <w:rPr>
                <w:rFonts w:ascii="Calibri" w:hAnsi="Calibri"/>
                <w:b/>
                <w:bCs/>
                <w:color w:val="0D0D0D"/>
                <w:sz w:val="20"/>
                <w:szCs w:val="20"/>
                <w:lang w:val="en-GB"/>
              </w:rPr>
              <w:t>episodi</w:t>
            </w:r>
            <w:r w:rsidRPr="008409BD">
              <w:rPr>
                <w:rFonts w:ascii="Calibri" w:hAnsi="Calibri"/>
                <w:b/>
                <w:bCs/>
                <w:color w:val="0D0D0D"/>
                <w:sz w:val="20"/>
                <w:szCs w:val="20"/>
                <w:lang w:val="en-GB"/>
              </w:rPr>
              <w:t xml:space="preserve"> </w:t>
            </w:r>
            <w:r w:rsidR="00E74EE2">
              <w:rPr>
                <w:rFonts w:ascii="Calibri" w:hAnsi="Calibri"/>
                <w:b/>
                <w:bCs/>
                <w:color w:val="0D0D0D"/>
                <w:sz w:val="20"/>
                <w:szCs w:val="20"/>
                <w:lang w:val="en-GB"/>
              </w:rPr>
              <w:t>depressivi</w:t>
            </w:r>
          </w:p>
        </w:tc>
        <w:tc>
          <w:tcPr>
            <w:tcW w:w="722" w:type="dxa"/>
            <w:tcBorders>
              <w:left w:val="single" w:sz="18"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5.41</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5.18</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6.06</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6.08</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5.03</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4.65</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3.53</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3.66</w:t>
            </w:r>
          </w:p>
        </w:tc>
        <w:tc>
          <w:tcPr>
            <w:tcW w:w="723" w:type="dxa"/>
            <w:tcBorders>
              <w:left w:val="single" w:sz="1" w:space="0" w:color="000000"/>
              <w:bottom w:val="single" w:sz="1" w:space="0" w:color="000000"/>
            </w:tcBorders>
            <w:shd w:val="clear" w:color="auto" w:fill="auto"/>
            <w:vAlign w:val="center"/>
          </w:tcPr>
          <w:p w:rsidR="00F813FD" w:rsidRPr="008409BD" w:rsidRDefault="00F813FD" w:rsidP="001E5BE4">
            <w:pPr>
              <w:snapToGrid w:val="0"/>
              <w:spacing w:line="360" w:lineRule="auto"/>
              <w:jc w:val="center"/>
              <w:rPr>
                <w:color w:val="0D0D0D"/>
                <w:lang w:val="en-GB"/>
              </w:rPr>
            </w:pPr>
            <w:r w:rsidRPr="008409BD">
              <w:rPr>
                <w:color w:val="0D0D0D"/>
                <w:lang w:val="en-GB"/>
              </w:rPr>
              <w:t>6.32</w:t>
            </w:r>
          </w:p>
        </w:tc>
        <w:tc>
          <w:tcPr>
            <w:tcW w:w="723" w:type="dxa"/>
            <w:tcBorders>
              <w:left w:val="single" w:sz="1" w:space="0" w:color="000000"/>
              <w:bottom w:val="single" w:sz="1" w:space="0" w:color="000000"/>
              <w:right w:val="single" w:sz="1" w:space="0" w:color="000000"/>
            </w:tcBorders>
            <w:shd w:val="clear" w:color="auto" w:fill="auto"/>
            <w:vAlign w:val="center"/>
          </w:tcPr>
          <w:p w:rsidR="00F813FD" w:rsidRPr="008409BD" w:rsidRDefault="00F813FD" w:rsidP="001E5BE4">
            <w:pPr>
              <w:snapToGrid w:val="0"/>
              <w:spacing w:line="360" w:lineRule="auto"/>
              <w:jc w:val="center"/>
              <w:rPr>
                <w:color w:val="0D0D0D"/>
                <w:lang w:val="en-GB"/>
              </w:rPr>
            </w:pPr>
            <w:r w:rsidRPr="008409BD">
              <w:rPr>
                <w:color w:val="0D0D0D"/>
                <w:lang w:val="en-GB"/>
              </w:rPr>
              <w:t>5.60</w:t>
            </w:r>
          </w:p>
        </w:tc>
      </w:tr>
      <w:tr w:rsidR="00F813FD" w:rsidRPr="008409BD" w:rsidTr="003C7BCD">
        <w:trPr>
          <w:trHeight w:val="618"/>
        </w:trPr>
        <w:tc>
          <w:tcPr>
            <w:tcW w:w="1418"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E74EE2"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Sesso</w:t>
            </w:r>
          </w:p>
        </w:tc>
        <w:tc>
          <w:tcPr>
            <w:tcW w:w="1445" w:type="dxa"/>
            <w:gridSpan w:val="2"/>
            <w:tcBorders>
              <w:left w:val="single" w:sz="18"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19M    50F</w:t>
            </w:r>
          </w:p>
        </w:tc>
        <w:tc>
          <w:tcPr>
            <w:tcW w:w="1446" w:type="dxa"/>
            <w:gridSpan w:val="2"/>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6M    20F</w:t>
            </w:r>
          </w:p>
        </w:tc>
        <w:tc>
          <w:tcPr>
            <w:tcW w:w="1446" w:type="dxa"/>
            <w:gridSpan w:val="2"/>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13M    30F</w:t>
            </w:r>
          </w:p>
        </w:tc>
        <w:tc>
          <w:tcPr>
            <w:tcW w:w="1446" w:type="dxa"/>
            <w:gridSpan w:val="2"/>
            <w:tcBorders>
              <w:top w:val="single" w:sz="1" w:space="0" w:color="000000"/>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11M    12F</w:t>
            </w:r>
          </w:p>
        </w:tc>
        <w:tc>
          <w:tcPr>
            <w:tcW w:w="1446" w:type="dxa"/>
            <w:gridSpan w:val="2"/>
            <w:tcBorders>
              <w:top w:val="single" w:sz="1" w:space="0" w:color="000000"/>
              <w:left w:val="single" w:sz="1" w:space="0" w:color="000000"/>
              <w:bottom w:val="single" w:sz="1" w:space="0" w:color="000000"/>
              <w:right w:val="single" w:sz="1" w:space="0" w:color="000000"/>
            </w:tcBorders>
            <w:shd w:val="clear" w:color="auto" w:fill="auto"/>
            <w:vAlign w:val="center"/>
          </w:tcPr>
          <w:p w:rsidR="00F813FD" w:rsidRPr="008409BD" w:rsidRDefault="00F813FD" w:rsidP="001E5BE4">
            <w:pPr>
              <w:snapToGrid w:val="0"/>
              <w:spacing w:line="360" w:lineRule="auto"/>
              <w:jc w:val="center"/>
              <w:rPr>
                <w:color w:val="0D0D0D"/>
              </w:rPr>
            </w:pPr>
            <w:r w:rsidRPr="008409BD">
              <w:rPr>
                <w:color w:val="0D0D0D"/>
              </w:rPr>
              <w:t>8M    38F</w:t>
            </w:r>
          </w:p>
        </w:tc>
      </w:tr>
    </w:tbl>
    <w:p w:rsidR="00F813FD" w:rsidRDefault="00F813FD" w:rsidP="001E5BE4">
      <w:pPr>
        <w:pStyle w:val="Tesi"/>
        <w:tabs>
          <w:tab w:val="left" w:pos="8503"/>
        </w:tabs>
        <w:spacing w:after="0" w:line="360" w:lineRule="auto"/>
        <w:jc w:val="both"/>
        <w:rPr>
          <w:rFonts w:ascii="Times New Roman" w:hAnsi="Times New Roman"/>
          <w:b/>
          <w:bCs/>
          <w:color w:val="0D0D0D"/>
          <w:sz w:val="20"/>
          <w:szCs w:val="20"/>
          <w:lang w:val="en-GB"/>
        </w:rPr>
      </w:pPr>
    </w:p>
    <w:p w:rsidR="00F813FD" w:rsidRPr="003C7BCD" w:rsidRDefault="00F813FD" w:rsidP="001E5BE4">
      <w:pPr>
        <w:pStyle w:val="Tesi"/>
        <w:tabs>
          <w:tab w:val="left" w:pos="8505"/>
        </w:tabs>
        <w:spacing w:after="0" w:line="360" w:lineRule="auto"/>
        <w:ind w:right="991"/>
        <w:jc w:val="both"/>
        <w:rPr>
          <w:rFonts w:ascii="Times New Roman" w:hAnsi="Times New Roman" w:cs="Times New Roman"/>
          <w:color w:val="0D0D0D"/>
          <w:lang w:val="en-GB"/>
        </w:rPr>
      </w:pPr>
      <w:r w:rsidRPr="003C7BCD">
        <w:rPr>
          <w:rFonts w:ascii="Times New Roman" w:hAnsi="Times New Roman"/>
          <w:b/>
          <w:bCs/>
          <w:color w:val="0D0D0D"/>
          <w:lang w:val="en-GB"/>
        </w:rPr>
        <w:t>Table 1</w:t>
      </w:r>
      <w:r w:rsidRPr="003C7BCD">
        <w:rPr>
          <w:rFonts w:ascii="Times New Roman" w:hAnsi="Times New Roman"/>
          <w:color w:val="0D0D0D"/>
          <w:lang w:val="en-GB"/>
        </w:rPr>
        <w:t xml:space="preserve"> Media e Deviazione Standard (DS) del campione considerato e nei sottogruppi analizzati per le variabili cliniche e demografiche.</w:t>
      </w:r>
    </w:p>
    <w:p w:rsidR="00850E8B" w:rsidRDefault="00850E8B" w:rsidP="001E5BE4">
      <w:pPr>
        <w:pStyle w:val="Tesi"/>
        <w:tabs>
          <w:tab w:val="left" w:pos="8503"/>
        </w:tabs>
        <w:spacing w:after="0" w:line="360" w:lineRule="auto"/>
        <w:ind w:right="1091"/>
        <w:jc w:val="both"/>
        <w:rPr>
          <w:rFonts w:ascii="Times New Roman" w:hAnsi="Times New Roman"/>
          <w:sz w:val="24"/>
          <w:szCs w:val="24"/>
        </w:rPr>
      </w:pPr>
    </w:p>
    <w:p w:rsidR="00A0541C" w:rsidRDefault="00B460A6" w:rsidP="001E5BE4">
      <w:pPr>
        <w:pStyle w:val="Tesi"/>
        <w:tabs>
          <w:tab w:val="left" w:pos="8503"/>
        </w:tabs>
        <w:spacing w:after="0" w:line="360" w:lineRule="auto"/>
        <w:ind w:right="1091"/>
        <w:jc w:val="both"/>
        <w:rPr>
          <w:rFonts w:ascii="Times New Roman" w:hAnsi="Times New Roman"/>
          <w:sz w:val="24"/>
          <w:szCs w:val="24"/>
        </w:rPr>
      </w:pPr>
      <w:r>
        <w:rPr>
          <w:rFonts w:ascii="Times New Roman" w:hAnsi="Times New Roman"/>
          <w:sz w:val="24"/>
          <w:szCs w:val="24"/>
        </w:rPr>
        <w:t>Come mostrato nelle tabelle che seguono, non ci sono differenze significative nell'etò, onset, sesso, scolarità, numero di episodi maniacali e depressivi, trattamento con litio e polimorfismo GSK rispettivamente nei sottocampioni considerati, eccetto che per una significativa differenza nel sesso tra il gruppo trattato con litio e quello naïve.</w:t>
      </w:r>
    </w:p>
    <w:p w:rsidR="00F813FD" w:rsidRDefault="00B460A6" w:rsidP="001E5BE4">
      <w:pPr>
        <w:pStyle w:val="Tesi"/>
        <w:tabs>
          <w:tab w:val="left" w:pos="8503"/>
        </w:tabs>
        <w:spacing w:line="360" w:lineRule="auto"/>
        <w:ind w:right="1091"/>
        <w:jc w:val="both"/>
        <w:rPr>
          <w:rFonts w:ascii="Times New Roman" w:hAnsi="Times New Roman"/>
          <w:sz w:val="24"/>
          <w:szCs w:val="24"/>
        </w:rPr>
      </w:pPr>
      <w:r>
        <w:rPr>
          <w:rFonts w:ascii="Times New Roman" w:hAnsi="Times New Roman"/>
          <w:sz w:val="24"/>
          <w:szCs w:val="24"/>
        </w:rPr>
        <w:t>I pazienti non hanno ricevuto terapia con elettroschock. Dopo una completa descrizione dello studio ai partecipanti, è stato loro fatto firmare un consenso e il comtitato etico locale ha approvato il protocollo di studi.</w:t>
      </w:r>
    </w:p>
    <w:tbl>
      <w:tblPr>
        <w:tblW w:w="8505" w:type="dxa"/>
        <w:tblInd w:w="55" w:type="dxa"/>
        <w:tblLayout w:type="fixed"/>
        <w:tblCellMar>
          <w:top w:w="55" w:type="dxa"/>
          <w:left w:w="55" w:type="dxa"/>
          <w:bottom w:w="55" w:type="dxa"/>
          <w:right w:w="55" w:type="dxa"/>
        </w:tblCellMar>
        <w:tblLook w:val="0000"/>
      </w:tblPr>
      <w:tblGrid>
        <w:gridCol w:w="2126"/>
        <w:gridCol w:w="2126"/>
        <w:gridCol w:w="2126"/>
        <w:gridCol w:w="2127"/>
      </w:tblGrid>
      <w:tr w:rsidR="00F813FD" w:rsidRPr="008409BD" w:rsidTr="00F813FD">
        <w:tc>
          <w:tcPr>
            <w:tcW w:w="2126" w:type="dxa"/>
            <w:tcBorders>
              <w:bottom w:val="single" w:sz="18" w:space="0" w:color="000000"/>
              <w:right w:val="single" w:sz="18"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p>
        </w:tc>
        <w:tc>
          <w:tcPr>
            <w:tcW w:w="2126"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b/>
                <w:bCs/>
                <w:color w:val="0D0D0D"/>
                <w:sz w:val="20"/>
                <w:szCs w:val="20"/>
                <w:lang w:val="en-GB"/>
              </w:rPr>
            </w:pPr>
            <w:r w:rsidRPr="008409BD">
              <w:rPr>
                <w:rFonts w:ascii="Calibri" w:hAnsi="Calibri"/>
                <w:b/>
                <w:bCs/>
                <w:color w:val="0D0D0D"/>
                <w:sz w:val="20"/>
                <w:szCs w:val="20"/>
                <w:lang w:val="en-GB"/>
              </w:rPr>
              <w:t>T/T</w:t>
            </w:r>
          </w:p>
        </w:tc>
        <w:tc>
          <w:tcPr>
            <w:tcW w:w="2126"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b/>
                <w:bCs/>
                <w:color w:val="0D0D0D"/>
                <w:sz w:val="20"/>
                <w:szCs w:val="20"/>
                <w:lang w:val="en-GB"/>
              </w:rPr>
            </w:pPr>
            <w:r w:rsidRPr="008409BD">
              <w:rPr>
                <w:rFonts w:ascii="Calibri" w:hAnsi="Calibri"/>
                <w:b/>
                <w:bCs/>
                <w:color w:val="0D0D0D"/>
                <w:sz w:val="20"/>
                <w:szCs w:val="20"/>
                <w:lang w:val="en-GB"/>
              </w:rPr>
              <w:t>C carriers</w:t>
            </w:r>
          </w:p>
        </w:tc>
        <w:tc>
          <w:tcPr>
            <w:tcW w:w="2127"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b/>
                <w:bCs/>
                <w:color w:val="0D0D0D"/>
                <w:sz w:val="20"/>
                <w:szCs w:val="20"/>
                <w:lang w:val="en-GB"/>
              </w:rPr>
            </w:pPr>
            <w:r w:rsidRPr="008409BD">
              <w:rPr>
                <w:rFonts w:ascii="Calibri" w:hAnsi="Calibri"/>
                <w:b/>
                <w:bCs/>
                <w:color w:val="0D0D0D"/>
                <w:sz w:val="20"/>
                <w:szCs w:val="20"/>
                <w:lang w:val="en-GB"/>
              </w:rPr>
              <w:t>p value</w:t>
            </w:r>
          </w:p>
        </w:tc>
      </w:tr>
      <w:tr w:rsidR="00F813FD" w:rsidRPr="008409BD" w:rsidTr="00F813FD">
        <w:tblPrEx>
          <w:tblCellMar>
            <w:top w:w="0" w:type="dxa"/>
            <w:left w:w="0" w:type="dxa"/>
            <w:bottom w:w="0" w:type="dxa"/>
            <w:right w:w="0" w:type="dxa"/>
          </w:tblCellMar>
        </w:tblPrEx>
        <w:trPr>
          <w:trHeight w:val="508"/>
        </w:trPr>
        <w:tc>
          <w:tcPr>
            <w:tcW w:w="2126"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263CC8"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 xml:space="preserve">Età </w:t>
            </w:r>
          </w:p>
        </w:tc>
        <w:tc>
          <w:tcPr>
            <w:tcW w:w="2126" w:type="dxa"/>
            <w:tcBorders>
              <w:top w:val="single" w:sz="18" w:space="0" w:color="000000"/>
              <w:left w:val="single" w:sz="18"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46.42±10.66</w:t>
            </w:r>
          </w:p>
        </w:tc>
        <w:tc>
          <w:tcPr>
            <w:tcW w:w="2126" w:type="dxa"/>
            <w:tcBorders>
              <w:top w:val="single" w:sz="18" w:space="0" w:color="000000"/>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ind w:right="14"/>
              <w:jc w:val="center"/>
              <w:rPr>
                <w:rFonts w:ascii="Calibri" w:hAnsi="Calibri"/>
                <w:color w:val="0D0D0D"/>
                <w:sz w:val="20"/>
                <w:szCs w:val="20"/>
                <w:lang w:val="en-GB"/>
              </w:rPr>
            </w:pPr>
            <w:r w:rsidRPr="008409BD">
              <w:rPr>
                <w:rFonts w:ascii="Calibri" w:hAnsi="Calibri"/>
                <w:color w:val="0D0D0D"/>
                <w:sz w:val="20"/>
                <w:szCs w:val="20"/>
                <w:lang w:val="en-GB"/>
              </w:rPr>
              <w:t>45.19±10.89</w:t>
            </w:r>
          </w:p>
        </w:tc>
        <w:tc>
          <w:tcPr>
            <w:tcW w:w="2127" w:type="dxa"/>
            <w:tcBorders>
              <w:top w:val="single" w:sz="18" w:space="0" w:color="000000"/>
              <w:left w:val="single" w:sz="1" w:space="0" w:color="000000"/>
              <w:bottom w:val="single" w:sz="1" w:space="0" w:color="000000"/>
              <w:right w:val="single" w:sz="1" w:space="0" w:color="000000"/>
            </w:tcBorders>
            <w:shd w:val="clear" w:color="auto" w:fill="auto"/>
            <w:vAlign w:val="center"/>
          </w:tcPr>
          <w:p w:rsidR="00F813FD" w:rsidRPr="008409BD" w:rsidRDefault="00F813FD" w:rsidP="001E5BE4">
            <w:pPr>
              <w:pStyle w:val="Contenutotabella"/>
              <w:snapToGrid w:val="0"/>
              <w:spacing w:line="360" w:lineRule="auto"/>
              <w:ind w:right="14"/>
              <w:jc w:val="center"/>
              <w:rPr>
                <w:rFonts w:ascii="Calibri" w:hAnsi="Calibri"/>
                <w:color w:val="0D0D0D"/>
                <w:sz w:val="20"/>
                <w:szCs w:val="20"/>
                <w:lang w:val="en-GB"/>
              </w:rPr>
            </w:pPr>
            <w:r w:rsidRPr="008409BD">
              <w:rPr>
                <w:rFonts w:ascii="Calibri" w:hAnsi="Calibri"/>
                <w:color w:val="0D0D0D"/>
                <w:sz w:val="20"/>
                <w:szCs w:val="20"/>
                <w:lang w:val="en-GB"/>
              </w:rPr>
              <w:t>0.93</w:t>
            </w:r>
          </w:p>
        </w:tc>
      </w:tr>
      <w:tr w:rsidR="00F813FD" w:rsidRPr="008409BD" w:rsidTr="00F813FD">
        <w:tblPrEx>
          <w:tblCellMar>
            <w:top w:w="0" w:type="dxa"/>
            <w:left w:w="0" w:type="dxa"/>
            <w:bottom w:w="0" w:type="dxa"/>
            <w:right w:w="0" w:type="dxa"/>
          </w:tblCellMar>
        </w:tblPrEx>
        <w:trPr>
          <w:trHeight w:val="508"/>
        </w:trPr>
        <w:tc>
          <w:tcPr>
            <w:tcW w:w="2126"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263CC8"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Età di onset</w:t>
            </w:r>
          </w:p>
        </w:tc>
        <w:tc>
          <w:tcPr>
            <w:tcW w:w="2126" w:type="dxa"/>
            <w:tcBorders>
              <w:left w:val="single" w:sz="18"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30.08±9.79</w:t>
            </w:r>
          </w:p>
        </w:tc>
        <w:tc>
          <w:tcPr>
            <w:tcW w:w="2126"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28.72±8.47</w:t>
            </w:r>
          </w:p>
        </w:tc>
        <w:tc>
          <w:tcPr>
            <w:tcW w:w="2127" w:type="dxa"/>
            <w:tcBorders>
              <w:left w:val="single" w:sz="1" w:space="0" w:color="000000"/>
              <w:bottom w:val="single" w:sz="1" w:space="0" w:color="000000"/>
              <w:right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0.40</w:t>
            </w:r>
          </w:p>
        </w:tc>
      </w:tr>
      <w:tr w:rsidR="00F813FD" w:rsidRPr="008409BD" w:rsidTr="00F813FD">
        <w:tblPrEx>
          <w:tblCellMar>
            <w:top w:w="0" w:type="dxa"/>
            <w:left w:w="0" w:type="dxa"/>
            <w:bottom w:w="0" w:type="dxa"/>
            <w:right w:w="0" w:type="dxa"/>
          </w:tblCellMar>
        </w:tblPrEx>
        <w:trPr>
          <w:trHeight w:val="508"/>
        </w:trPr>
        <w:tc>
          <w:tcPr>
            <w:tcW w:w="2126"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263CC8"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Scolarità</w:t>
            </w:r>
          </w:p>
        </w:tc>
        <w:tc>
          <w:tcPr>
            <w:tcW w:w="2126" w:type="dxa"/>
            <w:tcBorders>
              <w:left w:val="single" w:sz="18"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11.48±4.32</w:t>
            </w:r>
          </w:p>
        </w:tc>
        <w:tc>
          <w:tcPr>
            <w:tcW w:w="2126"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10.87±3.6</w:t>
            </w:r>
          </w:p>
        </w:tc>
        <w:tc>
          <w:tcPr>
            <w:tcW w:w="2127" w:type="dxa"/>
            <w:tcBorders>
              <w:left w:val="single" w:sz="1" w:space="0" w:color="000000"/>
              <w:bottom w:val="single" w:sz="1" w:space="0" w:color="000000"/>
              <w:right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0.31</w:t>
            </w:r>
          </w:p>
        </w:tc>
      </w:tr>
      <w:tr w:rsidR="00F813FD" w:rsidRPr="008409BD" w:rsidTr="00F813FD">
        <w:tblPrEx>
          <w:tblCellMar>
            <w:top w:w="0" w:type="dxa"/>
            <w:left w:w="0" w:type="dxa"/>
            <w:bottom w:w="0" w:type="dxa"/>
            <w:right w:w="0" w:type="dxa"/>
          </w:tblCellMar>
        </w:tblPrEx>
        <w:trPr>
          <w:trHeight w:val="508"/>
        </w:trPr>
        <w:tc>
          <w:tcPr>
            <w:tcW w:w="2126"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b/>
                <w:bCs/>
                <w:color w:val="0D0D0D"/>
                <w:sz w:val="20"/>
                <w:szCs w:val="20"/>
                <w:lang w:val="en-GB"/>
              </w:rPr>
            </w:pPr>
            <w:r w:rsidRPr="008409BD">
              <w:rPr>
                <w:rFonts w:ascii="Calibri" w:hAnsi="Calibri"/>
                <w:b/>
                <w:bCs/>
                <w:color w:val="0D0D0D"/>
                <w:sz w:val="20"/>
                <w:szCs w:val="20"/>
                <w:lang w:val="en-GB"/>
              </w:rPr>
              <w:t xml:space="preserve">N° </w:t>
            </w:r>
            <w:r w:rsidR="00263CC8">
              <w:rPr>
                <w:rFonts w:ascii="Calibri" w:hAnsi="Calibri"/>
                <w:b/>
                <w:bCs/>
                <w:color w:val="0D0D0D"/>
                <w:sz w:val="20"/>
                <w:szCs w:val="20"/>
                <w:lang w:val="en-GB"/>
              </w:rPr>
              <w:t>episodi maniacali</w:t>
            </w:r>
          </w:p>
        </w:tc>
        <w:tc>
          <w:tcPr>
            <w:tcW w:w="2126" w:type="dxa"/>
            <w:tcBorders>
              <w:left w:val="single" w:sz="18"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2.65±3.12</w:t>
            </w:r>
          </w:p>
        </w:tc>
        <w:tc>
          <w:tcPr>
            <w:tcW w:w="2126"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3.52±3.65</w:t>
            </w:r>
          </w:p>
        </w:tc>
        <w:tc>
          <w:tcPr>
            <w:tcW w:w="2127" w:type="dxa"/>
            <w:tcBorders>
              <w:left w:val="single" w:sz="1" w:space="0" w:color="000000"/>
              <w:bottom w:val="single" w:sz="1" w:space="0" w:color="000000"/>
              <w:right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0.52</w:t>
            </w:r>
          </w:p>
        </w:tc>
      </w:tr>
      <w:tr w:rsidR="00F813FD" w:rsidRPr="008409BD" w:rsidTr="00F813FD">
        <w:tblPrEx>
          <w:tblCellMar>
            <w:top w:w="0" w:type="dxa"/>
            <w:left w:w="0" w:type="dxa"/>
            <w:bottom w:w="0" w:type="dxa"/>
            <w:right w:w="0" w:type="dxa"/>
          </w:tblCellMar>
        </w:tblPrEx>
        <w:trPr>
          <w:trHeight w:val="508"/>
        </w:trPr>
        <w:tc>
          <w:tcPr>
            <w:tcW w:w="2126"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b/>
                <w:bCs/>
                <w:color w:val="0D0D0D"/>
                <w:sz w:val="20"/>
                <w:szCs w:val="20"/>
                <w:lang w:val="en-GB"/>
              </w:rPr>
            </w:pPr>
            <w:r w:rsidRPr="008409BD">
              <w:rPr>
                <w:rFonts w:ascii="Calibri" w:hAnsi="Calibri"/>
                <w:b/>
                <w:bCs/>
                <w:color w:val="0D0D0D"/>
                <w:sz w:val="20"/>
                <w:szCs w:val="20"/>
                <w:lang w:val="en-GB"/>
              </w:rPr>
              <w:t xml:space="preserve">N° </w:t>
            </w:r>
            <w:r w:rsidR="00263CC8">
              <w:rPr>
                <w:rFonts w:ascii="Calibri" w:hAnsi="Calibri"/>
                <w:b/>
                <w:bCs/>
                <w:color w:val="0D0D0D"/>
                <w:sz w:val="20"/>
                <w:szCs w:val="20"/>
                <w:lang w:val="en-GB"/>
              </w:rPr>
              <w:t>episodi depressivi</w:t>
            </w:r>
          </w:p>
        </w:tc>
        <w:tc>
          <w:tcPr>
            <w:tcW w:w="2126" w:type="dxa"/>
            <w:tcBorders>
              <w:left w:val="single" w:sz="18"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6.06±6.08</w:t>
            </w:r>
          </w:p>
        </w:tc>
        <w:tc>
          <w:tcPr>
            <w:tcW w:w="2126"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5.03±4.65</w:t>
            </w:r>
          </w:p>
        </w:tc>
        <w:tc>
          <w:tcPr>
            <w:tcW w:w="2127" w:type="dxa"/>
            <w:tcBorders>
              <w:left w:val="single" w:sz="1" w:space="0" w:color="000000"/>
              <w:bottom w:val="single" w:sz="1" w:space="0" w:color="000000"/>
              <w:right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0.21</w:t>
            </w:r>
          </w:p>
        </w:tc>
      </w:tr>
      <w:tr w:rsidR="00F813FD" w:rsidRPr="008409BD" w:rsidTr="00F813FD">
        <w:tblPrEx>
          <w:tblCellMar>
            <w:top w:w="0" w:type="dxa"/>
            <w:left w:w="0" w:type="dxa"/>
            <w:bottom w:w="0" w:type="dxa"/>
            <w:right w:w="0" w:type="dxa"/>
          </w:tblCellMar>
        </w:tblPrEx>
        <w:trPr>
          <w:trHeight w:val="508"/>
        </w:trPr>
        <w:tc>
          <w:tcPr>
            <w:tcW w:w="2126"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263CC8"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sesso</w:t>
            </w:r>
          </w:p>
        </w:tc>
        <w:tc>
          <w:tcPr>
            <w:tcW w:w="2126" w:type="dxa"/>
            <w:tcBorders>
              <w:left w:val="single" w:sz="18"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6M    20F</w:t>
            </w:r>
          </w:p>
        </w:tc>
        <w:tc>
          <w:tcPr>
            <w:tcW w:w="2126"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13M    30F</w:t>
            </w:r>
          </w:p>
        </w:tc>
        <w:tc>
          <w:tcPr>
            <w:tcW w:w="2127" w:type="dxa"/>
            <w:tcBorders>
              <w:left w:val="single" w:sz="1" w:space="0" w:color="000000"/>
              <w:bottom w:val="single" w:sz="1" w:space="0" w:color="000000"/>
              <w:right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0.52</w:t>
            </w:r>
          </w:p>
        </w:tc>
      </w:tr>
      <w:tr w:rsidR="00F813FD" w:rsidRPr="008409BD" w:rsidTr="00F813FD">
        <w:tblPrEx>
          <w:tblCellMar>
            <w:top w:w="0" w:type="dxa"/>
            <w:left w:w="0" w:type="dxa"/>
            <w:bottom w:w="0" w:type="dxa"/>
            <w:right w:w="0" w:type="dxa"/>
          </w:tblCellMar>
        </w:tblPrEx>
        <w:trPr>
          <w:trHeight w:val="508"/>
        </w:trPr>
        <w:tc>
          <w:tcPr>
            <w:tcW w:w="2126"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263CC8"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Litio</w:t>
            </w:r>
          </w:p>
        </w:tc>
        <w:tc>
          <w:tcPr>
            <w:tcW w:w="2126" w:type="dxa"/>
            <w:tcBorders>
              <w:left w:val="single" w:sz="18"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 xml:space="preserve">10 </w:t>
            </w:r>
            <w:r w:rsidR="00263CC8">
              <w:rPr>
                <w:rFonts w:ascii="Calibri" w:hAnsi="Calibri"/>
                <w:color w:val="0D0D0D"/>
                <w:sz w:val="20"/>
                <w:szCs w:val="20"/>
                <w:lang w:val="en-GB"/>
              </w:rPr>
              <w:t>trattati</w:t>
            </w:r>
          </w:p>
          <w:p w:rsidR="00F813FD" w:rsidRPr="008409BD" w:rsidRDefault="00F813FD" w:rsidP="001E5BE4">
            <w:pPr>
              <w:pStyle w:val="Contenutotabella"/>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16 Free</w:t>
            </w:r>
          </w:p>
        </w:tc>
        <w:tc>
          <w:tcPr>
            <w:tcW w:w="2126"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 xml:space="preserve">13 </w:t>
            </w:r>
            <w:r w:rsidR="00263CC8">
              <w:rPr>
                <w:rFonts w:ascii="Calibri" w:hAnsi="Calibri"/>
                <w:color w:val="0D0D0D"/>
                <w:sz w:val="20"/>
                <w:szCs w:val="20"/>
                <w:lang w:val="en-GB"/>
              </w:rPr>
              <w:t>trattati</w:t>
            </w:r>
          </w:p>
          <w:p w:rsidR="00F813FD" w:rsidRPr="008409BD" w:rsidRDefault="00F813FD" w:rsidP="001E5BE4">
            <w:pPr>
              <w:pStyle w:val="Contenutotabella"/>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30 Free</w:t>
            </w:r>
          </w:p>
        </w:tc>
        <w:tc>
          <w:tcPr>
            <w:tcW w:w="2127" w:type="dxa"/>
            <w:tcBorders>
              <w:left w:val="single" w:sz="1" w:space="0" w:color="000000"/>
              <w:bottom w:val="single" w:sz="1" w:space="0" w:color="000000"/>
              <w:right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0.48</w:t>
            </w:r>
          </w:p>
        </w:tc>
      </w:tr>
    </w:tbl>
    <w:p w:rsidR="00263CC8" w:rsidRPr="008409BD" w:rsidRDefault="00263CC8" w:rsidP="001E5BE4">
      <w:pPr>
        <w:pStyle w:val="NormaleWeb"/>
        <w:spacing w:after="0" w:line="360" w:lineRule="auto"/>
        <w:ind w:right="1133"/>
        <w:jc w:val="both"/>
        <w:rPr>
          <w:rFonts w:ascii="Times New Roman" w:hAnsi="Times New Roman"/>
          <w:color w:val="0D0D0D"/>
          <w:lang w:val="en-GB"/>
        </w:rPr>
      </w:pPr>
      <w:r w:rsidRPr="008409BD">
        <w:rPr>
          <w:rFonts w:ascii="Times New Roman" w:hAnsi="Times New Roman"/>
          <w:b/>
          <w:bCs/>
          <w:color w:val="0D0D0D"/>
          <w:lang w:val="en-GB"/>
        </w:rPr>
        <w:t>Tab</w:t>
      </w:r>
      <w:r>
        <w:rPr>
          <w:rFonts w:ascii="Times New Roman" w:hAnsi="Times New Roman"/>
          <w:b/>
          <w:bCs/>
          <w:color w:val="0D0D0D"/>
          <w:lang w:val="en-GB"/>
        </w:rPr>
        <w:t>ella</w:t>
      </w:r>
      <w:r w:rsidRPr="008409BD">
        <w:rPr>
          <w:rFonts w:ascii="Times New Roman" w:hAnsi="Times New Roman"/>
          <w:b/>
          <w:bCs/>
          <w:color w:val="0D0D0D"/>
          <w:lang w:val="en-GB"/>
        </w:rPr>
        <w:t xml:space="preserve"> 2</w:t>
      </w:r>
      <w:r w:rsidRPr="00263CC8">
        <w:rPr>
          <w:rFonts w:ascii="Times New Roman" w:hAnsi="Times New Roman"/>
          <w:bCs/>
          <w:color w:val="0D0D0D"/>
          <w:lang w:val="en-GB"/>
        </w:rPr>
        <w:t xml:space="preserve"> Analisi </w:t>
      </w:r>
      <w:r w:rsidRPr="008409BD">
        <w:rPr>
          <w:rFonts w:ascii="Times New Roman" w:hAnsi="Times New Roman"/>
          <w:color w:val="0D0D0D"/>
          <w:lang w:val="en-GB"/>
        </w:rPr>
        <w:t xml:space="preserve">T-test and Chi-square </w:t>
      </w:r>
      <w:r>
        <w:rPr>
          <w:rFonts w:ascii="Times New Roman" w:hAnsi="Times New Roman"/>
          <w:color w:val="0D0D0D"/>
          <w:lang w:val="en-GB"/>
        </w:rPr>
        <w:t>delle variabili demogr</w:t>
      </w:r>
      <w:r w:rsidR="001A6334">
        <w:rPr>
          <w:rFonts w:ascii="Times New Roman" w:hAnsi="Times New Roman"/>
          <w:color w:val="0D0D0D"/>
          <w:lang w:val="en-GB"/>
        </w:rPr>
        <w:t>afiche tra gli omozigoti T/T e i</w:t>
      </w:r>
      <w:r>
        <w:rPr>
          <w:rFonts w:ascii="Times New Roman" w:hAnsi="Times New Roman"/>
          <w:color w:val="0D0D0D"/>
          <w:lang w:val="en-GB"/>
        </w:rPr>
        <w:t xml:space="preserve"> C-carriers</w:t>
      </w:r>
      <w:r w:rsidRPr="008409BD">
        <w:rPr>
          <w:rFonts w:ascii="Times New Roman" w:hAnsi="Times New Roman"/>
          <w:color w:val="0D0D0D"/>
          <w:lang w:val="en-GB"/>
        </w:rPr>
        <w:t>.</w:t>
      </w:r>
    </w:p>
    <w:p w:rsidR="00263CC8" w:rsidRDefault="00263CC8" w:rsidP="001E5BE4">
      <w:pPr>
        <w:pStyle w:val="Tesi"/>
        <w:tabs>
          <w:tab w:val="left" w:pos="8503"/>
        </w:tabs>
        <w:spacing w:line="360" w:lineRule="auto"/>
        <w:ind w:right="1091"/>
        <w:jc w:val="both"/>
        <w:rPr>
          <w:rFonts w:ascii="Times New Roman" w:hAnsi="Times New Roman"/>
          <w:sz w:val="20"/>
          <w:szCs w:val="20"/>
        </w:rPr>
      </w:pPr>
    </w:p>
    <w:tbl>
      <w:tblPr>
        <w:tblW w:w="8505" w:type="dxa"/>
        <w:tblInd w:w="55" w:type="dxa"/>
        <w:tblLayout w:type="fixed"/>
        <w:tblCellMar>
          <w:top w:w="55" w:type="dxa"/>
          <w:left w:w="55" w:type="dxa"/>
          <w:bottom w:w="55" w:type="dxa"/>
          <w:right w:w="55" w:type="dxa"/>
        </w:tblCellMar>
        <w:tblLook w:val="0000"/>
      </w:tblPr>
      <w:tblGrid>
        <w:gridCol w:w="2126"/>
        <w:gridCol w:w="2126"/>
        <w:gridCol w:w="2126"/>
        <w:gridCol w:w="2127"/>
      </w:tblGrid>
      <w:tr w:rsidR="00F813FD" w:rsidRPr="008409BD" w:rsidTr="00F813FD">
        <w:tc>
          <w:tcPr>
            <w:tcW w:w="2126" w:type="dxa"/>
            <w:tcBorders>
              <w:bottom w:val="single" w:sz="18" w:space="0" w:color="000000"/>
              <w:right w:val="single" w:sz="18"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p>
        </w:tc>
        <w:tc>
          <w:tcPr>
            <w:tcW w:w="2126"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263CC8"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Trattati con litio</w:t>
            </w:r>
          </w:p>
        </w:tc>
        <w:tc>
          <w:tcPr>
            <w:tcW w:w="2126"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263CC8"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Litio</w:t>
            </w:r>
            <w:r w:rsidR="00F813FD" w:rsidRPr="008409BD">
              <w:rPr>
                <w:rFonts w:ascii="Calibri" w:hAnsi="Calibri"/>
                <w:b/>
                <w:bCs/>
                <w:color w:val="0D0D0D"/>
                <w:sz w:val="20"/>
                <w:szCs w:val="20"/>
                <w:lang w:val="en-GB"/>
              </w:rPr>
              <w:t xml:space="preserve"> free</w:t>
            </w:r>
          </w:p>
        </w:tc>
        <w:tc>
          <w:tcPr>
            <w:tcW w:w="2127"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b/>
                <w:bCs/>
                <w:color w:val="0D0D0D"/>
                <w:sz w:val="20"/>
                <w:szCs w:val="20"/>
                <w:lang w:val="en-GB"/>
              </w:rPr>
            </w:pPr>
            <w:r w:rsidRPr="008409BD">
              <w:rPr>
                <w:rFonts w:ascii="Calibri" w:hAnsi="Calibri"/>
                <w:b/>
                <w:bCs/>
                <w:color w:val="0D0D0D"/>
                <w:sz w:val="20"/>
                <w:szCs w:val="20"/>
                <w:lang w:val="en-GB"/>
              </w:rPr>
              <w:t>p value</w:t>
            </w:r>
          </w:p>
        </w:tc>
      </w:tr>
      <w:tr w:rsidR="00F813FD" w:rsidRPr="008409BD" w:rsidTr="00F813FD">
        <w:tblPrEx>
          <w:tblCellMar>
            <w:top w:w="0" w:type="dxa"/>
            <w:left w:w="0" w:type="dxa"/>
            <w:bottom w:w="0" w:type="dxa"/>
            <w:right w:w="0" w:type="dxa"/>
          </w:tblCellMar>
        </w:tblPrEx>
        <w:trPr>
          <w:trHeight w:val="486"/>
        </w:trPr>
        <w:tc>
          <w:tcPr>
            <w:tcW w:w="2126"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263CC8"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 xml:space="preserve">Età </w:t>
            </w:r>
          </w:p>
        </w:tc>
        <w:tc>
          <w:tcPr>
            <w:tcW w:w="2126" w:type="dxa"/>
            <w:tcBorders>
              <w:left w:val="single" w:sz="18"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44.43±9.63</w:t>
            </w:r>
          </w:p>
        </w:tc>
        <w:tc>
          <w:tcPr>
            <w:tcW w:w="2126"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ind w:right="-14"/>
              <w:jc w:val="center"/>
              <w:rPr>
                <w:rFonts w:ascii="Calibri" w:hAnsi="Calibri"/>
                <w:color w:val="0D0D0D"/>
                <w:sz w:val="20"/>
                <w:szCs w:val="20"/>
                <w:lang w:val="en-GB"/>
              </w:rPr>
            </w:pPr>
            <w:r w:rsidRPr="008409BD">
              <w:rPr>
                <w:rFonts w:ascii="Calibri" w:hAnsi="Calibri"/>
                <w:color w:val="0D0D0D"/>
                <w:sz w:val="20"/>
                <w:szCs w:val="20"/>
                <w:lang w:val="en-GB"/>
              </w:rPr>
              <w:t>46.26±11.31</w:t>
            </w:r>
          </w:p>
        </w:tc>
        <w:tc>
          <w:tcPr>
            <w:tcW w:w="2127" w:type="dxa"/>
            <w:tcBorders>
              <w:left w:val="single" w:sz="1" w:space="0" w:color="000000"/>
              <w:bottom w:val="single" w:sz="1" w:space="0" w:color="000000"/>
              <w:right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0.42</w:t>
            </w:r>
          </w:p>
        </w:tc>
      </w:tr>
      <w:tr w:rsidR="00F813FD" w:rsidRPr="008409BD" w:rsidTr="00F813FD">
        <w:tblPrEx>
          <w:tblCellMar>
            <w:top w:w="0" w:type="dxa"/>
            <w:left w:w="0" w:type="dxa"/>
            <w:bottom w:w="0" w:type="dxa"/>
            <w:right w:w="0" w:type="dxa"/>
          </w:tblCellMar>
        </w:tblPrEx>
        <w:trPr>
          <w:trHeight w:val="486"/>
        </w:trPr>
        <w:tc>
          <w:tcPr>
            <w:tcW w:w="2126"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263CC8"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Etaà di onset</w:t>
            </w:r>
          </w:p>
        </w:tc>
        <w:tc>
          <w:tcPr>
            <w:tcW w:w="2126" w:type="dxa"/>
            <w:tcBorders>
              <w:left w:val="single" w:sz="18"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29.87±7.33</w:t>
            </w:r>
          </w:p>
        </w:tc>
        <w:tc>
          <w:tcPr>
            <w:tcW w:w="2126"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28.91±9.71</w:t>
            </w:r>
          </w:p>
        </w:tc>
        <w:tc>
          <w:tcPr>
            <w:tcW w:w="2127" w:type="dxa"/>
            <w:tcBorders>
              <w:left w:val="single" w:sz="1" w:space="0" w:color="000000"/>
              <w:bottom w:val="single" w:sz="1" w:space="0" w:color="000000"/>
              <w:right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0.16</w:t>
            </w:r>
          </w:p>
        </w:tc>
      </w:tr>
      <w:tr w:rsidR="00F813FD" w:rsidRPr="008409BD" w:rsidTr="00F813FD">
        <w:tblPrEx>
          <w:tblCellMar>
            <w:top w:w="0" w:type="dxa"/>
            <w:left w:w="0" w:type="dxa"/>
            <w:bottom w:w="0" w:type="dxa"/>
            <w:right w:w="0" w:type="dxa"/>
          </w:tblCellMar>
        </w:tblPrEx>
        <w:trPr>
          <w:trHeight w:val="486"/>
        </w:trPr>
        <w:tc>
          <w:tcPr>
            <w:tcW w:w="2126"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263CC8"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Scolarità</w:t>
            </w:r>
          </w:p>
        </w:tc>
        <w:tc>
          <w:tcPr>
            <w:tcW w:w="2126" w:type="dxa"/>
            <w:tcBorders>
              <w:left w:val="single" w:sz="18"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11.05±3.79</w:t>
            </w:r>
          </w:p>
        </w:tc>
        <w:tc>
          <w:tcPr>
            <w:tcW w:w="2126"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11.14±3.96</w:t>
            </w:r>
          </w:p>
        </w:tc>
        <w:tc>
          <w:tcPr>
            <w:tcW w:w="2127" w:type="dxa"/>
            <w:tcBorders>
              <w:left w:val="single" w:sz="1" w:space="0" w:color="000000"/>
              <w:bottom w:val="single" w:sz="1" w:space="0" w:color="000000"/>
              <w:right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0.85</w:t>
            </w:r>
          </w:p>
        </w:tc>
      </w:tr>
      <w:tr w:rsidR="00F813FD" w:rsidRPr="008409BD" w:rsidTr="00F813FD">
        <w:tblPrEx>
          <w:tblCellMar>
            <w:top w:w="0" w:type="dxa"/>
            <w:left w:w="0" w:type="dxa"/>
            <w:bottom w:w="0" w:type="dxa"/>
            <w:right w:w="0" w:type="dxa"/>
          </w:tblCellMar>
        </w:tblPrEx>
        <w:trPr>
          <w:trHeight w:val="486"/>
        </w:trPr>
        <w:tc>
          <w:tcPr>
            <w:tcW w:w="2126"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b/>
                <w:bCs/>
                <w:color w:val="0D0D0D"/>
                <w:sz w:val="20"/>
                <w:szCs w:val="20"/>
                <w:lang w:val="en-GB"/>
              </w:rPr>
            </w:pPr>
            <w:r w:rsidRPr="008409BD">
              <w:rPr>
                <w:rFonts w:ascii="Calibri" w:hAnsi="Calibri"/>
                <w:b/>
                <w:bCs/>
                <w:color w:val="0D0D0D"/>
                <w:sz w:val="20"/>
                <w:szCs w:val="20"/>
                <w:lang w:val="en-GB"/>
              </w:rPr>
              <w:t xml:space="preserve">N° </w:t>
            </w:r>
            <w:r w:rsidR="00263CC8">
              <w:rPr>
                <w:rFonts w:ascii="Calibri" w:hAnsi="Calibri"/>
                <w:b/>
                <w:bCs/>
                <w:color w:val="0D0D0D"/>
                <w:sz w:val="20"/>
                <w:szCs w:val="20"/>
                <w:lang w:val="en-GB"/>
              </w:rPr>
              <w:t>episodi maniacali</w:t>
            </w:r>
          </w:p>
        </w:tc>
        <w:tc>
          <w:tcPr>
            <w:tcW w:w="2126" w:type="dxa"/>
            <w:tcBorders>
              <w:left w:val="single" w:sz="18"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3.87±3.48</w:t>
            </w:r>
          </w:p>
        </w:tc>
        <w:tc>
          <w:tcPr>
            <w:tcW w:w="2126"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2.83±3.44</w:t>
            </w:r>
          </w:p>
        </w:tc>
        <w:tc>
          <w:tcPr>
            <w:tcW w:w="2127" w:type="dxa"/>
            <w:tcBorders>
              <w:left w:val="single" w:sz="1" w:space="0" w:color="000000"/>
              <w:bottom w:val="single" w:sz="1" w:space="0" w:color="000000"/>
              <w:right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0.93</w:t>
            </w:r>
          </w:p>
        </w:tc>
      </w:tr>
      <w:tr w:rsidR="00F813FD" w:rsidRPr="008409BD" w:rsidTr="00F813FD">
        <w:tblPrEx>
          <w:tblCellMar>
            <w:top w:w="0" w:type="dxa"/>
            <w:left w:w="0" w:type="dxa"/>
            <w:bottom w:w="0" w:type="dxa"/>
            <w:right w:w="0" w:type="dxa"/>
          </w:tblCellMar>
        </w:tblPrEx>
        <w:trPr>
          <w:trHeight w:val="486"/>
        </w:trPr>
        <w:tc>
          <w:tcPr>
            <w:tcW w:w="2126"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b/>
                <w:bCs/>
                <w:color w:val="0D0D0D"/>
                <w:sz w:val="20"/>
                <w:szCs w:val="20"/>
                <w:lang w:val="en-GB"/>
              </w:rPr>
            </w:pPr>
            <w:r w:rsidRPr="008409BD">
              <w:rPr>
                <w:rFonts w:ascii="Calibri" w:hAnsi="Calibri"/>
                <w:b/>
                <w:bCs/>
                <w:color w:val="0D0D0D"/>
                <w:sz w:val="20"/>
                <w:szCs w:val="20"/>
                <w:lang w:val="en-GB"/>
              </w:rPr>
              <w:t xml:space="preserve">N° </w:t>
            </w:r>
            <w:r w:rsidR="00263CC8">
              <w:rPr>
                <w:rFonts w:ascii="Calibri" w:hAnsi="Calibri"/>
                <w:b/>
                <w:bCs/>
                <w:color w:val="0D0D0D"/>
                <w:sz w:val="20"/>
                <w:szCs w:val="20"/>
                <w:lang w:val="en-GB"/>
              </w:rPr>
              <w:t>episodi depressivi</w:t>
            </w:r>
          </w:p>
        </w:tc>
        <w:tc>
          <w:tcPr>
            <w:tcW w:w="2126" w:type="dxa"/>
            <w:tcBorders>
              <w:left w:val="single" w:sz="18"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3.53±3.66</w:t>
            </w:r>
          </w:p>
        </w:tc>
        <w:tc>
          <w:tcPr>
            <w:tcW w:w="2126"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6.32±5.60</w:t>
            </w:r>
          </w:p>
        </w:tc>
        <w:tc>
          <w:tcPr>
            <w:tcW w:w="2127" w:type="dxa"/>
            <w:tcBorders>
              <w:left w:val="single" w:sz="1" w:space="0" w:color="000000"/>
              <w:bottom w:val="single" w:sz="1" w:space="0" w:color="000000"/>
              <w:right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0.09</w:t>
            </w:r>
          </w:p>
        </w:tc>
      </w:tr>
      <w:tr w:rsidR="00F813FD" w:rsidRPr="008409BD" w:rsidTr="00850E8B">
        <w:tblPrEx>
          <w:tblCellMar>
            <w:top w:w="0" w:type="dxa"/>
            <w:left w:w="0" w:type="dxa"/>
            <w:bottom w:w="0" w:type="dxa"/>
            <w:right w:w="0" w:type="dxa"/>
          </w:tblCellMar>
        </w:tblPrEx>
        <w:trPr>
          <w:trHeight w:val="440"/>
        </w:trPr>
        <w:tc>
          <w:tcPr>
            <w:tcW w:w="2126"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263CC8" w:rsidP="001E5BE4">
            <w:pPr>
              <w:pStyle w:val="Contenutotabella"/>
              <w:snapToGrid w:val="0"/>
              <w:spacing w:line="360" w:lineRule="auto"/>
              <w:jc w:val="center"/>
              <w:rPr>
                <w:rFonts w:ascii="Calibri" w:hAnsi="Calibri"/>
                <w:b/>
                <w:bCs/>
                <w:color w:val="0D0D0D"/>
                <w:sz w:val="20"/>
                <w:szCs w:val="20"/>
                <w:lang w:val="en-GB"/>
              </w:rPr>
            </w:pPr>
            <w:r>
              <w:rPr>
                <w:rFonts w:ascii="Calibri" w:hAnsi="Calibri"/>
                <w:b/>
                <w:bCs/>
                <w:color w:val="0D0D0D"/>
                <w:sz w:val="20"/>
                <w:szCs w:val="20"/>
                <w:lang w:val="en-GB"/>
              </w:rPr>
              <w:t>Sesso</w:t>
            </w:r>
          </w:p>
        </w:tc>
        <w:tc>
          <w:tcPr>
            <w:tcW w:w="2126" w:type="dxa"/>
            <w:tcBorders>
              <w:left w:val="single" w:sz="18"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11M    12F</w:t>
            </w:r>
          </w:p>
        </w:tc>
        <w:tc>
          <w:tcPr>
            <w:tcW w:w="2126"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8M    38F</w:t>
            </w:r>
          </w:p>
        </w:tc>
        <w:tc>
          <w:tcPr>
            <w:tcW w:w="2127" w:type="dxa"/>
            <w:tcBorders>
              <w:left w:val="single" w:sz="1" w:space="0" w:color="000000"/>
              <w:bottom w:val="single" w:sz="1" w:space="0" w:color="000000"/>
              <w:right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0.008*</w:t>
            </w:r>
          </w:p>
        </w:tc>
      </w:tr>
      <w:tr w:rsidR="00F813FD" w:rsidRPr="008409BD" w:rsidTr="00850E8B">
        <w:tblPrEx>
          <w:tblCellMar>
            <w:top w:w="0" w:type="dxa"/>
            <w:left w:w="0" w:type="dxa"/>
            <w:bottom w:w="0" w:type="dxa"/>
            <w:right w:w="0" w:type="dxa"/>
          </w:tblCellMar>
        </w:tblPrEx>
        <w:trPr>
          <w:trHeight w:val="618"/>
        </w:trPr>
        <w:tc>
          <w:tcPr>
            <w:tcW w:w="2126"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b/>
                <w:bCs/>
                <w:color w:val="0D0D0D"/>
                <w:sz w:val="20"/>
                <w:szCs w:val="20"/>
                <w:lang w:val="en-GB"/>
              </w:rPr>
            </w:pPr>
            <w:r w:rsidRPr="008409BD">
              <w:rPr>
                <w:rFonts w:ascii="Calibri" w:hAnsi="Calibri"/>
                <w:b/>
                <w:bCs/>
                <w:color w:val="0D0D0D"/>
                <w:sz w:val="20"/>
                <w:szCs w:val="20"/>
                <w:lang w:val="en-GB"/>
              </w:rPr>
              <w:t>GSK-3β</w:t>
            </w:r>
          </w:p>
        </w:tc>
        <w:tc>
          <w:tcPr>
            <w:tcW w:w="2126" w:type="dxa"/>
            <w:tcBorders>
              <w:left w:val="single" w:sz="18"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10 T/T</w:t>
            </w:r>
          </w:p>
          <w:p w:rsidR="00F813FD" w:rsidRPr="008409BD" w:rsidRDefault="00F813FD" w:rsidP="001E5BE4">
            <w:pPr>
              <w:pStyle w:val="Contenutotabella"/>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 xml:space="preserve">13 C carriers </w:t>
            </w:r>
          </w:p>
        </w:tc>
        <w:tc>
          <w:tcPr>
            <w:tcW w:w="2126" w:type="dxa"/>
            <w:tcBorders>
              <w:left w:val="single" w:sz="1" w:space="0" w:color="000000"/>
              <w:bottom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16 T/T</w:t>
            </w:r>
          </w:p>
          <w:p w:rsidR="00F813FD" w:rsidRPr="008409BD" w:rsidRDefault="00F813FD" w:rsidP="001E5BE4">
            <w:pPr>
              <w:pStyle w:val="Contenutotabella"/>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30 C carriers</w:t>
            </w:r>
          </w:p>
        </w:tc>
        <w:tc>
          <w:tcPr>
            <w:tcW w:w="2127" w:type="dxa"/>
            <w:tcBorders>
              <w:left w:val="single" w:sz="1" w:space="0" w:color="000000"/>
              <w:bottom w:val="single" w:sz="1" w:space="0" w:color="000000"/>
              <w:right w:val="single" w:sz="1" w:space="0" w:color="000000"/>
            </w:tcBorders>
            <w:shd w:val="clear" w:color="auto" w:fill="auto"/>
            <w:vAlign w:val="center"/>
          </w:tcPr>
          <w:p w:rsidR="00F813FD" w:rsidRPr="008409BD" w:rsidRDefault="00F813FD"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0.48</w:t>
            </w:r>
          </w:p>
        </w:tc>
      </w:tr>
    </w:tbl>
    <w:p w:rsidR="00F813FD" w:rsidRDefault="00F813FD" w:rsidP="001E5BE4">
      <w:pPr>
        <w:pStyle w:val="NormaleWeb"/>
        <w:spacing w:after="0" w:line="360" w:lineRule="auto"/>
        <w:jc w:val="both"/>
        <w:rPr>
          <w:rFonts w:ascii="Times New Roman" w:hAnsi="Times New Roman"/>
          <w:b/>
          <w:bCs/>
          <w:color w:val="0D0D0D"/>
          <w:sz w:val="20"/>
          <w:szCs w:val="20"/>
          <w:lang w:val="en-GB"/>
        </w:rPr>
      </w:pPr>
    </w:p>
    <w:p w:rsidR="00F813FD" w:rsidRPr="00F813FD" w:rsidRDefault="00F813FD" w:rsidP="001E5BE4">
      <w:pPr>
        <w:pStyle w:val="NormaleWeb"/>
        <w:spacing w:after="0" w:line="360" w:lineRule="auto"/>
        <w:ind w:right="1133"/>
        <w:jc w:val="both"/>
        <w:rPr>
          <w:rFonts w:ascii="Times New Roman" w:hAnsi="Times New Roman"/>
          <w:color w:val="0D0D0D"/>
          <w:sz w:val="20"/>
          <w:szCs w:val="20"/>
          <w:lang w:val="en-GB"/>
        </w:rPr>
      </w:pPr>
      <w:r>
        <w:rPr>
          <w:rFonts w:ascii="Times New Roman" w:hAnsi="Times New Roman"/>
          <w:b/>
          <w:bCs/>
          <w:color w:val="0D0D0D"/>
          <w:sz w:val="20"/>
          <w:szCs w:val="20"/>
          <w:lang w:val="en-GB"/>
        </w:rPr>
        <w:t xml:space="preserve">Tabella 3. </w:t>
      </w:r>
      <w:r>
        <w:rPr>
          <w:rFonts w:ascii="Times New Roman" w:hAnsi="Times New Roman"/>
          <w:bCs/>
          <w:color w:val="0D0D0D"/>
          <w:sz w:val="20"/>
          <w:szCs w:val="20"/>
          <w:lang w:val="en-GB"/>
        </w:rPr>
        <w:t xml:space="preserve">Analisi </w:t>
      </w:r>
      <w:r>
        <w:rPr>
          <w:rFonts w:ascii="Times New Roman" w:hAnsi="Times New Roman"/>
          <w:color w:val="0D0D0D"/>
          <w:sz w:val="20"/>
          <w:szCs w:val="20"/>
          <w:lang w:val="en-GB"/>
        </w:rPr>
        <w:t>T-test e</w:t>
      </w:r>
      <w:r w:rsidRPr="00F813FD">
        <w:rPr>
          <w:rFonts w:ascii="Times New Roman" w:hAnsi="Times New Roman"/>
          <w:color w:val="0D0D0D"/>
          <w:sz w:val="20"/>
          <w:szCs w:val="20"/>
          <w:lang w:val="en-GB"/>
        </w:rPr>
        <w:t xml:space="preserve"> Chi-square </w:t>
      </w:r>
      <w:r>
        <w:rPr>
          <w:rFonts w:ascii="Times New Roman" w:hAnsi="Times New Roman"/>
          <w:color w:val="0D0D0D"/>
          <w:sz w:val="20"/>
          <w:szCs w:val="20"/>
          <w:lang w:val="en-GB"/>
        </w:rPr>
        <w:t>delle variabili cliniche, demografiche e genetiche, tra pazienti trattati con litio e non trattati.</w:t>
      </w:r>
    </w:p>
    <w:p w:rsidR="00F813FD" w:rsidRDefault="00F813FD" w:rsidP="001E5BE4">
      <w:pPr>
        <w:pStyle w:val="Tesi"/>
        <w:tabs>
          <w:tab w:val="left" w:pos="8503"/>
        </w:tabs>
        <w:spacing w:line="360" w:lineRule="auto"/>
        <w:ind w:right="1091"/>
        <w:jc w:val="both"/>
        <w:rPr>
          <w:rFonts w:ascii="Times New Roman" w:hAnsi="Times New Roman"/>
          <w:sz w:val="24"/>
          <w:szCs w:val="24"/>
        </w:rPr>
      </w:pPr>
    </w:p>
    <w:p w:rsidR="00A0541C" w:rsidRPr="00F813FD" w:rsidRDefault="00B460A6" w:rsidP="001E5BE4">
      <w:pPr>
        <w:pStyle w:val="Tesi"/>
        <w:tabs>
          <w:tab w:val="left" w:pos="8503"/>
        </w:tabs>
        <w:spacing w:line="360" w:lineRule="auto"/>
        <w:ind w:right="1091"/>
        <w:jc w:val="both"/>
        <w:rPr>
          <w:rFonts w:ascii="Times New Roman" w:hAnsi="Times New Roman"/>
          <w:b/>
          <w:sz w:val="24"/>
          <w:szCs w:val="24"/>
        </w:rPr>
      </w:pPr>
      <w:r w:rsidRPr="00F813FD">
        <w:rPr>
          <w:rFonts w:ascii="Times New Roman" w:hAnsi="Times New Roman"/>
          <w:b/>
          <w:sz w:val="24"/>
          <w:szCs w:val="24"/>
        </w:rPr>
        <w:t>4.3.2 Identificazione del polimorfismo</w:t>
      </w:r>
    </w:p>
    <w:p w:rsidR="00A0541C" w:rsidRDefault="00B460A6" w:rsidP="001E5BE4">
      <w:pPr>
        <w:pStyle w:val="Tesi"/>
        <w:tabs>
          <w:tab w:val="left" w:pos="8503"/>
        </w:tabs>
        <w:spacing w:line="360" w:lineRule="auto"/>
        <w:ind w:right="1091"/>
        <w:jc w:val="both"/>
        <w:rPr>
          <w:rFonts w:ascii="Times New Roman" w:eastAsia="ヒラギノ角ゴ Pro W3" w:hAnsi="Times New Roman" w:cs="Times New Roman"/>
          <w:color w:val="0D0D0D"/>
          <w:sz w:val="24"/>
          <w:szCs w:val="24"/>
          <w:lang w:val="en-GB"/>
        </w:rPr>
      </w:pPr>
      <w:r>
        <w:rPr>
          <w:rFonts w:ascii="Times New Roman" w:hAnsi="Times New Roman"/>
          <w:sz w:val="24"/>
          <w:szCs w:val="24"/>
        </w:rPr>
        <w:t xml:space="preserve">Il DNA è stato estratto manualmente usando il kit  </w:t>
      </w:r>
      <w:r>
        <w:rPr>
          <w:rFonts w:ascii="Times New Roman" w:eastAsia="Times New Roman" w:hAnsi="Times New Roman" w:cs="Times New Roman"/>
          <w:color w:val="0D0D0D"/>
          <w:sz w:val="24"/>
          <w:szCs w:val="24"/>
          <w:lang w:val="en-GB"/>
        </w:rPr>
        <w:t xml:space="preserve">Illustra </w:t>
      </w:r>
      <w:r>
        <w:rPr>
          <w:rFonts w:ascii="Times New Roman" w:eastAsia="Times New Roman" w:hAnsi="Times New Roman" w:cs="Times New Roman"/>
          <w:color w:val="0D0D0D"/>
          <w:sz w:val="24"/>
          <w:szCs w:val="24"/>
        </w:rPr>
        <w:t>blood genomic Prep Midi Flow (GE Healthcare, M</w:t>
      </w:r>
      <w:r w:rsidR="00236C91">
        <w:rPr>
          <w:rFonts w:ascii="Times New Roman" w:eastAsia="Times New Roman" w:hAnsi="Times New Roman" w:cs="Times New Roman"/>
          <w:color w:val="0D0D0D"/>
          <w:sz w:val="24"/>
          <w:szCs w:val="24"/>
        </w:rPr>
        <w:t>ilan, Italy). Per identificare i</w:t>
      </w:r>
      <w:r>
        <w:rPr>
          <w:rFonts w:ascii="Times New Roman" w:eastAsia="Times New Roman" w:hAnsi="Times New Roman" w:cs="Times New Roman"/>
          <w:color w:val="0D0D0D"/>
          <w:sz w:val="24"/>
          <w:szCs w:val="24"/>
        </w:rPr>
        <w:t xml:space="preserve"> due polimorfismi di rs334558, </w:t>
      </w:r>
      <w:r w:rsidR="009A6745">
        <w:rPr>
          <w:rFonts w:ascii="Times New Roman" w:eastAsia="Times New Roman" w:hAnsi="Times New Roman" w:cs="Times New Roman"/>
          <w:color w:val="0D0D0D"/>
          <w:sz w:val="24"/>
          <w:szCs w:val="24"/>
        </w:rPr>
        <w:t>è stata performata una PCR con i</w:t>
      </w:r>
      <w:r>
        <w:rPr>
          <w:rFonts w:ascii="Times New Roman" w:eastAsia="Times New Roman" w:hAnsi="Times New Roman" w:cs="Times New Roman"/>
          <w:color w:val="0D0D0D"/>
          <w:sz w:val="24"/>
          <w:szCs w:val="24"/>
        </w:rPr>
        <w:t xml:space="preserve"> seguenti primers: 5' GACGTCCGTGATTGGCTC 3' e 5'AGCCCAGAG CCCTGTCAG 3'. La PCR è stata fatta in 10  </w:t>
      </w:r>
      <w:r>
        <w:rPr>
          <w:rFonts w:ascii="Times New Roman" w:eastAsia="ヒラギノ角ゴ Pro W3" w:hAnsi="Times New Roman" w:cs="Times New Roman"/>
          <w:color w:val="0D0D0D"/>
          <w:sz w:val="24"/>
          <w:szCs w:val="24"/>
          <w:lang w:val="en-GB"/>
        </w:rPr>
        <w:t>µl di volume contenenti 150 ng di DNA genomico, 5 pM di ogni primer, 200  µM di dNTP, 10 X HotMaster Taq Buffer, 5 U dio HotMaster Taq DNA polimerasi (Eppendorf, Milano, Italia) e 0.5  µl di DMSO in soluzione (Sigma-Aldrich, Milano, Italia). Dopo lo step iniziale  di 2 minuti a 94 °C, 35 cicli di amplificazione (20 sec a 94°C, 10 sec a 60°C, 25 sec a 70°C) e uno step finale  di 10 minuti a 70°C, sono stati performati. Un aliquota di prodotto è stata digerita con Alu I (new England b</w:t>
      </w:r>
      <w:r w:rsidR="009A6745">
        <w:rPr>
          <w:rFonts w:ascii="Times New Roman" w:eastAsia="ヒラギノ角ゴ Pro W3" w:hAnsi="Times New Roman" w:cs="Times New Roman"/>
          <w:color w:val="0D0D0D"/>
          <w:sz w:val="24"/>
          <w:szCs w:val="24"/>
          <w:lang w:val="en-GB"/>
        </w:rPr>
        <w:t>iolabs); i</w:t>
      </w:r>
      <w:r>
        <w:rPr>
          <w:rFonts w:ascii="Times New Roman" w:eastAsia="ヒラギノ角ゴ Pro W3" w:hAnsi="Times New Roman" w:cs="Times New Roman"/>
          <w:color w:val="0D0D0D"/>
          <w:sz w:val="24"/>
          <w:szCs w:val="24"/>
          <w:lang w:val="en-GB"/>
        </w:rPr>
        <w:t xml:space="preserve"> frammenti sono stati separati in gel d'agarosio. Il prodotto della PCR non ristretto aveva un alunghezza di 344 basi azotate; la completa restrizione produce due bande di 220 e 124 basi.</w:t>
      </w:r>
    </w:p>
    <w:p w:rsidR="00F813FD" w:rsidRDefault="00F813FD" w:rsidP="001E5BE4">
      <w:pPr>
        <w:pStyle w:val="Tesi"/>
        <w:tabs>
          <w:tab w:val="left" w:pos="8503"/>
        </w:tabs>
        <w:spacing w:line="360" w:lineRule="auto"/>
        <w:ind w:right="1091"/>
        <w:jc w:val="both"/>
        <w:rPr>
          <w:rFonts w:ascii="Times New Roman" w:hAnsi="Times New Roman"/>
          <w:b/>
          <w:bCs/>
          <w:sz w:val="24"/>
          <w:szCs w:val="24"/>
        </w:rPr>
      </w:pPr>
    </w:p>
    <w:p w:rsidR="00A0541C" w:rsidRDefault="00B460A6" w:rsidP="001E5BE4">
      <w:pPr>
        <w:pStyle w:val="Tesi"/>
        <w:tabs>
          <w:tab w:val="left" w:pos="8503"/>
        </w:tabs>
        <w:spacing w:line="360" w:lineRule="auto"/>
        <w:ind w:right="1091"/>
        <w:jc w:val="both"/>
        <w:rPr>
          <w:rFonts w:ascii="Times New Roman" w:hAnsi="Times New Roman"/>
          <w:b/>
          <w:bCs/>
          <w:sz w:val="24"/>
          <w:szCs w:val="24"/>
        </w:rPr>
      </w:pPr>
      <w:r>
        <w:rPr>
          <w:rFonts w:ascii="Times New Roman" w:hAnsi="Times New Roman"/>
          <w:b/>
          <w:bCs/>
          <w:sz w:val="24"/>
          <w:szCs w:val="24"/>
        </w:rPr>
        <w:t>4.3.3 Acquisizione delle risonanze</w:t>
      </w:r>
    </w:p>
    <w:p w:rsidR="00A0541C" w:rsidRDefault="006F0EF7" w:rsidP="001E5BE4">
      <w:pPr>
        <w:pStyle w:val="Tesi"/>
        <w:tabs>
          <w:tab w:val="left" w:pos="8503"/>
        </w:tabs>
        <w:spacing w:line="360" w:lineRule="auto"/>
        <w:ind w:right="1091"/>
        <w:jc w:val="both"/>
        <w:rPr>
          <w:rFonts w:ascii="Times New Roman" w:hAnsi="Times New Roman" w:cs="Times New Roman"/>
          <w:color w:val="0D0D0D"/>
          <w:sz w:val="24"/>
          <w:szCs w:val="24"/>
          <w:lang w:val="en-GB"/>
        </w:rPr>
      </w:pPr>
      <w:r>
        <w:rPr>
          <w:rFonts w:ascii="Times New Roman" w:hAnsi="Times New Roman"/>
          <w:sz w:val="24"/>
          <w:szCs w:val="24"/>
        </w:rPr>
        <w:t>Tutti i</w:t>
      </w:r>
      <w:r w:rsidR="00B460A6">
        <w:rPr>
          <w:rFonts w:ascii="Times New Roman" w:hAnsi="Times New Roman"/>
          <w:sz w:val="24"/>
          <w:szCs w:val="24"/>
        </w:rPr>
        <w:t xml:space="preserve"> soggetti sono stati sottoposti a scnasioni T1 e T2 volumetriche per escludere casi di lesioni cerebrali e in seguito le immagini DTI sono state acquisite. Tutti gli esami di risonanza sono stati condotti al C.E.R.M.A.C (centro di eccellenza risonanza magnetica ad alto campo, università Vita Salute San raffaele, Milano) usando uno scanner MR a 3.0 tesla </w:t>
      </w:r>
      <w:r w:rsidR="00B460A6">
        <w:rPr>
          <w:rFonts w:ascii="Times New Roman" w:hAnsi="Times New Roman" w:cs="Times New Roman"/>
          <w:color w:val="0D0D0D"/>
          <w:sz w:val="24"/>
          <w:szCs w:val="24"/>
          <w:lang w:val="en-GB"/>
        </w:rPr>
        <w:t xml:space="preserve">(Gyroscan Intera, Philips, Best, Paesi Bassi) con imaging spin-echo echo-planar dai seguenti parametri: tempo di ripetizione/echo-time = 8753.89/58 ms; 55 contigui, 2.3 mm spessore delle fette assiali con campo di 240 mm; matrice di scan 112; matrice ricostruita 128 x 128; misura dei voxel acquisiti, fase e misura (mm) =  2.14/2.71/2.30; misura del voxel ricostruito, fase e misura =  1.88/1.87/2.30; sensibilità di codifica del fattore di accelerazione = 2, 35 non lineare, direzione del gradiente di diffusione, b value = 900sec/mm2. È stata performata la saturazione dei grassi per impedire lo shift chimico artefatto. T1 e T2 sono state acquisite usando lo stesso mangnete 22 Turbo Spino Echo (Philips). Le fette T2 assiali hanno un tempo di ripetizione = 3000 ms; echo time = = 85 ms; flip angle = 90°; turbo factor 15; 5mm-spesse, porzioni assiali con  512 × 512 matrix e 230 mm di campo; sequenza T1 pesata TR 2500 ms, TE 4.6 ms, yielding 220 porzioni trasversali con spessore di 1.6 mm, 256 × 256 matrix and 230 mm of FOV. </w:t>
      </w: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B460A6" w:rsidP="001E5BE4">
      <w:pPr>
        <w:pStyle w:val="Tesi"/>
        <w:tabs>
          <w:tab w:val="left" w:pos="8503"/>
        </w:tabs>
        <w:spacing w:line="360" w:lineRule="auto"/>
        <w:ind w:right="1091"/>
        <w:jc w:val="both"/>
        <w:rPr>
          <w:rFonts w:ascii="Times New Roman" w:hAnsi="Times New Roman" w:cs="Times New Roman"/>
          <w:b/>
          <w:bCs/>
          <w:color w:val="0D0D0D"/>
          <w:sz w:val="24"/>
          <w:szCs w:val="24"/>
          <w:lang w:val="en-GB"/>
        </w:rPr>
      </w:pPr>
      <w:r>
        <w:rPr>
          <w:rFonts w:ascii="Times New Roman" w:hAnsi="Times New Roman" w:cs="Times New Roman"/>
          <w:b/>
          <w:bCs/>
          <w:color w:val="0D0D0D"/>
          <w:sz w:val="24"/>
          <w:szCs w:val="24"/>
          <w:lang w:val="en-GB"/>
        </w:rPr>
        <w:t>4.3.4 Processazione dei dati</w:t>
      </w:r>
    </w:p>
    <w:p w:rsidR="00A0541C" w:rsidRDefault="00B7042D" w:rsidP="001E5BE4">
      <w:pPr>
        <w:pStyle w:val="Tesi"/>
        <w:tabs>
          <w:tab w:val="left" w:pos="8503"/>
        </w:tabs>
        <w:spacing w:line="360" w:lineRule="auto"/>
        <w:ind w:right="1091"/>
        <w:jc w:val="both"/>
        <w:rPr>
          <w:rFonts w:ascii="Times New Roman" w:hAnsi="Times New Roman" w:cs="Times New Roman"/>
          <w:color w:val="0D0D0D"/>
          <w:sz w:val="24"/>
          <w:szCs w:val="24"/>
          <w:lang w:val="en-GB"/>
        </w:rPr>
      </w:pPr>
      <w:r>
        <w:rPr>
          <w:rFonts w:ascii="Times New Roman" w:hAnsi="Times New Roman"/>
          <w:noProof/>
          <w:sz w:val="24"/>
          <w:szCs w:val="24"/>
          <w:lang w:val="it-IT" w:eastAsia="it-IT"/>
        </w:rPr>
        <w:drawing>
          <wp:anchor distT="0" distB="0" distL="0" distR="0" simplePos="0" relativeHeight="251678720" behindDoc="0" locked="0" layoutInCell="1" allowOverlap="1">
            <wp:simplePos x="0" y="0"/>
            <wp:positionH relativeFrom="column">
              <wp:posOffset>0</wp:posOffset>
            </wp:positionH>
            <wp:positionV relativeFrom="paragraph">
              <wp:posOffset>3451860</wp:posOffset>
            </wp:positionV>
            <wp:extent cx="5487670" cy="1987550"/>
            <wp:effectExtent l="0" t="0" r="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4">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87670" cy="1987550"/>
                    </a:xfrm>
                    <a:prstGeom prst="rect">
                      <a:avLst/>
                    </a:prstGeom>
                    <a:solidFill>
                      <a:srgbClr val="FFFFFF"/>
                    </a:solidFill>
                    <a:ln>
                      <a:noFill/>
                    </a:ln>
                  </pic:spPr>
                </pic:pic>
              </a:graphicData>
            </a:graphic>
          </wp:anchor>
        </w:drawing>
      </w:r>
      <w:r w:rsidR="00B460A6">
        <w:rPr>
          <w:rFonts w:ascii="Times New Roman" w:hAnsi="Times New Roman" w:cs="Times New Roman"/>
          <w:color w:val="0D0D0D"/>
          <w:sz w:val="24"/>
          <w:szCs w:val="24"/>
          <w:lang w:val="en-GB"/>
        </w:rPr>
        <w:t xml:space="preserve">La processazionedei dati è stata fatta usando il software FMRIB (FSL) 4.1.6 </w:t>
      </w:r>
      <w:r w:rsidR="00B460A6">
        <w:rPr>
          <w:rStyle w:val="CollegamentoInternet"/>
          <w:rFonts w:ascii="Times New Roman" w:hAnsi="Times New Roman" w:cs="Times New Roman"/>
          <w:color w:val="0D0D0D"/>
          <w:sz w:val="24"/>
          <w:szCs w:val="24"/>
          <w:lang w:val="en-GB"/>
        </w:rPr>
        <w:t>(</w:t>
      </w:r>
      <w:hyperlink r:id="rId25">
        <w:r w:rsidR="00B460A6">
          <w:rPr>
            <w:rStyle w:val="CollegamentoInternet"/>
            <w:rFonts w:ascii="Times New Roman" w:hAnsi="Times New Roman" w:cs="Times New Roman"/>
            <w:color w:val="0D0D0D"/>
            <w:sz w:val="24"/>
            <w:szCs w:val="24"/>
          </w:rPr>
          <w:t>http://www.fmrib.ox.ac.jk/fsl/</w:t>
        </w:r>
      </w:hyperlink>
      <w:r w:rsidR="00B460A6">
        <w:rPr>
          <w:rFonts w:ascii="Times New Roman" w:hAnsi="Times New Roman" w:cs="Times New Roman"/>
          <w:color w:val="0D0D0D"/>
          <w:sz w:val="24"/>
          <w:szCs w:val="24"/>
          <w:lang w:val="en-GB"/>
        </w:rPr>
        <w:t>). Il primo step è il preprocessing: le immagini pesate sono prima preprocessa</w:t>
      </w:r>
      <w:r w:rsidR="006F0EF7">
        <w:rPr>
          <w:rFonts w:ascii="Times New Roman" w:hAnsi="Times New Roman" w:cs="Times New Roman"/>
          <w:color w:val="0D0D0D"/>
          <w:sz w:val="24"/>
          <w:szCs w:val="24"/>
          <w:lang w:val="en-GB"/>
        </w:rPr>
        <w:t>te con l'intento di corregegre i</w:t>
      </w:r>
      <w:r w:rsidR="00B460A6">
        <w:rPr>
          <w:rFonts w:ascii="Times New Roman" w:hAnsi="Times New Roman" w:cs="Times New Roman"/>
          <w:color w:val="0D0D0D"/>
          <w:sz w:val="24"/>
          <w:szCs w:val="24"/>
          <w:lang w:val="en-GB"/>
        </w:rPr>
        <w:t xml:space="preserve"> dati per gli</w:t>
      </w:r>
      <w:r w:rsidR="006F0EF7">
        <w:rPr>
          <w:rFonts w:ascii="Times New Roman" w:hAnsi="Times New Roman" w:cs="Times New Roman"/>
          <w:color w:val="0D0D0D"/>
          <w:sz w:val="24"/>
          <w:szCs w:val="24"/>
          <w:lang w:val="en-GB"/>
        </w:rPr>
        <w:t xml:space="preserve"> effetti delle eddy currents e i</w:t>
      </w:r>
      <w:r w:rsidR="00EB42CB">
        <w:rPr>
          <w:rFonts w:ascii="Times New Roman" w:hAnsi="Times New Roman" w:cs="Times New Roman"/>
          <w:color w:val="0D0D0D"/>
          <w:sz w:val="24"/>
          <w:szCs w:val="24"/>
          <w:lang w:val="en-GB"/>
        </w:rPr>
        <w:t xml:space="preserve"> movimenti della testa; i</w:t>
      </w:r>
      <w:r w:rsidR="00B460A6">
        <w:rPr>
          <w:rFonts w:ascii="Times New Roman" w:hAnsi="Times New Roman" w:cs="Times New Roman"/>
          <w:color w:val="0D0D0D"/>
          <w:sz w:val="24"/>
          <w:szCs w:val="24"/>
          <w:lang w:val="en-GB"/>
        </w:rPr>
        <w:t xml:space="preserve"> dati grezzi di ogni paziente sono stati registrati sull'immagine non pesata e senza diffusione di ciascun soggetto (la prima immagine che ha b = 0) con la trasformazione lineare, usando FMRIB linear image registration tool (FLIRT) (Jenkinson et al., 2002; Jenkinson and Smith, 2001). Il Software Brain extraction tool (BET) fornito da FSL (Smith, 2002), ha permesso l'estrazione dei cervelli  dallo scalpo in seguito alla segmentazione. Un modello del tensore di diffusione è stato fittato  su ogni immagine FA di ogni soggetto, in ogni voxel, usando il DTI</w:t>
      </w:r>
      <w:r w:rsidR="00F813FD">
        <w:rPr>
          <w:rFonts w:ascii="Times New Roman" w:hAnsi="Times New Roman" w:cs="Times New Roman"/>
          <w:color w:val="0D0D0D"/>
          <w:sz w:val="24"/>
          <w:szCs w:val="24"/>
          <w:lang w:val="en-GB"/>
        </w:rPr>
        <w:t>fit</w:t>
      </w:r>
      <w:r w:rsidR="00B460A6">
        <w:rPr>
          <w:rFonts w:ascii="Times New Roman" w:hAnsi="Times New Roman" w:cs="Times New Roman"/>
          <w:color w:val="0D0D0D"/>
          <w:sz w:val="24"/>
          <w:szCs w:val="24"/>
          <w:lang w:val="en-GB"/>
        </w:rPr>
        <w:t xml:space="preserve"> del software FDT (Behrens et al., 2007; Behrens et al., 2003a; Behrens et al., 2003b). E' importante dire che nessuno smoothing viene usato per questo metodo, evitando alcune fonti di errore.</w:t>
      </w: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B7042D" w:rsidRDefault="00B7042D" w:rsidP="001E5BE4">
      <w:pPr>
        <w:pStyle w:val="Tesi"/>
        <w:tabs>
          <w:tab w:val="left" w:pos="8503"/>
        </w:tabs>
        <w:spacing w:line="360" w:lineRule="auto"/>
        <w:ind w:right="1091"/>
        <w:jc w:val="both"/>
        <w:rPr>
          <w:rFonts w:ascii="Times New Roman" w:hAnsi="Times New Roman"/>
          <w:sz w:val="24"/>
          <w:szCs w:val="24"/>
        </w:rPr>
      </w:pPr>
    </w:p>
    <w:p w:rsidR="00B7042D" w:rsidRDefault="00B7042D" w:rsidP="001E5BE4">
      <w:pPr>
        <w:pStyle w:val="Tesi"/>
        <w:tabs>
          <w:tab w:val="left" w:pos="8503"/>
        </w:tabs>
        <w:spacing w:line="360" w:lineRule="auto"/>
        <w:ind w:right="1091"/>
        <w:jc w:val="both"/>
        <w:rPr>
          <w:rFonts w:ascii="Times New Roman" w:hAnsi="Times New Roman"/>
          <w:sz w:val="24"/>
          <w:szCs w:val="24"/>
        </w:rPr>
      </w:pPr>
    </w:p>
    <w:p w:rsidR="00B7042D" w:rsidRDefault="00B7042D" w:rsidP="001E5BE4">
      <w:pPr>
        <w:pStyle w:val="Tesi"/>
        <w:tabs>
          <w:tab w:val="left" w:pos="8503"/>
        </w:tabs>
        <w:spacing w:line="360" w:lineRule="auto"/>
        <w:ind w:right="1091"/>
        <w:jc w:val="both"/>
        <w:rPr>
          <w:rFonts w:ascii="Times New Roman" w:hAnsi="Times New Roman"/>
          <w:sz w:val="24"/>
          <w:szCs w:val="24"/>
        </w:rPr>
      </w:pPr>
    </w:p>
    <w:p w:rsidR="00B7042D" w:rsidRDefault="00B7042D" w:rsidP="001E5BE4">
      <w:pPr>
        <w:pStyle w:val="Tesi"/>
        <w:tabs>
          <w:tab w:val="left" w:pos="8503"/>
        </w:tabs>
        <w:spacing w:line="360" w:lineRule="auto"/>
        <w:ind w:right="1091"/>
        <w:jc w:val="both"/>
        <w:rPr>
          <w:rFonts w:ascii="Times New Roman" w:hAnsi="Times New Roman"/>
          <w:sz w:val="24"/>
          <w:szCs w:val="24"/>
        </w:rPr>
      </w:pPr>
    </w:p>
    <w:p w:rsidR="00B7042D" w:rsidRPr="00B7042D" w:rsidRDefault="00B7042D" w:rsidP="001E5BE4">
      <w:pPr>
        <w:pStyle w:val="NormaleWeb"/>
        <w:spacing w:after="0" w:line="360" w:lineRule="auto"/>
        <w:ind w:right="991"/>
        <w:jc w:val="both"/>
        <w:rPr>
          <w:rFonts w:ascii="Times New Roman" w:eastAsia="Times-Roman" w:hAnsi="Times New Roman" w:cs="Times-Roman"/>
          <w:color w:val="0D0D0D"/>
          <w:sz w:val="20"/>
          <w:szCs w:val="20"/>
          <w:lang w:val="en-GB"/>
        </w:rPr>
      </w:pPr>
      <w:r w:rsidRPr="00B7042D">
        <w:rPr>
          <w:rFonts w:ascii="Times New Roman" w:hAnsi="Times New Roman"/>
          <w:b/>
          <w:bCs/>
          <w:color w:val="0D0D0D"/>
          <w:sz w:val="20"/>
          <w:szCs w:val="20"/>
          <w:lang w:val="en-GB"/>
        </w:rPr>
        <w:t>Fig. 2</w:t>
      </w:r>
      <w:r>
        <w:rPr>
          <w:rFonts w:ascii="Times New Roman" w:hAnsi="Times New Roman"/>
          <w:b/>
          <w:bCs/>
          <w:color w:val="0D0D0D"/>
          <w:sz w:val="20"/>
          <w:szCs w:val="20"/>
          <w:lang w:val="en-GB"/>
        </w:rPr>
        <w:t xml:space="preserve"> </w:t>
      </w:r>
      <w:r>
        <w:rPr>
          <w:rFonts w:ascii="Times New Roman" w:hAnsi="Times New Roman"/>
          <w:bCs/>
          <w:color w:val="0D0D0D"/>
          <w:sz w:val="20"/>
          <w:szCs w:val="20"/>
          <w:lang w:val="en-GB"/>
        </w:rPr>
        <w:t>Immagine FA del comando DTIFIT, mostra la principale direzione di diffusione del tensore. I vettori DTI sono espressi con dei colori dove,  rosso, verde e blu, rappresentano le direzioni di diffusione x, y e z rispettivamente. Colori come il viola, sono un mix di rosso, verde e blu e pertanto esprimono vettori che hanno componenti significative non uguali a zero in più di una direzione x, y e z.</w:t>
      </w:r>
    </w:p>
    <w:p w:rsidR="00B7042D" w:rsidRDefault="00B7042D" w:rsidP="001E5BE4">
      <w:pPr>
        <w:pStyle w:val="Tesi"/>
        <w:tabs>
          <w:tab w:val="left" w:pos="8503"/>
        </w:tabs>
        <w:spacing w:line="360" w:lineRule="auto"/>
        <w:ind w:right="1091"/>
        <w:jc w:val="both"/>
        <w:rPr>
          <w:rFonts w:ascii="Times New Roman" w:hAnsi="Times New Roman"/>
          <w:sz w:val="24"/>
          <w:szCs w:val="24"/>
        </w:rPr>
      </w:pPr>
    </w:p>
    <w:p w:rsidR="00A0541C" w:rsidRDefault="00B460A6" w:rsidP="001E5BE4">
      <w:pPr>
        <w:pStyle w:val="Tesi"/>
        <w:tabs>
          <w:tab w:val="left" w:pos="8503"/>
        </w:tabs>
        <w:spacing w:line="360" w:lineRule="auto"/>
        <w:ind w:right="1091"/>
        <w:jc w:val="both"/>
        <w:rPr>
          <w:rFonts w:ascii="Times New Roman" w:hAnsi="Times New Roman" w:cs="Times New Roman"/>
          <w:color w:val="0D0D0D"/>
          <w:sz w:val="24"/>
          <w:szCs w:val="24"/>
          <w:lang w:val="en-GB"/>
        </w:rPr>
      </w:pPr>
      <w:r>
        <w:rPr>
          <w:rFonts w:ascii="Times New Roman" w:hAnsi="Times New Roman"/>
          <w:sz w:val="24"/>
          <w:szCs w:val="24"/>
        </w:rPr>
        <w:t xml:space="preserve">L'analisi statistica Voxelwise dei dati FA è stata performata usando  la TBSS (Smith et al., 2006). Tutte le immagini  sono state registrate su un template 1x1x1 </w:t>
      </w:r>
      <w:r>
        <w:rPr>
          <w:rFonts w:ascii="Times New Roman" w:hAnsi="Times New Roman" w:cs="Times New Roman"/>
          <w:color w:val="0D0D0D"/>
          <w:sz w:val="24"/>
          <w:szCs w:val="24"/>
          <w:lang w:val="en-GB"/>
        </w:rPr>
        <w:t>mm</w:t>
      </w:r>
      <w:r>
        <w:rPr>
          <w:rFonts w:ascii="Times New Roman" w:hAnsi="Times New Roman" w:cs="Times New Roman"/>
          <w:color w:val="0D0D0D"/>
          <w:sz w:val="24"/>
          <w:szCs w:val="24"/>
          <w:vertAlign w:val="superscript"/>
          <w:lang w:val="en-GB"/>
        </w:rPr>
        <w:t>3</w:t>
      </w:r>
      <w:r>
        <w:rPr>
          <w:rFonts w:ascii="Times New Roman" w:hAnsi="Times New Roman" w:cs="Times New Roman"/>
          <w:color w:val="0D0D0D"/>
          <w:sz w:val="24"/>
          <w:szCs w:val="24"/>
          <w:lang w:val="en-GB"/>
        </w:rPr>
        <w:t xml:space="preserve"> (FMRIB58-FA, FMRIB Centre University of Oxford, Department of Clinical Neurology, John Radcliffe Hospital Headington, Oxford, United Kingdom) attraverso registrazione non lineare e normalizzate sullo spazio standard dell istituto neurologico di Montreal</w:t>
      </w:r>
      <w:r w:rsidR="00EB42CB">
        <w:rPr>
          <w:rFonts w:ascii="Times New Roman" w:hAnsi="Times New Roman" w:cs="Times New Roman"/>
          <w:color w:val="0D0D0D"/>
          <w:sz w:val="24"/>
          <w:szCs w:val="24"/>
          <w:lang w:val="en-GB"/>
        </w:rPr>
        <w:t>. In seguito i</w:t>
      </w:r>
      <w:r>
        <w:rPr>
          <w:rFonts w:ascii="Times New Roman" w:hAnsi="Times New Roman" w:cs="Times New Roman"/>
          <w:color w:val="0D0D0D"/>
          <w:sz w:val="24"/>
          <w:szCs w:val="24"/>
          <w:lang w:val="en-GB"/>
        </w:rPr>
        <w:t xml:space="preserve"> dati FA sono uniti in un singolo file 4D e mediati in un altra immagine, la </w:t>
      </w:r>
      <w:r w:rsidRPr="009512BB">
        <w:rPr>
          <w:rFonts w:ascii="Courier" w:hAnsi="Courier" w:cs="Courier New"/>
          <w:color w:val="0D0D0D"/>
          <w:sz w:val="24"/>
          <w:szCs w:val="24"/>
          <w:lang w:val="en-GB"/>
        </w:rPr>
        <w:t>mean_FA</w:t>
      </w:r>
      <w:r>
        <w:rPr>
          <w:rFonts w:ascii="Times New Roman" w:hAnsi="Times New Roman" w:cs="Times New Roman"/>
          <w:color w:val="0D0D0D"/>
          <w:sz w:val="24"/>
          <w:szCs w:val="24"/>
          <w:lang w:val="en-GB"/>
        </w:rPr>
        <w:t xml:space="preserve">, che costituirà la oprima immagine per la creazione del </w:t>
      </w:r>
      <w:r w:rsidRPr="009512BB">
        <w:rPr>
          <w:rFonts w:ascii="Courier" w:hAnsi="Courier" w:cs="Courier New"/>
          <w:color w:val="0D0D0D"/>
          <w:sz w:val="24"/>
          <w:szCs w:val="24"/>
          <w:lang w:val="en-GB"/>
        </w:rPr>
        <w:t>mean_FA_skeleton</w:t>
      </w:r>
      <w:r>
        <w:rPr>
          <w:rFonts w:ascii="Times New Roman" w:hAnsi="Times New Roman" w:cs="Times New Roman"/>
          <w:color w:val="0D0D0D"/>
          <w:sz w:val="24"/>
          <w:szCs w:val="24"/>
          <w:lang w:val="en-GB"/>
        </w:rPr>
        <w:t xml:space="preserve">.  Questo come già detto rappresenta il centro di ogni fascio comune e viene calclto attraverso un processo di thinning che consiste nello stimare la direzione perpendicolare del tratto e identificando il valore di FA più alto lungo questa direzione come lo scheletro. Abbiamo usato tutto il nostro campione per creare  la </w:t>
      </w:r>
      <w:r w:rsidRPr="00A70185">
        <w:rPr>
          <w:rFonts w:ascii="Courier" w:hAnsi="Courier" w:cs="Courier New"/>
          <w:color w:val="0D0D0D"/>
          <w:sz w:val="24"/>
          <w:szCs w:val="24"/>
          <w:lang w:val="en-GB"/>
        </w:rPr>
        <w:t>mean_FA_skeleton</w:t>
      </w:r>
      <w:r>
        <w:rPr>
          <w:rFonts w:ascii="Times New Roman" w:hAnsi="Times New Roman" w:cs="Times New Roman"/>
          <w:color w:val="0D0D0D"/>
          <w:sz w:val="24"/>
          <w:szCs w:val="24"/>
          <w:lang w:val="en-GB"/>
        </w:rPr>
        <w:t xml:space="preserve">. Tutte le immagini FA individuali sono poi proiettate sul </w:t>
      </w:r>
      <w:r w:rsidRPr="00A70185">
        <w:rPr>
          <w:rFonts w:ascii="Courier" w:hAnsi="Courier" w:cs="Courier New"/>
          <w:color w:val="0D0D0D"/>
          <w:sz w:val="24"/>
          <w:szCs w:val="24"/>
          <w:lang w:val="en-GB"/>
        </w:rPr>
        <w:t>mean_FA_skeleton</w:t>
      </w:r>
      <w:r>
        <w:rPr>
          <w:rFonts w:ascii="Times New Roman" w:hAnsi="Times New Roman" w:cs="Times New Roman"/>
          <w:color w:val="0D0D0D"/>
          <w:sz w:val="24"/>
          <w:szCs w:val="24"/>
          <w:lang w:val="en-GB"/>
        </w:rPr>
        <w:t xml:space="preserve"> cosi che il valore più alto di FA di ogni soggetto si sovrapponese al trattopiù vicino del FA skeleton.</w:t>
      </w:r>
    </w:p>
    <w:p w:rsidR="00A0541C" w:rsidRDefault="00A70185" w:rsidP="001E5BE4">
      <w:pPr>
        <w:pStyle w:val="Tesi"/>
        <w:tabs>
          <w:tab w:val="left" w:pos="8503"/>
        </w:tabs>
        <w:spacing w:line="360" w:lineRule="auto"/>
        <w:ind w:right="1091"/>
        <w:jc w:val="both"/>
        <w:rPr>
          <w:rFonts w:ascii="Times New Roman" w:hAnsi="Times New Roman" w:cs="Times New Roman"/>
          <w:color w:val="0D0D0D"/>
          <w:sz w:val="24"/>
          <w:szCs w:val="24"/>
          <w:lang w:val="en-GB"/>
        </w:rPr>
      </w:pPr>
      <w:r>
        <w:rPr>
          <w:rFonts w:ascii="Times New Roman" w:hAnsi="Times New Roman" w:cs="Times New Roman"/>
          <w:noProof/>
          <w:color w:val="0D0D0D"/>
          <w:sz w:val="24"/>
          <w:szCs w:val="24"/>
          <w:lang w:val="it-IT" w:eastAsia="it-IT"/>
        </w:rPr>
        <w:drawing>
          <wp:anchor distT="0" distB="0" distL="0" distR="0" simplePos="0" relativeHeight="251679744" behindDoc="0" locked="0" layoutInCell="1" allowOverlap="1">
            <wp:simplePos x="0" y="0"/>
            <wp:positionH relativeFrom="column">
              <wp:posOffset>0</wp:posOffset>
            </wp:positionH>
            <wp:positionV relativeFrom="paragraph">
              <wp:posOffset>-78740</wp:posOffset>
            </wp:positionV>
            <wp:extent cx="5489575" cy="2010410"/>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6">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89575" cy="2010410"/>
                    </a:xfrm>
                    <a:prstGeom prst="rect">
                      <a:avLst/>
                    </a:prstGeom>
                    <a:solidFill>
                      <a:srgbClr val="FFFFFF"/>
                    </a:solidFill>
                    <a:ln>
                      <a:noFill/>
                    </a:ln>
                  </pic:spPr>
                </pic:pic>
              </a:graphicData>
            </a:graphic>
          </wp:anchor>
        </w:drawing>
      </w: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70185" w:rsidRDefault="00A70185" w:rsidP="001E5BE4">
      <w:pPr>
        <w:pStyle w:val="Tesi"/>
        <w:tabs>
          <w:tab w:val="left" w:pos="8503"/>
        </w:tabs>
        <w:spacing w:line="360" w:lineRule="auto"/>
        <w:ind w:right="1091"/>
        <w:jc w:val="both"/>
        <w:rPr>
          <w:rFonts w:ascii="Times New Roman" w:hAnsi="Times New Roman" w:cs="Times New Roman"/>
          <w:color w:val="0D0D0D"/>
          <w:sz w:val="24"/>
          <w:szCs w:val="24"/>
          <w:lang w:val="en-GB"/>
        </w:rPr>
      </w:pPr>
    </w:p>
    <w:p w:rsidR="00A70185" w:rsidRDefault="00A70185" w:rsidP="001E5BE4">
      <w:pPr>
        <w:pStyle w:val="Tesi"/>
        <w:tabs>
          <w:tab w:val="left" w:pos="8503"/>
        </w:tabs>
        <w:spacing w:line="360" w:lineRule="auto"/>
        <w:ind w:right="1091"/>
        <w:jc w:val="both"/>
        <w:rPr>
          <w:rFonts w:ascii="Times New Roman" w:hAnsi="Times New Roman" w:cs="Times New Roman"/>
          <w:color w:val="0D0D0D"/>
          <w:sz w:val="24"/>
          <w:szCs w:val="24"/>
          <w:lang w:val="en-GB"/>
        </w:rPr>
      </w:pPr>
    </w:p>
    <w:p w:rsidR="00A70185" w:rsidRDefault="00A70185" w:rsidP="001E5BE4">
      <w:pPr>
        <w:pStyle w:val="Tesi"/>
        <w:tabs>
          <w:tab w:val="left" w:pos="8503"/>
        </w:tabs>
        <w:spacing w:line="360" w:lineRule="auto"/>
        <w:ind w:right="1091"/>
        <w:jc w:val="both"/>
        <w:rPr>
          <w:rFonts w:ascii="Times New Roman" w:hAnsi="Times New Roman" w:cs="Times New Roman"/>
          <w:color w:val="0D0D0D"/>
          <w:sz w:val="24"/>
          <w:szCs w:val="24"/>
          <w:lang w:val="en-GB"/>
        </w:rPr>
      </w:pPr>
    </w:p>
    <w:p w:rsidR="00A70185" w:rsidRPr="008409BD" w:rsidRDefault="00A70185" w:rsidP="001E5BE4">
      <w:pPr>
        <w:pStyle w:val="NormaleWeb"/>
        <w:spacing w:after="0" w:line="360" w:lineRule="auto"/>
        <w:jc w:val="both"/>
        <w:rPr>
          <w:rFonts w:ascii="Times New Roman" w:hAnsi="Times New Roman"/>
          <w:color w:val="0D0D0D"/>
          <w:lang w:val="en-GB"/>
        </w:rPr>
      </w:pPr>
      <w:r w:rsidRPr="008409BD">
        <w:rPr>
          <w:rFonts w:ascii="Times New Roman" w:hAnsi="Times New Roman"/>
          <w:b/>
          <w:bCs/>
          <w:color w:val="0D0D0D"/>
          <w:lang w:val="en-GB"/>
        </w:rPr>
        <w:t xml:space="preserve">Fig. 3 </w:t>
      </w:r>
      <w:r>
        <w:rPr>
          <w:rFonts w:ascii="Times New Roman" w:hAnsi="Times New Roman"/>
          <w:color w:val="0D0D0D"/>
          <w:lang w:val="en-GB"/>
        </w:rPr>
        <w:t>Mean_FA del campione considerato.</w:t>
      </w:r>
    </w:p>
    <w:p w:rsidR="00A70185" w:rsidRDefault="00A70185" w:rsidP="001E5BE4">
      <w:pPr>
        <w:pStyle w:val="Tesi"/>
        <w:tabs>
          <w:tab w:val="left" w:pos="8503"/>
        </w:tabs>
        <w:spacing w:line="360" w:lineRule="auto"/>
        <w:ind w:right="1091"/>
        <w:jc w:val="both"/>
        <w:rPr>
          <w:rFonts w:ascii="Times New Roman" w:hAnsi="Times New Roman" w:cs="Times New Roman"/>
          <w:color w:val="0D0D0D"/>
          <w:sz w:val="24"/>
          <w:szCs w:val="24"/>
          <w:lang w:val="en-GB"/>
        </w:rPr>
      </w:pPr>
      <w:r>
        <w:rPr>
          <w:rFonts w:ascii="Times New Roman" w:hAnsi="Times New Roman" w:cs="Times New Roman"/>
          <w:noProof/>
          <w:color w:val="0D0D0D"/>
          <w:sz w:val="24"/>
          <w:szCs w:val="24"/>
          <w:lang w:val="it-IT" w:eastAsia="it-IT"/>
        </w:rPr>
        <w:drawing>
          <wp:anchor distT="0" distB="0" distL="0" distR="0" simplePos="0" relativeHeight="251680768" behindDoc="0" locked="0" layoutInCell="1" allowOverlap="1">
            <wp:simplePos x="0" y="0"/>
            <wp:positionH relativeFrom="column">
              <wp:posOffset>0</wp:posOffset>
            </wp:positionH>
            <wp:positionV relativeFrom="paragraph">
              <wp:posOffset>97155</wp:posOffset>
            </wp:positionV>
            <wp:extent cx="5501005" cy="2020570"/>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7">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01005" cy="2020570"/>
                    </a:xfrm>
                    <a:prstGeom prst="rect">
                      <a:avLst/>
                    </a:prstGeom>
                    <a:solidFill>
                      <a:srgbClr val="FFFFFF"/>
                    </a:solidFill>
                    <a:ln>
                      <a:noFill/>
                    </a:ln>
                  </pic:spPr>
                </pic:pic>
              </a:graphicData>
            </a:graphic>
          </wp:anchor>
        </w:drawing>
      </w:r>
    </w:p>
    <w:p w:rsidR="00A70185" w:rsidRDefault="00A70185" w:rsidP="001E5BE4">
      <w:pPr>
        <w:pStyle w:val="Tesi"/>
        <w:tabs>
          <w:tab w:val="left" w:pos="8503"/>
        </w:tabs>
        <w:spacing w:line="360" w:lineRule="auto"/>
        <w:ind w:right="1091"/>
        <w:jc w:val="both"/>
        <w:rPr>
          <w:rFonts w:ascii="Times New Roman" w:hAnsi="Times New Roman" w:cs="Times New Roman"/>
          <w:color w:val="0D0D0D"/>
          <w:sz w:val="24"/>
          <w:szCs w:val="24"/>
          <w:lang w:val="en-GB"/>
        </w:rPr>
      </w:pPr>
    </w:p>
    <w:p w:rsidR="00A70185" w:rsidRDefault="00A70185" w:rsidP="001E5BE4">
      <w:pPr>
        <w:pStyle w:val="Tesi"/>
        <w:tabs>
          <w:tab w:val="left" w:pos="8503"/>
        </w:tabs>
        <w:spacing w:line="360" w:lineRule="auto"/>
        <w:ind w:right="1091"/>
        <w:jc w:val="both"/>
        <w:rPr>
          <w:rFonts w:ascii="Times New Roman" w:hAnsi="Times New Roman" w:cs="Times New Roman"/>
          <w:color w:val="0D0D0D"/>
          <w:sz w:val="24"/>
          <w:szCs w:val="24"/>
          <w:lang w:val="en-GB"/>
        </w:rPr>
      </w:pPr>
    </w:p>
    <w:p w:rsidR="00A70185" w:rsidRDefault="00A70185" w:rsidP="001E5BE4">
      <w:pPr>
        <w:pStyle w:val="Tesi"/>
        <w:tabs>
          <w:tab w:val="left" w:pos="8503"/>
        </w:tabs>
        <w:spacing w:line="360" w:lineRule="auto"/>
        <w:ind w:right="1091"/>
        <w:jc w:val="both"/>
        <w:rPr>
          <w:rFonts w:ascii="Times New Roman" w:hAnsi="Times New Roman" w:cs="Times New Roman"/>
          <w:color w:val="0D0D0D"/>
          <w:sz w:val="24"/>
          <w:szCs w:val="24"/>
          <w:lang w:val="en-GB"/>
        </w:rPr>
      </w:pPr>
    </w:p>
    <w:p w:rsidR="00A70185" w:rsidRDefault="00A70185" w:rsidP="001E5BE4">
      <w:pPr>
        <w:pStyle w:val="Tesi"/>
        <w:tabs>
          <w:tab w:val="left" w:pos="8503"/>
        </w:tabs>
        <w:spacing w:line="360" w:lineRule="auto"/>
        <w:ind w:right="1091"/>
        <w:jc w:val="both"/>
        <w:rPr>
          <w:rFonts w:ascii="Times New Roman" w:hAnsi="Times New Roman" w:cs="Times New Roman"/>
          <w:color w:val="0D0D0D"/>
          <w:sz w:val="24"/>
          <w:szCs w:val="24"/>
          <w:lang w:val="en-GB"/>
        </w:rPr>
      </w:pPr>
    </w:p>
    <w:p w:rsidR="00A70185" w:rsidRDefault="00A70185" w:rsidP="001E5BE4">
      <w:pPr>
        <w:pStyle w:val="Tesi"/>
        <w:tabs>
          <w:tab w:val="left" w:pos="8503"/>
        </w:tabs>
        <w:spacing w:line="360" w:lineRule="auto"/>
        <w:ind w:right="1091"/>
        <w:jc w:val="both"/>
        <w:rPr>
          <w:rFonts w:ascii="Times New Roman" w:hAnsi="Times New Roman" w:cs="Times New Roman"/>
          <w:color w:val="0D0D0D"/>
          <w:sz w:val="24"/>
          <w:szCs w:val="24"/>
          <w:lang w:val="en-GB"/>
        </w:rPr>
      </w:pPr>
    </w:p>
    <w:p w:rsidR="00A70185" w:rsidRPr="00A70185" w:rsidRDefault="00A70185" w:rsidP="001E5BE4">
      <w:pPr>
        <w:pStyle w:val="Tesi"/>
        <w:tabs>
          <w:tab w:val="left" w:pos="8503"/>
        </w:tabs>
        <w:spacing w:line="360" w:lineRule="auto"/>
        <w:ind w:right="1091"/>
        <w:jc w:val="both"/>
        <w:rPr>
          <w:rFonts w:ascii="Times New Roman" w:hAnsi="Times New Roman" w:cs="Times New Roman"/>
          <w:color w:val="0D0D0D"/>
          <w:sz w:val="20"/>
          <w:szCs w:val="20"/>
          <w:lang w:val="en-GB"/>
        </w:rPr>
      </w:pPr>
      <w:r w:rsidRPr="00A70185">
        <w:rPr>
          <w:rFonts w:ascii="Times New Roman" w:hAnsi="Times New Roman"/>
          <w:b/>
          <w:bCs/>
          <w:color w:val="0D0D0D"/>
          <w:sz w:val="20"/>
          <w:szCs w:val="20"/>
          <w:lang w:val="en-GB"/>
        </w:rPr>
        <w:t xml:space="preserve">Fig. 4 </w:t>
      </w:r>
      <w:r w:rsidRPr="00850E8B">
        <w:rPr>
          <w:rFonts w:ascii="Times New Roman" w:hAnsi="Times New Roman"/>
          <w:color w:val="0D0D0D"/>
          <w:lang w:val="en-GB"/>
        </w:rPr>
        <w:t>Mean_Fa_skeleton del campione considerato</w:t>
      </w:r>
      <w:r>
        <w:rPr>
          <w:rFonts w:ascii="Times New Roman" w:hAnsi="Times New Roman"/>
          <w:color w:val="0D0D0D"/>
          <w:sz w:val="20"/>
          <w:szCs w:val="20"/>
          <w:lang w:val="en-GB"/>
        </w:rPr>
        <w:t>.</w:t>
      </w:r>
    </w:p>
    <w:p w:rsidR="00A0541C" w:rsidRDefault="00B460A6" w:rsidP="001E5BE4">
      <w:pPr>
        <w:pStyle w:val="Tesi"/>
        <w:tabs>
          <w:tab w:val="left" w:pos="8503"/>
        </w:tabs>
        <w:spacing w:line="360" w:lineRule="auto"/>
        <w:ind w:right="1091"/>
        <w:jc w:val="both"/>
        <w:rPr>
          <w:rFonts w:ascii="Times New Roman" w:hAnsi="Times New Roman" w:cs="Times New Roman"/>
          <w:color w:val="0D0D0D"/>
          <w:sz w:val="24"/>
          <w:szCs w:val="24"/>
          <w:lang w:val="en-GB"/>
        </w:rPr>
      </w:pPr>
      <w:r>
        <w:rPr>
          <w:rFonts w:ascii="Times New Roman" w:hAnsi="Times New Roman" w:cs="Times New Roman"/>
          <w:color w:val="0D0D0D"/>
          <w:sz w:val="24"/>
          <w:szCs w:val="24"/>
          <w:lang w:val="en-GB"/>
        </w:rPr>
        <w:t>Infine l'analisi statistica</w:t>
      </w:r>
      <w:r w:rsidR="00EB42CB">
        <w:rPr>
          <w:rFonts w:ascii="Times New Roman" w:hAnsi="Times New Roman" w:cs="Times New Roman"/>
          <w:color w:val="0D0D0D"/>
          <w:sz w:val="24"/>
          <w:szCs w:val="24"/>
          <w:lang w:val="en-GB"/>
        </w:rPr>
        <w:t xml:space="preserve"> incrociata voxelwise su tutti i</w:t>
      </w:r>
      <w:r>
        <w:rPr>
          <w:rFonts w:ascii="Times New Roman" w:hAnsi="Times New Roman" w:cs="Times New Roman"/>
          <w:color w:val="0D0D0D"/>
          <w:sz w:val="24"/>
          <w:szCs w:val="24"/>
          <w:lang w:val="en-GB"/>
        </w:rPr>
        <w:t xml:space="preserve"> soggetti viene performata sulle risultanti  immagini </w:t>
      </w:r>
      <w:r w:rsidRPr="00850E8B">
        <w:rPr>
          <w:rFonts w:ascii="Courier" w:hAnsi="Courier" w:cs="Courier New"/>
          <w:color w:val="0D0D0D"/>
          <w:sz w:val="24"/>
          <w:szCs w:val="24"/>
          <w:lang w:val="en-GB"/>
        </w:rPr>
        <w:t>all_FA_skeletonised</w:t>
      </w:r>
      <w:r>
        <w:rPr>
          <w:rFonts w:ascii="Times New Roman" w:hAnsi="Times New Roman" w:cs="Courier New"/>
          <w:color w:val="0D0D0D"/>
          <w:sz w:val="24"/>
          <w:szCs w:val="24"/>
          <w:lang w:val="en-GB"/>
        </w:rPr>
        <w:t xml:space="preserve">, basata su inferenze e permutazioni non parametriche, e effettuata con il comando FSL randomise, sviluppato al dipartimento di Biostatistica dell'università del michigan </w:t>
      </w:r>
      <w:r>
        <w:rPr>
          <w:rFonts w:ascii="Times New Roman" w:hAnsi="Times New Roman" w:cs="Times New Roman"/>
          <w:color w:val="0D0D0D"/>
          <w:sz w:val="24"/>
          <w:szCs w:val="24"/>
          <w:lang w:val="en-GB"/>
        </w:rPr>
        <w:t>(Nichols and Holmes, 2002), con il modello lineare generale. Questo programma permette di modellare le inferenze usando il design del modello lineare generale (GLM).</w:t>
      </w:r>
    </w:p>
    <w:p w:rsidR="00A0541C" w:rsidRDefault="00B460A6" w:rsidP="001E5BE4">
      <w:pPr>
        <w:pStyle w:val="Tesi"/>
        <w:tabs>
          <w:tab w:val="left" w:pos="8503"/>
        </w:tabs>
        <w:spacing w:line="360" w:lineRule="auto"/>
        <w:ind w:right="1091"/>
        <w:jc w:val="both"/>
        <w:rPr>
          <w:rFonts w:ascii="Times New Roman" w:hAnsi="Times New Roman" w:cs="Times New Roman"/>
          <w:color w:val="0D0D0D"/>
          <w:sz w:val="24"/>
          <w:szCs w:val="24"/>
          <w:lang w:val="en-GB"/>
        </w:rPr>
      </w:pPr>
      <w:r>
        <w:rPr>
          <w:rFonts w:ascii="Times New Roman" w:hAnsi="Times New Roman" w:cs="Times New Roman"/>
          <w:color w:val="0D0D0D"/>
          <w:sz w:val="24"/>
          <w:szCs w:val="24"/>
          <w:lang w:val="en-GB"/>
        </w:rPr>
        <w:t xml:space="preserve">I p-values vengono corretti con il </w:t>
      </w:r>
      <w:r>
        <w:rPr>
          <w:rFonts w:ascii="Times New Roman" w:hAnsi="Times New Roman" w:cs="Times New Roman"/>
          <w:i/>
          <w:color w:val="0D0D0D"/>
          <w:sz w:val="24"/>
          <w:szCs w:val="24"/>
          <w:lang w:val="en-GB"/>
        </w:rPr>
        <w:t xml:space="preserve">Threshold-free cluster enhancement </w:t>
      </w:r>
      <w:r>
        <w:rPr>
          <w:rFonts w:ascii="Times New Roman" w:hAnsi="Times New Roman" w:cs="Times New Roman"/>
          <w:color w:val="0D0D0D"/>
          <w:sz w:val="24"/>
          <w:szCs w:val="24"/>
          <w:lang w:val="en-GB"/>
        </w:rPr>
        <w:t>(TFCE) effettutato dopo le permutazioni. Serve per stimare la grandezza dei clusters. Il TFCE può essere visto come una generalizzazione della statistica cluster mass (Bullmore et al., 1999) e si avvale delle informazioni spaziali confinanti in un processo non lineare, per aumentare la sensibilità e migliorare l'altezza dei segnali senza cambiare la posizione dei picchi. I livelli di significatività corretti per confronti multipli, sono poi calcolati con permutazioni standard, calcolando la distribuzione nulla dei valori massimi di TFCE usando il 95esimo percentilee la soglia corretta per p &lt; 0.05. età sesso onse sono stati inclusi nel modello come covariate di disturbo.</w:t>
      </w: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B460A6" w:rsidP="001E5BE4">
      <w:pPr>
        <w:pStyle w:val="Tesi"/>
        <w:tabs>
          <w:tab w:val="left" w:pos="8503"/>
        </w:tabs>
        <w:spacing w:line="360" w:lineRule="auto"/>
        <w:ind w:right="1091"/>
        <w:jc w:val="both"/>
        <w:rPr>
          <w:rFonts w:ascii="Times New Roman" w:hAnsi="Times New Roman" w:cs="Times New Roman"/>
          <w:b/>
          <w:bCs/>
          <w:color w:val="0D0D0D"/>
          <w:sz w:val="24"/>
          <w:szCs w:val="24"/>
          <w:lang w:val="en-GB"/>
        </w:rPr>
      </w:pPr>
      <w:r>
        <w:rPr>
          <w:rFonts w:ascii="Times New Roman" w:hAnsi="Times New Roman" w:cs="Times New Roman"/>
          <w:b/>
          <w:bCs/>
          <w:color w:val="0D0D0D"/>
          <w:sz w:val="24"/>
          <w:szCs w:val="24"/>
          <w:lang w:val="en-GB"/>
        </w:rPr>
        <w:t>4.4 Risultati</w:t>
      </w:r>
    </w:p>
    <w:p w:rsidR="00A0541C" w:rsidRDefault="00B460A6" w:rsidP="001E5BE4">
      <w:pPr>
        <w:pStyle w:val="Tesi"/>
        <w:tabs>
          <w:tab w:val="left" w:pos="8503"/>
        </w:tabs>
        <w:spacing w:line="360" w:lineRule="auto"/>
        <w:ind w:right="1091"/>
        <w:jc w:val="both"/>
        <w:rPr>
          <w:rFonts w:ascii="Times New Roman" w:hAnsi="Times New Roman" w:cs="Times New Roman"/>
          <w:color w:val="0D0D0D"/>
          <w:sz w:val="24"/>
          <w:szCs w:val="24"/>
          <w:lang w:val="en-GB"/>
        </w:rPr>
      </w:pPr>
      <w:r>
        <w:rPr>
          <w:rFonts w:ascii="Times New Roman" w:hAnsi="Times New Roman" w:cs="Times New Roman"/>
          <w:color w:val="0D0D0D"/>
          <w:sz w:val="24"/>
          <w:szCs w:val="24"/>
          <w:lang w:val="en-GB"/>
        </w:rPr>
        <w:t>Le frequenze genotipiche osservate sono: T/T 26/69 (37,7%), T/C 34/69 (49,3%), C/C 9/69 (13%). Le frequenze alleliche (T 62.3 % and C 37.7%) sono simili a quelle osservate nei campioni sani (Russ et al., 2001) e ai pazienti con DB (Benedetti et al., 2004b, Benedetti et al., 2005) e altre patologie psichiatriche, come la schizofrenia (Benedetti et al., 2010).</w:t>
      </w:r>
    </w:p>
    <w:p w:rsidR="009512BB" w:rsidRDefault="009512BB" w:rsidP="001E5BE4">
      <w:pPr>
        <w:pStyle w:val="Tesi"/>
        <w:tabs>
          <w:tab w:val="left" w:pos="8503"/>
        </w:tabs>
        <w:spacing w:line="360" w:lineRule="auto"/>
        <w:ind w:right="1091"/>
        <w:jc w:val="both"/>
        <w:rPr>
          <w:rFonts w:ascii="Times New Roman" w:hAnsi="Times New Roman" w:cs="Times New Roman"/>
          <w:b/>
          <w:bCs/>
          <w:color w:val="0D0D0D"/>
          <w:sz w:val="24"/>
          <w:szCs w:val="24"/>
          <w:lang w:val="en-GB"/>
        </w:rPr>
      </w:pPr>
    </w:p>
    <w:p w:rsidR="00A0541C" w:rsidRDefault="00B460A6" w:rsidP="001E5BE4">
      <w:pPr>
        <w:pStyle w:val="Tesi"/>
        <w:tabs>
          <w:tab w:val="left" w:pos="8503"/>
        </w:tabs>
        <w:spacing w:line="360" w:lineRule="auto"/>
        <w:ind w:right="1091"/>
        <w:jc w:val="both"/>
        <w:rPr>
          <w:rFonts w:ascii="Times New Roman" w:hAnsi="Times New Roman" w:cs="Times New Roman"/>
          <w:b/>
          <w:bCs/>
          <w:color w:val="0D0D0D"/>
          <w:sz w:val="24"/>
          <w:szCs w:val="24"/>
          <w:lang w:val="en-GB"/>
        </w:rPr>
      </w:pPr>
      <w:r>
        <w:rPr>
          <w:rFonts w:ascii="Times New Roman" w:hAnsi="Times New Roman" w:cs="Times New Roman"/>
          <w:b/>
          <w:bCs/>
          <w:color w:val="0D0D0D"/>
          <w:sz w:val="24"/>
          <w:szCs w:val="24"/>
          <w:lang w:val="en-GB"/>
        </w:rPr>
        <w:t>4.4.1 Effetto del litio</w:t>
      </w:r>
    </w:p>
    <w:p w:rsidR="00A0541C" w:rsidRDefault="00A70185" w:rsidP="001E5BE4">
      <w:pPr>
        <w:pStyle w:val="Tesi"/>
        <w:tabs>
          <w:tab w:val="left" w:pos="8503"/>
        </w:tabs>
        <w:spacing w:after="0" w:line="360" w:lineRule="auto"/>
        <w:ind w:right="1089"/>
        <w:jc w:val="both"/>
        <w:rPr>
          <w:rFonts w:ascii="Times New Roman" w:hAnsi="Times New Roman" w:cs="Times New Roman"/>
          <w:color w:val="0D0D0D"/>
          <w:sz w:val="24"/>
          <w:szCs w:val="24"/>
          <w:lang w:val="en-GB"/>
        </w:rPr>
      </w:pPr>
      <w:r>
        <w:rPr>
          <w:rFonts w:ascii="Times New Roman" w:hAnsi="Times New Roman" w:cs="Times New Roman"/>
          <w:color w:val="0D0D0D"/>
          <w:sz w:val="24"/>
          <w:szCs w:val="24"/>
          <w:lang w:val="en-GB"/>
        </w:rPr>
        <w:t>I</w:t>
      </w:r>
      <w:r w:rsidR="00B460A6">
        <w:rPr>
          <w:rFonts w:ascii="Times New Roman" w:hAnsi="Times New Roman" w:cs="Times New Roman"/>
          <w:color w:val="0D0D0D"/>
          <w:sz w:val="24"/>
          <w:szCs w:val="24"/>
          <w:lang w:val="en-GB"/>
        </w:rPr>
        <w:t>l nostro primo modello era volto a confrontare il valori di FA, MD, AD e RD tra pazienti bipolari trattati con litio e pazienti non trattai con litio negli ultimi sei mesi, prendendo in cosinderazione età, sesso, onset e il polimorfismo di GSK-3 come covariate.</w:t>
      </w:r>
    </w:p>
    <w:p w:rsidR="00A0541C" w:rsidRDefault="00B460A6" w:rsidP="001E5BE4">
      <w:pPr>
        <w:pStyle w:val="Tesi"/>
        <w:tabs>
          <w:tab w:val="left" w:pos="8503"/>
        </w:tabs>
        <w:spacing w:after="0" w:line="360" w:lineRule="auto"/>
        <w:ind w:right="1089"/>
        <w:jc w:val="both"/>
        <w:rPr>
          <w:rFonts w:ascii="Times New Roman" w:hAnsi="Times New Roman" w:cs="Times New Roman"/>
          <w:color w:val="0D0D0D"/>
          <w:sz w:val="24"/>
          <w:szCs w:val="24"/>
          <w:lang w:val="en-GB"/>
        </w:rPr>
      </w:pPr>
      <w:r>
        <w:rPr>
          <w:rFonts w:ascii="Times New Roman" w:hAnsi="Times New Roman" w:cs="Times New Roman"/>
          <w:color w:val="0D0D0D"/>
          <w:sz w:val="24"/>
          <w:szCs w:val="24"/>
          <w:lang w:val="en-GB"/>
        </w:rPr>
        <w:t xml:space="preserve">Abbiamo osservato vaste riduzioni di FA, aumenti di RD ed MD nei pazienti trattati confrontati agli altri; mentre AD era aumentata nei pazienti non trattati. </w:t>
      </w:r>
    </w:p>
    <w:p w:rsidR="00A0541C" w:rsidRDefault="00A70185" w:rsidP="001E5BE4">
      <w:pPr>
        <w:pStyle w:val="Tesi"/>
        <w:tabs>
          <w:tab w:val="left" w:pos="8503"/>
        </w:tabs>
        <w:spacing w:after="0" w:line="360" w:lineRule="auto"/>
        <w:ind w:right="1089"/>
        <w:jc w:val="both"/>
        <w:rPr>
          <w:rFonts w:ascii="Times New Roman" w:hAnsi="Times New Roman" w:cs="Times New Roman"/>
          <w:color w:val="0D0D0D"/>
          <w:sz w:val="24"/>
          <w:szCs w:val="24"/>
          <w:lang w:val="en-GB"/>
        </w:rPr>
      </w:pPr>
      <w:r>
        <w:rPr>
          <w:rFonts w:ascii="Times New Roman" w:hAnsi="Times New Roman" w:cs="Times New Roman"/>
          <w:color w:val="0D0D0D"/>
          <w:sz w:val="24"/>
          <w:szCs w:val="24"/>
          <w:lang w:val="en-GB"/>
        </w:rPr>
        <w:t>Per localizzare i</w:t>
      </w:r>
      <w:r w:rsidR="00B460A6">
        <w:rPr>
          <w:rFonts w:ascii="Times New Roman" w:hAnsi="Times New Roman" w:cs="Times New Roman"/>
          <w:color w:val="0D0D0D"/>
          <w:sz w:val="24"/>
          <w:szCs w:val="24"/>
          <w:lang w:val="en-GB"/>
        </w:rPr>
        <w:t xml:space="preserve"> clusters significativi trovati, ci siamo basati su due atlanti della sostanza bianca: </w:t>
      </w:r>
      <w:r w:rsidR="00B460A6">
        <w:rPr>
          <w:rFonts w:ascii="Times New Roman" w:hAnsi="Times New Roman" w:cs="Times New Roman"/>
          <w:i/>
          <w:iCs/>
          <w:color w:val="0D0D0D"/>
          <w:sz w:val="24"/>
          <w:szCs w:val="24"/>
          <w:lang w:val="en-GB"/>
        </w:rPr>
        <w:t>JHU ICBM-DTI-81 White-Matter Labels</w:t>
      </w:r>
      <w:r w:rsidR="00B460A6">
        <w:rPr>
          <w:rFonts w:ascii="Times New Roman" w:hAnsi="Times New Roman" w:cs="Times New Roman"/>
          <w:color w:val="0D0D0D"/>
          <w:sz w:val="24"/>
          <w:szCs w:val="24"/>
          <w:lang w:val="en-GB"/>
        </w:rPr>
        <w:t xml:space="preserve"> and </w:t>
      </w:r>
      <w:r w:rsidR="00B460A6">
        <w:rPr>
          <w:rFonts w:ascii="Times New Roman" w:hAnsi="Times New Roman" w:cs="Times New Roman"/>
          <w:i/>
          <w:iCs/>
          <w:color w:val="0D0D0D"/>
          <w:sz w:val="24"/>
          <w:szCs w:val="24"/>
          <w:lang w:val="en-GB"/>
        </w:rPr>
        <w:t>JHU White-Matter Tractography Atlas</w:t>
      </w:r>
      <w:r w:rsidR="00B460A6">
        <w:rPr>
          <w:rFonts w:ascii="Times New Roman" w:hAnsi="Times New Roman" w:cs="Times New Roman"/>
          <w:color w:val="0D0D0D"/>
          <w:sz w:val="24"/>
          <w:szCs w:val="24"/>
          <w:lang w:val="en-GB"/>
        </w:rPr>
        <w:t xml:space="preserve">,  entrambi forniti da Susumu Mori, Laboratory of Brain Anatomical MRI, Johns Hopkins University (Mori, 2005). Nel  </w:t>
      </w:r>
      <w:r w:rsidR="00B460A6">
        <w:rPr>
          <w:rFonts w:ascii="Times New Roman" w:hAnsi="Times New Roman" w:cs="Times New Roman"/>
          <w:b/>
          <w:bCs/>
          <w:color w:val="0D0D0D"/>
          <w:sz w:val="24"/>
          <w:szCs w:val="24"/>
          <w:lang w:val="en-GB"/>
        </w:rPr>
        <w:t xml:space="preserve">ICBM-DTI-81 white-matter labels atlas, </w:t>
      </w:r>
      <w:r w:rsidR="00B460A6">
        <w:rPr>
          <w:rFonts w:ascii="Times New Roman" w:hAnsi="Times New Roman" w:cs="Times New Roman"/>
          <w:color w:val="0D0D0D"/>
          <w:sz w:val="24"/>
          <w:szCs w:val="24"/>
          <w:lang w:val="en-GB"/>
        </w:rPr>
        <w:t xml:space="preserve">50 tratti sono stati creati tramite segmentazione manuale in uno spazio standard di diffusione media da 81 soggetti; età media 39 anni, 42 maschi e 39 femmine. Mentre nel  </w:t>
      </w:r>
      <w:r w:rsidR="00B460A6">
        <w:rPr>
          <w:rFonts w:ascii="Times New Roman" w:hAnsi="Times New Roman" w:cs="Times New Roman"/>
          <w:b/>
          <w:bCs/>
          <w:color w:val="0D0D0D"/>
          <w:sz w:val="24"/>
          <w:szCs w:val="24"/>
          <w:lang w:val="en-GB"/>
        </w:rPr>
        <w:t xml:space="preserve">JHU white-matter tractography atlas, </w:t>
      </w:r>
      <w:r w:rsidR="00B460A6">
        <w:rPr>
          <w:rFonts w:ascii="Times New Roman" w:hAnsi="Times New Roman" w:cs="Times New Roman"/>
          <w:color w:val="0D0D0D"/>
          <w:sz w:val="24"/>
          <w:szCs w:val="24"/>
          <w:lang w:val="en-GB"/>
        </w:rPr>
        <w:t>20 strutture sono state definite in manie</w:t>
      </w:r>
      <w:r>
        <w:rPr>
          <w:rFonts w:ascii="Times New Roman" w:hAnsi="Times New Roman" w:cs="Times New Roman"/>
          <w:color w:val="0D0D0D"/>
          <w:sz w:val="24"/>
          <w:szCs w:val="24"/>
          <w:lang w:val="en-GB"/>
        </w:rPr>
        <w:t>ra probabilistica, mediando i</w:t>
      </w:r>
      <w:r w:rsidR="00B460A6">
        <w:rPr>
          <w:rFonts w:ascii="Times New Roman" w:hAnsi="Times New Roman" w:cs="Times New Roman"/>
          <w:color w:val="0D0D0D"/>
          <w:sz w:val="24"/>
          <w:szCs w:val="24"/>
          <w:lang w:val="en-GB"/>
        </w:rPr>
        <w:t xml:space="preserve"> risultati di modelli di trattografia probabilistica, creati da 28 soggetti.</w:t>
      </w:r>
    </w:p>
    <w:p w:rsidR="00A0541C" w:rsidRDefault="00B460A6" w:rsidP="001E5BE4">
      <w:pPr>
        <w:pStyle w:val="Tesi"/>
        <w:tabs>
          <w:tab w:val="left" w:pos="8503"/>
        </w:tabs>
        <w:spacing w:after="0" w:line="360" w:lineRule="auto"/>
        <w:ind w:right="1091"/>
        <w:jc w:val="both"/>
        <w:rPr>
          <w:rFonts w:ascii="Times New Roman" w:hAnsi="Times New Roman" w:cs="Times New Roman"/>
          <w:color w:val="0D0D0D"/>
          <w:sz w:val="24"/>
          <w:szCs w:val="24"/>
          <w:lang w:val="en-GB"/>
        </w:rPr>
      </w:pPr>
      <w:r>
        <w:rPr>
          <w:rFonts w:ascii="Times New Roman" w:hAnsi="Times New Roman" w:cs="Times New Roman"/>
          <w:color w:val="0D0D0D"/>
          <w:sz w:val="24"/>
          <w:szCs w:val="24"/>
          <w:lang w:val="en-GB"/>
        </w:rPr>
        <w:t>Quattro dei sei clusters di significatività delle analisi FA sono composti da piu</w:t>
      </w:r>
      <w:r w:rsidR="00DA69E8">
        <w:rPr>
          <w:rFonts w:ascii="Times New Roman" w:hAnsi="Times New Roman" w:cs="Times New Roman"/>
          <w:color w:val="0D0D0D"/>
          <w:sz w:val="24"/>
          <w:szCs w:val="24"/>
          <w:lang w:val="en-GB"/>
        </w:rPr>
        <w:t xml:space="preserve"> di 100 voxels, e mostrano dei </w:t>
      </w:r>
      <w:r>
        <w:rPr>
          <w:rFonts w:ascii="Times New Roman" w:hAnsi="Times New Roman" w:cs="Times New Roman"/>
          <w:color w:val="0D0D0D"/>
          <w:sz w:val="24"/>
          <w:szCs w:val="24"/>
          <w:lang w:val="en-GB"/>
        </w:rPr>
        <w:t>picchi che includono la radiazione talamica posteriore secondo l'atlante  ICBM-DTI-81 e il fascicolo fronto-occipitale posteriore secondo l'altro atlante, come anche il cingolo destro e la porzione temporale del fascicolo longitudinale superiore.</w:t>
      </w:r>
    </w:p>
    <w:p w:rsidR="00A0541C" w:rsidRDefault="00B460A6" w:rsidP="001E5BE4">
      <w:pPr>
        <w:pStyle w:val="Tesi"/>
        <w:tabs>
          <w:tab w:val="left" w:pos="8503"/>
        </w:tabs>
        <w:spacing w:after="0" w:line="360" w:lineRule="auto"/>
        <w:ind w:right="1089"/>
        <w:jc w:val="both"/>
        <w:rPr>
          <w:rFonts w:ascii="Times New Roman" w:hAnsi="Times New Roman" w:cs="Times New Roman"/>
          <w:color w:val="0D0D0D"/>
          <w:sz w:val="24"/>
          <w:szCs w:val="24"/>
          <w:lang w:val="en-GB"/>
        </w:rPr>
      </w:pPr>
      <w:r>
        <w:rPr>
          <w:rFonts w:ascii="Times New Roman" w:hAnsi="Times New Roman" w:cs="Times New Roman"/>
          <w:color w:val="0D0D0D"/>
          <w:sz w:val="24"/>
          <w:szCs w:val="24"/>
          <w:lang w:val="en-GB"/>
        </w:rPr>
        <w:t>Le analisi della AD hanno riportato soltanto un cluster di 97 voxels localizzato nel fascicolo fronto-occipitale inferiore sinistro.</w:t>
      </w:r>
    </w:p>
    <w:p w:rsidR="00A0541C" w:rsidRDefault="00B460A6" w:rsidP="001E5BE4">
      <w:pPr>
        <w:pStyle w:val="Tesi"/>
        <w:tabs>
          <w:tab w:val="left" w:pos="8503"/>
        </w:tabs>
        <w:spacing w:after="0" w:line="360" w:lineRule="auto"/>
        <w:ind w:right="1089"/>
        <w:jc w:val="both"/>
        <w:rPr>
          <w:rFonts w:ascii="Times New Roman" w:hAnsi="Times New Roman" w:cs="Times New Roman"/>
          <w:color w:val="0D0D0D"/>
          <w:sz w:val="24"/>
          <w:szCs w:val="24"/>
          <w:lang w:val="en-GB"/>
        </w:rPr>
      </w:pPr>
      <w:r>
        <w:rPr>
          <w:rFonts w:ascii="Times New Roman" w:hAnsi="Times New Roman" w:cs="Times New Roman"/>
          <w:color w:val="0D0D0D"/>
          <w:sz w:val="24"/>
          <w:szCs w:val="24"/>
          <w:lang w:val="en-GB"/>
        </w:rPr>
        <w:t>Le analisi di MD ed RD hanno individuato una grande varietà di cluster di più di 40000 e 50000 voxel rispettivamente.</w:t>
      </w:r>
    </w:p>
    <w:p w:rsidR="00A0541C" w:rsidRDefault="00B460A6" w:rsidP="001E5BE4">
      <w:pPr>
        <w:pStyle w:val="Tesi"/>
        <w:tabs>
          <w:tab w:val="left" w:pos="8503"/>
        </w:tabs>
        <w:spacing w:after="0" w:line="360" w:lineRule="auto"/>
        <w:ind w:right="1089"/>
        <w:jc w:val="both"/>
        <w:rPr>
          <w:rFonts w:ascii="Times New Roman" w:hAnsi="Times New Roman" w:cs="Courier New"/>
          <w:color w:val="0D0D0D"/>
          <w:sz w:val="24"/>
          <w:szCs w:val="24"/>
          <w:lang w:val="en-GB"/>
        </w:rPr>
      </w:pPr>
      <w:r>
        <w:rPr>
          <w:rFonts w:ascii="Times New Roman" w:hAnsi="Times New Roman" w:cs="Times New Roman"/>
          <w:color w:val="0D0D0D"/>
          <w:sz w:val="24"/>
          <w:szCs w:val="24"/>
          <w:lang w:val="en-GB"/>
        </w:rPr>
        <w:t xml:space="preserve">Le figure e le tabelle qui sotto mostrano le differenze trovate  in FA, MD, AD ed RD nei pazienti trattati con litio contro quelli non trattati. Le immagini che mostrano la significatività sono state sovrapposte alla  </w:t>
      </w:r>
      <w:r w:rsidRPr="00DA69E8">
        <w:rPr>
          <w:rFonts w:ascii="Courier" w:hAnsi="Courier" w:cs="Courier New"/>
          <w:color w:val="0D0D0D"/>
          <w:sz w:val="24"/>
          <w:szCs w:val="24"/>
          <w:lang w:val="en-GB"/>
        </w:rPr>
        <w:t>mean_FA</w:t>
      </w:r>
      <w:r>
        <w:rPr>
          <w:rFonts w:ascii="Times New Roman" w:hAnsi="Times New Roman" w:cs="Courier New"/>
          <w:color w:val="0D0D0D"/>
          <w:sz w:val="24"/>
          <w:szCs w:val="24"/>
          <w:lang w:val="en-GB"/>
        </w:rPr>
        <w:t xml:space="preserve"> dei nostri campioni. La barra colorata si riferisce ai p-values per l</w:t>
      </w:r>
      <w:r w:rsidR="00EB42CB">
        <w:rPr>
          <w:rFonts w:ascii="Times New Roman" w:hAnsi="Times New Roman" w:cs="Courier New"/>
          <w:color w:val="0D0D0D"/>
          <w:sz w:val="24"/>
          <w:szCs w:val="24"/>
          <w:lang w:val="en-GB"/>
        </w:rPr>
        <w:t>e differenze osservate, mentre i numeri sono le coordinate z. Tutti i</w:t>
      </w:r>
      <w:r>
        <w:rPr>
          <w:rFonts w:ascii="Times New Roman" w:hAnsi="Times New Roman" w:cs="Courier New"/>
          <w:color w:val="0D0D0D"/>
          <w:sz w:val="24"/>
          <w:szCs w:val="24"/>
          <w:lang w:val="en-GB"/>
        </w:rPr>
        <w:t xml:space="preserve"> dati riportati come significativi sono family-wise errors (FWE) corretti per p per confronti multipli. Nell</w:t>
      </w:r>
      <w:r w:rsidR="00EB42CB">
        <w:rPr>
          <w:rFonts w:ascii="Times New Roman" w:hAnsi="Times New Roman" w:cs="Courier New"/>
          <w:color w:val="0D0D0D"/>
          <w:sz w:val="24"/>
          <w:szCs w:val="24"/>
          <w:lang w:val="en-GB"/>
        </w:rPr>
        <w:t>e tabelle, sono riportati solo i</w:t>
      </w:r>
      <w:r>
        <w:rPr>
          <w:rFonts w:ascii="Times New Roman" w:hAnsi="Times New Roman" w:cs="Courier New"/>
          <w:color w:val="0D0D0D"/>
          <w:sz w:val="24"/>
          <w:szCs w:val="24"/>
          <w:lang w:val="en-GB"/>
        </w:rPr>
        <w:t xml:space="preserve"> clusters significativi che includono più di 100 vo</w:t>
      </w:r>
      <w:r w:rsidR="00EB42CB">
        <w:rPr>
          <w:rFonts w:ascii="Times New Roman" w:hAnsi="Times New Roman" w:cs="Courier New"/>
          <w:color w:val="0D0D0D"/>
          <w:sz w:val="24"/>
          <w:szCs w:val="24"/>
          <w:lang w:val="en-GB"/>
        </w:rPr>
        <w:t>xel. Abbiamo inoltre riportato i</w:t>
      </w:r>
      <w:r>
        <w:rPr>
          <w:rFonts w:ascii="Times New Roman" w:hAnsi="Times New Roman" w:cs="Courier New"/>
          <w:color w:val="0D0D0D"/>
          <w:sz w:val="24"/>
          <w:szCs w:val="24"/>
          <w:lang w:val="en-GB"/>
        </w:rPr>
        <w:t xml:space="preserve"> valori di significatività di ogni cluster e le regioni nelle quali sono stati localizzati.</w:t>
      </w: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0B442E" w:rsidRDefault="000B442E" w:rsidP="001E5BE4">
      <w:pPr>
        <w:pStyle w:val="Tesi"/>
        <w:tabs>
          <w:tab w:val="left" w:pos="8503"/>
        </w:tabs>
        <w:spacing w:line="360" w:lineRule="auto"/>
        <w:ind w:right="1091"/>
        <w:jc w:val="both"/>
        <w:rPr>
          <w:rFonts w:ascii="Times New Roman" w:hAnsi="Times New Roman"/>
          <w:sz w:val="24"/>
          <w:szCs w:val="24"/>
        </w:rPr>
      </w:pPr>
    </w:p>
    <w:p w:rsidR="000B442E" w:rsidRDefault="000B442E" w:rsidP="001E5BE4">
      <w:pPr>
        <w:pStyle w:val="Tesi"/>
        <w:tabs>
          <w:tab w:val="left" w:pos="8503"/>
        </w:tabs>
        <w:spacing w:line="360" w:lineRule="auto"/>
        <w:ind w:right="1091"/>
        <w:jc w:val="both"/>
        <w:rPr>
          <w:rFonts w:ascii="Times New Roman" w:hAnsi="Times New Roman"/>
          <w:sz w:val="24"/>
          <w:szCs w:val="24"/>
        </w:rPr>
      </w:pPr>
    </w:p>
    <w:p w:rsidR="000B442E" w:rsidRDefault="000B442E"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0B442E" w:rsidRDefault="000B442E" w:rsidP="001E5BE4">
      <w:pPr>
        <w:pStyle w:val="Tesi"/>
        <w:tabs>
          <w:tab w:val="left" w:pos="8503"/>
        </w:tabs>
        <w:spacing w:line="360" w:lineRule="auto"/>
        <w:ind w:right="1091"/>
        <w:jc w:val="both"/>
        <w:rPr>
          <w:rFonts w:ascii="Times New Roman" w:hAnsi="Times New Roman"/>
          <w:sz w:val="24"/>
          <w:szCs w:val="24"/>
        </w:rPr>
      </w:pPr>
    </w:p>
    <w:p w:rsidR="000B442E" w:rsidRDefault="000B442E" w:rsidP="001E5BE4">
      <w:pPr>
        <w:pStyle w:val="Tesi"/>
        <w:tabs>
          <w:tab w:val="left" w:pos="8503"/>
        </w:tabs>
        <w:spacing w:line="360" w:lineRule="auto"/>
        <w:ind w:right="1091"/>
        <w:jc w:val="both"/>
        <w:rPr>
          <w:rFonts w:ascii="Times New Roman" w:hAnsi="Times New Roman"/>
          <w:sz w:val="24"/>
          <w:szCs w:val="24"/>
        </w:rPr>
      </w:pPr>
    </w:p>
    <w:p w:rsidR="00271128" w:rsidRDefault="00271128" w:rsidP="001E5BE4">
      <w:pPr>
        <w:pStyle w:val="Tesi"/>
        <w:tabs>
          <w:tab w:val="left" w:pos="8503"/>
        </w:tabs>
        <w:spacing w:line="360" w:lineRule="auto"/>
        <w:ind w:right="1091"/>
        <w:jc w:val="both"/>
        <w:rPr>
          <w:rFonts w:ascii="Times New Roman" w:hAnsi="Times New Roman"/>
          <w:sz w:val="24"/>
          <w:szCs w:val="24"/>
        </w:rPr>
      </w:pPr>
    </w:p>
    <w:p w:rsidR="00026B84" w:rsidRDefault="00026B84" w:rsidP="001E5BE4">
      <w:pPr>
        <w:pStyle w:val="Tesi"/>
        <w:tabs>
          <w:tab w:val="left" w:pos="8503"/>
        </w:tabs>
        <w:spacing w:line="360" w:lineRule="auto"/>
        <w:ind w:right="1091"/>
        <w:jc w:val="both"/>
        <w:rPr>
          <w:rFonts w:ascii="Times New Roman" w:hAnsi="Times New Roman"/>
          <w:sz w:val="24"/>
          <w:szCs w:val="24"/>
        </w:rPr>
      </w:pPr>
    </w:p>
    <w:p w:rsidR="00271128" w:rsidRDefault="00271128" w:rsidP="001E5BE4">
      <w:pPr>
        <w:pStyle w:val="Tesi"/>
        <w:tabs>
          <w:tab w:val="left" w:pos="8503"/>
        </w:tabs>
        <w:spacing w:line="360" w:lineRule="auto"/>
        <w:ind w:right="1091"/>
        <w:jc w:val="both"/>
        <w:rPr>
          <w:rFonts w:ascii="Times New Roman" w:hAnsi="Times New Roman"/>
          <w:sz w:val="24"/>
          <w:szCs w:val="24"/>
        </w:rPr>
      </w:pPr>
    </w:p>
    <w:tbl>
      <w:tblPr>
        <w:tblW w:w="0" w:type="auto"/>
        <w:tblInd w:w="6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55" w:type="dxa"/>
          <w:left w:w="55" w:type="dxa"/>
          <w:bottom w:w="55" w:type="dxa"/>
          <w:right w:w="55" w:type="dxa"/>
        </w:tblCellMar>
        <w:tblLook w:val="0000"/>
      </w:tblPr>
      <w:tblGrid>
        <w:gridCol w:w="1229"/>
        <w:gridCol w:w="1113"/>
        <w:gridCol w:w="1129"/>
        <w:gridCol w:w="1137"/>
        <w:gridCol w:w="1392"/>
        <w:gridCol w:w="1572"/>
        <w:gridCol w:w="1206"/>
      </w:tblGrid>
      <w:tr w:rsidR="000B442E" w:rsidRPr="008409BD" w:rsidTr="000B442E">
        <w:trPr>
          <w:trHeight w:val="614"/>
        </w:trPr>
        <w:tc>
          <w:tcPr>
            <w:tcW w:w="1229"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271128" w:rsidRDefault="00271128" w:rsidP="001E5BE4">
            <w:pPr>
              <w:pStyle w:val="Contenutotabella"/>
              <w:spacing w:line="360" w:lineRule="auto"/>
              <w:jc w:val="center"/>
              <w:rPr>
                <w:rFonts w:ascii="Calibri" w:hAnsi="Calibri"/>
                <w:b/>
                <w:bCs/>
                <w:color w:val="0D0D0D"/>
                <w:sz w:val="20"/>
                <w:szCs w:val="20"/>
              </w:rPr>
            </w:pPr>
            <w:r>
              <w:rPr>
                <w:rFonts w:ascii="Calibri" w:hAnsi="Calibri"/>
                <w:b/>
                <w:bCs/>
                <w:color w:val="0D0D0D"/>
                <w:sz w:val="20"/>
                <w:szCs w:val="20"/>
              </w:rPr>
              <w:t xml:space="preserve">Misure </w:t>
            </w:r>
          </w:p>
          <w:p w:rsidR="000B442E" w:rsidRPr="008409BD" w:rsidRDefault="00271128" w:rsidP="001E5BE4">
            <w:pPr>
              <w:pStyle w:val="Contenutotabella"/>
              <w:spacing w:line="360" w:lineRule="auto"/>
              <w:jc w:val="center"/>
              <w:rPr>
                <w:rFonts w:ascii="Calibri" w:hAnsi="Calibri"/>
                <w:b/>
                <w:bCs/>
                <w:color w:val="0D0D0D"/>
                <w:sz w:val="20"/>
                <w:szCs w:val="20"/>
              </w:rPr>
            </w:pPr>
            <w:r>
              <w:rPr>
                <w:rFonts w:ascii="Calibri" w:hAnsi="Calibri"/>
                <w:b/>
                <w:bCs/>
                <w:color w:val="0D0D0D"/>
                <w:sz w:val="20"/>
                <w:szCs w:val="20"/>
              </w:rPr>
              <w:t>DTI</w:t>
            </w:r>
          </w:p>
        </w:tc>
        <w:tc>
          <w:tcPr>
            <w:tcW w:w="1113"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0B442E" w:rsidRPr="008409BD" w:rsidRDefault="00271128" w:rsidP="001E5BE4">
            <w:pPr>
              <w:pStyle w:val="Contenutotabella"/>
              <w:snapToGrid w:val="0"/>
              <w:spacing w:line="360" w:lineRule="auto"/>
              <w:jc w:val="center"/>
              <w:rPr>
                <w:rFonts w:ascii="Calibri" w:hAnsi="Calibri"/>
                <w:b/>
                <w:bCs/>
                <w:color w:val="0D0D0D"/>
                <w:sz w:val="20"/>
                <w:szCs w:val="20"/>
              </w:rPr>
            </w:pPr>
            <w:r>
              <w:rPr>
                <w:rFonts w:ascii="Calibri" w:hAnsi="Calibri"/>
                <w:b/>
                <w:bCs/>
                <w:color w:val="0D0D0D"/>
                <w:sz w:val="20"/>
                <w:szCs w:val="20"/>
              </w:rPr>
              <w:t>Trattati con litio</w:t>
            </w:r>
          </w:p>
        </w:tc>
        <w:tc>
          <w:tcPr>
            <w:tcW w:w="1129"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0B442E" w:rsidRPr="008409BD" w:rsidRDefault="00271128" w:rsidP="001E5BE4">
            <w:pPr>
              <w:pStyle w:val="Contenutotabella"/>
              <w:snapToGrid w:val="0"/>
              <w:spacing w:line="360" w:lineRule="auto"/>
              <w:jc w:val="center"/>
              <w:rPr>
                <w:rFonts w:ascii="Calibri" w:hAnsi="Calibri"/>
                <w:b/>
                <w:bCs/>
                <w:color w:val="0D0D0D"/>
                <w:sz w:val="20"/>
                <w:szCs w:val="20"/>
              </w:rPr>
            </w:pPr>
            <w:r>
              <w:rPr>
                <w:rFonts w:ascii="Calibri" w:hAnsi="Calibri"/>
                <w:b/>
                <w:bCs/>
                <w:color w:val="0D0D0D"/>
                <w:sz w:val="20"/>
                <w:szCs w:val="20"/>
              </w:rPr>
              <w:t>Non trattati con litio</w:t>
            </w:r>
          </w:p>
        </w:tc>
        <w:tc>
          <w:tcPr>
            <w:tcW w:w="1137"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0B442E" w:rsidRPr="008409BD" w:rsidRDefault="00271128" w:rsidP="001E5BE4">
            <w:pPr>
              <w:pStyle w:val="Contenutotabella"/>
              <w:snapToGrid w:val="0"/>
              <w:spacing w:line="360" w:lineRule="auto"/>
              <w:jc w:val="center"/>
              <w:rPr>
                <w:rFonts w:ascii="Calibri" w:hAnsi="Calibri"/>
                <w:b/>
                <w:bCs/>
                <w:color w:val="0D0D0D"/>
                <w:sz w:val="20"/>
                <w:szCs w:val="20"/>
              </w:rPr>
            </w:pPr>
            <w:r>
              <w:rPr>
                <w:rFonts w:ascii="Calibri" w:hAnsi="Calibri"/>
                <w:b/>
                <w:bCs/>
                <w:color w:val="0D0D0D"/>
                <w:sz w:val="20"/>
                <w:szCs w:val="20"/>
              </w:rPr>
              <w:t>Numero di voxels</w:t>
            </w:r>
          </w:p>
        </w:tc>
        <w:tc>
          <w:tcPr>
            <w:tcW w:w="1392"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0B442E" w:rsidRPr="008409BD" w:rsidRDefault="00271128" w:rsidP="001E5BE4">
            <w:pPr>
              <w:pStyle w:val="Contenutotabella"/>
              <w:snapToGrid w:val="0"/>
              <w:spacing w:line="360" w:lineRule="auto"/>
              <w:jc w:val="center"/>
              <w:rPr>
                <w:rFonts w:ascii="Calibri" w:hAnsi="Calibri"/>
                <w:b/>
                <w:bCs/>
                <w:color w:val="0D0D0D"/>
                <w:sz w:val="20"/>
                <w:szCs w:val="20"/>
              </w:rPr>
            </w:pPr>
            <w:r>
              <w:rPr>
                <w:rFonts w:ascii="Calibri" w:hAnsi="Calibri"/>
                <w:b/>
                <w:bCs/>
                <w:color w:val="0D0D0D"/>
                <w:sz w:val="20"/>
                <w:szCs w:val="20"/>
              </w:rPr>
              <w:t>Picco di segnale</w:t>
            </w:r>
          </w:p>
          <w:p w:rsidR="000B442E" w:rsidRPr="008409BD" w:rsidRDefault="000B442E" w:rsidP="001E5BE4">
            <w:pPr>
              <w:pStyle w:val="Contenutotabella"/>
              <w:spacing w:line="360" w:lineRule="auto"/>
              <w:jc w:val="center"/>
              <w:rPr>
                <w:rFonts w:ascii="Calibri" w:hAnsi="Calibri"/>
                <w:b/>
                <w:bCs/>
                <w:color w:val="0D0D0D"/>
                <w:sz w:val="20"/>
                <w:szCs w:val="20"/>
              </w:rPr>
            </w:pPr>
            <w:r w:rsidRPr="008409BD">
              <w:rPr>
                <w:rFonts w:ascii="Calibri" w:hAnsi="Calibri"/>
                <w:b/>
                <w:bCs/>
                <w:color w:val="0D0D0D"/>
                <w:sz w:val="20"/>
                <w:szCs w:val="20"/>
              </w:rPr>
              <w:t>(x, y, z)</w:t>
            </w:r>
          </w:p>
        </w:tc>
        <w:tc>
          <w:tcPr>
            <w:tcW w:w="1572"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0B442E" w:rsidRPr="008409BD" w:rsidRDefault="00271128" w:rsidP="001E5BE4">
            <w:pPr>
              <w:pStyle w:val="Contenutotabella"/>
              <w:snapToGrid w:val="0"/>
              <w:spacing w:line="360" w:lineRule="auto"/>
              <w:jc w:val="center"/>
              <w:rPr>
                <w:rFonts w:ascii="Calibri" w:hAnsi="Calibri"/>
                <w:b/>
                <w:bCs/>
                <w:color w:val="0D0D0D"/>
                <w:sz w:val="20"/>
                <w:szCs w:val="20"/>
              </w:rPr>
            </w:pPr>
            <w:r>
              <w:rPr>
                <w:rFonts w:ascii="Calibri" w:hAnsi="Calibri"/>
                <w:b/>
                <w:bCs/>
                <w:color w:val="0D0D0D"/>
                <w:sz w:val="20"/>
                <w:szCs w:val="20"/>
              </w:rPr>
              <w:t>Tratti di bianca al picco</w:t>
            </w:r>
          </w:p>
        </w:tc>
        <w:tc>
          <w:tcPr>
            <w:tcW w:w="1206"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0B442E" w:rsidRPr="008409BD" w:rsidRDefault="00271128" w:rsidP="001E5BE4">
            <w:pPr>
              <w:pStyle w:val="Contenutotabella"/>
              <w:snapToGrid w:val="0"/>
              <w:spacing w:line="360" w:lineRule="auto"/>
              <w:jc w:val="center"/>
              <w:rPr>
                <w:rFonts w:ascii="Calibri" w:hAnsi="Calibri"/>
                <w:b/>
                <w:bCs/>
                <w:color w:val="0D0D0D"/>
                <w:sz w:val="20"/>
                <w:szCs w:val="20"/>
              </w:rPr>
            </w:pPr>
            <w:r>
              <w:rPr>
                <w:rFonts w:ascii="Calibri" w:hAnsi="Calibri"/>
                <w:b/>
                <w:bCs/>
                <w:color w:val="0D0D0D"/>
                <w:sz w:val="20"/>
                <w:szCs w:val="20"/>
              </w:rPr>
              <w:t>Direzione Effetto</w:t>
            </w:r>
          </w:p>
        </w:tc>
      </w:tr>
      <w:tr w:rsidR="000B442E" w:rsidRPr="008409BD" w:rsidTr="000B442E">
        <w:trPr>
          <w:trHeight w:val="1221"/>
        </w:trPr>
        <w:tc>
          <w:tcPr>
            <w:tcW w:w="1229" w:type="dxa"/>
            <w:vMerge w:val="restart"/>
            <w:tcBorders>
              <w:top w:val="single" w:sz="18" w:space="0" w:color="000000"/>
            </w:tcBorders>
            <w:shd w:val="clear" w:color="auto" w:fill="auto"/>
            <w:vAlign w:val="center"/>
          </w:tcPr>
          <w:p w:rsidR="000B442E" w:rsidRPr="008409BD" w:rsidRDefault="00271128" w:rsidP="001E5BE4">
            <w:pPr>
              <w:pStyle w:val="Contenutotabella"/>
              <w:snapToGrid w:val="0"/>
              <w:spacing w:line="360" w:lineRule="auto"/>
              <w:jc w:val="center"/>
              <w:rPr>
                <w:rFonts w:ascii="Calibri" w:hAnsi="Calibri"/>
                <w:b/>
                <w:color w:val="0D0D0D"/>
                <w:sz w:val="20"/>
                <w:szCs w:val="20"/>
              </w:rPr>
            </w:pPr>
            <w:r>
              <w:rPr>
                <w:rFonts w:ascii="Calibri" w:hAnsi="Calibri"/>
                <w:b/>
                <w:color w:val="0D0D0D"/>
                <w:sz w:val="20"/>
                <w:szCs w:val="20"/>
              </w:rPr>
              <w:t>Anisotropia Frazionaria</w:t>
            </w:r>
          </w:p>
        </w:tc>
        <w:tc>
          <w:tcPr>
            <w:tcW w:w="1113" w:type="dxa"/>
            <w:vMerge w:val="restart"/>
            <w:tcBorders>
              <w:top w:val="single" w:sz="18" w:space="0" w:color="000000"/>
            </w:tcBorders>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4685.93±1231.23</w:t>
            </w:r>
          </w:p>
        </w:tc>
        <w:tc>
          <w:tcPr>
            <w:tcW w:w="1129" w:type="dxa"/>
            <w:vMerge w:val="restart"/>
            <w:tcBorders>
              <w:top w:val="single" w:sz="18" w:space="0" w:color="000000"/>
            </w:tcBorders>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4851.61±1219.21</w:t>
            </w:r>
          </w:p>
        </w:tc>
        <w:tc>
          <w:tcPr>
            <w:tcW w:w="1137" w:type="dxa"/>
            <w:tcBorders>
              <w:top w:val="single" w:sz="18" w:space="0" w:color="000000"/>
            </w:tcBorders>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38317</w:t>
            </w:r>
          </w:p>
        </w:tc>
        <w:tc>
          <w:tcPr>
            <w:tcW w:w="1392" w:type="dxa"/>
            <w:tcBorders>
              <w:top w:val="single" w:sz="18" w:space="0" w:color="000000"/>
            </w:tcBorders>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37  -49  6</w:t>
            </w:r>
          </w:p>
        </w:tc>
        <w:tc>
          <w:tcPr>
            <w:tcW w:w="1572" w:type="dxa"/>
            <w:tcBorders>
              <w:top w:val="single" w:sz="18" w:space="0" w:color="000000"/>
            </w:tcBorders>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Posterior thalamic radiation R</w:t>
            </w:r>
          </w:p>
        </w:tc>
        <w:tc>
          <w:tcPr>
            <w:tcW w:w="1206" w:type="dxa"/>
            <w:vMerge w:val="restart"/>
            <w:tcBorders>
              <w:top w:val="single" w:sz="18" w:space="0" w:color="000000"/>
            </w:tcBorders>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T</w:t>
            </w:r>
            <w:r w:rsidR="00271128">
              <w:rPr>
                <w:rFonts w:ascii="Calibri" w:hAnsi="Calibri"/>
                <w:color w:val="0D0D0D"/>
                <w:sz w:val="20"/>
                <w:szCs w:val="20"/>
              </w:rPr>
              <w:t>rattati</w:t>
            </w:r>
            <w:r w:rsidRPr="008409BD">
              <w:rPr>
                <w:rFonts w:ascii="Calibri" w:hAnsi="Calibri"/>
                <w:color w:val="0D0D0D"/>
                <w:sz w:val="20"/>
                <w:szCs w:val="20"/>
              </w:rPr>
              <w:t xml:space="preserve"> &lt; </w:t>
            </w:r>
            <w:r w:rsidR="00850E8B">
              <w:rPr>
                <w:rFonts w:ascii="Calibri" w:hAnsi="Calibri"/>
                <w:color w:val="0D0D0D"/>
                <w:sz w:val="20"/>
                <w:szCs w:val="20"/>
              </w:rPr>
              <w:t xml:space="preserve">non </w:t>
            </w:r>
            <w:r w:rsidR="00271128">
              <w:rPr>
                <w:rFonts w:ascii="Calibri" w:hAnsi="Calibri"/>
                <w:color w:val="0D0D0D"/>
                <w:sz w:val="20"/>
                <w:szCs w:val="20"/>
              </w:rPr>
              <w:t>trattati</w:t>
            </w:r>
          </w:p>
        </w:tc>
      </w:tr>
      <w:tr w:rsidR="000B442E" w:rsidRPr="008409BD" w:rsidTr="007E5013">
        <w:trPr>
          <w:trHeight w:val="712"/>
        </w:trPr>
        <w:tc>
          <w:tcPr>
            <w:tcW w:w="1229" w:type="dxa"/>
            <w:vMerge/>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p>
        </w:tc>
        <w:tc>
          <w:tcPr>
            <w:tcW w:w="1113" w:type="dxa"/>
            <w:vMerge/>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p>
        </w:tc>
        <w:tc>
          <w:tcPr>
            <w:tcW w:w="1129" w:type="dxa"/>
            <w:vMerge/>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p>
        </w:tc>
        <w:tc>
          <w:tcPr>
            <w:tcW w:w="1137" w:type="dxa"/>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336</w:t>
            </w:r>
          </w:p>
        </w:tc>
        <w:tc>
          <w:tcPr>
            <w:tcW w:w="1392" w:type="dxa"/>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19  -44  3</w:t>
            </w:r>
          </w:p>
        </w:tc>
        <w:tc>
          <w:tcPr>
            <w:tcW w:w="1572" w:type="dxa"/>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Cingulum R</w:t>
            </w:r>
          </w:p>
        </w:tc>
        <w:tc>
          <w:tcPr>
            <w:tcW w:w="1206" w:type="dxa"/>
            <w:vMerge/>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p>
        </w:tc>
      </w:tr>
      <w:tr w:rsidR="000B442E" w:rsidRPr="008409BD" w:rsidTr="007E5013">
        <w:trPr>
          <w:trHeight w:val="867"/>
        </w:trPr>
        <w:tc>
          <w:tcPr>
            <w:tcW w:w="1229" w:type="dxa"/>
            <w:vMerge/>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p>
        </w:tc>
        <w:tc>
          <w:tcPr>
            <w:tcW w:w="1113" w:type="dxa"/>
            <w:vMerge/>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p>
        </w:tc>
        <w:tc>
          <w:tcPr>
            <w:tcW w:w="1129" w:type="dxa"/>
            <w:vMerge/>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p>
        </w:tc>
        <w:tc>
          <w:tcPr>
            <w:tcW w:w="1137" w:type="dxa"/>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237</w:t>
            </w:r>
          </w:p>
        </w:tc>
        <w:tc>
          <w:tcPr>
            <w:tcW w:w="1392" w:type="dxa"/>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-45  -53  1</w:t>
            </w:r>
          </w:p>
        </w:tc>
        <w:tc>
          <w:tcPr>
            <w:tcW w:w="1572" w:type="dxa"/>
            <w:vMerge w:val="restart"/>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Superior longitudinal fasciculus (temporal part) L</w:t>
            </w:r>
          </w:p>
        </w:tc>
        <w:tc>
          <w:tcPr>
            <w:tcW w:w="1206" w:type="dxa"/>
            <w:vMerge/>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p>
        </w:tc>
      </w:tr>
      <w:tr w:rsidR="000B442E" w:rsidRPr="008409BD" w:rsidTr="007E5013">
        <w:trPr>
          <w:trHeight w:val="752"/>
        </w:trPr>
        <w:tc>
          <w:tcPr>
            <w:tcW w:w="1229" w:type="dxa"/>
            <w:vMerge/>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p>
        </w:tc>
        <w:tc>
          <w:tcPr>
            <w:tcW w:w="1113" w:type="dxa"/>
            <w:vMerge/>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p>
        </w:tc>
        <w:tc>
          <w:tcPr>
            <w:tcW w:w="1129" w:type="dxa"/>
            <w:vMerge/>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p>
        </w:tc>
        <w:tc>
          <w:tcPr>
            <w:tcW w:w="1137" w:type="dxa"/>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157</w:t>
            </w:r>
          </w:p>
        </w:tc>
        <w:tc>
          <w:tcPr>
            <w:tcW w:w="1392" w:type="dxa"/>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-49  -25  -20</w:t>
            </w:r>
          </w:p>
        </w:tc>
        <w:tc>
          <w:tcPr>
            <w:tcW w:w="1572" w:type="dxa"/>
            <w:vMerge/>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lang w:val="en-GB"/>
              </w:rPr>
            </w:pPr>
          </w:p>
        </w:tc>
        <w:tc>
          <w:tcPr>
            <w:tcW w:w="1206" w:type="dxa"/>
            <w:vMerge/>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p>
        </w:tc>
      </w:tr>
      <w:tr w:rsidR="000B442E" w:rsidRPr="008409BD" w:rsidTr="007E5013">
        <w:trPr>
          <w:trHeight w:val="1006"/>
        </w:trPr>
        <w:tc>
          <w:tcPr>
            <w:tcW w:w="1229" w:type="dxa"/>
            <w:shd w:val="clear" w:color="auto" w:fill="auto"/>
            <w:vAlign w:val="center"/>
          </w:tcPr>
          <w:p w:rsidR="000B442E" w:rsidRPr="008409BD" w:rsidRDefault="00271128" w:rsidP="001E5BE4">
            <w:pPr>
              <w:pStyle w:val="Contenutotabella"/>
              <w:snapToGrid w:val="0"/>
              <w:spacing w:line="360" w:lineRule="auto"/>
              <w:jc w:val="center"/>
              <w:rPr>
                <w:rFonts w:ascii="Calibri" w:hAnsi="Calibri"/>
                <w:b/>
                <w:color w:val="0D0D0D"/>
                <w:sz w:val="20"/>
                <w:szCs w:val="20"/>
              </w:rPr>
            </w:pPr>
            <w:r>
              <w:rPr>
                <w:rFonts w:ascii="Calibri" w:hAnsi="Calibri"/>
                <w:b/>
                <w:color w:val="0D0D0D"/>
                <w:sz w:val="20"/>
                <w:szCs w:val="20"/>
              </w:rPr>
              <w:t>Diffusività assiale</w:t>
            </w:r>
          </w:p>
        </w:tc>
        <w:tc>
          <w:tcPr>
            <w:tcW w:w="1113" w:type="dxa"/>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15.19±</w:t>
            </w:r>
          </w:p>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0.35</w:t>
            </w:r>
          </w:p>
        </w:tc>
        <w:tc>
          <w:tcPr>
            <w:tcW w:w="1129" w:type="dxa"/>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14.48±</w:t>
            </w:r>
          </w:p>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0.32</w:t>
            </w:r>
          </w:p>
        </w:tc>
        <w:tc>
          <w:tcPr>
            <w:tcW w:w="1137" w:type="dxa"/>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97</w:t>
            </w:r>
          </w:p>
        </w:tc>
        <w:tc>
          <w:tcPr>
            <w:tcW w:w="1392" w:type="dxa"/>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-39  -45  -5</w:t>
            </w:r>
          </w:p>
        </w:tc>
        <w:tc>
          <w:tcPr>
            <w:tcW w:w="1572" w:type="dxa"/>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Inferior fronto-occipital fasciculus L</w:t>
            </w:r>
          </w:p>
        </w:tc>
        <w:tc>
          <w:tcPr>
            <w:tcW w:w="1206" w:type="dxa"/>
            <w:shd w:val="clear" w:color="auto" w:fill="auto"/>
            <w:vAlign w:val="center"/>
          </w:tcPr>
          <w:p w:rsidR="000B442E" w:rsidRPr="008409BD" w:rsidRDefault="00850E8B" w:rsidP="00850E8B">
            <w:pPr>
              <w:pStyle w:val="Contenutotabella"/>
              <w:snapToGrid w:val="0"/>
              <w:spacing w:line="360" w:lineRule="auto"/>
              <w:jc w:val="center"/>
              <w:rPr>
                <w:rFonts w:ascii="Calibri" w:hAnsi="Calibri"/>
                <w:color w:val="0D0D0D"/>
                <w:sz w:val="20"/>
                <w:szCs w:val="20"/>
              </w:rPr>
            </w:pPr>
            <w:r>
              <w:rPr>
                <w:rFonts w:ascii="Calibri" w:hAnsi="Calibri"/>
                <w:color w:val="0D0D0D"/>
                <w:sz w:val="20"/>
                <w:szCs w:val="20"/>
              </w:rPr>
              <w:t>Trattati</w:t>
            </w:r>
            <w:r w:rsidR="000B442E" w:rsidRPr="008409BD">
              <w:rPr>
                <w:rFonts w:ascii="Calibri" w:hAnsi="Calibri"/>
                <w:color w:val="0D0D0D"/>
                <w:sz w:val="20"/>
                <w:szCs w:val="20"/>
              </w:rPr>
              <w:t xml:space="preserve"> &gt; No</w:t>
            </w:r>
            <w:r>
              <w:rPr>
                <w:rFonts w:ascii="Calibri" w:hAnsi="Calibri"/>
                <w:color w:val="0D0D0D"/>
                <w:sz w:val="20"/>
                <w:szCs w:val="20"/>
              </w:rPr>
              <w:t>n trattati</w:t>
            </w:r>
          </w:p>
        </w:tc>
      </w:tr>
      <w:tr w:rsidR="000B442E" w:rsidRPr="008409BD" w:rsidTr="000B442E">
        <w:trPr>
          <w:trHeight w:val="1043"/>
        </w:trPr>
        <w:tc>
          <w:tcPr>
            <w:tcW w:w="1229" w:type="dxa"/>
            <w:shd w:val="clear" w:color="auto" w:fill="auto"/>
            <w:vAlign w:val="center"/>
          </w:tcPr>
          <w:p w:rsidR="000B442E" w:rsidRPr="008409BD" w:rsidRDefault="00271128" w:rsidP="001E5BE4">
            <w:pPr>
              <w:pStyle w:val="Contenutotabella"/>
              <w:snapToGrid w:val="0"/>
              <w:spacing w:line="360" w:lineRule="auto"/>
              <w:jc w:val="center"/>
              <w:rPr>
                <w:rFonts w:ascii="Calibri" w:hAnsi="Calibri"/>
                <w:b/>
                <w:color w:val="0D0D0D"/>
                <w:sz w:val="20"/>
                <w:szCs w:val="20"/>
              </w:rPr>
            </w:pPr>
            <w:r>
              <w:rPr>
                <w:rFonts w:ascii="Calibri" w:hAnsi="Calibri"/>
                <w:b/>
                <w:color w:val="0D0D0D"/>
                <w:sz w:val="20"/>
                <w:szCs w:val="20"/>
              </w:rPr>
              <w:t>Diffusività radiale</w:t>
            </w:r>
          </w:p>
        </w:tc>
        <w:tc>
          <w:tcPr>
            <w:tcW w:w="1113" w:type="dxa"/>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5.68±</w:t>
            </w:r>
          </w:p>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0.83</w:t>
            </w:r>
          </w:p>
        </w:tc>
        <w:tc>
          <w:tcPr>
            <w:tcW w:w="1129" w:type="dxa"/>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5.48±</w:t>
            </w:r>
          </w:p>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0.81</w:t>
            </w:r>
          </w:p>
        </w:tc>
        <w:tc>
          <w:tcPr>
            <w:tcW w:w="1137" w:type="dxa"/>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51315</w:t>
            </w:r>
          </w:p>
        </w:tc>
        <w:tc>
          <w:tcPr>
            <w:tcW w:w="1392" w:type="dxa"/>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-36  -40  9</w:t>
            </w:r>
          </w:p>
        </w:tc>
        <w:tc>
          <w:tcPr>
            <w:tcW w:w="1572" w:type="dxa"/>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Inferior longitudinal fasciculus L</w:t>
            </w:r>
          </w:p>
        </w:tc>
        <w:tc>
          <w:tcPr>
            <w:tcW w:w="1206" w:type="dxa"/>
            <w:shd w:val="clear" w:color="auto" w:fill="auto"/>
            <w:vAlign w:val="center"/>
          </w:tcPr>
          <w:p w:rsidR="000B442E" w:rsidRPr="008409BD" w:rsidRDefault="000B442E" w:rsidP="00850E8B">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T</w:t>
            </w:r>
            <w:r w:rsidR="00850E8B">
              <w:rPr>
                <w:rFonts w:ascii="Calibri" w:hAnsi="Calibri"/>
                <w:color w:val="0D0D0D"/>
                <w:sz w:val="20"/>
                <w:szCs w:val="20"/>
              </w:rPr>
              <w:t xml:space="preserve">rattati </w:t>
            </w:r>
            <w:r w:rsidRPr="008409BD">
              <w:rPr>
                <w:rFonts w:ascii="Calibri" w:hAnsi="Calibri"/>
                <w:color w:val="0D0D0D"/>
                <w:sz w:val="20"/>
                <w:szCs w:val="20"/>
              </w:rPr>
              <w:t>&gt; No</w:t>
            </w:r>
            <w:r w:rsidR="00850E8B">
              <w:rPr>
                <w:rFonts w:ascii="Calibri" w:hAnsi="Calibri"/>
                <w:color w:val="0D0D0D"/>
                <w:sz w:val="20"/>
                <w:szCs w:val="20"/>
              </w:rPr>
              <w:t>n trattati</w:t>
            </w:r>
          </w:p>
        </w:tc>
      </w:tr>
      <w:tr w:rsidR="000B442E" w:rsidRPr="008409BD" w:rsidTr="007E5013">
        <w:trPr>
          <w:trHeight w:val="3549"/>
        </w:trPr>
        <w:tc>
          <w:tcPr>
            <w:tcW w:w="1229" w:type="dxa"/>
            <w:shd w:val="clear" w:color="auto" w:fill="auto"/>
            <w:vAlign w:val="center"/>
          </w:tcPr>
          <w:p w:rsidR="000B442E" w:rsidRPr="008409BD" w:rsidRDefault="00271128" w:rsidP="001E5BE4">
            <w:pPr>
              <w:pStyle w:val="Contenutotabella"/>
              <w:snapToGrid w:val="0"/>
              <w:spacing w:line="360" w:lineRule="auto"/>
              <w:jc w:val="center"/>
              <w:rPr>
                <w:rFonts w:ascii="Calibri" w:hAnsi="Calibri"/>
                <w:b/>
                <w:color w:val="0D0D0D"/>
                <w:sz w:val="20"/>
                <w:szCs w:val="20"/>
              </w:rPr>
            </w:pPr>
            <w:r>
              <w:rPr>
                <w:rFonts w:ascii="Calibri" w:hAnsi="Calibri"/>
                <w:b/>
                <w:color w:val="0D0D0D"/>
                <w:sz w:val="20"/>
                <w:szCs w:val="20"/>
              </w:rPr>
              <w:t>Diffusività media</w:t>
            </w:r>
          </w:p>
        </w:tc>
        <w:tc>
          <w:tcPr>
            <w:tcW w:w="1113" w:type="dxa"/>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7.86±</w:t>
            </w:r>
          </w:p>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0.56</w:t>
            </w:r>
          </w:p>
        </w:tc>
        <w:tc>
          <w:tcPr>
            <w:tcW w:w="1129" w:type="dxa"/>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7.65±</w:t>
            </w:r>
          </w:p>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0.55</w:t>
            </w:r>
          </w:p>
        </w:tc>
        <w:tc>
          <w:tcPr>
            <w:tcW w:w="1137" w:type="dxa"/>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41970</w:t>
            </w:r>
          </w:p>
        </w:tc>
        <w:tc>
          <w:tcPr>
            <w:tcW w:w="1392" w:type="dxa"/>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-37  -46  3</w:t>
            </w:r>
          </w:p>
        </w:tc>
        <w:tc>
          <w:tcPr>
            <w:tcW w:w="1572" w:type="dxa"/>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Posterior thalamic radiation L</w:t>
            </w:r>
          </w:p>
          <w:p w:rsidR="000B442E" w:rsidRPr="008409BD" w:rsidRDefault="000B442E" w:rsidP="001E5BE4">
            <w:pPr>
              <w:pStyle w:val="Contenutotabella"/>
              <w:snapToGrid w:val="0"/>
              <w:spacing w:line="360" w:lineRule="auto"/>
              <w:jc w:val="center"/>
              <w:rPr>
                <w:rFonts w:ascii="Calibri" w:hAnsi="Calibri"/>
                <w:color w:val="0D0D0D"/>
                <w:sz w:val="20"/>
                <w:szCs w:val="20"/>
                <w:lang w:val="en-GB"/>
              </w:rPr>
            </w:pPr>
          </w:p>
          <w:p w:rsidR="000B442E" w:rsidRPr="008409BD" w:rsidRDefault="000B442E"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Inferior longitudinal fasciculus L</w:t>
            </w:r>
          </w:p>
          <w:p w:rsidR="000B442E" w:rsidRPr="008409BD" w:rsidRDefault="000B442E" w:rsidP="001E5BE4">
            <w:pPr>
              <w:pStyle w:val="Contenutotabella"/>
              <w:snapToGrid w:val="0"/>
              <w:spacing w:line="360" w:lineRule="auto"/>
              <w:jc w:val="center"/>
              <w:rPr>
                <w:rFonts w:ascii="Calibri" w:hAnsi="Calibri"/>
                <w:color w:val="0D0D0D"/>
                <w:sz w:val="20"/>
                <w:szCs w:val="20"/>
                <w:lang w:val="en-GB"/>
              </w:rPr>
            </w:pPr>
          </w:p>
          <w:p w:rsidR="000B442E" w:rsidRPr="008409BD" w:rsidRDefault="000B442E" w:rsidP="001E5BE4">
            <w:pPr>
              <w:pStyle w:val="Contenutotabella"/>
              <w:snapToGrid w:val="0"/>
              <w:spacing w:line="360" w:lineRule="auto"/>
              <w:jc w:val="center"/>
              <w:rPr>
                <w:rFonts w:ascii="Calibri" w:hAnsi="Calibri"/>
                <w:color w:val="0D0D0D"/>
                <w:sz w:val="20"/>
                <w:szCs w:val="20"/>
                <w:lang w:val="en-GB"/>
              </w:rPr>
            </w:pPr>
            <w:r w:rsidRPr="008409BD">
              <w:rPr>
                <w:rFonts w:ascii="Calibri" w:hAnsi="Calibri"/>
                <w:color w:val="0D0D0D"/>
                <w:sz w:val="20"/>
                <w:szCs w:val="20"/>
                <w:lang w:val="en-GB"/>
              </w:rPr>
              <w:t>Inferior fronto-occipital fasciculus L</w:t>
            </w:r>
          </w:p>
        </w:tc>
        <w:tc>
          <w:tcPr>
            <w:tcW w:w="1206" w:type="dxa"/>
            <w:shd w:val="clear" w:color="auto" w:fill="auto"/>
            <w:vAlign w:val="center"/>
          </w:tcPr>
          <w:p w:rsidR="000B442E" w:rsidRPr="008409BD" w:rsidRDefault="000B442E"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Treated &gt; Not-treated</w:t>
            </w:r>
          </w:p>
        </w:tc>
      </w:tr>
    </w:tbl>
    <w:p w:rsidR="000B442E" w:rsidRDefault="000B442E" w:rsidP="001E5BE4">
      <w:pPr>
        <w:tabs>
          <w:tab w:val="center" w:pos="2760"/>
        </w:tabs>
        <w:autoSpaceDE w:val="0"/>
        <w:spacing w:after="100" w:line="360" w:lineRule="auto"/>
        <w:jc w:val="both"/>
        <w:rPr>
          <w:rFonts w:eastAsia="Calibri" w:cs="Calibri"/>
          <w:b/>
          <w:bCs/>
          <w:color w:val="0D0D0D"/>
          <w:sz w:val="20"/>
          <w:szCs w:val="20"/>
          <w:lang w:val="en-GB"/>
        </w:rPr>
      </w:pPr>
    </w:p>
    <w:p w:rsidR="000B442E" w:rsidRPr="00EB42CB" w:rsidRDefault="000B442E" w:rsidP="007E5013">
      <w:pPr>
        <w:tabs>
          <w:tab w:val="center" w:pos="2760"/>
        </w:tabs>
        <w:autoSpaceDE w:val="0"/>
        <w:spacing w:after="100" w:line="360" w:lineRule="auto"/>
        <w:ind w:right="849"/>
        <w:jc w:val="both"/>
        <w:rPr>
          <w:rFonts w:ascii="Times" w:hAnsi="Times"/>
          <w:sz w:val="24"/>
          <w:szCs w:val="24"/>
        </w:rPr>
      </w:pPr>
      <w:r w:rsidRPr="00EB42CB">
        <w:rPr>
          <w:rFonts w:ascii="Times" w:eastAsia="Calibri" w:hAnsi="Times" w:cs="Calibri"/>
          <w:b/>
          <w:bCs/>
          <w:color w:val="0D0D0D"/>
          <w:sz w:val="20"/>
          <w:szCs w:val="20"/>
          <w:lang w:val="en-GB"/>
        </w:rPr>
        <w:t>Table 4</w:t>
      </w:r>
      <w:r w:rsidRPr="00EB42CB">
        <w:rPr>
          <w:rFonts w:ascii="Times" w:eastAsia="Calibri" w:hAnsi="Times" w:cs="Calibri"/>
          <w:color w:val="0D0D0D"/>
          <w:sz w:val="20"/>
          <w:szCs w:val="20"/>
          <w:lang w:val="en-GB"/>
        </w:rPr>
        <w:t xml:space="preserve"> </w:t>
      </w:r>
      <w:r w:rsidR="00271128" w:rsidRPr="00EB42CB">
        <w:rPr>
          <w:rFonts w:ascii="Times" w:eastAsia="Calibri" w:hAnsi="Times" w:cs="Calibri"/>
          <w:color w:val="0D0D0D"/>
          <w:sz w:val="20"/>
          <w:szCs w:val="20"/>
          <w:lang w:val="en-GB"/>
        </w:rPr>
        <w:t>C</w:t>
      </w:r>
      <w:r w:rsidRPr="00EB42CB">
        <w:rPr>
          <w:rFonts w:ascii="Times" w:eastAsia="Calibri" w:hAnsi="Times" w:cs="Calibri"/>
          <w:color w:val="0D0D0D"/>
          <w:sz w:val="20"/>
          <w:szCs w:val="20"/>
          <w:lang w:val="en-GB"/>
        </w:rPr>
        <w:t>onfronto dei pazienti litio-trattati con quelli litio-free. I valori delle misure DTI FA, AD, RD ed MD (media±</w:t>
      </w:r>
      <w:r w:rsidR="00EB42CB">
        <w:rPr>
          <w:rFonts w:ascii="Times" w:eastAsia="Calibri" w:hAnsi="Times" w:cs="Calibri"/>
          <w:color w:val="0D0D0D"/>
          <w:sz w:val="20"/>
          <w:szCs w:val="20"/>
          <w:lang w:val="en-GB"/>
        </w:rPr>
        <w:t>DS) sono mostrati per entrambi i</w:t>
      </w:r>
      <w:r w:rsidRPr="00EB42CB">
        <w:rPr>
          <w:rFonts w:ascii="Times" w:eastAsia="Calibri" w:hAnsi="Times" w:cs="Calibri"/>
          <w:color w:val="0D0D0D"/>
          <w:sz w:val="20"/>
          <w:szCs w:val="20"/>
          <w:lang w:val="en-GB"/>
        </w:rPr>
        <w:t xml:space="preserve"> gruppi, considerando le r</w:t>
      </w:r>
      <w:r w:rsidR="00EB42CB">
        <w:rPr>
          <w:rFonts w:ascii="Times" w:eastAsia="Calibri" w:hAnsi="Times" w:cs="Calibri"/>
          <w:color w:val="0D0D0D"/>
          <w:sz w:val="20"/>
          <w:szCs w:val="20"/>
          <w:lang w:val="en-GB"/>
        </w:rPr>
        <w:t>egioni di sostanza bianca dove i</w:t>
      </w:r>
      <w:r w:rsidRPr="00EB42CB">
        <w:rPr>
          <w:rFonts w:ascii="Times" w:eastAsia="Calibri" w:hAnsi="Times" w:cs="Calibri"/>
          <w:color w:val="0D0D0D"/>
          <w:sz w:val="20"/>
          <w:szCs w:val="20"/>
          <w:lang w:val="en-GB"/>
        </w:rPr>
        <w:t xml:space="preserve"> due gruppi differiscono significativamente. Le dimensioni dei clusters (numero di voxel, mm</w:t>
      </w:r>
      <w:r w:rsidRPr="00EB42CB">
        <w:rPr>
          <w:rFonts w:ascii="Times" w:eastAsia="Calibri" w:hAnsi="Times" w:cs="Calibri"/>
          <w:color w:val="0D0D0D"/>
          <w:sz w:val="20"/>
          <w:szCs w:val="20"/>
          <w:vertAlign w:val="superscript"/>
          <w:lang w:val="en-GB"/>
        </w:rPr>
        <w:t>3</w:t>
      </w:r>
      <w:r w:rsidRPr="00EB42CB">
        <w:rPr>
          <w:rFonts w:ascii="Times" w:eastAsia="Calibri" w:hAnsi="Times" w:cs="Calibri"/>
          <w:color w:val="0D0D0D"/>
          <w:sz w:val="20"/>
          <w:szCs w:val="20"/>
          <w:lang w:val="en-GB"/>
        </w:rPr>
        <w:t>)</w:t>
      </w:r>
      <w:r w:rsidR="00EB42CB">
        <w:rPr>
          <w:rFonts w:ascii="Times" w:eastAsia="Calibri" w:hAnsi="Times" w:cs="Calibri"/>
          <w:color w:val="0D0D0D"/>
          <w:sz w:val="20"/>
          <w:szCs w:val="20"/>
          <w:lang w:val="en-GB"/>
        </w:rPr>
        <w:t xml:space="preserve"> e i</w:t>
      </w:r>
      <w:r w:rsidRPr="00EB42CB">
        <w:rPr>
          <w:rFonts w:ascii="Times" w:eastAsia="Calibri" w:hAnsi="Times" w:cs="Calibri"/>
          <w:color w:val="0D0D0D"/>
          <w:sz w:val="20"/>
          <w:szCs w:val="20"/>
          <w:lang w:val="en-GB"/>
        </w:rPr>
        <w:t xml:space="preserve"> tratti di sostanza bianca coivolti sono mostrati per le regioni che presentano massime differenze di valori TBSS (picchi d</w:t>
      </w:r>
      <w:r w:rsidR="001A6334">
        <w:rPr>
          <w:rFonts w:ascii="Times" w:eastAsia="Calibri" w:hAnsi="Times" w:cs="Calibri"/>
          <w:color w:val="0D0D0D"/>
          <w:sz w:val="20"/>
          <w:szCs w:val="20"/>
          <w:lang w:val="en-GB"/>
        </w:rPr>
        <w:t>i segnale, coordinate MNI) tra i</w:t>
      </w:r>
      <w:r w:rsidRPr="00EB42CB">
        <w:rPr>
          <w:rFonts w:ascii="Times" w:eastAsia="Calibri" w:hAnsi="Times" w:cs="Calibri"/>
          <w:color w:val="0D0D0D"/>
          <w:sz w:val="20"/>
          <w:szCs w:val="20"/>
          <w:lang w:val="en-GB"/>
        </w:rPr>
        <w:t xml:space="preserve"> due gruppi.</w:t>
      </w:r>
      <w:r w:rsidRPr="00EB42CB">
        <w:rPr>
          <w:rFonts w:ascii="Times" w:eastAsia="Calibri" w:hAnsi="Times" w:cs="Calibri"/>
          <w:color w:val="0D0D0D"/>
          <w:lang w:val="en-GB"/>
        </w:rPr>
        <w:t xml:space="preserve"> </w:t>
      </w:r>
    </w:p>
    <w:p w:rsidR="000B442E" w:rsidRDefault="000B442E" w:rsidP="001E5BE4">
      <w:pPr>
        <w:pStyle w:val="Tesi"/>
        <w:tabs>
          <w:tab w:val="left" w:pos="8503"/>
        </w:tabs>
        <w:spacing w:line="360" w:lineRule="auto"/>
        <w:ind w:right="1091"/>
        <w:jc w:val="both"/>
        <w:rPr>
          <w:rFonts w:ascii="Times New Roman" w:hAnsi="Times New Roman"/>
          <w:sz w:val="24"/>
          <w:szCs w:val="24"/>
        </w:rPr>
      </w:pPr>
    </w:p>
    <w:p w:rsidR="000B442E" w:rsidRPr="008409BD" w:rsidRDefault="000B442E" w:rsidP="001E5BE4">
      <w:pPr>
        <w:pStyle w:val="NormaleWeb"/>
        <w:spacing w:after="0" w:line="360" w:lineRule="auto"/>
        <w:jc w:val="both"/>
        <w:rPr>
          <w:rFonts w:ascii="Times New Roman" w:hAnsi="Times New Roman"/>
          <w:color w:val="0D0D0D"/>
          <w:lang w:val="en-GB"/>
        </w:rPr>
      </w:pPr>
      <w:r>
        <w:rPr>
          <w:noProof/>
          <w:color w:val="0D0D0D"/>
          <w:lang w:val="it-IT" w:eastAsia="it-IT"/>
        </w:rPr>
        <w:drawing>
          <wp:anchor distT="0" distB="0" distL="0" distR="0" simplePos="0" relativeHeight="251685888" behindDoc="0" locked="0" layoutInCell="1" allowOverlap="1">
            <wp:simplePos x="0" y="0"/>
            <wp:positionH relativeFrom="column">
              <wp:posOffset>228600</wp:posOffset>
            </wp:positionH>
            <wp:positionV relativeFrom="paragraph">
              <wp:posOffset>6743700</wp:posOffset>
            </wp:positionV>
            <wp:extent cx="5556250" cy="1522730"/>
            <wp:effectExtent l="0" t="0" r="0" b="0"/>
            <wp:wrapTopAndBottom/>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8">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56250" cy="1522730"/>
                    </a:xfrm>
                    <a:prstGeom prst="rect">
                      <a:avLst/>
                    </a:prstGeom>
                    <a:solidFill>
                      <a:srgbClr val="FFFFFF"/>
                    </a:solidFill>
                    <a:ln>
                      <a:noFill/>
                    </a:ln>
                  </pic:spPr>
                </pic:pic>
              </a:graphicData>
            </a:graphic>
          </wp:anchor>
        </w:drawing>
      </w:r>
      <w:r>
        <w:rPr>
          <w:noProof/>
          <w:color w:val="0D0D0D"/>
          <w:lang w:val="it-IT" w:eastAsia="it-IT"/>
        </w:rPr>
        <w:drawing>
          <wp:anchor distT="0" distB="0" distL="0" distR="0" simplePos="0" relativeHeight="251684864" behindDoc="0" locked="0" layoutInCell="1" allowOverlap="1">
            <wp:simplePos x="0" y="0"/>
            <wp:positionH relativeFrom="column">
              <wp:align>center</wp:align>
            </wp:positionH>
            <wp:positionV relativeFrom="paragraph">
              <wp:posOffset>0</wp:posOffset>
            </wp:positionV>
            <wp:extent cx="5556250" cy="6665595"/>
            <wp:effectExtent l="0" t="0" r="0" b="0"/>
            <wp:wrapTopAndBottom/>
            <wp:docPr id="27"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9">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56250" cy="6665595"/>
                    </a:xfrm>
                    <a:prstGeom prst="rect">
                      <a:avLst/>
                    </a:prstGeom>
                    <a:solidFill>
                      <a:srgbClr val="FFFFFF"/>
                    </a:solidFill>
                    <a:ln>
                      <a:noFill/>
                    </a:ln>
                  </pic:spPr>
                </pic:pic>
              </a:graphicData>
            </a:graphic>
          </wp:anchor>
        </w:drawing>
      </w:r>
      <w:r>
        <w:rPr>
          <w:rFonts w:ascii="Times New Roman" w:hAnsi="Times New Roman"/>
          <w:b/>
          <w:bCs/>
          <w:color w:val="0D0D0D"/>
          <w:lang w:val="en-GB"/>
        </w:rPr>
        <w:t xml:space="preserve">  </w:t>
      </w:r>
      <w:r w:rsidR="001710E4">
        <w:rPr>
          <w:rFonts w:ascii="Times New Roman" w:hAnsi="Times New Roman"/>
          <w:b/>
          <w:bCs/>
          <w:color w:val="0D0D0D"/>
          <w:lang w:val="en-GB"/>
        </w:rPr>
        <w:tab/>
      </w:r>
      <w:r>
        <w:rPr>
          <w:rFonts w:ascii="Times New Roman" w:hAnsi="Times New Roman"/>
          <w:b/>
          <w:bCs/>
          <w:color w:val="0D0D0D"/>
          <w:lang w:val="en-GB"/>
        </w:rPr>
        <w:t xml:space="preserve"> </w:t>
      </w:r>
      <w:r w:rsidRPr="008409BD">
        <w:rPr>
          <w:rFonts w:ascii="Times New Roman" w:hAnsi="Times New Roman"/>
          <w:b/>
          <w:bCs/>
          <w:color w:val="0D0D0D"/>
          <w:lang w:val="en-GB"/>
        </w:rPr>
        <w:t xml:space="preserve">Fig. 5 </w:t>
      </w:r>
      <w:r w:rsidRPr="000B442E">
        <w:rPr>
          <w:rFonts w:ascii="Times New Roman" w:hAnsi="Times New Roman"/>
          <w:bCs/>
          <w:color w:val="0D0D0D"/>
          <w:lang w:val="en-GB"/>
        </w:rPr>
        <w:t xml:space="preserve">Aree dove </w:t>
      </w:r>
      <w:r>
        <w:rPr>
          <w:rFonts w:ascii="Times New Roman" w:hAnsi="Times New Roman"/>
          <w:bCs/>
          <w:color w:val="0D0D0D"/>
          <w:lang w:val="en-GB"/>
        </w:rPr>
        <w:t>i</w:t>
      </w:r>
      <w:r w:rsidRPr="000B442E">
        <w:rPr>
          <w:rFonts w:ascii="Times New Roman" w:hAnsi="Times New Roman"/>
          <w:bCs/>
          <w:color w:val="0D0D0D"/>
          <w:lang w:val="en-GB"/>
        </w:rPr>
        <w:t xml:space="preserve"> pazienti trattati presentano valori di </w:t>
      </w:r>
      <w:r w:rsidR="00271128" w:rsidRPr="00271128">
        <w:rPr>
          <w:rFonts w:ascii="Times New Roman" w:hAnsi="Times New Roman"/>
          <w:b/>
          <w:bCs/>
          <w:color w:val="0D0D0D"/>
          <w:lang w:val="en-GB"/>
        </w:rPr>
        <w:t>FA</w:t>
      </w:r>
      <w:r w:rsidRPr="000B442E">
        <w:rPr>
          <w:rFonts w:ascii="Times New Roman" w:hAnsi="Times New Roman"/>
          <w:bCs/>
          <w:color w:val="0D0D0D"/>
          <w:lang w:val="en-GB"/>
        </w:rPr>
        <w:t xml:space="preserve"> significativamente più bassi</w:t>
      </w:r>
      <w:r w:rsidRPr="000B442E">
        <w:rPr>
          <w:rFonts w:ascii="Times New Roman" w:hAnsi="Times New Roman"/>
          <w:color w:val="0D0D0D"/>
          <w:lang w:val="en-GB"/>
        </w:rPr>
        <w:t>.</w:t>
      </w:r>
    </w:p>
    <w:p w:rsidR="000B442E" w:rsidRDefault="000B442E" w:rsidP="001E5BE4">
      <w:pPr>
        <w:pStyle w:val="Tesi"/>
        <w:tabs>
          <w:tab w:val="left" w:pos="8503"/>
        </w:tabs>
        <w:spacing w:line="360" w:lineRule="auto"/>
        <w:ind w:right="1091"/>
        <w:jc w:val="both"/>
        <w:rPr>
          <w:rFonts w:ascii="Times New Roman" w:hAnsi="Times New Roman" w:cs="Courier New"/>
          <w:color w:val="0D0D0D"/>
          <w:sz w:val="24"/>
          <w:szCs w:val="24"/>
          <w:lang w:val="en-GB"/>
        </w:rPr>
      </w:pPr>
      <w:r>
        <w:rPr>
          <w:rFonts w:ascii="Times New Roman" w:hAnsi="Times New Roman" w:cs="Courier New"/>
          <w:noProof/>
          <w:color w:val="0D0D0D"/>
          <w:sz w:val="24"/>
          <w:szCs w:val="24"/>
          <w:lang w:val="it-IT" w:eastAsia="it-IT"/>
        </w:rPr>
        <w:drawing>
          <wp:anchor distT="0" distB="0" distL="0" distR="0" simplePos="0" relativeHeight="251686912" behindDoc="0" locked="0" layoutInCell="1" allowOverlap="1">
            <wp:simplePos x="0" y="0"/>
            <wp:positionH relativeFrom="column">
              <wp:posOffset>342900</wp:posOffset>
            </wp:positionH>
            <wp:positionV relativeFrom="paragraph">
              <wp:posOffset>0</wp:posOffset>
            </wp:positionV>
            <wp:extent cx="5556250" cy="6701155"/>
            <wp:effectExtent l="0" t="0" r="0" b="0"/>
            <wp:wrapThrough wrapText="bothSides">
              <wp:wrapPolygon edited="0">
                <wp:start x="0" y="0"/>
                <wp:lineTo x="0" y="21532"/>
                <wp:lineTo x="21526" y="21532"/>
                <wp:lineTo x="21526" y="0"/>
                <wp:lineTo x="0" y="0"/>
              </wp:wrapPolygon>
            </wp:wrapThrough>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0">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56250" cy="6701155"/>
                    </a:xfrm>
                    <a:prstGeom prst="rect">
                      <a:avLst/>
                    </a:prstGeom>
                    <a:solidFill>
                      <a:srgbClr val="FFFFFF"/>
                    </a:solidFill>
                    <a:ln>
                      <a:noFill/>
                    </a:ln>
                  </pic:spPr>
                </pic:pic>
              </a:graphicData>
            </a:graphic>
          </wp:anchor>
        </w:drawing>
      </w:r>
    </w:p>
    <w:p w:rsidR="000B442E" w:rsidRDefault="000B442E" w:rsidP="001E5BE4">
      <w:pPr>
        <w:pStyle w:val="Tesi"/>
        <w:tabs>
          <w:tab w:val="left" w:pos="8503"/>
        </w:tabs>
        <w:spacing w:line="360" w:lineRule="auto"/>
        <w:ind w:right="1091"/>
        <w:jc w:val="both"/>
        <w:rPr>
          <w:rFonts w:ascii="Times New Roman" w:hAnsi="Times New Roman" w:cs="Courier New"/>
          <w:color w:val="0D0D0D"/>
          <w:sz w:val="24"/>
          <w:szCs w:val="24"/>
          <w:lang w:val="en-GB"/>
        </w:rPr>
      </w:pPr>
    </w:p>
    <w:p w:rsidR="000B442E" w:rsidRDefault="000B442E" w:rsidP="001E5BE4">
      <w:pPr>
        <w:pStyle w:val="Tesi"/>
        <w:tabs>
          <w:tab w:val="left" w:pos="8503"/>
        </w:tabs>
        <w:spacing w:line="360" w:lineRule="auto"/>
        <w:ind w:right="1091"/>
        <w:jc w:val="both"/>
        <w:rPr>
          <w:rFonts w:ascii="Times New Roman" w:hAnsi="Times New Roman" w:cs="Courier New"/>
          <w:color w:val="0D0D0D"/>
          <w:sz w:val="24"/>
          <w:szCs w:val="24"/>
          <w:lang w:val="en-GB"/>
        </w:rPr>
      </w:pPr>
    </w:p>
    <w:p w:rsidR="000B442E" w:rsidRDefault="000B442E" w:rsidP="001E5BE4">
      <w:pPr>
        <w:pStyle w:val="Tesi"/>
        <w:tabs>
          <w:tab w:val="left" w:pos="8503"/>
        </w:tabs>
        <w:spacing w:line="360" w:lineRule="auto"/>
        <w:ind w:right="1091"/>
        <w:jc w:val="both"/>
        <w:rPr>
          <w:rFonts w:ascii="Times New Roman" w:hAnsi="Times New Roman" w:cs="Courier New"/>
          <w:color w:val="0D0D0D"/>
          <w:sz w:val="24"/>
          <w:szCs w:val="24"/>
          <w:lang w:val="en-GB"/>
        </w:rPr>
      </w:pPr>
    </w:p>
    <w:p w:rsidR="000B442E" w:rsidRDefault="000B442E" w:rsidP="001E5BE4">
      <w:pPr>
        <w:pStyle w:val="Tesi"/>
        <w:tabs>
          <w:tab w:val="left" w:pos="8503"/>
        </w:tabs>
        <w:spacing w:line="360" w:lineRule="auto"/>
        <w:ind w:right="1091"/>
        <w:jc w:val="both"/>
        <w:rPr>
          <w:rFonts w:ascii="Times New Roman" w:hAnsi="Times New Roman" w:cs="Courier New"/>
          <w:color w:val="0D0D0D"/>
          <w:sz w:val="24"/>
          <w:szCs w:val="24"/>
          <w:lang w:val="en-GB"/>
        </w:rPr>
      </w:pPr>
    </w:p>
    <w:p w:rsidR="000B442E" w:rsidRDefault="000B442E" w:rsidP="001E5BE4">
      <w:pPr>
        <w:pStyle w:val="Tesi"/>
        <w:tabs>
          <w:tab w:val="left" w:pos="8503"/>
        </w:tabs>
        <w:spacing w:line="360" w:lineRule="auto"/>
        <w:ind w:right="1091"/>
        <w:jc w:val="both"/>
        <w:rPr>
          <w:rFonts w:ascii="Times New Roman" w:hAnsi="Times New Roman" w:cs="Courier New"/>
          <w:color w:val="0D0D0D"/>
          <w:sz w:val="24"/>
          <w:szCs w:val="24"/>
          <w:lang w:val="en-GB"/>
        </w:rPr>
      </w:pPr>
    </w:p>
    <w:p w:rsidR="000B442E" w:rsidRDefault="000B442E" w:rsidP="001E5BE4">
      <w:pPr>
        <w:pStyle w:val="Tesi"/>
        <w:tabs>
          <w:tab w:val="left" w:pos="8503"/>
        </w:tabs>
        <w:spacing w:line="360" w:lineRule="auto"/>
        <w:ind w:right="1091"/>
        <w:jc w:val="both"/>
        <w:rPr>
          <w:rFonts w:ascii="Times New Roman" w:hAnsi="Times New Roman" w:cs="Courier New"/>
          <w:color w:val="0D0D0D"/>
          <w:sz w:val="24"/>
          <w:szCs w:val="24"/>
          <w:lang w:val="en-GB"/>
        </w:rPr>
      </w:pPr>
    </w:p>
    <w:p w:rsidR="000B442E" w:rsidRDefault="000B442E" w:rsidP="001E5BE4">
      <w:pPr>
        <w:pStyle w:val="Tesi"/>
        <w:tabs>
          <w:tab w:val="left" w:pos="8503"/>
        </w:tabs>
        <w:spacing w:line="360" w:lineRule="auto"/>
        <w:ind w:right="1091"/>
        <w:jc w:val="both"/>
        <w:rPr>
          <w:rFonts w:ascii="Times New Roman" w:hAnsi="Times New Roman" w:cs="Courier New"/>
          <w:color w:val="0D0D0D"/>
          <w:sz w:val="24"/>
          <w:szCs w:val="24"/>
          <w:lang w:val="en-GB"/>
        </w:rPr>
      </w:pPr>
    </w:p>
    <w:p w:rsidR="000B442E" w:rsidRDefault="000B442E" w:rsidP="001E5BE4">
      <w:pPr>
        <w:pStyle w:val="Tesi"/>
        <w:tabs>
          <w:tab w:val="left" w:pos="8503"/>
        </w:tabs>
        <w:spacing w:line="360" w:lineRule="auto"/>
        <w:ind w:right="1091"/>
        <w:jc w:val="both"/>
        <w:rPr>
          <w:rFonts w:ascii="Times New Roman" w:hAnsi="Times New Roman" w:cs="Courier New"/>
          <w:color w:val="0D0D0D"/>
          <w:sz w:val="24"/>
          <w:szCs w:val="24"/>
          <w:lang w:val="en-GB"/>
        </w:rPr>
      </w:pPr>
    </w:p>
    <w:p w:rsidR="000B442E" w:rsidRDefault="000B442E" w:rsidP="001E5BE4">
      <w:pPr>
        <w:pStyle w:val="Tesi"/>
        <w:tabs>
          <w:tab w:val="left" w:pos="8503"/>
        </w:tabs>
        <w:spacing w:line="360" w:lineRule="auto"/>
        <w:ind w:right="1091"/>
        <w:jc w:val="both"/>
        <w:rPr>
          <w:rFonts w:ascii="Times New Roman" w:hAnsi="Times New Roman" w:cs="Courier New"/>
          <w:color w:val="0D0D0D"/>
          <w:sz w:val="24"/>
          <w:szCs w:val="24"/>
          <w:lang w:val="en-GB"/>
        </w:rPr>
      </w:pPr>
    </w:p>
    <w:p w:rsidR="000B442E" w:rsidRDefault="000B442E" w:rsidP="001E5BE4">
      <w:pPr>
        <w:pStyle w:val="Tesi"/>
        <w:tabs>
          <w:tab w:val="left" w:pos="8503"/>
        </w:tabs>
        <w:spacing w:line="360" w:lineRule="auto"/>
        <w:ind w:right="1091"/>
        <w:jc w:val="both"/>
        <w:rPr>
          <w:rFonts w:ascii="Times New Roman" w:hAnsi="Times New Roman" w:cs="Courier New"/>
          <w:color w:val="0D0D0D"/>
          <w:sz w:val="24"/>
          <w:szCs w:val="24"/>
          <w:lang w:val="en-GB"/>
        </w:rPr>
      </w:pPr>
    </w:p>
    <w:p w:rsidR="000B442E" w:rsidRDefault="000B442E" w:rsidP="001E5BE4">
      <w:pPr>
        <w:pStyle w:val="Tesi"/>
        <w:tabs>
          <w:tab w:val="left" w:pos="8503"/>
        </w:tabs>
        <w:spacing w:line="360" w:lineRule="auto"/>
        <w:ind w:right="1091"/>
        <w:jc w:val="both"/>
        <w:rPr>
          <w:rFonts w:ascii="Times New Roman" w:hAnsi="Times New Roman" w:cs="Courier New"/>
          <w:color w:val="0D0D0D"/>
          <w:sz w:val="24"/>
          <w:szCs w:val="24"/>
          <w:lang w:val="en-GB"/>
        </w:rPr>
      </w:pPr>
    </w:p>
    <w:p w:rsidR="000B442E" w:rsidRDefault="000B442E" w:rsidP="001E5BE4">
      <w:pPr>
        <w:pStyle w:val="Tesi"/>
        <w:tabs>
          <w:tab w:val="left" w:pos="8503"/>
        </w:tabs>
        <w:spacing w:line="360" w:lineRule="auto"/>
        <w:ind w:right="1091"/>
        <w:jc w:val="both"/>
        <w:rPr>
          <w:rFonts w:ascii="Times New Roman" w:hAnsi="Times New Roman" w:cs="Courier New"/>
          <w:color w:val="0D0D0D"/>
          <w:sz w:val="24"/>
          <w:szCs w:val="24"/>
          <w:lang w:val="en-GB"/>
        </w:rPr>
      </w:pPr>
    </w:p>
    <w:p w:rsidR="000B442E" w:rsidRDefault="000B442E" w:rsidP="001E5BE4">
      <w:pPr>
        <w:pStyle w:val="Tesi"/>
        <w:tabs>
          <w:tab w:val="left" w:pos="8503"/>
        </w:tabs>
        <w:spacing w:line="360" w:lineRule="auto"/>
        <w:ind w:right="1091"/>
        <w:jc w:val="both"/>
        <w:rPr>
          <w:rFonts w:ascii="Times New Roman" w:hAnsi="Times New Roman" w:cs="Courier New"/>
          <w:color w:val="0D0D0D"/>
          <w:sz w:val="24"/>
          <w:szCs w:val="24"/>
          <w:lang w:val="en-GB"/>
        </w:rPr>
      </w:pPr>
    </w:p>
    <w:p w:rsidR="000B442E" w:rsidRDefault="000B442E" w:rsidP="001E5BE4">
      <w:pPr>
        <w:pStyle w:val="Tesi"/>
        <w:tabs>
          <w:tab w:val="left" w:pos="8503"/>
        </w:tabs>
        <w:spacing w:line="360" w:lineRule="auto"/>
        <w:ind w:right="1091"/>
        <w:jc w:val="both"/>
        <w:rPr>
          <w:rFonts w:ascii="Times New Roman" w:hAnsi="Times New Roman" w:cs="Courier New"/>
          <w:color w:val="0D0D0D"/>
          <w:sz w:val="24"/>
          <w:szCs w:val="24"/>
          <w:lang w:val="en-GB"/>
        </w:rPr>
      </w:pPr>
    </w:p>
    <w:p w:rsidR="000B442E" w:rsidRDefault="000B442E" w:rsidP="001E5BE4">
      <w:pPr>
        <w:pStyle w:val="Tesi"/>
        <w:tabs>
          <w:tab w:val="left" w:pos="8503"/>
        </w:tabs>
        <w:spacing w:line="360" w:lineRule="auto"/>
        <w:ind w:right="1091"/>
        <w:jc w:val="both"/>
        <w:rPr>
          <w:rFonts w:ascii="Times New Roman" w:hAnsi="Times New Roman" w:cs="Courier New"/>
          <w:color w:val="0D0D0D"/>
          <w:sz w:val="24"/>
          <w:szCs w:val="24"/>
          <w:lang w:val="en-GB"/>
        </w:rPr>
      </w:pPr>
    </w:p>
    <w:p w:rsidR="000B442E" w:rsidRDefault="000B442E" w:rsidP="001E5BE4">
      <w:pPr>
        <w:pStyle w:val="Tesi"/>
        <w:tabs>
          <w:tab w:val="left" w:pos="8503"/>
        </w:tabs>
        <w:spacing w:line="360" w:lineRule="auto"/>
        <w:ind w:right="1091"/>
        <w:jc w:val="both"/>
        <w:rPr>
          <w:rFonts w:ascii="Times New Roman" w:hAnsi="Times New Roman" w:cs="Courier New"/>
          <w:color w:val="0D0D0D"/>
          <w:sz w:val="24"/>
          <w:szCs w:val="24"/>
          <w:lang w:val="en-GB"/>
        </w:rPr>
      </w:pPr>
    </w:p>
    <w:p w:rsidR="000B442E" w:rsidRDefault="00083DB7" w:rsidP="001E5BE4">
      <w:pPr>
        <w:pStyle w:val="Tesi"/>
        <w:tabs>
          <w:tab w:val="left" w:pos="8503"/>
        </w:tabs>
        <w:spacing w:line="360" w:lineRule="auto"/>
        <w:ind w:right="1091"/>
        <w:jc w:val="both"/>
        <w:rPr>
          <w:rFonts w:ascii="Times New Roman" w:hAnsi="Times New Roman" w:cs="Courier New"/>
          <w:color w:val="0D0D0D"/>
          <w:sz w:val="24"/>
          <w:szCs w:val="24"/>
          <w:lang w:val="en-GB"/>
        </w:rPr>
      </w:pPr>
      <w:r>
        <w:rPr>
          <w:rFonts w:ascii="Times New Roman" w:hAnsi="Times New Roman" w:cs="Courier New"/>
          <w:noProof/>
          <w:color w:val="0D0D0D"/>
          <w:sz w:val="24"/>
          <w:szCs w:val="24"/>
          <w:lang w:val="it-IT" w:eastAsia="it-IT"/>
        </w:rPr>
        <w:drawing>
          <wp:anchor distT="0" distB="0" distL="0" distR="0" simplePos="0" relativeHeight="251687936" behindDoc="0" locked="0" layoutInCell="1" allowOverlap="1">
            <wp:simplePos x="0" y="0"/>
            <wp:positionH relativeFrom="column">
              <wp:posOffset>387350</wp:posOffset>
            </wp:positionH>
            <wp:positionV relativeFrom="paragraph">
              <wp:posOffset>230505</wp:posOffset>
            </wp:positionV>
            <wp:extent cx="5556250" cy="1598930"/>
            <wp:effectExtent l="0" t="0" r="0" b="0"/>
            <wp:wrapThrough wrapText="bothSides">
              <wp:wrapPolygon edited="0">
                <wp:start x="0" y="0"/>
                <wp:lineTo x="0" y="21274"/>
                <wp:lineTo x="21526" y="21274"/>
                <wp:lineTo x="21526" y="0"/>
                <wp:lineTo x="0" y="0"/>
              </wp:wrapPolygon>
            </wp:wrapThrough>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1">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56250" cy="1598930"/>
                    </a:xfrm>
                    <a:prstGeom prst="rect">
                      <a:avLst/>
                    </a:prstGeom>
                    <a:solidFill>
                      <a:srgbClr val="FFFFFF"/>
                    </a:solidFill>
                    <a:ln>
                      <a:noFill/>
                    </a:ln>
                  </pic:spPr>
                </pic:pic>
              </a:graphicData>
            </a:graphic>
          </wp:anchor>
        </w:drawing>
      </w:r>
    </w:p>
    <w:p w:rsidR="000B442E" w:rsidRDefault="000B442E" w:rsidP="001E5BE4">
      <w:pPr>
        <w:pStyle w:val="Tesi"/>
        <w:tabs>
          <w:tab w:val="left" w:pos="8503"/>
        </w:tabs>
        <w:spacing w:line="360" w:lineRule="auto"/>
        <w:ind w:right="1091"/>
        <w:jc w:val="both"/>
        <w:rPr>
          <w:rFonts w:ascii="Times New Roman" w:hAnsi="Times New Roman" w:cs="Courier New"/>
          <w:color w:val="0D0D0D"/>
          <w:sz w:val="24"/>
          <w:szCs w:val="24"/>
          <w:lang w:val="en-GB"/>
        </w:rPr>
      </w:pPr>
    </w:p>
    <w:p w:rsidR="000B442E" w:rsidRDefault="000B442E" w:rsidP="001E5BE4">
      <w:pPr>
        <w:pStyle w:val="Tesi"/>
        <w:tabs>
          <w:tab w:val="left" w:pos="8503"/>
        </w:tabs>
        <w:spacing w:line="360" w:lineRule="auto"/>
        <w:ind w:right="1091"/>
        <w:jc w:val="both"/>
        <w:rPr>
          <w:rFonts w:ascii="Times New Roman" w:hAnsi="Times New Roman" w:cs="Courier New"/>
          <w:color w:val="0D0D0D"/>
          <w:sz w:val="24"/>
          <w:szCs w:val="24"/>
          <w:lang w:val="en-GB"/>
        </w:rPr>
      </w:pPr>
    </w:p>
    <w:p w:rsidR="000B442E" w:rsidRDefault="000B442E" w:rsidP="001E5BE4">
      <w:pPr>
        <w:pStyle w:val="Tesi"/>
        <w:tabs>
          <w:tab w:val="left" w:pos="8503"/>
        </w:tabs>
        <w:spacing w:line="360" w:lineRule="auto"/>
        <w:ind w:right="1091"/>
        <w:jc w:val="both"/>
        <w:rPr>
          <w:rFonts w:ascii="Times New Roman" w:hAnsi="Times New Roman" w:cs="Courier New"/>
          <w:color w:val="0D0D0D"/>
          <w:sz w:val="24"/>
          <w:szCs w:val="24"/>
          <w:lang w:val="en-GB"/>
        </w:rPr>
      </w:pPr>
    </w:p>
    <w:p w:rsidR="000B442E" w:rsidRDefault="000B442E" w:rsidP="001E5BE4">
      <w:pPr>
        <w:pStyle w:val="Tesi"/>
        <w:tabs>
          <w:tab w:val="left" w:pos="8503"/>
        </w:tabs>
        <w:spacing w:line="360" w:lineRule="auto"/>
        <w:ind w:right="1091"/>
        <w:jc w:val="both"/>
        <w:rPr>
          <w:rFonts w:ascii="Times New Roman" w:hAnsi="Times New Roman" w:cs="Courier New"/>
          <w:color w:val="0D0D0D"/>
          <w:sz w:val="24"/>
          <w:szCs w:val="24"/>
          <w:lang w:val="en-GB"/>
        </w:rPr>
      </w:pPr>
    </w:p>
    <w:p w:rsidR="00271128" w:rsidRPr="008409BD" w:rsidRDefault="000B442E" w:rsidP="007E5013">
      <w:pPr>
        <w:pStyle w:val="NormaleWeb"/>
        <w:spacing w:after="0" w:line="360" w:lineRule="auto"/>
        <w:ind w:left="284"/>
        <w:jc w:val="both"/>
        <w:rPr>
          <w:rFonts w:ascii="Times New Roman" w:hAnsi="Times New Roman"/>
          <w:color w:val="0D0D0D"/>
          <w:lang w:val="en-GB"/>
        </w:rPr>
      </w:pPr>
      <w:r>
        <w:rPr>
          <w:rFonts w:ascii="Times New Roman" w:hAnsi="Times New Roman"/>
          <w:b/>
          <w:bCs/>
          <w:color w:val="0D0D0D"/>
          <w:lang w:val="en-GB"/>
        </w:rPr>
        <w:t xml:space="preserve">        </w:t>
      </w:r>
      <w:r w:rsidRPr="008409BD">
        <w:rPr>
          <w:rFonts w:ascii="Times New Roman" w:hAnsi="Times New Roman"/>
          <w:b/>
          <w:bCs/>
          <w:color w:val="0D0D0D"/>
          <w:lang w:val="en-GB"/>
        </w:rPr>
        <w:t xml:space="preserve">Fig. 6 </w:t>
      </w:r>
      <w:r w:rsidR="00271128" w:rsidRPr="000B442E">
        <w:rPr>
          <w:rFonts w:ascii="Times New Roman" w:hAnsi="Times New Roman"/>
          <w:bCs/>
          <w:color w:val="0D0D0D"/>
          <w:lang w:val="en-GB"/>
        </w:rPr>
        <w:t xml:space="preserve">Aree dove </w:t>
      </w:r>
      <w:r w:rsidR="00271128">
        <w:rPr>
          <w:rFonts w:ascii="Times New Roman" w:hAnsi="Times New Roman"/>
          <w:bCs/>
          <w:color w:val="0D0D0D"/>
          <w:lang w:val="en-GB"/>
        </w:rPr>
        <w:t>i</w:t>
      </w:r>
      <w:r w:rsidR="00271128" w:rsidRPr="000B442E">
        <w:rPr>
          <w:rFonts w:ascii="Times New Roman" w:hAnsi="Times New Roman"/>
          <w:bCs/>
          <w:color w:val="0D0D0D"/>
          <w:lang w:val="en-GB"/>
        </w:rPr>
        <w:t xml:space="preserve"> pazienti trattati presentano valori di </w:t>
      </w:r>
      <w:r w:rsidR="00271128">
        <w:rPr>
          <w:rFonts w:ascii="Times New Roman" w:hAnsi="Times New Roman"/>
          <w:b/>
          <w:bCs/>
          <w:color w:val="0D0D0D"/>
          <w:lang w:val="en-GB"/>
        </w:rPr>
        <w:t>RD</w:t>
      </w:r>
      <w:r w:rsidR="00271128" w:rsidRPr="000B442E">
        <w:rPr>
          <w:rFonts w:ascii="Times New Roman" w:hAnsi="Times New Roman"/>
          <w:bCs/>
          <w:color w:val="0D0D0D"/>
          <w:lang w:val="en-GB"/>
        </w:rPr>
        <w:t xml:space="preserve"> significativamente più </w:t>
      </w:r>
      <w:r w:rsidR="00271128">
        <w:rPr>
          <w:rFonts w:ascii="Times New Roman" w:hAnsi="Times New Roman"/>
          <w:bCs/>
          <w:color w:val="0D0D0D"/>
          <w:lang w:val="en-GB"/>
        </w:rPr>
        <w:t>alti</w:t>
      </w:r>
      <w:r w:rsidR="00271128" w:rsidRPr="000B442E">
        <w:rPr>
          <w:rFonts w:ascii="Times New Roman" w:hAnsi="Times New Roman"/>
          <w:color w:val="0D0D0D"/>
          <w:lang w:val="en-GB"/>
        </w:rPr>
        <w:t>.</w:t>
      </w:r>
    </w:p>
    <w:p w:rsidR="00083DB7" w:rsidRDefault="00083DB7" w:rsidP="001E5BE4">
      <w:pPr>
        <w:pStyle w:val="Tesi"/>
        <w:tabs>
          <w:tab w:val="left" w:pos="8503"/>
        </w:tabs>
        <w:spacing w:line="360" w:lineRule="auto"/>
        <w:ind w:left="709" w:right="1091"/>
        <w:jc w:val="both"/>
        <w:rPr>
          <w:rFonts w:ascii="Times New Roman" w:hAnsi="Times New Roman" w:cs="Courier New"/>
          <w:b/>
          <w:bCs/>
          <w:color w:val="0D0D0D"/>
          <w:sz w:val="24"/>
          <w:szCs w:val="24"/>
          <w:lang w:val="en-GB"/>
        </w:rPr>
      </w:pPr>
      <w:r>
        <w:rPr>
          <w:rFonts w:ascii="Times New Roman" w:hAnsi="Times New Roman" w:cs="Courier New"/>
          <w:b/>
          <w:bCs/>
          <w:noProof/>
          <w:color w:val="0D0D0D"/>
          <w:sz w:val="24"/>
          <w:szCs w:val="24"/>
          <w:lang w:val="it-IT" w:eastAsia="it-IT"/>
        </w:rPr>
        <w:drawing>
          <wp:anchor distT="0" distB="0" distL="0" distR="0" simplePos="0" relativeHeight="251688960" behindDoc="0" locked="0" layoutInCell="1" allowOverlap="1">
            <wp:simplePos x="0" y="0"/>
            <wp:positionH relativeFrom="column">
              <wp:posOffset>342900</wp:posOffset>
            </wp:positionH>
            <wp:positionV relativeFrom="paragraph">
              <wp:posOffset>0</wp:posOffset>
            </wp:positionV>
            <wp:extent cx="5556250" cy="6657340"/>
            <wp:effectExtent l="0" t="0" r="0" b="0"/>
            <wp:wrapThrough wrapText="bothSides">
              <wp:wrapPolygon edited="0">
                <wp:start x="0" y="0"/>
                <wp:lineTo x="0" y="21509"/>
                <wp:lineTo x="21526" y="21509"/>
                <wp:lineTo x="21526" y="0"/>
                <wp:lineTo x="0" y="0"/>
              </wp:wrapPolygon>
            </wp:wrapThrough>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2">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56250" cy="6657340"/>
                    </a:xfrm>
                    <a:prstGeom prst="rect">
                      <a:avLst/>
                    </a:prstGeom>
                    <a:solidFill>
                      <a:srgbClr val="FFFFFF"/>
                    </a:solidFill>
                    <a:ln>
                      <a:noFill/>
                    </a:ln>
                  </pic:spPr>
                </pic:pic>
              </a:graphicData>
            </a:graphic>
          </wp:anchor>
        </w:drawing>
      </w:r>
    </w:p>
    <w:p w:rsidR="00083DB7" w:rsidRDefault="00083DB7"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p>
    <w:p w:rsidR="00083DB7" w:rsidRDefault="00083DB7"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p>
    <w:p w:rsidR="00083DB7" w:rsidRDefault="00083DB7"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p>
    <w:p w:rsidR="00083DB7" w:rsidRDefault="00083DB7"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p>
    <w:p w:rsidR="00083DB7" w:rsidRDefault="00083DB7"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p>
    <w:p w:rsidR="00083DB7" w:rsidRDefault="00083DB7"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p>
    <w:p w:rsidR="00083DB7" w:rsidRDefault="00083DB7"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p>
    <w:p w:rsidR="00083DB7" w:rsidRDefault="00083DB7"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p>
    <w:p w:rsidR="00083DB7" w:rsidRDefault="00083DB7"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p>
    <w:p w:rsidR="00083DB7" w:rsidRDefault="00083DB7"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p>
    <w:p w:rsidR="00083DB7" w:rsidRDefault="00083DB7"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p>
    <w:p w:rsidR="00083DB7" w:rsidRDefault="00083DB7"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p>
    <w:p w:rsidR="00083DB7" w:rsidRDefault="00083DB7"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p>
    <w:p w:rsidR="00083DB7" w:rsidRDefault="00083DB7"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p>
    <w:p w:rsidR="00083DB7" w:rsidRDefault="00083DB7"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p>
    <w:p w:rsidR="00083DB7" w:rsidRDefault="00083DB7"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p>
    <w:p w:rsidR="00083DB7" w:rsidRDefault="00083DB7"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r>
        <w:rPr>
          <w:rFonts w:ascii="Times New Roman" w:hAnsi="Times New Roman" w:cs="Courier New"/>
          <w:b/>
          <w:bCs/>
          <w:noProof/>
          <w:color w:val="0D0D0D"/>
          <w:sz w:val="24"/>
          <w:szCs w:val="24"/>
          <w:lang w:val="it-IT" w:eastAsia="it-IT"/>
        </w:rPr>
        <w:drawing>
          <wp:anchor distT="0" distB="0" distL="0" distR="0" simplePos="0" relativeHeight="251689984" behindDoc="0" locked="0" layoutInCell="1" allowOverlap="1">
            <wp:simplePos x="0" y="0"/>
            <wp:positionH relativeFrom="column">
              <wp:posOffset>342900</wp:posOffset>
            </wp:positionH>
            <wp:positionV relativeFrom="paragraph">
              <wp:posOffset>116205</wp:posOffset>
            </wp:positionV>
            <wp:extent cx="5559425" cy="1565275"/>
            <wp:effectExtent l="0" t="0" r="0" b="0"/>
            <wp:wrapThrough wrapText="largest">
              <wp:wrapPolygon edited="0">
                <wp:start x="0" y="0"/>
                <wp:lineTo x="0" y="21381"/>
                <wp:lineTo x="21514" y="21381"/>
                <wp:lineTo x="21514" y="0"/>
                <wp:lineTo x="0" y="0"/>
              </wp:wrapPolygon>
            </wp:wrapThrough>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3">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59425" cy="1565275"/>
                    </a:xfrm>
                    <a:prstGeom prst="rect">
                      <a:avLst/>
                    </a:prstGeom>
                    <a:solidFill>
                      <a:srgbClr val="FFFFFF"/>
                    </a:solidFill>
                    <a:ln>
                      <a:noFill/>
                    </a:ln>
                  </pic:spPr>
                </pic:pic>
              </a:graphicData>
            </a:graphic>
          </wp:anchor>
        </w:drawing>
      </w:r>
    </w:p>
    <w:p w:rsidR="00083DB7" w:rsidRDefault="00083DB7"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p>
    <w:p w:rsidR="00083DB7" w:rsidRDefault="00083DB7" w:rsidP="001E5BE4">
      <w:pPr>
        <w:pStyle w:val="Tesi"/>
        <w:tabs>
          <w:tab w:val="clear" w:pos="709"/>
          <w:tab w:val="left" w:pos="3333"/>
        </w:tabs>
        <w:spacing w:line="360" w:lineRule="auto"/>
        <w:ind w:right="1091"/>
        <w:jc w:val="both"/>
        <w:rPr>
          <w:rFonts w:ascii="Times New Roman" w:hAnsi="Times New Roman" w:cs="Courier New"/>
          <w:b/>
          <w:bCs/>
          <w:color w:val="0D0D0D"/>
          <w:sz w:val="24"/>
          <w:szCs w:val="24"/>
          <w:lang w:val="en-GB"/>
        </w:rPr>
      </w:pPr>
      <w:r>
        <w:rPr>
          <w:rFonts w:ascii="Times New Roman" w:hAnsi="Times New Roman" w:cs="Courier New"/>
          <w:b/>
          <w:bCs/>
          <w:color w:val="0D0D0D"/>
          <w:sz w:val="24"/>
          <w:szCs w:val="24"/>
          <w:lang w:val="en-GB"/>
        </w:rPr>
        <w:tab/>
      </w:r>
    </w:p>
    <w:p w:rsidR="007E5013" w:rsidRDefault="007E5013" w:rsidP="001E5BE4">
      <w:pPr>
        <w:pStyle w:val="NormaleWeb"/>
        <w:spacing w:after="0" w:line="360" w:lineRule="auto"/>
        <w:jc w:val="both"/>
        <w:rPr>
          <w:rFonts w:ascii="Times New Roman" w:eastAsia="DejaVu Sans" w:hAnsi="Times New Roman" w:cs="Courier New"/>
          <w:b/>
          <w:bCs/>
          <w:color w:val="0D0D0D"/>
          <w:sz w:val="24"/>
          <w:szCs w:val="24"/>
          <w:lang w:val="en-GB"/>
        </w:rPr>
      </w:pPr>
    </w:p>
    <w:p w:rsidR="007E5013" w:rsidRDefault="007E5013" w:rsidP="001E5BE4">
      <w:pPr>
        <w:pStyle w:val="NormaleWeb"/>
        <w:spacing w:after="0" w:line="360" w:lineRule="auto"/>
        <w:jc w:val="both"/>
        <w:rPr>
          <w:rFonts w:ascii="Times New Roman" w:eastAsia="DejaVu Sans" w:hAnsi="Times New Roman" w:cs="Courier New"/>
          <w:b/>
          <w:bCs/>
          <w:color w:val="0D0D0D"/>
          <w:sz w:val="24"/>
          <w:szCs w:val="24"/>
          <w:lang w:val="en-GB"/>
        </w:rPr>
      </w:pPr>
    </w:p>
    <w:p w:rsidR="00271128" w:rsidRPr="008409BD" w:rsidRDefault="007E5013" w:rsidP="001E5BE4">
      <w:pPr>
        <w:pStyle w:val="NormaleWeb"/>
        <w:spacing w:after="0" w:line="360" w:lineRule="auto"/>
        <w:jc w:val="both"/>
        <w:rPr>
          <w:rFonts w:ascii="Times New Roman" w:hAnsi="Times New Roman"/>
          <w:color w:val="0D0D0D"/>
          <w:lang w:val="en-GB"/>
        </w:rPr>
      </w:pPr>
      <w:r>
        <w:rPr>
          <w:rFonts w:ascii="Times New Roman" w:eastAsia="DejaVu Sans" w:hAnsi="Times New Roman" w:cs="Courier New"/>
          <w:b/>
          <w:bCs/>
          <w:color w:val="0D0D0D"/>
          <w:sz w:val="24"/>
          <w:szCs w:val="24"/>
          <w:lang w:val="en-GB"/>
        </w:rPr>
        <w:tab/>
      </w:r>
      <w:r w:rsidR="00083DB7" w:rsidRPr="00083DB7">
        <w:rPr>
          <w:rFonts w:ascii="Times New Roman" w:hAnsi="Times New Roman" w:cs="Courier New"/>
          <w:b/>
          <w:bCs/>
          <w:color w:val="0D0D0D"/>
          <w:sz w:val="20"/>
          <w:szCs w:val="20"/>
          <w:lang w:val="en-GB"/>
        </w:rPr>
        <w:t xml:space="preserve">Fig. 7 </w:t>
      </w:r>
      <w:r w:rsidR="00271128" w:rsidRPr="000B442E">
        <w:rPr>
          <w:rFonts w:ascii="Times New Roman" w:hAnsi="Times New Roman"/>
          <w:bCs/>
          <w:color w:val="0D0D0D"/>
          <w:lang w:val="en-GB"/>
        </w:rPr>
        <w:t xml:space="preserve">Aree dove </w:t>
      </w:r>
      <w:r w:rsidR="00271128">
        <w:rPr>
          <w:rFonts w:ascii="Times New Roman" w:hAnsi="Times New Roman"/>
          <w:bCs/>
          <w:color w:val="0D0D0D"/>
          <w:lang w:val="en-GB"/>
        </w:rPr>
        <w:t>i</w:t>
      </w:r>
      <w:r w:rsidR="00271128" w:rsidRPr="000B442E">
        <w:rPr>
          <w:rFonts w:ascii="Times New Roman" w:hAnsi="Times New Roman"/>
          <w:bCs/>
          <w:color w:val="0D0D0D"/>
          <w:lang w:val="en-GB"/>
        </w:rPr>
        <w:t xml:space="preserve"> pazienti trattati presentano valori di </w:t>
      </w:r>
      <w:r w:rsidR="00271128">
        <w:rPr>
          <w:rFonts w:ascii="Times New Roman" w:hAnsi="Times New Roman"/>
          <w:b/>
          <w:bCs/>
          <w:color w:val="0D0D0D"/>
          <w:lang w:val="en-GB"/>
        </w:rPr>
        <w:t>MD</w:t>
      </w:r>
      <w:r w:rsidR="00271128" w:rsidRPr="000B442E">
        <w:rPr>
          <w:rFonts w:ascii="Times New Roman" w:hAnsi="Times New Roman"/>
          <w:bCs/>
          <w:color w:val="0D0D0D"/>
          <w:lang w:val="en-GB"/>
        </w:rPr>
        <w:t xml:space="preserve"> significativamente più </w:t>
      </w:r>
      <w:r w:rsidR="00271128">
        <w:rPr>
          <w:rFonts w:ascii="Times New Roman" w:hAnsi="Times New Roman"/>
          <w:bCs/>
          <w:color w:val="0D0D0D"/>
          <w:lang w:val="en-GB"/>
        </w:rPr>
        <w:t>alti</w:t>
      </w:r>
      <w:r w:rsidR="00271128" w:rsidRPr="000B442E">
        <w:rPr>
          <w:rFonts w:ascii="Times New Roman" w:hAnsi="Times New Roman"/>
          <w:color w:val="0D0D0D"/>
          <w:lang w:val="en-GB"/>
        </w:rPr>
        <w:t>.</w:t>
      </w:r>
    </w:p>
    <w:p w:rsidR="00083DB7" w:rsidRPr="00083DB7" w:rsidRDefault="00083DB7" w:rsidP="001E5BE4">
      <w:pPr>
        <w:pStyle w:val="Tesi"/>
        <w:tabs>
          <w:tab w:val="left" w:pos="8503"/>
        </w:tabs>
        <w:spacing w:line="360" w:lineRule="auto"/>
        <w:ind w:right="1091"/>
        <w:jc w:val="both"/>
        <w:rPr>
          <w:rFonts w:ascii="Times New Roman" w:hAnsi="Times New Roman" w:cs="Courier New"/>
          <w:bCs/>
          <w:color w:val="0D0D0D"/>
          <w:sz w:val="20"/>
          <w:szCs w:val="20"/>
          <w:lang w:val="en-GB"/>
        </w:rPr>
      </w:pPr>
    </w:p>
    <w:p w:rsidR="00083DB7" w:rsidRDefault="00083DB7"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p>
    <w:p w:rsidR="00083DB7" w:rsidRDefault="00083DB7"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r>
        <w:rPr>
          <w:rFonts w:ascii="Times New Roman" w:hAnsi="Times New Roman" w:cs="Courier New"/>
          <w:b/>
          <w:bCs/>
          <w:noProof/>
          <w:color w:val="0D0D0D"/>
          <w:sz w:val="24"/>
          <w:szCs w:val="24"/>
          <w:lang w:val="it-IT" w:eastAsia="it-IT"/>
        </w:rPr>
        <w:drawing>
          <wp:anchor distT="0" distB="0" distL="0" distR="0" simplePos="0" relativeHeight="251693056" behindDoc="0" locked="0" layoutInCell="1" allowOverlap="1">
            <wp:simplePos x="0" y="0"/>
            <wp:positionH relativeFrom="column">
              <wp:posOffset>170180</wp:posOffset>
            </wp:positionH>
            <wp:positionV relativeFrom="paragraph">
              <wp:posOffset>6071235</wp:posOffset>
            </wp:positionV>
            <wp:extent cx="5556250" cy="1597025"/>
            <wp:effectExtent l="0" t="0" r="0" b="0"/>
            <wp:wrapTopAndBottom/>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4">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56250" cy="1597025"/>
                    </a:xfrm>
                    <a:prstGeom prst="rect">
                      <a:avLst/>
                    </a:prstGeom>
                    <a:solidFill>
                      <a:srgbClr val="FFFFFF"/>
                    </a:solidFill>
                    <a:ln>
                      <a:noFill/>
                    </a:ln>
                  </pic:spPr>
                </pic:pic>
              </a:graphicData>
            </a:graphic>
          </wp:anchor>
        </w:drawing>
      </w:r>
      <w:r>
        <w:rPr>
          <w:rFonts w:ascii="Times New Roman" w:hAnsi="Times New Roman" w:cs="Courier New"/>
          <w:b/>
          <w:bCs/>
          <w:noProof/>
          <w:color w:val="0D0D0D"/>
          <w:sz w:val="24"/>
          <w:szCs w:val="24"/>
          <w:lang w:val="it-IT" w:eastAsia="it-IT"/>
        </w:rPr>
        <w:drawing>
          <wp:anchor distT="0" distB="0" distL="0" distR="0" simplePos="0" relativeHeight="251692032" behindDoc="0" locked="0" layoutInCell="1" allowOverlap="1">
            <wp:simplePos x="0" y="0"/>
            <wp:positionH relativeFrom="column">
              <wp:posOffset>170180</wp:posOffset>
            </wp:positionH>
            <wp:positionV relativeFrom="paragraph">
              <wp:posOffset>3689350</wp:posOffset>
            </wp:positionV>
            <wp:extent cx="5556250" cy="2359025"/>
            <wp:effectExtent l="0" t="0" r="0" b="0"/>
            <wp:wrapTopAndBottom/>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5">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56250" cy="2359025"/>
                    </a:xfrm>
                    <a:prstGeom prst="rect">
                      <a:avLst/>
                    </a:prstGeom>
                    <a:solidFill>
                      <a:srgbClr val="FFFFFF"/>
                    </a:solidFill>
                    <a:ln>
                      <a:noFill/>
                    </a:ln>
                  </pic:spPr>
                </pic:pic>
              </a:graphicData>
            </a:graphic>
          </wp:anchor>
        </w:drawing>
      </w:r>
      <w:r>
        <w:rPr>
          <w:rFonts w:ascii="Times New Roman" w:hAnsi="Times New Roman" w:cs="Courier New"/>
          <w:b/>
          <w:bCs/>
          <w:noProof/>
          <w:color w:val="0D0D0D"/>
          <w:sz w:val="24"/>
          <w:szCs w:val="24"/>
          <w:lang w:val="it-IT" w:eastAsia="it-IT"/>
        </w:rPr>
        <w:drawing>
          <wp:anchor distT="0" distB="0" distL="0" distR="0" simplePos="0" relativeHeight="251691008" behindDoc="0" locked="0" layoutInCell="1" allowOverlap="1">
            <wp:simplePos x="0" y="0"/>
            <wp:positionH relativeFrom="column">
              <wp:posOffset>170180</wp:posOffset>
            </wp:positionH>
            <wp:positionV relativeFrom="paragraph">
              <wp:posOffset>1307465</wp:posOffset>
            </wp:positionV>
            <wp:extent cx="5556250" cy="2359025"/>
            <wp:effectExtent l="0" t="0" r="0" b="0"/>
            <wp:wrapTopAndBottom/>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6">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56250" cy="2359025"/>
                    </a:xfrm>
                    <a:prstGeom prst="rect">
                      <a:avLst/>
                    </a:prstGeom>
                    <a:solidFill>
                      <a:srgbClr val="FFFFFF"/>
                    </a:solidFill>
                    <a:ln>
                      <a:noFill/>
                    </a:ln>
                  </pic:spPr>
                </pic:pic>
              </a:graphicData>
            </a:graphic>
          </wp:anchor>
        </w:drawing>
      </w:r>
    </w:p>
    <w:p w:rsidR="00083DB7" w:rsidRDefault="00083DB7"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p>
    <w:p w:rsidR="00083DB7" w:rsidRDefault="00083DB7"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p>
    <w:p w:rsidR="00271128" w:rsidRPr="008409BD" w:rsidRDefault="00083DB7" w:rsidP="001E5BE4">
      <w:pPr>
        <w:pStyle w:val="NormaleWeb"/>
        <w:spacing w:after="0" w:line="360" w:lineRule="auto"/>
        <w:jc w:val="both"/>
        <w:rPr>
          <w:rFonts w:ascii="Times New Roman" w:hAnsi="Times New Roman"/>
          <w:color w:val="0D0D0D"/>
          <w:lang w:val="en-GB"/>
        </w:rPr>
      </w:pPr>
      <w:r>
        <w:rPr>
          <w:rFonts w:ascii="Times New Roman" w:hAnsi="Times New Roman"/>
          <w:b/>
          <w:bCs/>
          <w:color w:val="0D0D0D"/>
          <w:lang w:val="en-GB"/>
        </w:rPr>
        <w:tab/>
      </w:r>
      <w:r w:rsidRPr="008409BD">
        <w:rPr>
          <w:rFonts w:ascii="Times New Roman" w:hAnsi="Times New Roman"/>
          <w:b/>
          <w:bCs/>
          <w:color w:val="0D0D0D"/>
          <w:lang w:val="en-GB"/>
        </w:rPr>
        <w:t xml:space="preserve">Fig. 8 </w:t>
      </w:r>
      <w:r w:rsidR="00271128" w:rsidRPr="000B442E">
        <w:rPr>
          <w:rFonts w:ascii="Times New Roman" w:hAnsi="Times New Roman"/>
          <w:bCs/>
          <w:color w:val="0D0D0D"/>
          <w:lang w:val="en-GB"/>
        </w:rPr>
        <w:t xml:space="preserve">Aree dove </w:t>
      </w:r>
      <w:r w:rsidR="00271128">
        <w:rPr>
          <w:rFonts w:ascii="Times New Roman" w:hAnsi="Times New Roman"/>
          <w:bCs/>
          <w:color w:val="0D0D0D"/>
          <w:lang w:val="en-GB"/>
        </w:rPr>
        <w:t>i</w:t>
      </w:r>
      <w:r w:rsidR="00271128" w:rsidRPr="000B442E">
        <w:rPr>
          <w:rFonts w:ascii="Times New Roman" w:hAnsi="Times New Roman"/>
          <w:bCs/>
          <w:color w:val="0D0D0D"/>
          <w:lang w:val="en-GB"/>
        </w:rPr>
        <w:t xml:space="preserve"> pazienti trattati presentano valori di </w:t>
      </w:r>
      <w:r w:rsidR="00271128">
        <w:rPr>
          <w:rFonts w:ascii="Times New Roman" w:hAnsi="Times New Roman"/>
          <w:b/>
          <w:bCs/>
          <w:color w:val="0D0D0D"/>
          <w:lang w:val="en-GB"/>
        </w:rPr>
        <w:t>AD</w:t>
      </w:r>
      <w:r w:rsidR="00271128" w:rsidRPr="000B442E">
        <w:rPr>
          <w:rFonts w:ascii="Times New Roman" w:hAnsi="Times New Roman"/>
          <w:bCs/>
          <w:color w:val="0D0D0D"/>
          <w:lang w:val="en-GB"/>
        </w:rPr>
        <w:t xml:space="preserve"> significativamente più </w:t>
      </w:r>
      <w:r w:rsidR="00271128">
        <w:rPr>
          <w:rFonts w:ascii="Times New Roman" w:hAnsi="Times New Roman"/>
          <w:bCs/>
          <w:color w:val="0D0D0D"/>
          <w:lang w:val="en-GB"/>
        </w:rPr>
        <w:t>alti</w:t>
      </w:r>
      <w:r w:rsidR="00271128" w:rsidRPr="000B442E">
        <w:rPr>
          <w:rFonts w:ascii="Times New Roman" w:hAnsi="Times New Roman"/>
          <w:color w:val="0D0D0D"/>
          <w:lang w:val="en-GB"/>
        </w:rPr>
        <w:t>.</w:t>
      </w:r>
    </w:p>
    <w:p w:rsidR="00083DB7" w:rsidRDefault="00083DB7" w:rsidP="001E5BE4">
      <w:pPr>
        <w:pStyle w:val="Tesi"/>
        <w:tabs>
          <w:tab w:val="left" w:pos="8503"/>
        </w:tabs>
        <w:spacing w:line="360" w:lineRule="auto"/>
        <w:ind w:left="709" w:right="1091"/>
        <w:jc w:val="both"/>
        <w:rPr>
          <w:rFonts w:ascii="Times New Roman" w:hAnsi="Times New Roman" w:cs="Courier New"/>
          <w:b/>
          <w:bCs/>
          <w:color w:val="0D0D0D"/>
          <w:sz w:val="24"/>
          <w:szCs w:val="24"/>
          <w:lang w:val="en-GB"/>
        </w:rPr>
      </w:pPr>
    </w:p>
    <w:p w:rsidR="00083DB7" w:rsidRDefault="00083DB7"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p>
    <w:p w:rsidR="00026B84" w:rsidRDefault="00026B84" w:rsidP="001E5BE4">
      <w:pPr>
        <w:pStyle w:val="Tesi"/>
        <w:tabs>
          <w:tab w:val="left" w:pos="8503"/>
        </w:tabs>
        <w:spacing w:line="360" w:lineRule="auto"/>
        <w:ind w:right="1091"/>
        <w:jc w:val="both"/>
        <w:rPr>
          <w:rFonts w:ascii="Times New Roman" w:hAnsi="Times New Roman" w:cs="Courier New"/>
          <w:b/>
          <w:bCs/>
          <w:color w:val="0D0D0D"/>
          <w:sz w:val="24"/>
          <w:szCs w:val="24"/>
          <w:lang w:val="en-GB"/>
        </w:rPr>
      </w:pPr>
    </w:p>
    <w:p w:rsidR="00A0541C" w:rsidRDefault="00114618" w:rsidP="001E5BE4">
      <w:pPr>
        <w:pStyle w:val="Tesi"/>
        <w:tabs>
          <w:tab w:val="left" w:pos="8503"/>
        </w:tabs>
        <w:spacing w:line="360" w:lineRule="auto"/>
        <w:ind w:right="1091"/>
        <w:jc w:val="both"/>
        <w:rPr>
          <w:rFonts w:ascii="Times New Roman" w:hAnsi="Times New Roman" w:cs="Times New Roman"/>
          <w:b/>
          <w:bCs/>
          <w:i/>
          <w:iCs/>
          <w:color w:val="0D0D0D"/>
          <w:sz w:val="24"/>
          <w:szCs w:val="24"/>
          <w:lang w:val="en-GB"/>
        </w:rPr>
      </w:pPr>
      <w:r>
        <w:rPr>
          <w:rFonts w:ascii="Times New Roman" w:hAnsi="Times New Roman" w:cs="Courier New"/>
          <w:b/>
          <w:bCs/>
          <w:color w:val="0D0D0D"/>
          <w:sz w:val="24"/>
          <w:szCs w:val="24"/>
          <w:lang w:val="en-GB"/>
        </w:rPr>
        <w:t>4.4.2 E</w:t>
      </w:r>
      <w:r w:rsidR="00B460A6">
        <w:rPr>
          <w:rFonts w:ascii="Times New Roman" w:hAnsi="Times New Roman" w:cs="Courier New"/>
          <w:b/>
          <w:bCs/>
          <w:color w:val="0D0D0D"/>
          <w:sz w:val="24"/>
          <w:szCs w:val="24"/>
          <w:lang w:val="en-GB"/>
        </w:rPr>
        <w:t xml:space="preserve">ffetto del genotipo di </w:t>
      </w:r>
      <w:r w:rsidR="00B460A6">
        <w:rPr>
          <w:rFonts w:ascii="Times New Roman" w:hAnsi="Times New Roman" w:cs="Times New Roman"/>
          <w:b/>
          <w:bCs/>
          <w:i/>
          <w:iCs/>
          <w:color w:val="0D0D0D"/>
          <w:sz w:val="24"/>
          <w:szCs w:val="24"/>
          <w:lang w:val="en-GB"/>
        </w:rPr>
        <w:t>GSK-3β</w:t>
      </w:r>
    </w:p>
    <w:p w:rsidR="00083DB7" w:rsidRPr="00083DB7" w:rsidRDefault="00F222F5" w:rsidP="007E5013">
      <w:pPr>
        <w:pStyle w:val="Tesi"/>
        <w:tabs>
          <w:tab w:val="left" w:pos="8789"/>
        </w:tabs>
        <w:spacing w:line="360" w:lineRule="auto"/>
        <w:ind w:right="1091"/>
        <w:jc w:val="both"/>
        <w:rPr>
          <w:rFonts w:ascii="Times New Roman" w:hAnsi="Times New Roman" w:cs="Times New Roman"/>
          <w:color w:val="0D0D0D"/>
          <w:sz w:val="24"/>
          <w:szCs w:val="24"/>
          <w:lang w:val="en-GB"/>
        </w:rPr>
      </w:pPr>
      <w:r>
        <w:rPr>
          <w:rFonts w:ascii="Times New Roman" w:hAnsi="Times New Roman" w:cs="Times New Roman"/>
          <w:color w:val="0D0D0D"/>
          <w:sz w:val="24"/>
          <w:szCs w:val="24"/>
          <w:lang w:val="en-GB"/>
        </w:rPr>
        <w:t>L</w:t>
      </w:r>
      <w:r w:rsidR="00B460A6">
        <w:rPr>
          <w:rFonts w:ascii="Times New Roman" w:hAnsi="Times New Roman" w:cs="Times New Roman"/>
          <w:color w:val="0D0D0D"/>
          <w:sz w:val="24"/>
          <w:szCs w:val="24"/>
          <w:lang w:val="en-GB"/>
        </w:rPr>
        <w:t>a seconda analisi che abbiamo voluto ri</w:t>
      </w:r>
      <w:r>
        <w:rPr>
          <w:rFonts w:ascii="Times New Roman" w:hAnsi="Times New Roman" w:cs="Times New Roman"/>
          <w:color w:val="0D0D0D"/>
          <w:sz w:val="24"/>
          <w:szCs w:val="24"/>
          <w:lang w:val="en-GB"/>
        </w:rPr>
        <w:t>portare era mirata a comparare i</w:t>
      </w:r>
      <w:r w:rsidR="00B460A6">
        <w:rPr>
          <w:rFonts w:ascii="Times New Roman" w:hAnsi="Times New Roman" w:cs="Times New Roman"/>
          <w:color w:val="0D0D0D"/>
          <w:sz w:val="24"/>
          <w:szCs w:val="24"/>
          <w:lang w:val="en-GB"/>
        </w:rPr>
        <w:t xml:space="preserve"> valori di anisotropia frazionaria insieme con la diffusività assiale, radiale e media negli omozigoti T/T e nei C carriers del nostro campione, considerando l'età, il sesso, l'onset e l'assunzione di litio come covariate. Abbiamo osservato vaste riduzioni di AD, RD e MD nei T/T , principalmente nell'emisfero destro. Nessuna differenza è stata trovato per quanto riguarda la FA. Due clusters di significatività per RD sono stati trovati, entrambi composti da 100 voxel almeno, trala radiazione talamica anteriore e la forceps minor. Le analisi di AD ed MD hanno riportato diversi clusters di più di 26000 e 43000 voxels rispettivamente, mostrano dei picchi nella porzione cortico-spinale destra nella corona radiata superiore e nella parte posteriore destra del limbo della capsula interna.</w:t>
      </w:r>
    </w:p>
    <w:p w:rsidR="00083DB7" w:rsidRDefault="00083DB7" w:rsidP="001E5BE4">
      <w:pPr>
        <w:pStyle w:val="Tesi"/>
        <w:tabs>
          <w:tab w:val="left" w:pos="8503"/>
        </w:tabs>
        <w:spacing w:line="360" w:lineRule="auto"/>
        <w:ind w:right="1091"/>
        <w:jc w:val="both"/>
        <w:rPr>
          <w:rFonts w:ascii="Times New Roman" w:hAnsi="Times New Roman"/>
          <w:sz w:val="24"/>
          <w:szCs w:val="24"/>
        </w:rPr>
      </w:pPr>
    </w:p>
    <w:tbl>
      <w:tblPr>
        <w:tblW w:w="0" w:type="auto"/>
        <w:tblInd w:w="6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55" w:type="dxa"/>
          <w:left w:w="55" w:type="dxa"/>
          <w:bottom w:w="55" w:type="dxa"/>
          <w:right w:w="55" w:type="dxa"/>
        </w:tblCellMar>
        <w:tblLook w:val="0000"/>
      </w:tblPr>
      <w:tblGrid>
        <w:gridCol w:w="1158"/>
        <w:gridCol w:w="1065"/>
        <w:gridCol w:w="1157"/>
        <w:gridCol w:w="1138"/>
        <w:gridCol w:w="1265"/>
        <w:gridCol w:w="1735"/>
        <w:gridCol w:w="1255"/>
      </w:tblGrid>
      <w:tr w:rsidR="00083DB7" w:rsidRPr="008409BD" w:rsidTr="00083DB7">
        <w:trPr>
          <w:trHeight w:val="614"/>
        </w:trPr>
        <w:tc>
          <w:tcPr>
            <w:tcW w:w="1158"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B07E28" w:rsidRDefault="00B07E28" w:rsidP="001E5BE4">
            <w:pPr>
              <w:pStyle w:val="Contenutotabella"/>
              <w:spacing w:line="360" w:lineRule="auto"/>
              <w:jc w:val="center"/>
              <w:rPr>
                <w:rFonts w:ascii="Calibri" w:hAnsi="Calibri"/>
                <w:b/>
                <w:bCs/>
                <w:color w:val="0D0D0D"/>
                <w:sz w:val="20"/>
                <w:szCs w:val="20"/>
              </w:rPr>
            </w:pPr>
            <w:r>
              <w:rPr>
                <w:rFonts w:ascii="Calibri" w:hAnsi="Calibri"/>
                <w:b/>
                <w:bCs/>
                <w:color w:val="0D0D0D"/>
                <w:sz w:val="20"/>
                <w:szCs w:val="20"/>
              </w:rPr>
              <w:t xml:space="preserve">Misure </w:t>
            </w:r>
          </w:p>
          <w:p w:rsidR="00083DB7" w:rsidRPr="008409BD" w:rsidRDefault="00B07E28" w:rsidP="001E5BE4">
            <w:pPr>
              <w:pStyle w:val="Contenutotabella"/>
              <w:spacing w:line="360" w:lineRule="auto"/>
              <w:jc w:val="center"/>
              <w:rPr>
                <w:rFonts w:ascii="Calibri" w:hAnsi="Calibri"/>
                <w:b/>
                <w:bCs/>
                <w:color w:val="0D0D0D"/>
                <w:sz w:val="20"/>
                <w:szCs w:val="20"/>
              </w:rPr>
            </w:pPr>
            <w:r>
              <w:rPr>
                <w:rFonts w:ascii="Calibri" w:hAnsi="Calibri"/>
                <w:b/>
                <w:bCs/>
                <w:color w:val="0D0D0D"/>
                <w:sz w:val="20"/>
                <w:szCs w:val="20"/>
              </w:rPr>
              <w:t>DTI</w:t>
            </w:r>
          </w:p>
        </w:tc>
        <w:tc>
          <w:tcPr>
            <w:tcW w:w="1065"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083DB7" w:rsidRPr="008409BD" w:rsidRDefault="00083DB7" w:rsidP="001E5BE4">
            <w:pPr>
              <w:pStyle w:val="Contenutotabella"/>
              <w:snapToGrid w:val="0"/>
              <w:spacing w:line="360" w:lineRule="auto"/>
              <w:jc w:val="center"/>
              <w:rPr>
                <w:rFonts w:ascii="Calibri" w:hAnsi="Calibri"/>
                <w:b/>
                <w:bCs/>
                <w:color w:val="0D0D0D"/>
                <w:sz w:val="20"/>
                <w:szCs w:val="20"/>
              </w:rPr>
            </w:pPr>
            <w:r w:rsidRPr="008409BD">
              <w:rPr>
                <w:rFonts w:ascii="Calibri" w:hAnsi="Calibri"/>
                <w:b/>
                <w:bCs/>
                <w:color w:val="0D0D0D"/>
                <w:sz w:val="20"/>
                <w:szCs w:val="20"/>
              </w:rPr>
              <w:t>T/T</w:t>
            </w:r>
          </w:p>
        </w:tc>
        <w:tc>
          <w:tcPr>
            <w:tcW w:w="1157"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083DB7" w:rsidRPr="008409BD" w:rsidRDefault="00083DB7" w:rsidP="001E5BE4">
            <w:pPr>
              <w:pStyle w:val="Contenutotabella"/>
              <w:snapToGrid w:val="0"/>
              <w:spacing w:line="360" w:lineRule="auto"/>
              <w:jc w:val="center"/>
              <w:rPr>
                <w:rFonts w:ascii="Calibri" w:hAnsi="Calibri"/>
                <w:b/>
                <w:bCs/>
                <w:color w:val="0D0D0D"/>
                <w:sz w:val="20"/>
                <w:szCs w:val="20"/>
              </w:rPr>
            </w:pPr>
            <w:r w:rsidRPr="008409BD">
              <w:rPr>
                <w:rFonts w:ascii="Calibri" w:hAnsi="Calibri"/>
                <w:b/>
                <w:bCs/>
                <w:color w:val="0D0D0D"/>
                <w:sz w:val="20"/>
                <w:szCs w:val="20"/>
              </w:rPr>
              <w:t>C carriers</w:t>
            </w:r>
          </w:p>
        </w:tc>
        <w:tc>
          <w:tcPr>
            <w:tcW w:w="1138"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083DB7" w:rsidRPr="008409BD" w:rsidRDefault="00B07E28" w:rsidP="001E5BE4">
            <w:pPr>
              <w:pStyle w:val="Contenutotabella"/>
              <w:snapToGrid w:val="0"/>
              <w:spacing w:line="360" w:lineRule="auto"/>
              <w:jc w:val="center"/>
              <w:rPr>
                <w:rFonts w:ascii="Calibri" w:hAnsi="Calibri"/>
                <w:b/>
                <w:bCs/>
                <w:color w:val="0D0D0D"/>
                <w:sz w:val="20"/>
                <w:szCs w:val="20"/>
              </w:rPr>
            </w:pPr>
            <w:r>
              <w:rPr>
                <w:rFonts w:ascii="Calibri" w:hAnsi="Calibri"/>
                <w:b/>
                <w:bCs/>
                <w:color w:val="0D0D0D"/>
                <w:sz w:val="20"/>
                <w:szCs w:val="20"/>
              </w:rPr>
              <w:t>Numero di voxels</w:t>
            </w:r>
          </w:p>
        </w:tc>
        <w:tc>
          <w:tcPr>
            <w:tcW w:w="1265"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083DB7" w:rsidRPr="008409BD" w:rsidRDefault="00B07E28" w:rsidP="001E5BE4">
            <w:pPr>
              <w:pStyle w:val="Contenutotabella"/>
              <w:snapToGrid w:val="0"/>
              <w:spacing w:line="360" w:lineRule="auto"/>
              <w:jc w:val="center"/>
              <w:rPr>
                <w:rFonts w:ascii="Calibri" w:hAnsi="Calibri"/>
                <w:b/>
                <w:bCs/>
                <w:color w:val="0D0D0D"/>
                <w:sz w:val="20"/>
                <w:szCs w:val="20"/>
              </w:rPr>
            </w:pPr>
            <w:r>
              <w:rPr>
                <w:rFonts w:ascii="Calibri" w:hAnsi="Calibri"/>
                <w:b/>
                <w:bCs/>
                <w:color w:val="0D0D0D"/>
                <w:sz w:val="20"/>
                <w:szCs w:val="20"/>
              </w:rPr>
              <w:t>Picco di segnale</w:t>
            </w:r>
          </w:p>
          <w:p w:rsidR="00083DB7" w:rsidRPr="008409BD" w:rsidRDefault="00083DB7" w:rsidP="001E5BE4">
            <w:pPr>
              <w:pStyle w:val="Contenutotabella"/>
              <w:spacing w:line="360" w:lineRule="auto"/>
              <w:jc w:val="center"/>
              <w:rPr>
                <w:rFonts w:ascii="Calibri" w:hAnsi="Calibri"/>
                <w:b/>
                <w:bCs/>
                <w:color w:val="0D0D0D"/>
                <w:sz w:val="20"/>
                <w:szCs w:val="20"/>
              </w:rPr>
            </w:pPr>
            <w:r w:rsidRPr="008409BD">
              <w:rPr>
                <w:rFonts w:ascii="Calibri" w:hAnsi="Calibri"/>
                <w:b/>
                <w:bCs/>
                <w:color w:val="0D0D0D"/>
                <w:sz w:val="20"/>
                <w:szCs w:val="20"/>
              </w:rPr>
              <w:t>(x, y, z)</w:t>
            </w:r>
          </w:p>
        </w:tc>
        <w:tc>
          <w:tcPr>
            <w:tcW w:w="1735"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083DB7" w:rsidRPr="008409BD" w:rsidRDefault="00B07E28" w:rsidP="001E5BE4">
            <w:pPr>
              <w:pStyle w:val="Contenutotabella"/>
              <w:snapToGrid w:val="0"/>
              <w:spacing w:line="360" w:lineRule="auto"/>
              <w:jc w:val="center"/>
              <w:rPr>
                <w:rFonts w:ascii="Calibri" w:hAnsi="Calibri"/>
                <w:b/>
                <w:bCs/>
                <w:color w:val="0D0D0D"/>
                <w:sz w:val="20"/>
                <w:szCs w:val="20"/>
              </w:rPr>
            </w:pPr>
            <w:r>
              <w:rPr>
                <w:rFonts w:ascii="Calibri" w:hAnsi="Calibri"/>
                <w:b/>
                <w:bCs/>
                <w:color w:val="0D0D0D"/>
                <w:sz w:val="20"/>
                <w:szCs w:val="20"/>
              </w:rPr>
              <w:t>Tratto di Bianca al picco</w:t>
            </w:r>
          </w:p>
        </w:tc>
        <w:tc>
          <w:tcPr>
            <w:tcW w:w="1255"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083DB7" w:rsidRPr="008409BD" w:rsidRDefault="00B07E28" w:rsidP="001E5BE4">
            <w:pPr>
              <w:pStyle w:val="Contenutotabella"/>
              <w:snapToGrid w:val="0"/>
              <w:spacing w:line="360" w:lineRule="auto"/>
              <w:jc w:val="center"/>
              <w:rPr>
                <w:rFonts w:ascii="Calibri" w:hAnsi="Calibri"/>
                <w:b/>
                <w:bCs/>
                <w:color w:val="0D0D0D"/>
                <w:sz w:val="20"/>
                <w:szCs w:val="20"/>
              </w:rPr>
            </w:pPr>
            <w:r>
              <w:rPr>
                <w:rFonts w:ascii="Calibri" w:hAnsi="Calibri"/>
                <w:b/>
                <w:bCs/>
                <w:color w:val="0D0D0D"/>
                <w:sz w:val="20"/>
                <w:szCs w:val="20"/>
              </w:rPr>
              <w:t>Direzione dell’effetto</w:t>
            </w:r>
          </w:p>
        </w:tc>
      </w:tr>
      <w:tr w:rsidR="00083DB7" w:rsidRPr="008409BD" w:rsidTr="00083DB7">
        <w:tc>
          <w:tcPr>
            <w:tcW w:w="1158" w:type="dxa"/>
            <w:tcBorders>
              <w:top w:val="single" w:sz="18" w:space="0" w:color="000000"/>
            </w:tcBorders>
            <w:shd w:val="clear" w:color="auto" w:fill="auto"/>
            <w:vAlign w:val="center"/>
          </w:tcPr>
          <w:p w:rsidR="00083DB7" w:rsidRPr="008409BD" w:rsidRDefault="00B07E28" w:rsidP="001E5BE4">
            <w:pPr>
              <w:pStyle w:val="Contenutotabella"/>
              <w:snapToGrid w:val="0"/>
              <w:spacing w:line="360" w:lineRule="auto"/>
              <w:jc w:val="center"/>
              <w:rPr>
                <w:rFonts w:ascii="Calibri" w:hAnsi="Calibri"/>
                <w:b/>
                <w:color w:val="0D0D0D"/>
                <w:sz w:val="20"/>
                <w:szCs w:val="20"/>
              </w:rPr>
            </w:pPr>
            <w:r>
              <w:rPr>
                <w:rFonts w:ascii="Calibri" w:hAnsi="Calibri"/>
                <w:b/>
                <w:color w:val="0D0D0D"/>
                <w:sz w:val="20"/>
                <w:szCs w:val="20"/>
              </w:rPr>
              <w:t>Diffusività Assiale</w:t>
            </w:r>
          </w:p>
        </w:tc>
        <w:tc>
          <w:tcPr>
            <w:tcW w:w="1065" w:type="dxa"/>
            <w:tcBorders>
              <w:top w:val="single" w:sz="18" w:space="0" w:color="000000"/>
            </w:tcBorders>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11.99±</w:t>
            </w:r>
          </w:p>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1.8</w:t>
            </w:r>
          </w:p>
        </w:tc>
        <w:tc>
          <w:tcPr>
            <w:tcW w:w="1157" w:type="dxa"/>
            <w:tcBorders>
              <w:top w:val="single" w:sz="18" w:space="0" w:color="000000"/>
            </w:tcBorders>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12.37±</w:t>
            </w:r>
          </w:p>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1.78</w:t>
            </w:r>
          </w:p>
        </w:tc>
        <w:tc>
          <w:tcPr>
            <w:tcW w:w="1138" w:type="dxa"/>
            <w:tcBorders>
              <w:top w:val="single" w:sz="18" w:space="0" w:color="000000"/>
            </w:tcBorders>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26962</w:t>
            </w:r>
          </w:p>
        </w:tc>
        <w:tc>
          <w:tcPr>
            <w:tcW w:w="1265" w:type="dxa"/>
            <w:tcBorders>
              <w:top w:val="single" w:sz="18" w:space="0" w:color="000000"/>
            </w:tcBorders>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21  -25  40</w:t>
            </w:r>
          </w:p>
        </w:tc>
        <w:tc>
          <w:tcPr>
            <w:tcW w:w="1735" w:type="dxa"/>
            <w:tcBorders>
              <w:top w:val="single" w:sz="18" w:space="0" w:color="000000"/>
            </w:tcBorders>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Corticospinal tract R (Superior corona radiata)</w:t>
            </w:r>
          </w:p>
        </w:tc>
        <w:tc>
          <w:tcPr>
            <w:tcW w:w="1255" w:type="dxa"/>
            <w:tcBorders>
              <w:top w:val="single" w:sz="18" w:space="0" w:color="000000"/>
            </w:tcBorders>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T/T &lt; C carriers</w:t>
            </w:r>
          </w:p>
        </w:tc>
      </w:tr>
      <w:tr w:rsidR="00083DB7" w:rsidRPr="008409BD" w:rsidTr="00083DB7">
        <w:trPr>
          <w:trHeight w:val="810"/>
        </w:trPr>
        <w:tc>
          <w:tcPr>
            <w:tcW w:w="1158" w:type="dxa"/>
            <w:vMerge w:val="restart"/>
            <w:shd w:val="clear" w:color="auto" w:fill="auto"/>
            <w:vAlign w:val="center"/>
          </w:tcPr>
          <w:p w:rsidR="00083DB7" w:rsidRPr="008409BD" w:rsidRDefault="00B07E28" w:rsidP="001E5BE4">
            <w:pPr>
              <w:pStyle w:val="Contenutotabella"/>
              <w:snapToGrid w:val="0"/>
              <w:spacing w:line="360" w:lineRule="auto"/>
              <w:jc w:val="center"/>
              <w:rPr>
                <w:rFonts w:ascii="Calibri" w:hAnsi="Calibri"/>
                <w:b/>
                <w:color w:val="0D0D0D"/>
                <w:sz w:val="20"/>
                <w:szCs w:val="20"/>
              </w:rPr>
            </w:pPr>
            <w:r>
              <w:rPr>
                <w:rFonts w:ascii="Calibri" w:hAnsi="Calibri"/>
                <w:b/>
                <w:color w:val="0D0D0D"/>
                <w:sz w:val="20"/>
                <w:szCs w:val="20"/>
              </w:rPr>
              <w:t>Diffusività Radiale</w:t>
            </w:r>
          </w:p>
        </w:tc>
        <w:tc>
          <w:tcPr>
            <w:tcW w:w="1065" w:type="dxa"/>
            <w:vMerge w:val="restart"/>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5.35±</w:t>
            </w:r>
          </w:p>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0.84</w:t>
            </w:r>
          </w:p>
        </w:tc>
        <w:tc>
          <w:tcPr>
            <w:tcW w:w="1157" w:type="dxa"/>
            <w:vMerge w:val="restart"/>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5.57±</w:t>
            </w:r>
          </w:p>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0.86</w:t>
            </w:r>
          </w:p>
        </w:tc>
        <w:tc>
          <w:tcPr>
            <w:tcW w:w="1138" w:type="dxa"/>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33444</w:t>
            </w:r>
          </w:p>
        </w:tc>
        <w:tc>
          <w:tcPr>
            <w:tcW w:w="1265" w:type="dxa"/>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27  31  19</w:t>
            </w:r>
          </w:p>
        </w:tc>
        <w:tc>
          <w:tcPr>
            <w:tcW w:w="1735" w:type="dxa"/>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Anterior thalamic radiation R</w:t>
            </w:r>
          </w:p>
        </w:tc>
        <w:tc>
          <w:tcPr>
            <w:tcW w:w="1255" w:type="dxa"/>
            <w:vMerge w:val="restart"/>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T/T &lt; C carriers</w:t>
            </w:r>
          </w:p>
        </w:tc>
      </w:tr>
      <w:tr w:rsidR="00083DB7" w:rsidRPr="008409BD" w:rsidTr="00083DB7">
        <w:trPr>
          <w:trHeight w:val="810"/>
        </w:trPr>
        <w:tc>
          <w:tcPr>
            <w:tcW w:w="1158" w:type="dxa"/>
            <w:vMerge/>
            <w:shd w:val="clear" w:color="auto" w:fill="auto"/>
            <w:vAlign w:val="center"/>
          </w:tcPr>
          <w:p w:rsidR="00083DB7" w:rsidRPr="008409BD" w:rsidRDefault="00083DB7" w:rsidP="001E5BE4">
            <w:pPr>
              <w:pStyle w:val="Contenutotabella"/>
              <w:snapToGrid w:val="0"/>
              <w:spacing w:line="360" w:lineRule="auto"/>
              <w:jc w:val="center"/>
              <w:rPr>
                <w:rFonts w:ascii="Calibri" w:hAnsi="Calibri"/>
                <w:b/>
                <w:color w:val="0D0D0D"/>
                <w:sz w:val="20"/>
                <w:szCs w:val="20"/>
              </w:rPr>
            </w:pPr>
          </w:p>
        </w:tc>
        <w:tc>
          <w:tcPr>
            <w:tcW w:w="1065" w:type="dxa"/>
            <w:vMerge/>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p>
        </w:tc>
        <w:tc>
          <w:tcPr>
            <w:tcW w:w="1157" w:type="dxa"/>
            <w:vMerge/>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p>
        </w:tc>
        <w:tc>
          <w:tcPr>
            <w:tcW w:w="1138" w:type="dxa"/>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124</w:t>
            </w:r>
          </w:p>
        </w:tc>
        <w:tc>
          <w:tcPr>
            <w:tcW w:w="1265" w:type="dxa"/>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-16  54  7</w:t>
            </w:r>
          </w:p>
        </w:tc>
        <w:tc>
          <w:tcPr>
            <w:tcW w:w="1735" w:type="dxa"/>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Forceps minor L</w:t>
            </w:r>
          </w:p>
        </w:tc>
        <w:tc>
          <w:tcPr>
            <w:tcW w:w="1255" w:type="dxa"/>
            <w:vMerge/>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p>
        </w:tc>
      </w:tr>
      <w:tr w:rsidR="00083DB7" w:rsidRPr="008409BD" w:rsidTr="00083DB7">
        <w:tc>
          <w:tcPr>
            <w:tcW w:w="1158" w:type="dxa"/>
            <w:shd w:val="clear" w:color="auto" w:fill="auto"/>
            <w:vAlign w:val="center"/>
          </w:tcPr>
          <w:p w:rsidR="00083DB7" w:rsidRPr="008409BD" w:rsidRDefault="00B07E28" w:rsidP="001E5BE4">
            <w:pPr>
              <w:pStyle w:val="Contenutotabella"/>
              <w:snapToGrid w:val="0"/>
              <w:spacing w:line="360" w:lineRule="auto"/>
              <w:jc w:val="center"/>
              <w:rPr>
                <w:rFonts w:ascii="Calibri" w:hAnsi="Calibri"/>
                <w:b/>
                <w:color w:val="0D0D0D"/>
                <w:sz w:val="20"/>
                <w:szCs w:val="20"/>
              </w:rPr>
            </w:pPr>
            <w:r>
              <w:rPr>
                <w:rFonts w:ascii="Calibri" w:hAnsi="Calibri"/>
                <w:b/>
                <w:color w:val="0D0D0D"/>
                <w:sz w:val="20"/>
                <w:szCs w:val="20"/>
              </w:rPr>
              <w:t>Diffusività Media</w:t>
            </w:r>
          </w:p>
        </w:tc>
        <w:tc>
          <w:tcPr>
            <w:tcW w:w="1065" w:type="dxa"/>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7.56±</w:t>
            </w:r>
          </w:p>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0.53</w:t>
            </w:r>
          </w:p>
        </w:tc>
        <w:tc>
          <w:tcPr>
            <w:tcW w:w="1157" w:type="dxa"/>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7.77±</w:t>
            </w:r>
          </w:p>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0.53</w:t>
            </w:r>
          </w:p>
        </w:tc>
        <w:tc>
          <w:tcPr>
            <w:tcW w:w="1138" w:type="dxa"/>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43414</w:t>
            </w:r>
          </w:p>
        </w:tc>
        <w:tc>
          <w:tcPr>
            <w:tcW w:w="1265" w:type="dxa"/>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19  -9  1</w:t>
            </w:r>
          </w:p>
        </w:tc>
        <w:tc>
          <w:tcPr>
            <w:tcW w:w="1735" w:type="dxa"/>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Corticospinal tract R (Posterior limb of internal capsule)</w:t>
            </w:r>
          </w:p>
        </w:tc>
        <w:tc>
          <w:tcPr>
            <w:tcW w:w="1255" w:type="dxa"/>
            <w:shd w:val="clear" w:color="auto" w:fill="auto"/>
            <w:vAlign w:val="center"/>
          </w:tcPr>
          <w:p w:rsidR="00083DB7" w:rsidRPr="008409BD" w:rsidRDefault="00083DB7"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T/T &lt; C carriers</w:t>
            </w:r>
          </w:p>
        </w:tc>
      </w:tr>
    </w:tbl>
    <w:p w:rsidR="007E5013" w:rsidRDefault="007E5013" w:rsidP="007E5013">
      <w:pPr>
        <w:tabs>
          <w:tab w:val="center" w:pos="2760"/>
        </w:tabs>
        <w:autoSpaceDE w:val="0"/>
        <w:spacing w:after="100" w:line="360" w:lineRule="auto"/>
        <w:ind w:right="849"/>
        <w:jc w:val="both"/>
        <w:rPr>
          <w:rFonts w:eastAsia="Calibri" w:cs="Calibri"/>
          <w:b/>
          <w:bCs/>
          <w:color w:val="0D0D0D"/>
          <w:lang w:val="en-GB"/>
        </w:rPr>
      </w:pPr>
    </w:p>
    <w:p w:rsidR="00B8390D" w:rsidRPr="00D81125" w:rsidRDefault="00D81125" w:rsidP="007E5013">
      <w:pPr>
        <w:tabs>
          <w:tab w:val="center" w:pos="2760"/>
        </w:tabs>
        <w:autoSpaceDE w:val="0"/>
        <w:spacing w:after="100" w:line="360" w:lineRule="auto"/>
        <w:ind w:right="849"/>
        <w:jc w:val="both"/>
        <w:rPr>
          <w:rFonts w:ascii="Times New Roman" w:eastAsia="Calibri" w:hAnsi="Times New Roman" w:cs="Times New Roman"/>
          <w:color w:val="0D0D0D"/>
          <w:lang w:val="en-GB"/>
        </w:rPr>
      </w:pPr>
      <w:r w:rsidRPr="00D81125">
        <w:rPr>
          <w:rFonts w:ascii="Times New Roman" w:eastAsia="Calibri" w:hAnsi="Times New Roman" w:cs="Times New Roman"/>
          <w:b/>
          <w:bCs/>
          <w:color w:val="0D0D0D"/>
          <w:lang w:val="en-GB"/>
        </w:rPr>
        <w:t>Tabella</w:t>
      </w:r>
      <w:r w:rsidR="00B07E28" w:rsidRPr="00D81125">
        <w:rPr>
          <w:rFonts w:ascii="Times New Roman" w:eastAsia="Calibri" w:hAnsi="Times New Roman" w:cs="Times New Roman"/>
          <w:b/>
          <w:bCs/>
          <w:color w:val="0D0D0D"/>
          <w:lang w:val="en-GB"/>
        </w:rPr>
        <w:t xml:space="preserve"> 5</w:t>
      </w:r>
      <w:r w:rsidR="00B07E28" w:rsidRPr="00D81125">
        <w:rPr>
          <w:rFonts w:ascii="Times New Roman" w:eastAsia="Calibri" w:hAnsi="Times New Roman" w:cs="Times New Roman"/>
          <w:color w:val="0D0D0D"/>
          <w:lang w:val="en-GB"/>
        </w:rPr>
        <w:t xml:space="preserve"> </w:t>
      </w:r>
      <w:r w:rsidRPr="00D81125">
        <w:rPr>
          <w:rFonts w:ascii="Times New Roman" w:eastAsia="Calibri" w:hAnsi="Times New Roman" w:cs="Times New Roman"/>
          <w:color w:val="0D0D0D"/>
          <w:lang w:val="en-GB"/>
        </w:rPr>
        <w:t>Confronto tra gli</w:t>
      </w:r>
      <w:r w:rsidR="00B8390D" w:rsidRPr="00D81125">
        <w:rPr>
          <w:rFonts w:ascii="Times New Roman" w:eastAsia="Calibri" w:hAnsi="Times New Roman" w:cs="Times New Roman"/>
          <w:color w:val="0D0D0D"/>
          <w:lang w:val="en-GB"/>
        </w:rPr>
        <w:t xml:space="preserve"> om</w:t>
      </w:r>
      <w:r w:rsidRPr="00D81125">
        <w:rPr>
          <w:rFonts w:ascii="Times New Roman" w:eastAsia="Calibri" w:hAnsi="Times New Roman" w:cs="Times New Roman"/>
          <w:color w:val="0D0D0D"/>
          <w:lang w:val="en-GB"/>
        </w:rPr>
        <w:t>ozigoti T/T e</w:t>
      </w:r>
      <w:r w:rsidR="00B8390D" w:rsidRPr="00D81125">
        <w:rPr>
          <w:rFonts w:ascii="Times New Roman" w:eastAsia="Calibri" w:hAnsi="Times New Roman" w:cs="Times New Roman"/>
          <w:color w:val="0D0D0D"/>
          <w:lang w:val="en-GB"/>
        </w:rPr>
        <w:t xml:space="preserve"> </w:t>
      </w:r>
      <w:r w:rsidRPr="00D81125">
        <w:rPr>
          <w:rFonts w:ascii="Times New Roman" w:eastAsia="Calibri" w:hAnsi="Times New Roman" w:cs="Times New Roman"/>
          <w:color w:val="0D0D0D"/>
          <w:lang w:val="en-GB"/>
        </w:rPr>
        <w:t>i</w:t>
      </w:r>
      <w:r w:rsidR="00B8390D" w:rsidRPr="00D81125">
        <w:rPr>
          <w:rFonts w:ascii="Times New Roman" w:eastAsia="Calibri" w:hAnsi="Times New Roman" w:cs="Times New Roman"/>
          <w:color w:val="0D0D0D"/>
          <w:lang w:val="en-GB"/>
        </w:rPr>
        <w:t xml:space="preserve"> C-carriers. I valori delle misure DTI di AD, MD e RD (media</w:t>
      </w:r>
      <w:r w:rsidR="00B07E28" w:rsidRPr="00D81125">
        <w:rPr>
          <w:rFonts w:ascii="Times New Roman" w:eastAsia="Calibri" w:hAnsi="Times New Roman" w:cs="Times New Roman"/>
          <w:color w:val="0D0D0D"/>
          <w:lang w:val="en-GB"/>
        </w:rPr>
        <w:t xml:space="preserve"> </w:t>
      </w:r>
      <w:r w:rsidR="00B8390D" w:rsidRPr="00D81125">
        <w:rPr>
          <w:rFonts w:ascii="Times New Roman" w:eastAsia="Calibri" w:hAnsi="Times New Roman" w:cs="Times New Roman"/>
          <w:color w:val="0D0D0D"/>
          <w:lang w:val="en-GB"/>
        </w:rPr>
        <w:t xml:space="preserve">± </w:t>
      </w:r>
      <w:r w:rsidR="00EB42CB">
        <w:rPr>
          <w:rFonts w:ascii="Times New Roman" w:eastAsia="Calibri" w:hAnsi="Times New Roman" w:cs="Times New Roman"/>
          <w:color w:val="0D0D0D"/>
          <w:lang w:val="en-GB"/>
        </w:rPr>
        <w:t>DS) sono mostrati per entrambi i</w:t>
      </w:r>
      <w:r w:rsidR="00B8390D" w:rsidRPr="00D81125">
        <w:rPr>
          <w:rFonts w:ascii="Times New Roman" w:eastAsia="Calibri" w:hAnsi="Times New Roman" w:cs="Times New Roman"/>
          <w:color w:val="0D0D0D"/>
          <w:lang w:val="en-GB"/>
        </w:rPr>
        <w:t xml:space="preserve"> gruppi, considerando le regi</w:t>
      </w:r>
      <w:r>
        <w:rPr>
          <w:rFonts w:ascii="Times New Roman" w:eastAsia="Calibri" w:hAnsi="Times New Roman" w:cs="Times New Roman"/>
          <w:color w:val="0D0D0D"/>
          <w:lang w:val="en-GB"/>
        </w:rPr>
        <w:t>oni di bianca d</w:t>
      </w:r>
      <w:r w:rsidR="00EB42CB">
        <w:rPr>
          <w:rFonts w:ascii="Times New Roman" w:eastAsia="Calibri" w:hAnsi="Times New Roman" w:cs="Times New Roman"/>
          <w:color w:val="0D0D0D"/>
          <w:lang w:val="en-GB"/>
        </w:rPr>
        <w:t>ove i</w:t>
      </w:r>
      <w:r w:rsidR="00B8390D" w:rsidRPr="00D81125">
        <w:rPr>
          <w:rFonts w:ascii="Times New Roman" w:eastAsia="Calibri" w:hAnsi="Times New Roman" w:cs="Times New Roman"/>
          <w:color w:val="0D0D0D"/>
          <w:lang w:val="en-GB"/>
        </w:rPr>
        <w:t xml:space="preserve"> due gruppi differiscono maggiormente. Le dimensioni dei cluster (numero di voxels, mm</w:t>
      </w:r>
      <w:r w:rsidR="00B8390D" w:rsidRPr="00D81125">
        <w:rPr>
          <w:rFonts w:ascii="Times New Roman" w:eastAsia="Calibri" w:hAnsi="Times New Roman" w:cs="Times New Roman"/>
          <w:color w:val="0D0D0D"/>
          <w:vertAlign w:val="superscript"/>
          <w:lang w:val="en-GB"/>
        </w:rPr>
        <w:t>3</w:t>
      </w:r>
      <w:r w:rsidR="00EB42CB">
        <w:rPr>
          <w:rFonts w:ascii="Times New Roman" w:eastAsia="Calibri" w:hAnsi="Times New Roman" w:cs="Times New Roman"/>
          <w:color w:val="0D0D0D"/>
          <w:lang w:val="en-GB"/>
        </w:rPr>
        <w:t>) e i</w:t>
      </w:r>
      <w:r w:rsidR="00B8390D" w:rsidRPr="00D81125">
        <w:rPr>
          <w:rFonts w:ascii="Times New Roman" w:eastAsia="Calibri" w:hAnsi="Times New Roman" w:cs="Times New Roman"/>
          <w:color w:val="0D0D0D"/>
          <w:lang w:val="en-GB"/>
        </w:rPr>
        <w:t xml:space="preserve"> fasci di bianca coinvolti sono mostrati per le regioni che mostrano le differenze più alte per valori TBSS (picco di segnale, coordinate MNI).</w:t>
      </w:r>
    </w:p>
    <w:p w:rsidR="00083DB7" w:rsidRDefault="00083DB7" w:rsidP="001E5BE4">
      <w:pPr>
        <w:pStyle w:val="Tesi"/>
        <w:tabs>
          <w:tab w:val="left" w:pos="8503"/>
        </w:tabs>
        <w:spacing w:line="360" w:lineRule="auto"/>
        <w:ind w:right="1091"/>
        <w:jc w:val="both"/>
        <w:rPr>
          <w:rFonts w:ascii="Times New Roman" w:hAnsi="Times New Roman"/>
          <w:sz w:val="24"/>
          <w:szCs w:val="24"/>
        </w:rPr>
      </w:pPr>
    </w:p>
    <w:p w:rsidR="00083DB7" w:rsidRDefault="00083DB7" w:rsidP="001E5BE4">
      <w:pPr>
        <w:pStyle w:val="Tesi"/>
        <w:tabs>
          <w:tab w:val="left" w:pos="8503"/>
        </w:tabs>
        <w:spacing w:line="360" w:lineRule="auto"/>
        <w:ind w:right="1091"/>
        <w:jc w:val="both"/>
        <w:rPr>
          <w:rFonts w:ascii="Times New Roman" w:hAnsi="Times New Roman"/>
          <w:sz w:val="24"/>
          <w:szCs w:val="24"/>
        </w:rPr>
      </w:pPr>
    </w:p>
    <w:p w:rsidR="00083DB7" w:rsidRDefault="001A144A" w:rsidP="001E5BE4">
      <w:pPr>
        <w:pStyle w:val="Tesi"/>
        <w:tabs>
          <w:tab w:val="left" w:pos="8503"/>
        </w:tabs>
        <w:spacing w:line="360" w:lineRule="auto"/>
        <w:ind w:right="1091"/>
        <w:jc w:val="both"/>
        <w:rPr>
          <w:rFonts w:ascii="Times New Roman" w:hAnsi="Times New Roman"/>
          <w:sz w:val="24"/>
          <w:szCs w:val="24"/>
        </w:rPr>
      </w:pPr>
      <w:r>
        <w:rPr>
          <w:rFonts w:ascii="Times New Roman" w:hAnsi="Times New Roman"/>
          <w:b/>
          <w:bCs/>
          <w:color w:val="0D0D0D"/>
          <w:lang w:val="en-GB"/>
        </w:rPr>
        <w:tab/>
      </w:r>
      <w:r w:rsidRPr="008409BD">
        <w:rPr>
          <w:rFonts w:ascii="Times New Roman" w:hAnsi="Times New Roman"/>
          <w:b/>
          <w:bCs/>
          <w:color w:val="0D0D0D"/>
          <w:lang w:val="en-GB"/>
        </w:rPr>
        <w:t xml:space="preserve">Fig. 9 </w:t>
      </w:r>
      <w:r w:rsidR="00DA0582">
        <w:rPr>
          <w:rFonts w:ascii="Times New Roman" w:hAnsi="Times New Roman"/>
          <w:color w:val="0D0D0D"/>
          <w:lang w:val="en-GB"/>
        </w:rPr>
        <w:t xml:space="preserve">Aree dove gli omozigoti T/T presentano valori di </w:t>
      </w:r>
      <w:r w:rsidR="00DA0582" w:rsidRPr="00DA0582">
        <w:rPr>
          <w:rFonts w:ascii="Times New Roman" w:hAnsi="Times New Roman"/>
          <w:b/>
          <w:color w:val="0D0D0D"/>
          <w:lang w:val="en-GB"/>
        </w:rPr>
        <w:t>AD</w:t>
      </w:r>
      <w:r w:rsidR="00DA0582">
        <w:rPr>
          <w:rFonts w:ascii="Times New Roman" w:hAnsi="Times New Roman"/>
          <w:color w:val="0D0D0D"/>
          <w:lang w:val="en-GB"/>
        </w:rPr>
        <w:t xml:space="preserve"> significativamente più bassi</w:t>
      </w:r>
      <w:r>
        <w:rPr>
          <w:rFonts w:ascii="Times New Roman" w:hAnsi="Times New Roman"/>
          <w:noProof/>
          <w:sz w:val="24"/>
          <w:szCs w:val="24"/>
        </w:rPr>
        <w:t xml:space="preserve"> </w:t>
      </w:r>
      <w:r w:rsidR="00367195">
        <w:rPr>
          <w:rFonts w:ascii="Times New Roman" w:hAnsi="Times New Roman"/>
          <w:noProof/>
          <w:sz w:val="24"/>
          <w:szCs w:val="24"/>
          <w:lang w:val="it-IT" w:eastAsia="it-IT"/>
        </w:rPr>
        <w:drawing>
          <wp:anchor distT="0" distB="0" distL="0" distR="0" simplePos="0" relativeHeight="251695104" behindDoc="0" locked="0" layoutInCell="1" allowOverlap="1">
            <wp:simplePos x="0" y="0"/>
            <wp:positionH relativeFrom="column">
              <wp:posOffset>228600</wp:posOffset>
            </wp:positionH>
            <wp:positionV relativeFrom="paragraph">
              <wp:posOffset>6743700</wp:posOffset>
            </wp:positionV>
            <wp:extent cx="5556885" cy="1562735"/>
            <wp:effectExtent l="0" t="0" r="0" b="0"/>
            <wp:wrapTopAndBottom/>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7">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56885" cy="1562735"/>
                    </a:xfrm>
                    <a:prstGeom prst="rect">
                      <a:avLst/>
                    </a:prstGeom>
                    <a:solidFill>
                      <a:srgbClr val="FFFFFF"/>
                    </a:solidFill>
                    <a:ln>
                      <a:noFill/>
                    </a:ln>
                  </pic:spPr>
                </pic:pic>
              </a:graphicData>
            </a:graphic>
          </wp:anchor>
        </w:drawing>
      </w:r>
      <w:r w:rsidR="00367195">
        <w:rPr>
          <w:rFonts w:ascii="Times New Roman" w:hAnsi="Times New Roman"/>
          <w:noProof/>
          <w:sz w:val="24"/>
          <w:szCs w:val="24"/>
          <w:lang w:val="it-IT" w:eastAsia="it-IT"/>
        </w:rPr>
        <w:drawing>
          <wp:anchor distT="0" distB="0" distL="0" distR="0" simplePos="0" relativeHeight="251694080" behindDoc="0" locked="0" layoutInCell="1" allowOverlap="1">
            <wp:simplePos x="0" y="0"/>
            <wp:positionH relativeFrom="column">
              <wp:posOffset>228600</wp:posOffset>
            </wp:positionH>
            <wp:positionV relativeFrom="paragraph">
              <wp:posOffset>0</wp:posOffset>
            </wp:positionV>
            <wp:extent cx="5556885" cy="6678930"/>
            <wp:effectExtent l="0" t="0" r="0" b="0"/>
            <wp:wrapTopAndBottom/>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8">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56885" cy="6678930"/>
                    </a:xfrm>
                    <a:prstGeom prst="rect">
                      <a:avLst/>
                    </a:prstGeom>
                    <a:solidFill>
                      <a:srgbClr val="FFFFFF"/>
                    </a:solidFill>
                    <a:ln>
                      <a:noFill/>
                    </a:ln>
                  </pic:spPr>
                </pic:pic>
              </a:graphicData>
            </a:graphic>
          </wp:anchor>
        </w:drawing>
      </w:r>
    </w:p>
    <w:p w:rsidR="00367195" w:rsidRPr="00595224" w:rsidRDefault="001A144A" w:rsidP="001E5BE4">
      <w:pPr>
        <w:pStyle w:val="Tesi"/>
        <w:tabs>
          <w:tab w:val="left" w:pos="8503"/>
        </w:tabs>
        <w:spacing w:line="360" w:lineRule="auto"/>
        <w:ind w:right="1091"/>
        <w:jc w:val="both"/>
        <w:rPr>
          <w:rFonts w:ascii="Times New Roman" w:hAnsi="Times New Roman"/>
          <w:sz w:val="24"/>
          <w:szCs w:val="24"/>
        </w:rPr>
      </w:pPr>
      <w:r>
        <w:rPr>
          <w:rFonts w:ascii="Times New Roman" w:hAnsi="Times New Roman"/>
          <w:b/>
          <w:bCs/>
          <w:color w:val="0D0D0D"/>
          <w:lang w:val="en-GB"/>
        </w:rPr>
        <w:tab/>
      </w:r>
      <w:r w:rsidRPr="008409BD">
        <w:rPr>
          <w:rFonts w:ascii="Times New Roman" w:hAnsi="Times New Roman"/>
          <w:b/>
          <w:bCs/>
          <w:color w:val="0D0D0D"/>
          <w:lang w:val="en-GB"/>
        </w:rPr>
        <w:t xml:space="preserve">Fig. 10 </w:t>
      </w:r>
      <w:r w:rsidR="00367195">
        <w:rPr>
          <w:rFonts w:ascii="Times New Roman" w:hAnsi="Times New Roman"/>
          <w:noProof/>
          <w:sz w:val="24"/>
          <w:szCs w:val="24"/>
          <w:lang w:val="it-IT" w:eastAsia="it-IT"/>
        </w:rPr>
        <w:drawing>
          <wp:anchor distT="0" distB="0" distL="0" distR="0" simplePos="0" relativeHeight="251697152" behindDoc="0" locked="0" layoutInCell="1" allowOverlap="1">
            <wp:simplePos x="0" y="0"/>
            <wp:positionH relativeFrom="column">
              <wp:posOffset>386715</wp:posOffset>
            </wp:positionH>
            <wp:positionV relativeFrom="paragraph">
              <wp:posOffset>6743700</wp:posOffset>
            </wp:positionV>
            <wp:extent cx="5556885" cy="1565275"/>
            <wp:effectExtent l="0" t="0" r="0" b="0"/>
            <wp:wrapTopAndBottom/>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9">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56885" cy="1565275"/>
                    </a:xfrm>
                    <a:prstGeom prst="rect">
                      <a:avLst/>
                    </a:prstGeom>
                    <a:solidFill>
                      <a:srgbClr val="FFFFFF"/>
                    </a:solidFill>
                    <a:ln>
                      <a:noFill/>
                    </a:ln>
                  </pic:spPr>
                </pic:pic>
              </a:graphicData>
            </a:graphic>
          </wp:anchor>
        </w:drawing>
      </w:r>
      <w:r w:rsidR="00367195">
        <w:rPr>
          <w:rFonts w:ascii="Times New Roman" w:hAnsi="Times New Roman"/>
          <w:noProof/>
          <w:sz w:val="24"/>
          <w:szCs w:val="24"/>
          <w:lang w:val="it-IT" w:eastAsia="it-IT"/>
        </w:rPr>
        <w:drawing>
          <wp:anchor distT="0" distB="0" distL="0" distR="0" simplePos="0" relativeHeight="251696128" behindDoc="0" locked="0" layoutInCell="1" allowOverlap="1">
            <wp:simplePos x="0" y="0"/>
            <wp:positionH relativeFrom="column">
              <wp:posOffset>342900</wp:posOffset>
            </wp:positionH>
            <wp:positionV relativeFrom="paragraph">
              <wp:posOffset>0</wp:posOffset>
            </wp:positionV>
            <wp:extent cx="5556885" cy="6673850"/>
            <wp:effectExtent l="0" t="0" r="0" b="0"/>
            <wp:wrapTopAndBottom/>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0">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56885" cy="6673850"/>
                    </a:xfrm>
                    <a:prstGeom prst="rect">
                      <a:avLst/>
                    </a:prstGeom>
                    <a:solidFill>
                      <a:srgbClr val="FFFFFF"/>
                    </a:solidFill>
                    <a:ln>
                      <a:noFill/>
                    </a:ln>
                  </pic:spPr>
                </pic:pic>
              </a:graphicData>
            </a:graphic>
          </wp:anchor>
        </w:drawing>
      </w:r>
      <w:r w:rsidR="00595224">
        <w:rPr>
          <w:rFonts w:ascii="Times New Roman" w:hAnsi="Times New Roman"/>
          <w:bCs/>
          <w:color w:val="0D0D0D"/>
          <w:lang w:val="en-GB"/>
        </w:rPr>
        <w:t xml:space="preserve">Aree dove gli omzigoti T/T presentano valori di </w:t>
      </w:r>
      <w:r w:rsidR="00595224" w:rsidRPr="00595224">
        <w:rPr>
          <w:rFonts w:ascii="Times New Roman" w:hAnsi="Times New Roman"/>
          <w:b/>
          <w:bCs/>
          <w:color w:val="0D0D0D"/>
          <w:lang w:val="en-GB"/>
        </w:rPr>
        <w:t>RD</w:t>
      </w:r>
      <w:r w:rsidR="00595224">
        <w:rPr>
          <w:rFonts w:ascii="Times New Roman" w:hAnsi="Times New Roman"/>
          <w:bCs/>
          <w:color w:val="0D0D0D"/>
          <w:lang w:val="en-GB"/>
        </w:rPr>
        <w:t xml:space="preserve"> significativamente più bassi</w:t>
      </w:r>
    </w:p>
    <w:p w:rsidR="00367195" w:rsidRPr="0005178D" w:rsidRDefault="001A144A" w:rsidP="001E5BE4">
      <w:pPr>
        <w:pStyle w:val="Tesi"/>
        <w:tabs>
          <w:tab w:val="left" w:pos="8503"/>
        </w:tabs>
        <w:spacing w:line="360" w:lineRule="auto"/>
        <w:ind w:right="1091"/>
        <w:jc w:val="both"/>
        <w:rPr>
          <w:rFonts w:ascii="Times New Roman" w:hAnsi="Times New Roman"/>
          <w:sz w:val="24"/>
          <w:szCs w:val="24"/>
        </w:rPr>
      </w:pPr>
      <w:r>
        <w:rPr>
          <w:rFonts w:ascii="Times New Roman" w:hAnsi="Times New Roman"/>
          <w:b/>
          <w:bCs/>
          <w:color w:val="0D0D0D"/>
          <w:lang w:val="en-GB"/>
        </w:rPr>
        <w:tab/>
      </w:r>
      <w:r w:rsidRPr="008409BD">
        <w:rPr>
          <w:rFonts w:ascii="Times New Roman" w:hAnsi="Times New Roman"/>
          <w:b/>
          <w:bCs/>
          <w:color w:val="0D0D0D"/>
          <w:lang w:val="en-GB"/>
        </w:rPr>
        <w:t xml:space="preserve">Fig. 11 </w:t>
      </w:r>
      <w:r w:rsidR="00367195">
        <w:rPr>
          <w:rFonts w:ascii="Times New Roman" w:hAnsi="Times New Roman"/>
          <w:noProof/>
          <w:sz w:val="24"/>
          <w:szCs w:val="24"/>
          <w:lang w:val="it-IT" w:eastAsia="it-IT"/>
        </w:rPr>
        <w:drawing>
          <wp:anchor distT="0" distB="0" distL="0" distR="0" simplePos="0" relativeHeight="251699200" behindDoc="0" locked="0" layoutInCell="1" allowOverlap="1">
            <wp:simplePos x="0" y="0"/>
            <wp:positionH relativeFrom="column">
              <wp:posOffset>180340</wp:posOffset>
            </wp:positionH>
            <wp:positionV relativeFrom="paragraph">
              <wp:posOffset>7035165</wp:posOffset>
            </wp:positionV>
            <wp:extent cx="5556885" cy="1597025"/>
            <wp:effectExtent l="0" t="0" r="0" b="0"/>
            <wp:wrapTopAndBottom/>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1">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56885" cy="1597025"/>
                    </a:xfrm>
                    <a:prstGeom prst="rect">
                      <a:avLst/>
                    </a:prstGeom>
                    <a:solidFill>
                      <a:srgbClr val="FFFFFF"/>
                    </a:solidFill>
                    <a:ln>
                      <a:noFill/>
                    </a:ln>
                  </pic:spPr>
                </pic:pic>
              </a:graphicData>
            </a:graphic>
          </wp:anchor>
        </w:drawing>
      </w:r>
      <w:r w:rsidR="00367195">
        <w:rPr>
          <w:rFonts w:ascii="Times New Roman" w:hAnsi="Times New Roman"/>
          <w:noProof/>
          <w:sz w:val="24"/>
          <w:szCs w:val="24"/>
          <w:lang w:val="it-IT" w:eastAsia="it-IT"/>
        </w:rPr>
        <w:drawing>
          <wp:anchor distT="0" distB="0" distL="0" distR="0" simplePos="0" relativeHeight="251698176" behindDoc="0" locked="0" layoutInCell="1" allowOverlap="1">
            <wp:simplePos x="0" y="0"/>
            <wp:positionH relativeFrom="column">
              <wp:align>center</wp:align>
            </wp:positionH>
            <wp:positionV relativeFrom="paragraph">
              <wp:posOffset>360045</wp:posOffset>
            </wp:positionV>
            <wp:extent cx="5556885" cy="6652895"/>
            <wp:effectExtent l="0" t="0" r="0" b="0"/>
            <wp:wrapTopAndBottom/>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2">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56885" cy="6652895"/>
                    </a:xfrm>
                    <a:prstGeom prst="rect">
                      <a:avLst/>
                    </a:prstGeom>
                    <a:solidFill>
                      <a:srgbClr val="FFFFFF"/>
                    </a:solidFill>
                    <a:ln>
                      <a:noFill/>
                    </a:ln>
                  </pic:spPr>
                </pic:pic>
              </a:graphicData>
            </a:graphic>
          </wp:anchor>
        </w:drawing>
      </w:r>
      <w:r w:rsidR="0005178D">
        <w:rPr>
          <w:rFonts w:ascii="Times New Roman" w:hAnsi="Times New Roman"/>
          <w:bCs/>
          <w:color w:val="0D0D0D"/>
          <w:lang w:val="en-GB"/>
        </w:rPr>
        <w:t>Aree dove gli mozigoti T/T presentano valori di MD significativamente più bassi</w:t>
      </w:r>
    </w:p>
    <w:p w:rsidR="00367195" w:rsidRDefault="00367195" w:rsidP="001E5BE4">
      <w:pPr>
        <w:pStyle w:val="Tesi"/>
        <w:tabs>
          <w:tab w:val="left" w:pos="8503"/>
        </w:tabs>
        <w:spacing w:line="360" w:lineRule="auto"/>
        <w:ind w:right="1091"/>
        <w:jc w:val="both"/>
        <w:rPr>
          <w:rFonts w:ascii="Times New Roman" w:hAnsi="Times New Roman"/>
          <w:sz w:val="24"/>
          <w:szCs w:val="24"/>
        </w:rPr>
      </w:pPr>
    </w:p>
    <w:p w:rsidR="00A0541C" w:rsidRDefault="00B460A6" w:rsidP="001E5BE4">
      <w:pPr>
        <w:pStyle w:val="Tesi"/>
        <w:tabs>
          <w:tab w:val="left" w:pos="8503"/>
        </w:tabs>
        <w:spacing w:line="360" w:lineRule="auto"/>
        <w:ind w:right="1091"/>
        <w:jc w:val="both"/>
        <w:rPr>
          <w:rFonts w:ascii="Times New Roman" w:hAnsi="Times New Roman" w:cs="Times New Roman"/>
          <w:b/>
          <w:bCs/>
          <w:i/>
          <w:iCs/>
          <w:color w:val="0D0D0D"/>
          <w:sz w:val="24"/>
          <w:szCs w:val="24"/>
          <w:lang w:val="en-GB"/>
        </w:rPr>
      </w:pPr>
      <w:r>
        <w:rPr>
          <w:rFonts w:ascii="Times New Roman" w:hAnsi="Times New Roman"/>
          <w:b/>
          <w:bCs/>
          <w:sz w:val="24"/>
          <w:szCs w:val="24"/>
        </w:rPr>
        <w:t xml:space="preserve">4.4.3 Effetto del trattamento con litio e del polimorfismo di GSK- </w:t>
      </w:r>
      <w:r>
        <w:rPr>
          <w:rFonts w:ascii="Times New Roman" w:hAnsi="Times New Roman" w:cs="Times New Roman"/>
          <w:b/>
          <w:bCs/>
          <w:i/>
          <w:iCs/>
          <w:color w:val="0D0D0D"/>
          <w:sz w:val="24"/>
          <w:szCs w:val="24"/>
          <w:lang w:val="en-GB"/>
        </w:rPr>
        <w:t>3β</w:t>
      </w:r>
    </w:p>
    <w:p w:rsidR="00A0541C" w:rsidRDefault="00B460A6" w:rsidP="001E5BE4">
      <w:pPr>
        <w:pStyle w:val="Tesi"/>
        <w:tabs>
          <w:tab w:val="left" w:pos="8503"/>
        </w:tabs>
        <w:spacing w:line="360" w:lineRule="auto"/>
        <w:ind w:right="1091"/>
        <w:jc w:val="both"/>
        <w:rPr>
          <w:rFonts w:ascii="Times New Roman" w:hAnsi="Times New Roman" w:cs="Times New Roman"/>
          <w:color w:val="0D0D0D"/>
          <w:sz w:val="24"/>
          <w:szCs w:val="24"/>
          <w:lang w:val="en-GB"/>
        </w:rPr>
      </w:pPr>
      <w:r>
        <w:rPr>
          <w:rFonts w:ascii="Times New Roman" w:hAnsi="Times New Roman" w:cs="Times New Roman"/>
          <w:color w:val="0D0D0D"/>
          <w:sz w:val="24"/>
          <w:szCs w:val="24"/>
          <w:lang w:val="en-GB"/>
        </w:rPr>
        <w:t>a causa dei risultati ottenuti che comprendono gli effetti sia del polimorfismo sia del trattamento farmacologico, la nostra successiva analisi voleva mettere in evidenza l'eventuale in</w:t>
      </w:r>
      <w:r w:rsidR="00EB42CB">
        <w:rPr>
          <w:rFonts w:ascii="Times New Roman" w:hAnsi="Times New Roman" w:cs="Times New Roman"/>
          <w:color w:val="0D0D0D"/>
          <w:sz w:val="24"/>
          <w:szCs w:val="24"/>
          <w:lang w:val="en-GB"/>
        </w:rPr>
        <w:t>terazione tra i</w:t>
      </w:r>
      <w:r>
        <w:rPr>
          <w:rFonts w:ascii="Times New Roman" w:hAnsi="Times New Roman" w:cs="Times New Roman"/>
          <w:color w:val="0D0D0D"/>
          <w:sz w:val="24"/>
          <w:szCs w:val="24"/>
          <w:lang w:val="en-GB"/>
        </w:rPr>
        <w:t xml:space="preserve"> due effetti e il risultato sulla struttura della sostanza bianca. Pertanto abbiamo usato due strategie di stratificazione per testare questa ipotesi:</w:t>
      </w:r>
    </w:p>
    <w:p w:rsidR="00A0541C" w:rsidRDefault="00367195" w:rsidP="001E5BE4">
      <w:pPr>
        <w:pStyle w:val="Tesi"/>
        <w:numPr>
          <w:ilvl w:val="0"/>
          <w:numId w:val="8"/>
        </w:numPr>
        <w:tabs>
          <w:tab w:val="clear" w:pos="720"/>
          <w:tab w:val="left" w:pos="709"/>
          <w:tab w:val="left" w:pos="8503"/>
        </w:tabs>
        <w:spacing w:line="360" w:lineRule="auto"/>
        <w:ind w:right="991"/>
        <w:jc w:val="both"/>
        <w:rPr>
          <w:rFonts w:ascii="Times New Roman" w:hAnsi="Times New Roman" w:cs="Times New Roman"/>
          <w:color w:val="0D0D0D"/>
          <w:sz w:val="24"/>
          <w:szCs w:val="24"/>
          <w:lang w:val="en-GB"/>
        </w:rPr>
      </w:pPr>
      <w:r>
        <w:rPr>
          <w:rFonts w:ascii="Times New Roman" w:hAnsi="Times New Roman" w:cs="Times New Roman"/>
          <w:color w:val="0D0D0D"/>
          <w:sz w:val="24"/>
          <w:szCs w:val="24"/>
          <w:lang w:val="en-GB"/>
        </w:rPr>
        <w:t>A</w:t>
      </w:r>
      <w:r w:rsidR="00B460A6">
        <w:rPr>
          <w:rFonts w:ascii="Times New Roman" w:hAnsi="Times New Roman" w:cs="Times New Roman"/>
          <w:color w:val="0D0D0D"/>
          <w:sz w:val="24"/>
          <w:szCs w:val="24"/>
          <w:lang w:val="en-GB"/>
        </w:rPr>
        <w:t>bbiamo diviso il campione in 4 gruppi: T/T omozigoti che prendevano il litio negli ultimi sei mesi, T/T omozigoti chenon prendevano litio, C carriers con trattamento di litio in corso e C carriers chenon avevano preso il litio negli ultimi sei mesi.</w:t>
      </w:r>
    </w:p>
    <w:p w:rsidR="00A0541C" w:rsidRDefault="00B460A6" w:rsidP="001E5BE4">
      <w:pPr>
        <w:pStyle w:val="Tesi"/>
        <w:numPr>
          <w:ilvl w:val="0"/>
          <w:numId w:val="8"/>
        </w:numPr>
        <w:tabs>
          <w:tab w:val="clear" w:pos="720"/>
          <w:tab w:val="left" w:pos="709"/>
          <w:tab w:val="left" w:pos="8503"/>
        </w:tabs>
        <w:spacing w:line="360" w:lineRule="auto"/>
        <w:ind w:right="991"/>
        <w:jc w:val="both"/>
        <w:rPr>
          <w:rFonts w:ascii="Times New Roman" w:hAnsi="Times New Roman" w:cs="Times New Roman"/>
          <w:color w:val="0D0D0D"/>
          <w:sz w:val="24"/>
          <w:szCs w:val="24"/>
          <w:lang w:val="en-GB"/>
        </w:rPr>
      </w:pPr>
      <w:r>
        <w:rPr>
          <w:rFonts w:ascii="Times New Roman" w:hAnsi="Times New Roman" w:cs="Times New Roman"/>
          <w:color w:val="0D0D0D"/>
          <w:sz w:val="24"/>
          <w:szCs w:val="24"/>
          <w:lang w:val="en-GB"/>
        </w:rPr>
        <w:t>Abbiamo poi paragonat</w:t>
      </w:r>
      <w:r w:rsidR="00EB42CB">
        <w:rPr>
          <w:rFonts w:ascii="Times New Roman" w:hAnsi="Times New Roman" w:cs="Times New Roman"/>
          <w:color w:val="0D0D0D"/>
          <w:sz w:val="24"/>
          <w:szCs w:val="24"/>
          <w:lang w:val="en-GB"/>
        </w:rPr>
        <w:t>o A) i C carriers trattati con i</w:t>
      </w:r>
      <w:r>
        <w:rPr>
          <w:rFonts w:ascii="Times New Roman" w:hAnsi="Times New Roman" w:cs="Times New Roman"/>
          <w:color w:val="0D0D0D"/>
          <w:sz w:val="24"/>
          <w:szCs w:val="24"/>
          <w:lang w:val="en-GB"/>
        </w:rPr>
        <w:t xml:space="preserve"> C carriers non trattati, e T/T trattati con T/T non trattati; e infine B) C carriers trattati con T/T trattati e C carrier non trattati con T/T trattati.</w:t>
      </w:r>
    </w:p>
    <w:p w:rsidR="00A0541C" w:rsidRDefault="00A0541C" w:rsidP="001E5BE4">
      <w:pPr>
        <w:pStyle w:val="Tesi"/>
        <w:tabs>
          <w:tab w:val="left" w:pos="8503"/>
        </w:tabs>
        <w:spacing w:line="360" w:lineRule="auto"/>
        <w:jc w:val="both"/>
        <w:rPr>
          <w:rFonts w:ascii="Times New Roman" w:hAnsi="Times New Roman"/>
          <w:sz w:val="24"/>
          <w:szCs w:val="24"/>
        </w:rPr>
      </w:pPr>
    </w:p>
    <w:p w:rsidR="00A0541C" w:rsidRPr="00367195" w:rsidRDefault="00B460A6" w:rsidP="001E5BE4">
      <w:pPr>
        <w:pStyle w:val="Tesi"/>
        <w:tabs>
          <w:tab w:val="left" w:pos="8503"/>
        </w:tabs>
        <w:spacing w:line="360" w:lineRule="auto"/>
        <w:jc w:val="both"/>
        <w:rPr>
          <w:rFonts w:ascii="Times New Roman" w:hAnsi="Times New Roman" w:cs="Times New Roman"/>
          <w:i/>
          <w:color w:val="0D0D0D"/>
          <w:sz w:val="24"/>
          <w:szCs w:val="24"/>
          <w:u w:val="single"/>
          <w:lang w:val="en-GB"/>
        </w:rPr>
      </w:pPr>
      <w:r w:rsidRPr="00367195">
        <w:rPr>
          <w:rFonts w:ascii="Times New Roman" w:hAnsi="Times New Roman" w:cs="Times New Roman"/>
          <w:i/>
          <w:color w:val="0D0D0D"/>
          <w:sz w:val="24"/>
          <w:szCs w:val="24"/>
          <w:u w:val="single"/>
          <w:lang w:val="en-GB"/>
        </w:rPr>
        <w:t>Effetto del litio nel gruppo C carriers:</w:t>
      </w:r>
    </w:p>
    <w:p w:rsidR="00A0541C" w:rsidRDefault="00B460A6" w:rsidP="001E5BE4">
      <w:pPr>
        <w:pStyle w:val="Tesi"/>
        <w:tabs>
          <w:tab w:val="left" w:pos="8503"/>
        </w:tabs>
        <w:spacing w:after="0" w:line="360" w:lineRule="auto"/>
        <w:ind w:right="1091"/>
        <w:jc w:val="both"/>
        <w:rPr>
          <w:rFonts w:ascii="Times New Roman" w:hAnsi="Times New Roman"/>
          <w:sz w:val="24"/>
          <w:szCs w:val="24"/>
        </w:rPr>
      </w:pPr>
      <w:r>
        <w:rPr>
          <w:rFonts w:ascii="Times New Roman" w:hAnsi="Times New Roman"/>
          <w:sz w:val="24"/>
          <w:szCs w:val="24"/>
        </w:rPr>
        <w:t>Nella prima analisi di interazione, abbiamo voluto testare se l'effetto del litio persisteva nel gruppo dei C carriers</w:t>
      </w:r>
      <w:r w:rsidR="00EB42CB">
        <w:rPr>
          <w:rFonts w:ascii="Times New Roman" w:hAnsi="Times New Roman"/>
          <w:sz w:val="24"/>
          <w:szCs w:val="24"/>
        </w:rPr>
        <w:t>; pertanto abbiamo confrontato i valori di FA, AD, RD e MD tra i</w:t>
      </w:r>
      <w:r>
        <w:rPr>
          <w:rFonts w:ascii="Times New Roman" w:hAnsi="Times New Roman"/>
          <w:sz w:val="24"/>
          <w:szCs w:val="24"/>
        </w:rPr>
        <w:t xml:space="preserve"> c Carriers trattati con litio (n=13) e quelli non trattati (n=30), prendendo in considerazione età, sesso e onset come covariate nel modello. Abbiamo osservato riduzioni ampie della FA e aumento di RD ed MD nei pazienti trattati rispetto ai non trattati. Nessuna differenza è stata osservata per quanto riguarda la AD. Le analisi di FA riportano un cluster esteso composto da piu di 23000 voxels il cui picco è situato nella forceps minor.</w:t>
      </w:r>
    </w:p>
    <w:p w:rsidR="00A0541C" w:rsidRDefault="00B460A6" w:rsidP="001E5BE4">
      <w:pPr>
        <w:pStyle w:val="Tesi"/>
        <w:tabs>
          <w:tab w:val="left" w:pos="8503"/>
        </w:tabs>
        <w:spacing w:after="0" w:line="360" w:lineRule="auto"/>
        <w:ind w:right="1091"/>
        <w:jc w:val="both"/>
        <w:rPr>
          <w:rFonts w:ascii="Times New Roman" w:hAnsi="Times New Roman"/>
          <w:sz w:val="24"/>
          <w:szCs w:val="24"/>
        </w:rPr>
      </w:pPr>
      <w:r>
        <w:rPr>
          <w:rFonts w:ascii="Times New Roman" w:hAnsi="Times New Roman"/>
          <w:sz w:val="24"/>
          <w:szCs w:val="24"/>
        </w:rPr>
        <w:t>Le analisi dell' RD l</w:t>
      </w:r>
      <w:r w:rsidR="00EB42CB">
        <w:rPr>
          <w:rFonts w:ascii="Times New Roman" w:hAnsi="Times New Roman"/>
          <w:sz w:val="24"/>
          <w:szCs w:val="24"/>
        </w:rPr>
        <w:t>ocalizzano invece due clusters i</w:t>
      </w:r>
      <w:r>
        <w:rPr>
          <w:rFonts w:ascii="Times New Roman" w:hAnsi="Times New Roman"/>
          <w:sz w:val="24"/>
          <w:szCs w:val="24"/>
        </w:rPr>
        <w:t xml:space="preserve"> cui picchi sono localizzati nella forceps minor sinistra e nel fascicolo longitudinale inferiore destro. Quattro dei dodici clusters di significatività per le analisi della MD sono formati da piu di 1000 voxels e mostrano picchi localizzati nella forceps minor, major, fascicolo longitudinale fronto-occipitale destro e fascicolo longitudinale inferiore sinistro.</w:t>
      </w:r>
    </w:p>
    <w:p w:rsidR="00A0541C" w:rsidRDefault="00A0541C" w:rsidP="001E5BE4">
      <w:pPr>
        <w:pStyle w:val="Tesi"/>
        <w:tabs>
          <w:tab w:val="left" w:pos="8503"/>
        </w:tabs>
        <w:spacing w:after="0" w:line="360" w:lineRule="auto"/>
        <w:ind w:right="1091"/>
        <w:jc w:val="both"/>
        <w:rPr>
          <w:rFonts w:ascii="Times New Roman" w:hAnsi="Times New Roman"/>
          <w:sz w:val="24"/>
          <w:szCs w:val="24"/>
        </w:rPr>
      </w:pPr>
    </w:p>
    <w:p w:rsidR="00302282" w:rsidRDefault="00302282" w:rsidP="001E5BE4">
      <w:pPr>
        <w:pStyle w:val="Tesi"/>
        <w:tabs>
          <w:tab w:val="left" w:pos="8503"/>
        </w:tabs>
        <w:spacing w:after="0" w:line="360" w:lineRule="auto"/>
        <w:ind w:right="1091"/>
        <w:jc w:val="both"/>
        <w:rPr>
          <w:rFonts w:ascii="Times New Roman" w:hAnsi="Times New Roman"/>
          <w:i/>
          <w:sz w:val="24"/>
          <w:szCs w:val="24"/>
          <w:u w:val="single"/>
        </w:rPr>
      </w:pPr>
    </w:p>
    <w:p w:rsidR="00302282" w:rsidRDefault="00302282" w:rsidP="001E5BE4">
      <w:pPr>
        <w:pStyle w:val="Tesi"/>
        <w:tabs>
          <w:tab w:val="left" w:pos="8503"/>
        </w:tabs>
        <w:spacing w:after="0" w:line="360" w:lineRule="auto"/>
        <w:ind w:right="1091"/>
        <w:jc w:val="both"/>
        <w:rPr>
          <w:rFonts w:ascii="Times New Roman" w:hAnsi="Times New Roman"/>
          <w:i/>
          <w:sz w:val="24"/>
          <w:szCs w:val="24"/>
          <w:u w:val="single"/>
        </w:rPr>
      </w:pPr>
    </w:p>
    <w:p w:rsidR="00302282" w:rsidRDefault="00302282" w:rsidP="001E5BE4">
      <w:pPr>
        <w:pStyle w:val="Tesi"/>
        <w:tabs>
          <w:tab w:val="left" w:pos="8503"/>
        </w:tabs>
        <w:spacing w:after="0" w:line="360" w:lineRule="auto"/>
        <w:ind w:right="1091"/>
        <w:jc w:val="both"/>
        <w:rPr>
          <w:rFonts w:ascii="Times New Roman" w:hAnsi="Times New Roman"/>
          <w:i/>
          <w:sz w:val="24"/>
          <w:szCs w:val="24"/>
          <w:u w:val="single"/>
        </w:rPr>
      </w:pPr>
    </w:p>
    <w:p w:rsidR="00302282" w:rsidRDefault="00302282" w:rsidP="001E5BE4">
      <w:pPr>
        <w:pStyle w:val="Tesi"/>
        <w:tabs>
          <w:tab w:val="left" w:pos="8503"/>
        </w:tabs>
        <w:spacing w:after="0" w:line="360" w:lineRule="auto"/>
        <w:ind w:right="1091"/>
        <w:jc w:val="both"/>
        <w:rPr>
          <w:rFonts w:ascii="Times New Roman" w:hAnsi="Times New Roman"/>
          <w:i/>
          <w:sz w:val="24"/>
          <w:szCs w:val="24"/>
          <w:u w:val="single"/>
        </w:rPr>
      </w:pPr>
    </w:p>
    <w:tbl>
      <w:tblPr>
        <w:tblW w:w="0" w:type="auto"/>
        <w:tblInd w:w="6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55" w:type="dxa"/>
          <w:left w:w="55" w:type="dxa"/>
          <w:bottom w:w="55" w:type="dxa"/>
          <w:right w:w="55" w:type="dxa"/>
        </w:tblCellMar>
        <w:tblLook w:val="0000"/>
      </w:tblPr>
      <w:tblGrid>
        <w:gridCol w:w="1265"/>
        <w:gridCol w:w="1175"/>
        <w:gridCol w:w="1211"/>
        <w:gridCol w:w="1138"/>
        <w:gridCol w:w="1247"/>
        <w:gridCol w:w="1536"/>
        <w:gridCol w:w="1206"/>
      </w:tblGrid>
      <w:tr w:rsidR="00302282" w:rsidRPr="008409BD" w:rsidTr="00302282">
        <w:trPr>
          <w:trHeight w:val="614"/>
        </w:trPr>
        <w:tc>
          <w:tcPr>
            <w:tcW w:w="1265"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302282" w:rsidRPr="008409BD" w:rsidRDefault="00FB77AB" w:rsidP="001E5BE4">
            <w:pPr>
              <w:pStyle w:val="Contenutotabella"/>
              <w:spacing w:line="360" w:lineRule="auto"/>
              <w:jc w:val="center"/>
              <w:rPr>
                <w:rFonts w:ascii="Calibri" w:hAnsi="Calibri"/>
                <w:b/>
                <w:bCs/>
                <w:color w:val="0D0D0D"/>
                <w:sz w:val="20"/>
                <w:szCs w:val="20"/>
              </w:rPr>
            </w:pPr>
            <w:r>
              <w:rPr>
                <w:rFonts w:ascii="Calibri" w:hAnsi="Calibri"/>
                <w:b/>
                <w:bCs/>
                <w:color w:val="0D0D0D"/>
                <w:sz w:val="20"/>
                <w:szCs w:val="20"/>
              </w:rPr>
              <w:t>Misure DTI</w:t>
            </w:r>
          </w:p>
        </w:tc>
        <w:tc>
          <w:tcPr>
            <w:tcW w:w="1175"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302282" w:rsidRPr="008409BD" w:rsidRDefault="00302282" w:rsidP="001E5BE4">
            <w:pPr>
              <w:pStyle w:val="Contenutotabella"/>
              <w:snapToGrid w:val="0"/>
              <w:spacing w:line="360" w:lineRule="auto"/>
              <w:jc w:val="center"/>
              <w:rPr>
                <w:rFonts w:ascii="Calibri" w:hAnsi="Calibri"/>
                <w:b/>
                <w:bCs/>
                <w:color w:val="0D0D0D"/>
                <w:sz w:val="20"/>
                <w:szCs w:val="20"/>
              </w:rPr>
            </w:pPr>
            <w:r w:rsidRPr="008409BD">
              <w:rPr>
                <w:rFonts w:ascii="Calibri" w:hAnsi="Calibri"/>
                <w:b/>
                <w:bCs/>
                <w:color w:val="0D0D0D"/>
                <w:sz w:val="20"/>
                <w:szCs w:val="20"/>
              </w:rPr>
              <w:t xml:space="preserve">C carriers </w:t>
            </w:r>
            <w:r w:rsidR="00FB77AB">
              <w:rPr>
                <w:rFonts w:ascii="Calibri" w:hAnsi="Calibri"/>
                <w:b/>
                <w:bCs/>
                <w:color w:val="0D0D0D"/>
                <w:sz w:val="20"/>
                <w:szCs w:val="20"/>
              </w:rPr>
              <w:t>trattati con litio</w:t>
            </w:r>
          </w:p>
        </w:tc>
        <w:tc>
          <w:tcPr>
            <w:tcW w:w="1211"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302282" w:rsidRPr="008409BD" w:rsidRDefault="00302282" w:rsidP="001E5BE4">
            <w:pPr>
              <w:pStyle w:val="Contenutotabella"/>
              <w:snapToGrid w:val="0"/>
              <w:spacing w:line="360" w:lineRule="auto"/>
              <w:jc w:val="center"/>
              <w:rPr>
                <w:rFonts w:ascii="Calibri" w:hAnsi="Calibri"/>
                <w:b/>
                <w:bCs/>
                <w:color w:val="0D0D0D"/>
                <w:sz w:val="20"/>
                <w:szCs w:val="20"/>
              </w:rPr>
            </w:pPr>
            <w:r w:rsidRPr="008409BD">
              <w:rPr>
                <w:rFonts w:ascii="Calibri" w:hAnsi="Calibri"/>
                <w:b/>
                <w:bCs/>
                <w:color w:val="0D0D0D"/>
                <w:sz w:val="20"/>
                <w:szCs w:val="20"/>
              </w:rPr>
              <w:t xml:space="preserve">C carriers  </w:t>
            </w:r>
            <w:r w:rsidR="00FB77AB">
              <w:rPr>
                <w:rFonts w:ascii="Calibri" w:hAnsi="Calibri"/>
                <w:b/>
                <w:bCs/>
                <w:color w:val="0D0D0D"/>
                <w:sz w:val="20"/>
                <w:szCs w:val="20"/>
              </w:rPr>
              <w:t>non trattati</w:t>
            </w:r>
          </w:p>
        </w:tc>
        <w:tc>
          <w:tcPr>
            <w:tcW w:w="1138"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302282" w:rsidRPr="008409BD" w:rsidRDefault="00FB77AB" w:rsidP="001E5BE4">
            <w:pPr>
              <w:pStyle w:val="Contenutotabella"/>
              <w:snapToGrid w:val="0"/>
              <w:spacing w:line="360" w:lineRule="auto"/>
              <w:jc w:val="center"/>
              <w:rPr>
                <w:rFonts w:ascii="Calibri" w:hAnsi="Calibri"/>
                <w:b/>
                <w:bCs/>
                <w:color w:val="0D0D0D"/>
                <w:sz w:val="20"/>
                <w:szCs w:val="20"/>
              </w:rPr>
            </w:pPr>
            <w:r>
              <w:rPr>
                <w:rFonts w:ascii="Calibri" w:hAnsi="Calibri"/>
                <w:b/>
                <w:bCs/>
                <w:color w:val="0D0D0D"/>
                <w:sz w:val="20"/>
                <w:szCs w:val="20"/>
              </w:rPr>
              <w:t>Numero di voxels</w:t>
            </w:r>
          </w:p>
        </w:tc>
        <w:tc>
          <w:tcPr>
            <w:tcW w:w="1247"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302282" w:rsidRPr="008409BD" w:rsidRDefault="00FB77AB" w:rsidP="001E5BE4">
            <w:pPr>
              <w:pStyle w:val="Contenutotabella"/>
              <w:snapToGrid w:val="0"/>
              <w:spacing w:line="360" w:lineRule="auto"/>
              <w:jc w:val="center"/>
              <w:rPr>
                <w:rFonts w:ascii="Calibri" w:hAnsi="Calibri"/>
                <w:b/>
                <w:bCs/>
                <w:color w:val="0D0D0D"/>
                <w:sz w:val="20"/>
                <w:szCs w:val="20"/>
              </w:rPr>
            </w:pPr>
            <w:r>
              <w:rPr>
                <w:rFonts w:ascii="Calibri" w:hAnsi="Calibri"/>
                <w:b/>
                <w:bCs/>
                <w:color w:val="0D0D0D"/>
                <w:sz w:val="20"/>
                <w:szCs w:val="20"/>
              </w:rPr>
              <w:t>Picco di segnale</w:t>
            </w:r>
          </w:p>
          <w:p w:rsidR="00302282" w:rsidRPr="008409BD" w:rsidRDefault="00302282" w:rsidP="001E5BE4">
            <w:pPr>
              <w:pStyle w:val="Contenutotabella"/>
              <w:spacing w:line="360" w:lineRule="auto"/>
              <w:jc w:val="center"/>
              <w:rPr>
                <w:rFonts w:ascii="Calibri" w:hAnsi="Calibri"/>
                <w:b/>
                <w:bCs/>
                <w:color w:val="0D0D0D"/>
                <w:sz w:val="20"/>
                <w:szCs w:val="20"/>
              </w:rPr>
            </w:pPr>
            <w:r w:rsidRPr="008409BD">
              <w:rPr>
                <w:rFonts w:ascii="Calibri" w:hAnsi="Calibri"/>
                <w:b/>
                <w:bCs/>
                <w:color w:val="0D0D0D"/>
                <w:sz w:val="20"/>
                <w:szCs w:val="20"/>
              </w:rPr>
              <w:t>(x, y, z)</w:t>
            </w:r>
          </w:p>
        </w:tc>
        <w:tc>
          <w:tcPr>
            <w:tcW w:w="1536"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302282" w:rsidRPr="008409BD" w:rsidRDefault="00FB77AB" w:rsidP="001E5BE4">
            <w:pPr>
              <w:pStyle w:val="Contenutotabella"/>
              <w:snapToGrid w:val="0"/>
              <w:spacing w:line="360" w:lineRule="auto"/>
              <w:jc w:val="center"/>
              <w:rPr>
                <w:rFonts w:ascii="Calibri" w:hAnsi="Calibri"/>
                <w:b/>
                <w:bCs/>
                <w:color w:val="0D0D0D"/>
                <w:sz w:val="20"/>
                <w:szCs w:val="20"/>
              </w:rPr>
            </w:pPr>
            <w:r>
              <w:rPr>
                <w:rFonts w:ascii="Calibri" w:hAnsi="Calibri"/>
                <w:b/>
                <w:bCs/>
                <w:color w:val="0D0D0D"/>
                <w:sz w:val="20"/>
                <w:szCs w:val="20"/>
              </w:rPr>
              <w:t>Tratti di bianca al picco</w:t>
            </w:r>
          </w:p>
        </w:tc>
        <w:tc>
          <w:tcPr>
            <w:tcW w:w="1206"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302282" w:rsidRPr="008409BD" w:rsidRDefault="00FB77AB" w:rsidP="001E5BE4">
            <w:pPr>
              <w:pStyle w:val="Contenutotabella"/>
              <w:snapToGrid w:val="0"/>
              <w:spacing w:line="360" w:lineRule="auto"/>
              <w:jc w:val="center"/>
              <w:rPr>
                <w:rFonts w:ascii="Calibri" w:hAnsi="Calibri"/>
                <w:b/>
                <w:bCs/>
                <w:color w:val="0D0D0D"/>
                <w:sz w:val="20"/>
                <w:szCs w:val="20"/>
              </w:rPr>
            </w:pPr>
            <w:r>
              <w:rPr>
                <w:rFonts w:ascii="Calibri" w:hAnsi="Calibri"/>
                <w:b/>
                <w:bCs/>
                <w:color w:val="0D0D0D"/>
                <w:sz w:val="20"/>
                <w:szCs w:val="20"/>
              </w:rPr>
              <w:t>Direzione dell’effetto</w:t>
            </w:r>
          </w:p>
        </w:tc>
      </w:tr>
      <w:tr w:rsidR="00302282" w:rsidRPr="008409BD" w:rsidTr="00302282">
        <w:trPr>
          <w:trHeight w:val="614"/>
        </w:trPr>
        <w:tc>
          <w:tcPr>
            <w:tcW w:w="1265" w:type="dxa"/>
            <w:tcBorders>
              <w:top w:val="single" w:sz="18" w:space="0" w:color="000000"/>
            </w:tcBorders>
            <w:shd w:val="clear" w:color="auto" w:fill="auto"/>
            <w:vAlign w:val="center"/>
          </w:tcPr>
          <w:p w:rsidR="00302282" w:rsidRPr="008409BD" w:rsidRDefault="00FB77AB" w:rsidP="001E5BE4">
            <w:pPr>
              <w:pStyle w:val="Contenutotabella"/>
              <w:snapToGrid w:val="0"/>
              <w:spacing w:line="360" w:lineRule="auto"/>
              <w:jc w:val="center"/>
              <w:rPr>
                <w:rFonts w:ascii="Calibri" w:hAnsi="Calibri"/>
                <w:b/>
                <w:color w:val="0D0D0D"/>
                <w:sz w:val="20"/>
                <w:szCs w:val="20"/>
              </w:rPr>
            </w:pPr>
            <w:r>
              <w:rPr>
                <w:rFonts w:ascii="Calibri" w:hAnsi="Calibri"/>
                <w:b/>
                <w:color w:val="0D0D0D"/>
                <w:sz w:val="20"/>
                <w:szCs w:val="20"/>
              </w:rPr>
              <w:t>Anisotropia Frazionaria</w:t>
            </w:r>
          </w:p>
        </w:tc>
        <w:tc>
          <w:tcPr>
            <w:tcW w:w="1175" w:type="dxa"/>
            <w:tcBorders>
              <w:top w:val="single" w:sz="18" w:space="0" w:color="000000"/>
            </w:tcBorders>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4800.75</w:t>
            </w:r>
          </w:p>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±1283.47</w:t>
            </w:r>
          </w:p>
        </w:tc>
        <w:tc>
          <w:tcPr>
            <w:tcW w:w="1211" w:type="dxa"/>
            <w:tcBorders>
              <w:top w:val="single" w:sz="18" w:space="0" w:color="000000"/>
            </w:tcBorders>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5030.55</w:t>
            </w:r>
          </w:p>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±1268.17</w:t>
            </w:r>
          </w:p>
        </w:tc>
        <w:tc>
          <w:tcPr>
            <w:tcW w:w="1138" w:type="dxa"/>
            <w:tcBorders>
              <w:top w:val="single" w:sz="18" w:space="0" w:color="000000"/>
            </w:tcBorders>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23149</w:t>
            </w:r>
          </w:p>
        </w:tc>
        <w:tc>
          <w:tcPr>
            <w:tcW w:w="1247" w:type="dxa"/>
            <w:tcBorders>
              <w:top w:val="single" w:sz="18" w:space="0" w:color="000000"/>
            </w:tcBorders>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6  31  3</w:t>
            </w:r>
          </w:p>
        </w:tc>
        <w:tc>
          <w:tcPr>
            <w:tcW w:w="1536" w:type="dxa"/>
            <w:tcBorders>
              <w:top w:val="single" w:sz="18" w:space="0" w:color="000000"/>
            </w:tcBorders>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Forceps minor</w:t>
            </w:r>
          </w:p>
        </w:tc>
        <w:tc>
          <w:tcPr>
            <w:tcW w:w="1206" w:type="dxa"/>
            <w:tcBorders>
              <w:top w:val="single" w:sz="18" w:space="0" w:color="000000"/>
            </w:tcBorders>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T</w:t>
            </w:r>
            <w:r w:rsidR="00FB77AB">
              <w:rPr>
                <w:rFonts w:ascii="Calibri" w:hAnsi="Calibri"/>
                <w:color w:val="0D0D0D"/>
                <w:sz w:val="20"/>
                <w:szCs w:val="20"/>
              </w:rPr>
              <w:t>rattati</w:t>
            </w:r>
            <w:r w:rsidRPr="008409BD">
              <w:rPr>
                <w:rFonts w:ascii="Calibri" w:hAnsi="Calibri"/>
                <w:color w:val="0D0D0D"/>
                <w:sz w:val="20"/>
                <w:szCs w:val="20"/>
              </w:rPr>
              <w:t xml:space="preserve"> &lt; Non-</w:t>
            </w:r>
            <w:r w:rsidR="00FB77AB">
              <w:rPr>
                <w:rFonts w:ascii="Calibri" w:hAnsi="Calibri"/>
                <w:color w:val="0D0D0D"/>
                <w:sz w:val="20"/>
                <w:szCs w:val="20"/>
              </w:rPr>
              <w:t>trattati</w:t>
            </w:r>
          </w:p>
        </w:tc>
      </w:tr>
      <w:tr w:rsidR="00302282" w:rsidRPr="008409BD" w:rsidTr="00302282">
        <w:trPr>
          <w:trHeight w:val="810"/>
        </w:trPr>
        <w:tc>
          <w:tcPr>
            <w:tcW w:w="1265" w:type="dxa"/>
            <w:vMerge w:val="restart"/>
            <w:shd w:val="clear" w:color="auto" w:fill="auto"/>
            <w:vAlign w:val="center"/>
          </w:tcPr>
          <w:p w:rsidR="00302282" w:rsidRPr="008409BD" w:rsidRDefault="00FB77AB" w:rsidP="001E5BE4">
            <w:pPr>
              <w:pStyle w:val="Contenutotabella"/>
              <w:snapToGrid w:val="0"/>
              <w:spacing w:line="360" w:lineRule="auto"/>
              <w:jc w:val="center"/>
              <w:rPr>
                <w:rFonts w:ascii="Calibri" w:hAnsi="Calibri"/>
                <w:b/>
                <w:color w:val="0D0D0D"/>
                <w:sz w:val="20"/>
                <w:szCs w:val="20"/>
              </w:rPr>
            </w:pPr>
            <w:r>
              <w:rPr>
                <w:rFonts w:ascii="Calibri" w:hAnsi="Calibri"/>
                <w:b/>
                <w:color w:val="0D0D0D"/>
                <w:sz w:val="20"/>
                <w:szCs w:val="20"/>
              </w:rPr>
              <w:t>Diffusività Radiale</w:t>
            </w:r>
          </w:p>
        </w:tc>
        <w:tc>
          <w:tcPr>
            <w:tcW w:w="1175" w:type="dxa"/>
            <w:vMerge w:val="restart"/>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5.57±0.85</w:t>
            </w:r>
          </w:p>
        </w:tc>
        <w:tc>
          <w:tcPr>
            <w:tcW w:w="1211" w:type="dxa"/>
            <w:vMerge w:val="restart"/>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5.27±0.85</w:t>
            </w:r>
          </w:p>
        </w:tc>
        <w:tc>
          <w:tcPr>
            <w:tcW w:w="1138" w:type="dxa"/>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19978</w:t>
            </w:r>
          </w:p>
        </w:tc>
        <w:tc>
          <w:tcPr>
            <w:tcW w:w="1247" w:type="dxa"/>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15  33  0</w:t>
            </w:r>
          </w:p>
        </w:tc>
        <w:tc>
          <w:tcPr>
            <w:tcW w:w="1536" w:type="dxa"/>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Forceps minor L</w:t>
            </w:r>
          </w:p>
        </w:tc>
        <w:tc>
          <w:tcPr>
            <w:tcW w:w="1206" w:type="dxa"/>
            <w:vMerge w:val="restart"/>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T</w:t>
            </w:r>
            <w:r w:rsidR="00FB77AB">
              <w:rPr>
                <w:rFonts w:ascii="Calibri" w:hAnsi="Calibri"/>
                <w:color w:val="0D0D0D"/>
                <w:sz w:val="20"/>
                <w:szCs w:val="20"/>
              </w:rPr>
              <w:t>rattati</w:t>
            </w:r>
            <w:r w:rsidRPr="008409BD">
              <w:rPr>
                <w:rFonts w:ascii="Calibri" w:hAnsi="Calibri"/>
                <w:color w:val="0D0D0D"/>
                <w:sz w:val="20"/>
                <w:szCs w:val="20"/>
              </w:rPr>
              <w:t xml:space="preserve"> &gt; Non-tr</w:t>
            </w:r>
            <w:r w:rsidR="00FB77AB">
              <w:rPr>
                <w:rFonts w:ascii="Calibri" w:hAnsi="Calibri"/>
                <w:color w:val="0D0D0D"/>
                <w:sz w:val="20"/>
                <w:szCs w:val="20"/>
              </w:rPr>
              <w:t>attati</w:t>
            </w:r>
          </w:p>
        </w:tc>
      </w:tr>
      <w:tr w:rsidR="00302282" w:rsidRPr="008409BD" w:rsidTr="00302282">
        <w:trPr>
          <w:trHeight w:val="810"/>
        </w:trPr>
        <w:tc>
          <w:tcPr>
            <w:tcW w:w="1265" w:type="dxa"/>
            <w:vMerge/>
            <w:shd w:val="clear" w:color="auto" w:fill="auto"/>
            <w:vAlign w:val="center"/>
          </w:tcPr>
          <w:p w:rsidR="00302282" w:rsidRPr="008409BD" w:rsidRDefault="00302282" w:rsidP="001E5BE4">
            <w:pPr>
              <w:pStyle w:val="Contenutotabella"/>
              <w:snapToGrid w:val="0"/>
              <w:spacing w:line="360" w:lineRule="auto"/>
              <w:jc w:val="center"/>
              <w:rPr>
                <w:rFonts w:ascii="Calibri" w:hAnsi="Calibri"/>
                <w:b/>
                <w:color w:val="0D0D0D"/>
                <w:sz w:val="20"/>
                <w:szCs w:val="20"/>
              </w:rPr>
            </w:pPr>
          </w:p>
        </w:tc>
        <w:tc>
          <w:tcPr>
            <w:tcW w:w="1175" w:type="dxa"/>
            <w:vMerge/>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p>
        </w:tc>
        <w:tc>
          <w:tcPr>
            <w:tcW w:w="1211" w:type="dxa"/>
            <w:vMerge/>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p>
        </w:tc>
        <w:tc>
          <w:tcPr>
            <w:tcW w:w="1138" w:type="dxa"/>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127</w:t>
            </w:r>
          </w:p>
        </w:tc>
        <w:tc>
          <w:tcPr>
            <w:tcW w:w="1247" w:type="dxa"/>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23  -57  39</w:t>
            </w:r>
          </w:p>
        </w:tc>
        <w:tc>
          <w:tcPr>
            <w:tcW w:w="1536" w:type="dxa"/>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Inferior longitudinal fasciculus R</w:t>
            </w:r>
          </w:p>
        </w:tc>
        <w:tc>
          <w:tcPr>
            <w:tcW w:w="1206" w:type="dxa"/>
            <w:vMerge/>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p>
        </w:tc>
      </w:tr>
      <w:tr w:rsidR="00302282" w:rsidRPr="008409BD" w:rsidTr="00302282">
        <w:trPr>
          <w:trHeight w:val="810"/>
        </w:trPr>
        <w:tc>
          <w:tcPr>
            <w:tcW w:w="1265" w:type="dxa"/>
            <w:vMerge w:val="restart"/>
            <w:shd w:val="clear" w:color="auto" w:fill="auto"/>
            <w:vAlign w:val="center"/>
          </w:tcPr>
          <w:p w:rsidR="00302282" w:rsidRPr="008409BD" w:rsidRDefault="00FB77AB" w:rsidP="001E5BE4">
            <w:pPr>
              <w:pStyle w:val="Contenutotabella"/>
              <w:snapToGrid w:val="0"/>
              <w:spacing w:line="360" w:lineRule="auto"/>
              <w:jc w:val="center"/>
              <w:rPr>
                <w:rFonts w:ascii="Calibri" w:hAnsi="Calibri"/>
                <w:b/>
                <w:color w:val="0D0D0D"/>
                <w:sz w:val="20"/>
                <w:szCs w:val="20"/>
              </w:rPr>
            </w:pPr>
            <w:r>
              <w:rPr>
                <w:rFonts w:ascii="Calibri" w:hAnsi="Calibri"/>
                <w:b/>
                <w:color w:val="0D0D0D"/>
                <w:sz w:val="20"/>
                <w:szCs w:val="20"/>
              </w:rPr>
              <w:t>Diffusività Media</w:t>
            </w:r>
          </w:p>
        </w:tc>
        <w:tc>
          <w:tcPr>
            <w:tcW w:w="1175" w:type="dxa"/>
            <w:vMerge w:val="restart"/>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8.39±0.63</w:t>
            </w:r>
          </w:p>
        </w:tc>
        <w:tc>
          <w:tcPr>
            <w:tcW w:w="1211" w:type="dxa"/>
            <w:vMerge w:val="restart"/>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7.99±0.6</w:t>
            </w:r>
          </w:p>
        </w:tc>
        <w:tc>
          <w:tcPr>
            <w:tcW w:w="1138" w:type="dxa"/>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3451</w:t>
            </w:r>
          </w:p>
        </w:tc>
        <w:tc>
          <w:tcPr>
            <w:tcW w:w="1247" w:type="dxa"/>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13  -41  15</w:t>
            </w:r>
          </w:p>
        </w:tc>
        <w:tc>
          <w:tcPr>
            <w:tcW w:w="1536" w:type="dxa"/>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Forceps major</w:t>
            </w:r>
          </w:p>
        </w:tc>
        <w:tc>
          <w:tcPr>
            <w:tcW w:w="1206" w:type="dxa"/>
            <w:vMerge w:val="restart"/>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Tr</w:t>
            </w:r>
            <w:r w:rsidR="00FB77AB">
              <w:rPr>
                <w:rFonts w:ascii="Calibri" w:hAnsi="Calibri"/>
                <w:color w:val="0D0D0D"/>
                <w:sz w:val="20"/>
                <w:szCs w:val="20"/>
              </w:rPr>
              <w:t>attati</w:t>
            </w:r>
            <w:r w:rsidRPr="008409BD">
              <w:rPr>
                <w:rFonts w:ascii="Calibri" w:hAnsi="Calibri"/>
                <w:color w:val="0D0D0D"/>
                <w:sz w:val="20"/>
                <w:szCs w:val="20"/>
              </w:rPr>
              <w:t xml:space="preserve"> &gt; Non-tr</w:t>
            </w:r>
            <w:r w:rsidR="00FB77AB">
              <w:rPr>
                <w:rFonts w:ascii="Calibri" w:hAnsi="Calibri"/>
                <w:color w:val="0D0D0D"/>
                <w:sz w:val="20"/>
                <w:szCs w:val="20"/>
              </w:rPr>
              <w:t>attati</w:t>
            </w:r>
          </w:p>
        </w:tc>
      </w:tr>
      <w:tr w:rsidR="00302282" w:rsidRPr="008409BD" w:rsidTr="00302282">
        <w:trPr>
          <w:trHeight w:val="810"/>
        </w:trPr>
        <w:tc>
          <w:tcPr>
            <w:tcW w:w="1265" w:type="dxa"/>
            <w:vMerge/>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2"/>
              </w:rPr>
            </w:pPr>
          </w:p>
        </w:tc>
        <w:tc>
          <w:tcPr>
            <w:tcW w:w="1175" w:type="dxa"/>
            <w:vMerge/>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p>
        </w:tc>
        <w:tc>
          <w:tcPr>
            <w:tcW w:w="1211" w:type="dxa"/>
            <w:vMerge/>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p>
        </w:tc>
        <w:tc>
          <w:tcPr>
            <w:tcW w:w="1138" w:type="dxa"/>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534</w:t>
            </w:r>
          </w:p>
        </w:tc>
        <w:tc>
          <w:tcPr>
            <w:tcW w:w="1247" w:type="dxa"/>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-5  30  6</w:t>
            </w:r>
          </w:p>
        </w:tc>
        <w:tc>
          <w:tcPr>
            <w:tcW w:w="1536" w:type="dxa"/>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Forceps minor</w:t>
            </w:r>
          </w:p>
        </w:tc>
        <w:tc>
          <w:tcPr>
            <w:tcW w:w="1206" w:type="dxa"/>
            <w:vMerge/>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p>
        </w:tc>
      </w:tr>
      <w:tr w:rsidR="00302282" w:rsidRPr="008409BD" w:rsidTr="00302282">
        <w:trPr>
          <w:trHeight w:val="810"/>
        </w:trPr>
        <w:tc>
          <w:tcPr>
            <w:tcW w:w="1265" w:type="dxa"/>
            <w:vMerge/>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2"/>
              </w:rPr>
            </w:pPr>
          </w:p>
        </w:tc>
        <w:tc>
          <w:tcPr>
            <w:tcW w:w="1175" w:type="dxa"/>
            <w:vMerge/>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p>
        </w:tc>
        <w:tc>
          <w:tcPr>
            <w:tcW w:w="1211" w:type="dxa"/>
            <w:vMerge/>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p>
        </w:tc>
        <w:tc>
          <w:tcPr>
            <w:tcW w:w="1138" w:type="dxa"/>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167</w:t>
            </w:r>
          </w:p>
        </w:tc>
        <w:tc>
          <w:tcPr>
            <w:tcW w:w="1247" w:type="dxa"/>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19  -59  37</w:t>
            </w:r>
          </w:p>
        </w:tc>
        <w:tc>
          <w:tcPr>
            <w:tcW w:w="1536" w:type="dxa"/>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Inferior fronto-occipital fasciculus R</w:t>
            </w:r>
          </w:p>
        </w:tc>
        <w:tc>
          <w:tcPr>
            <w:tcW w:w="1206" w:type="dxa"/>
            <w:vMerge/>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p>
        </w:tc>
      </w:tr>
      <w:tr w:rsidR="00302282" w:rsidRPr="008409BD" w:rsidTr="00302282">
        <w:trPr>
          <w:trHeight w:val="810"/>
        </w:trPr>
        <w:tc>
          <w:tcPr>
            <w:tcW w:w="1265" w:type="dxa"/>
            <w:vMerge/>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2"/>
              </w:rPr>
            </w:pPr>
          </w:p>
        </w:tc>
        <w:tc>
          <w:tcPr>
            <w:tcW w:w="1175" w:type="dxa"/>
            <w:vMerge/>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p>
        </w:tc>
        <w:tc>
          <w:tcPr>
            <w:tcW w:w="1211" w:type="dxa"/>
            <w:vMerge/>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p>
        </w:tc>
        <w:tc>
          <w:tcPr>
            <w:tcW w:w="1138" w:type="dxa"/>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146</w:t>
            </w:r>
          </w:p>
        </w:tc>
        <w:tc>
          <w:tcPr>
            <w:tcW w:w="1247" w:type="dxa"/>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-35  -56  -4</w:t>
            </w:r>
          </w:p>
        </w:tc>
        <w:tc>
          <w:tcPr>
            <w:tcW w:w="1536" w:type="dxa"/>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Inferior longitudinal fasciculus L</w:t>
            </w:r>
          </w:p>
        </w:tc>
        <w:tc>
          <w:tcPr>
            <w:tcW w:w="1206" w:type="dxa"/>
            <w:vMerge/>
            <w:shd w:val="clear" w:color="auto" w:fill="auto"/>
            <w:vAlign w:val="center"/>
          </w:tcPr>
          <w:p w:rsidR="00302282" w:rsidRPr="008409BD" w:rsidRDefault="00302282" w:rsidP="001E5BE4">
            <w:pPr>
              <w:pStyle w:val="Contenutotabella"/>
              <w:snapToGrid w:val="0"/>
              <w:spacing w:line="360" w:lineRule="auto"/>
              <w:jc w:val="center"/>
              <w:rPr>
                <w:rFonts w:ascii="Calibri" w:hAnsi="Calibri"/>
                <w:color w:val="0D0D0D"/>
                <w:sz w:val="20"/>
                <w:szCs w:val="20"/>
              </w:rPr>
            </w:pPr>
          </w:p>
        </w:tc>
      </w:tr>
    </w:tbl>
    <w:p w:rsidR="001A144A" w:rsidRDefault="001A144A" w:rsidP="001E5BE4">
      <w:pPr>
        <w:tabs>
          <w:tab w:val="center" w:pos="2760"/>
        </w:tabs>
        <w:autoSpaceDE w:val="0"/>
        <w:spacing w:after="100" w:line="360" w:lineRule="auto"/>
        <w:jc w:val="both"/>
        <w:rPr>
          <w:rFonts w:ascii="Times New Roman" w:eastAsia="Calibri" w:hAnsi="Times New Roman" w:cs="Times New Roman"/>
          <w:b/>
          <w:bCs/>
          <w:color w:val="0D0D0D"/>
          <w:lang w:val="en-GB"/>
        </w:rPr>
      </w:pPr>
    </w:p>
    <w:p w:rsidR="00D81125" w:rsidRPr="00D81125" w:rsidRDefault="00D81125" w:rsidP="001E5BE4">
      <w:pPr>
        <w:tabs>
          <w:tab w:val="center" w:pos="2760"/>
        </w:tabs>
        <w:autoSpaceDE w:val="0"/>
        <w:spacing w:after="100" w:line="360" w:lineRule="auto"/>
        <w:ind w:right="849"/>
        <w:jc w:val="both"/>
        <w:rPr>
          <w:rFonts w:ascii="Times New Roman" w:eastAsia="Calibri" w:hAnsi="Times New Roman" w:cs="Times New Roman"/>
          <w:color w:val="0D0D0D"/>
          <w:lang w:val="en-GB"/>
        </w:rPr>
      </w:pPr>
      <w:r w:rsidRPr="00D81125">
        <w:rPr>
          <w:rFonts w:ascii="Times New Roman" w:eastAsia="Calibri" w:hAnsi="Times New Roman" w:cs="Times New Roman"/>
          <w:b/>
          <w:bCs/>
          <w:color w:val="0D0D0D"/>
          <w:lang w:val="en-GB"/>
        </w:rPr>
        <w:t xml:space="preserve">Tabella </w:t>
      </w:r>
      <w:r>
        <w:rPr>
          <w:rFonts w:ascii="Times New Roman" w:eastAsia="Calibri" w:hAnsi="Times New Roman" w:cs="Times New Roman"/>
          <w:b/>
          <w:bCs/>
          <w:color w:val="0D0D0D"/>
          <w:lang w:val="en-GB"/>
        </w:rPr>
        <w:t>6</w:t>
      </w:r>
      <w:r w:rsidRPr="00D81125">
        <w:rPr>
          <w:rFonts w:ascii="Times New Roman" w:eastAsia="Calibri" w:hAnsi="Times New Roman" w:cs="Times New Roman"/>
          <w:color w:val="0D0D0D"/>
          <w:lang w:val="en-GB"/>
        </w:rPr>
        <w:t xml:space="preserve"> Confronto tra </w:t>
      </w:r>
      <w:r>
        <w:rPr>
          <w:rFonts w:ascii="Times New Roman" w:eastAsia="Calibri" w:hAnsi="Times New Roman" w:cs="Times New Roman"/>
          <w:color w:val="0D0D0D"/>
          <w:lang w:val="en-GB"/>
        </w:rPr>
        <w:t>C-carriers trattati con litio e C-carriers non trattati</w:t>
      </w:r>
      <w:r w:rsidRPr="00D81125">
        <w:rPr>
          <w:rFonts w:ascii="Times New Roman" w:eastAsia="Calibri" w:hAnsi="Times New Roman" w:cs="Times New Roman"/>
          <w:color w:val="0D0D0D"/>
          <w:lang w:val="en-GB"/>
        </w:rPr>
        <w:t xml:space="preserve">. I valori delle misure DTI di </w:t>
      </w:r>
      <w:r>
        <w:rPr>
          <w:rFonts w:ascii="Times New Roman" w:eastAsia="Calibri" w:hAnsi="Times New Roman" w:cs="Times New Roman"/>
          <w:color w:val="0D0D0D"/>
          <w:lang w:val="en-GB"/>
        </w:rPr>
        <w:t>FA</w:t>
      </w:r>
      <w:r w:rsidRPr="00D81125">
        <w:rPr>
          <w:rFonts w:ascii="Times New Roman" w:eastAsia="Calibri" w:hAnsi="Times New Roman" w:cs="Times New Roman"/>
          <w:color w:val="0D0D0D"/>
          <w:lang w:val="en-GB"/>
        </w:rPr>
        <w:t xml:space="preserve">, MD e RD (media ± </w:t>
      </w:r>
      <w:r w:rsidR="00EB42CB">
        <w:rPr>
          <w:rFonts w:ascii="Times New Roman" w:eastAsia="Calibri" w:hAnsi="Times New Roman" w:cs="Times New Roman"/>
          <w:color w:val="0D0D0D"/>
          <w:lang w:val="en-GB"/>
        </w:rPr>
        <w:t>DS) sono mostrati per entrambi i</w:t>
      </w:r>
      <w:r w:rsidRPr="00D81125">
        <w:rPr>
          <w:rFonts w:ascii="Times New Roman" w:eastAsia="Calibri" w:hAnsi="Times New Roman" w:cs="Times New Roman"/>
          <w:color w:val="0D0D0D"/>
          <w:lang w:val="en-GB"/>
        </w:rPr>
        <w:t xml:space="preserve"> gruppi, considerando le regi</w:t>
      </w:r>
      <w:r>
        <w:rPr>
          <w:rFonts w:ascii="Times New Roman" w:eastAsia="Calibri" w:hAnsi="Times New Roman" w:cs="Times New Roman"/>
          <w:color w:val="0D0D0D"/>
          <w:lang w:val="en-GB"/>
        </w:rPr>
        <w:t>oni di bianca d</w:t>
      </w:r>
      <w:r w:rsidR="00EB42CB">
        <w:rPr>
          <w:rFonts w:ascii="Times New Roman" w:eastAsia="Calibri" w:hAnsi="Times New Roman" w:cs="Times New Roman"/>
          <w:color w:val="0D0D0D"/>
          <w:lang w:val="en-GB"/>
        </w:rPr>
        <w:t>ove i</w:t>
      </w:r>
      <w:r w:rsidRPr="00D81125">
        <w:rPr>
          <w:rFonts w:ascii="Times New Roman" w:eastAsia="Calibri" w:hAnsi="Times New Roman" w:cs="Times New Roman"/>
          <w:color w:val="0D0D0D"/>
          <w:lang w:val="en-GB"/>
        </w:rPr>
        <w:t xml:space="preserve"> due gruppi differiscono maggiormente. Le dimensioni dei cluster (numero di voxels, mm</w:t>
      </w:r>
      <w:r w:rsidRPr="00D81125">
        <w:rPr>
          <w:rFonts w:ascii="Times New Roman" w:eastAsia="Calibri" w:hAnsi="Times New Roman" w:cs="Times New Roman"/>
          <w:color w:val="0D0D0D"/>
          <w:vertAlign w:val="superscript"/>
          <w:lang w:val="en-GB"/>
        </w:rPr>
        <w:t>3</w:t>
      </w:r>
      <w:r w:rsidR="001A6334">
        <w:rPr>
          <w:rFonts w:ascii="Times New Roman" w:eastAsia="Calibri" w:hAnsi="Times New Roman" w:cs="Times New Roman"/>
          <w:color w:val="0D0D0D"/>
          <w:lang w:val="en-GB"/>
        </w:rPr>
        <w:t>) e i</w:t>
      </w:r>
      <w:r w:rsidRPr="00D81125">
        <w:rPr>
          <w:rFonts w:ascii="Times New Roman" w:eastAsia="Calibri" w:hAnsi="Times New Roman" w:cs="Times New Roman"/>
          <w:color w:val="0D0D0D"/>
          <w:lang w:val="en-GB"/>
        </w:rPr>
        <w:t xml:space="preserve"> fasci di bianca coinvolti sono mostrati per le regioni che mostrano le differenze più alte per valori TBSS (picco di segnale, coordinate MNI).</w:t>
      </w:r>
    </w:p>
    <w:p w:rsidR="00302282" w:rsidRDefault="00302282" w:rsidP="001E5BE4">
      <w:pPr>
        <w:pStyle w:val="Tesi"/>
        <w:tabs>
          <w:tab w:val="left" w:pos="8503"/>
        </w:tabs>
        <w:spacing w:after="0" w:line="360" w:lineRule="auto"/>
        <w:ind w:right="1091"/>
        <w:jc w:val="both"/>
        <w:rPr>
          <w:rFonts w:ascii="Times New Roman" w:hAnsi="Times New Roman"/>
          <w:i/>
          <w:sz w:val="24"/>
          <w:szCs w:val="24"/>
          <w:u w:val="single"/>
        </w:rPr>
      </w:pPr>
    </w:p>
    <w:p w:rsidR="00302282" w:rsidRDefault="00302282" w:rsidP="001E5BE4">
      <w:pPr>
        <w:pStyle w:val="Tesi"/>
        <w:tabs>
          <w:tab w:val="left" w:pos="8503"/>
        </w:tabs>
        <w:spacing w:after="0" w:line="360" w:lineRule="auto"/>
        <w:ind w:right="1091"/>
        <w:jc w:val="both"/>
        <w:rPr>
          <w:rFonts w:ascii="Times New Roman" w:hAnsi="Times New Roman"/>
          <w:i/>
          <w:sz w:val="24"/>
          <w:szCs w:val="24"/>
          <w:u w:val="single"/>
        </w:rPr>
      </w:pPr>
    </w:p>
    <w:p w:rsidR="00302282" w:rsidRDefault="00302282" w:rsidP="001E5BE4">
      <w:pPr>
        <w:pStyle w:val="Tesi"/>
        <w:tabs>
          <w:tab w:val="left" w:pos="8503"/>
        </w:tabs>
        <w:spacing w:after="0" w:line="360" w:lineRule="auto"/>
        <w:ind w:right="1091"/>
        <w:jc w:val="both"/>
        <w:rPr>
          <w:rFonts w:ascii="Times New Roman" w:hAnsi="Times New Roman"/>
          <w:i/>
          <w:sz w:val="24"/>
          <w:szCs w:val="24"/>
          <w:u w:val="single"/>
        </w:rPr>
      </w:pPr>
    </w:p>
    <w:p w:rsidR="00302282" w:rsidRDefault="00302282" w:rsidP="001E5BE4">
      <w:pPr>
        <w:pStyle w:val="Tesi"/>
        <w:tabs>
          <w:tab w:val="left" w:pos="8503"/>
        </w:tabs>
        <w:spacing w:after="0" w:line="360" w:lineRule="auto"/>
        <w:ind w:right="1091"/>
        <w:jc w:val="both"/>
        <w:rPr>
          <w:rFonts w:ascii="Times New Roman" w:hAnsi="Times New Roman"/>
          <w:i/>
          <w:sz w:val="24"/>
          <w:szCs w:val="24"/>
          <w:u w:val="single"/>
        </w:rPr>
      </w:pPr>
    </w:p>
    <w:p w:rsidR="00302282" w:rsidRDefault="00302282" w:rsidP="001E5BE4">
      <w:pPr>
        <w:pStyle w:val="Tesi"/>
        <w:tabs>
          <w:tab w:val="left" w:pos="8503"/>
        </w:tabs>
        <w:spacing w:after="0" w:line="360" w:lineRule="auto"/>
        <w:ind w:right="1091"/>
        <w:jc w:val="both"/>
        <w:rPr>
          <w:rFonts w:ascii="Times New Roman" w:hAnsi="Times New Roman"/>
          <w:i/>
          <w:sz w:val="24"/>
          <w:szCs w:val="24"/>
          <w:u w:val="single"/>
        </w:rPr>
      </w:pPr>
    </w:p>
    <w:p w:rsidR="00302282" w:rsidRDefault="00302282" w:rsidP="001E5BE4">
      <w:pPr>
        <w:pStyle w:val="Tesi"/>
        <w:tabs>
          <w:tab w:val="left" w:pos="8503"/>
        </w:tabs>
        <w:spacing w:after="0" w:line="360" w:lineRule="auto"/>
        <w:ind w:right="1091"/>
        <w:jc w:val="both"/>
        <w:rPr>
          <w:rFonts w:ascii="Times New Roman" w:hAnsi="Times New Roman"/>
          <w:i/>
          <w:sz w:val="24"/>
          <w:szCs w:val="24"/>
          <w:u w:val="single"/>
        </w:rPr>
      </w:pPr>
    </w:p>
    <w:p w:rsidR="00302282" w:rsidRDefault="00302282" w:rsidP="001E5BE4">
      <w:pPr>
        <w:pStyle w:val="Tesi"/>
        <w:tabs>
          <w:tab w:val="left" w:pos="8503"/>
        </w:tabs>
        <w:spacing w:after="0" w:line="360" w:lineRule="auto"/>
        <w:ind w:right="1091"/>
        <w:jc w:val="both"/>
        <w:rPr>
          <w:rFonts w:ascii="Times New Roman" w:hAnsi="Times New Roman"/>
          <w:i/>
          <w:sz w:val="24"/>
          <w:szCs w:val="24"/>
          <w:u w:val="single"/>
        </w:rPr>
      </w:pPr>
    </w:p>
    <w:p w:rsidR="00302282" w:rsidRDefault="00302282" w:rsidP="001E5BE4">
      <w:pPr>
        <w:pStyle w:val="Tesi"/>
        <w:tabs>
          <w:tab w:val="left" w:pos="8503"/>
        </w:tabs>
        <w:spacing w:after="0" w:line="360" w:lineRule="auto"/>
        <w:ind w:right="1091"/>
        <w:jc w:val="both"/>
        <w:rPr>
          <w:rFonts w:ascii="Times New Roman" w:hAnsi="Times New Roman"/>
          <w:i/>
          <w:sz w:val="24"/>
          <w:szCs w:val="24"/>
          <w:u w:val="single"/>
        </w:rPr>
      </w:pPr>
    </w:p>
    <w:p w:rsidR="007E5013" w:rsidRDefault="00302282" w:rsidP="007E5013">
      <w:pPr>
        <w:pStyle w:val="Tesi"/>
        <w:tabs>
          <w:tab w:val="left" w:pos="8503"/>
        </w:tabs>
        <w:spacing w:after="0" w:line="360" w:lineRule="auto"/>
        <w:ind w:right="1091"/>
        <w:jc w:val="both"/>
        <w:rPr>
          <w:rFonts w:ascii="Times New Roman" w:hAnsi="Times New Roman"/>
          <w:i/>
          <w:sz w:val="24"/>
          <w:szCs w:val="24"/>
          <w:u w:val="single"/>
        </w:rPr>
      </w:pPr>
      <w:r>
        <w:rPr>
          <w:rFonts w:ascii="Times New Roman" w:hAnsi="Times New Roman" w:cs="Times New Roman"/>
          <w:b/>
          <w:bCs/>
          <w:color w:val="0D0D0D"/>
          <w:sz w:val="20"/>
          <w:szCs w:val="20"/>
          <w:lang w:val="en-GB"/>
        </w:rPr>
        <w:tab/>
      </w:r>
      <w:r w:rsidR="007E5013" w:rsidRPr="00302282">
        <w:rPr>
          <w:rFonts w:ascii="Times New Roman" w:hAnsi="Times New Roman" w:cs="Times New Roman"/>
          <w:b/>
          <w:bCs/>
          <w:color w:val="0D0D0D"/>
          <w:sz w:val="20"/>
          <w:szCs w:val="20"/>
          <w:lang w:val="en-GB"/>
        </w:rPr>
        <w:t>Fig. 12</w:t>
      </w:r>
      <w:r w:rsidR="007E5013" w:rsidRPr="00302282">
        <w:rPr>
          <w:rFonts w:ascii="Times New Roman" w:hAnsi="Times New Roman" w:cs="Times New Roman"/>
          <w:color w:val="0D0D0D"/>
          <w:sz w:val="20"/>
          <w:szCs w:val="20"/>
          <w:lang w:val="en-GB"/>
        </w:rPr>
        <w:t xml:space="preserve"> </w:t>
      </w:r>
      <w:r w:rsidR="007E5013">
        <w:rPr>
          <w:rFonts w:ascii="Times New Roman" w:hAnsi="Times New Roman"/>
          <w:bCs/>
          <w:color w:val="0D0D0D"/>
          <w:lang w:val="en-GB"/>
        </w:rPr>
        <w:t xml:space="preserve">Aree in cui i C carriers trattati con litio presentano valori di </w:t>
      </w:r>
      <w:r w:rsidR="007E5013" w:rsidRPr="0078256D">
        <w:rPr>
          <w:rFonts w:ascii="Times New Roman" w:hAnsi="Times New Roman"/>
          <w:b/>
          <w:bCs/>
          <w:color w:val="0D0D0D"/>
          <w:lang w:val="en-GB"/>
        </w:rPr>
        <w:t>FA</w:t>
      </w:r>
      <w:r w:rsidR="007E5013">
        <w:rPr>
          <w:rFonts w:ascii="Times New Roman" w:hAnsi="Times New Roman"/>
          <w:bCs/>
          <w:color w:val="0D0D0D"/>
          <w:lang w:val="en-GB"/>
        </w:rPr>
        <w:t xml:space="preserve"> più bassi</w:t>
      </w:r>
    </w:p>
    <w:p w:rsidR="00302282" w:rsidRPr="007E5013" w:rsidRDefault="00FE0056" w:rsidP="001E5BE4">
      <w:pPr>
        <w:pStyle w:val="Tesi"/>
        <w:tabs>
          <w:tab w:val="left" w:pos="8503"/>
        </w:tabs>
        <w:spacing w:after="0" w:line="360" w:lineRule="auto"/>
        <w:ind w:right="1091"/>
        <w:jc w:val="both"/>
        <w:rPr>
          <w:rFonts w:ascii="Times New Roman" w:hAnsi="Times New Roman"/>
          <w:i/>
          <w:sz w:val="24"/>
          <w:szCs w:val="24"/>
          <w:u w:val="single"/>
        </w:rPr>
      </w:pPr>
      <w:r>
        <w:rPr>
          <w:rFonts w:ascii="Times New Roman" w:hAnsi="Times New Roman" w:cs="Times New Roman"/>
          <w:bCs/>
          <w:color w:val="0D0D0D"/>
          <w:sz w:val="20"/>
          <w:szCs w:val="20"/>
          <w:lang w:val="en-GB"/>
        </w:rPr>
        <w:tab/>
      </w:r>
      <w:r w:rsidR="007E5013" w:rsidRPr="00302282">
        <w:rPr>
          <w:rFonts w:ascii="Times New Roman" w:hAnsi="Times New Roman" w:cs="Times New Roman"/>
          <w:i/>
          <w:noProof/>
          <w:sz w:val="20"/>
          <w:szCs w:val="20"/>
          <w:u w:val="single"/>
          <w:lang w:val="it-IT" w:eastAsia="it-IT"/>
        </w:rPr>
        <w:drawing>
          <wp:anchor distT="0" distB="0" distL="0" distR="0" simplePos="0" relativeHeight="251700224" behindDoc="0" locked="0" layoutInCell="1" allowOverlap="1">
            <wp:simplePos x="0" y="0"/>
            <wp:positionH relativeFrom="column">
              <wp:posOffset>342900</wp:posOffset>
            </wp:positionH>
            <wp:positionV relativeFrom="paragraph">
              <wp:posOffset>0</wp:posOffset>
            </wp:positionV>
            <wp:extent cx="5556885" cy="6652895"/>
            <wp:effectExtent l="0" t="0" r="0" b="0"/>
            <wp:wrapTopAndBottom/>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3">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56885" cy="6652895"/>
                    </a:xfrm>
                    <a:prstGeom prst="rect">
                      <a:avLst/>
                    </a:prstGeom>
                    <a:solidFill>
                      <a:srgbClr val="FFFFFF"/>
                    </a:solidFill>
                    <a:ln>
                      <a:noFill/>
                    </a:ln>
                  </pic:spPr>
                </pic:pic>
              </a:graphicData>
            </a:graphic>
          </wp:anchor>
        </w:drawing>
      </w:r>
      <w:r w:rsidR="007E5013" w:rsidRPr="00302282">
        <w:rPr>
          <w:rFonts w:ascii="Times New Roman" w:hAnsi="Times New Roman" w:cs="Times New Roman"/>
          <w:i/>
          <w:noProof/>
          <w:sz w:val="20"/>
          <w:szCs w:val="20"/>
          <w:u w:val="single"/>
          <w:lang w:val="it-IT" w:eastAsia="it-IT"/>
        </w:rPr>
        <w:drawing>
          <wp:anchor distT="0" distB="0" distL="0" distR="0" simplePos="0" relativeHeight="251701248" behindDoc="0" locked="0" layoutInCell="1" allowOverlap="1">
            <wp:simplePos x="0" y="0"/>
            <wp:positionH relativeFrom="column">
              <wp:posOffset>342900</wp:posOffset>
            </wp:positionH>
            <wp:positionV relativeFrom="paragraph">
              <wp:posOffset>6743700</wp:posOffset>
            </wp:positionV>
            <wp:extent cx="5556885" cy="1598295"/>
            <wp:effectExtent l="0" t="0" r="0" b="0"/>
            <wp:wrapTopAndBottom/>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4">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56885" cy="1598295"/>
                    </a:xfrm>
                    <a:prstGeom prst="rect">
                      <a:avLst/>
                    </a:prstGeom>
                    <a:solidFill>
                      <a:srgbClr val="FFFFFF"/>
                    </a:solidFill>
                    <a:ln>
                      <a:noFill/>
                    </a:ln>
                  </pic:spPr>
                </pic:pic>
              </a:graphicData>
            </a:graphic>
          </wp:anchor>
        </w:drawing>
      </w:r>
    </w:p>
    <w:p w:rsidR="00002DD3" w:rsidRDefault="00002DD3" w:rsidP="001E5BE4">
      <w:pPr>
        <w:pStyle w:val="Tesi"/>
        <w:tabs>
          <w:tab w:val="left" w:pos="8503"/>
        </w:tabs>
        <w:spacing w:after="0" w:line="360" w:lineRule="auto"/>
        <w:ind w:right="1091"/>
        <w:jc w:val="both"/>
        <w:rPr>
          <w:rFonts w:ascii="Times New Roman" w:hAnsi="Times New Roman"/>
          <w:i/>
          <w:sz w:val="24"/>
          <w:szCs w:val="24"/>
          <w:u w:val="single"/>
        </w:rPr>
      </w:pPr>
      <w:r>
        <w:rPr>
          <w:rFonts w:ascii="Times New Roman" w:hAnsi="Times New Roman"/>
          <w:i/>
          <w:noProof/>
          <w:sz w:val="24"/>
          <w:szCs w:val="24"/>
          <w:u w:val="single"/>
          <w:lang w:val="it-IT" w:eastAsia="it-IT"/>
        </w:rPr>
        <w:drawing>
          <wp:anchor distT="0" distB="0" distL="0" distR="0" simplePos="0" relativeHeight="251702272" behindDoc="0" locked="0" layoutInCell="1" allowOverlap="1">
            <wp:simplePos x="0" y="0"/>
            <wp:positionH relativeFrom="column">
              <wp:align>center</wp:align>
            </wp:positionH>
            <wp:positionV relativeFrom="paragraph">
              <wp:posOffset>360045</wp:posOffset>
            </wp:positionV>
            <wp:extent cx="5556885" cy="6646545"/>
            <wp:effectExtent l="0" t="0" r="0" b="0"/>
            <wp:wrapTopAndBottom/>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5">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56885" cy="6646545"/>
                    </a:xfrm>
                    <a:prstGeom prst="rect">
                      <a:avLst/>
                    </a:prstGeom>
                    <a:solidFill>
                      <a:srgbClr val="FFFFFF"/>
                    </a:solidFill>
                    <a:ln>
                      <a:noFill/>
                    </a:ln>
                  </pic:spPr>
                </pic:pic>
              </a:graphicData>
            </a:graphic>
          </wp:anchor>
        </w:drawing>
      </w:r>
    </w:p>
    <w:p w:rsidR="00002DD3" w:rsidRDefault="00002DD3" w:rsidP="001E5BE4">
      <w:pPr>
        <w:pStyle w:val="Tesi"/>
        <w:tabs>
          <w:tab w:val="left" w:pos="8503"/>
        </w:tabs>
        <w:spacing w:after="0" w:line="360" w:lineRule="auto"/>
        <w:ind w:right="1091"/>
        <w:jc w:val="both"/>
        <w:rPr>
          <w:rFonts w:ascii="Times New Roman" w:hAnsi="Times New Roman"/>
          <w:i/>
          <w:sz w:val="24"/>
          <w:szCs w:val="24"/>
          <w:u w:val="single"/>
        </w:rPr>
      </w:pPr>
      <w:r w:rsidRPr="00002DD3">
        <w:rPr>
          <w:rFonts w:ascii="Times New Roman" w:hAnsi="Times New Roman"/>
          <w:noProof/>
          <w:sz w:val="24"/>
          <w:szCs w:val="24"/>
          <w:lang w:val="it-IT" w:eastAsia="it-IT"/>
        </w:rPr>
        <w:drawing>
          <wp:anchor distT="0" distB="0" distL="0" distR="0" simplePos="0" relativeHeight="251703296" behindDoc="0" locked="0" layoutInCell="1" allowOverlap="1">
            <wp:simplePos x="0" y="0"/>
            <wp:positionH relativeFrom="column">
              <wp:posOffset>295910</wp:posOffset>
            </wp:positionH>
            <wp:positionV relativeFrom="paragraph">
              <wp:posOffset>6823710</wp:posOffset>
            </wp:positionV>
            <wp:extent cx="5533390" cy="1612265"/>
            <wp:effectExtent l="0" t="0" r="0" b="0"/>
            <wp:wrapTopAndBottom/>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6">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33390" cy="1612265"/>
                    </a:xfrm>
                    <a:prstGeom prst="rect">
                      <a:avLst/>
                    </a:prstGeom>
                    <a:solidFill>
                      <a:srgbClr val="FFFFFF"/>
                    </a:solidFill>
                    <a:ln>
                      <a:noFill/>
                    </a:ln>
                  </pic:spPr>
                </pic:pic>
              </a:graphicData>
            </a:graphic>
          </wp:anchor>
        </w:drawing>
      </w:r>
      <w:r>
        <w:rPr>
          <w:rFonts w:ascii="Times New Roman" w:hAnsi="Times New Roman"/>
          <w:sz w:val="24"/>
          <w:szCs w:val="24"/>
        </w:rPr>
        <w:tab/>
      </w:r>
      <w:r w:rsidRPr="00002DD3">
        <w:rPr>
          <w:rFonts w:ascii="Times New Roman" w:hAnsi="Times New Roman"/>
          <w:b/>
          <w:bCs/>
          <w:color w:val="0D0D0D"/>
          <w:lang w:val="en-GB"/>
        </w:rPr>
        <w:t>Fig</w:t>
      </w:r>
      <w:r w:rsidRPr="008409BD">
        <w:rPr>
          <w:rFonts w:ascii="Times New Roman" w:hAnsi="Times New Roman"/>
          <w:b/>
          <w:bCs/>
          <w:color w:val="0D0D0D"/>
          <w:lang w:val="en-GB"/>
        </w:rPr>
        <w:t xml:space="preserve">. 13 </w:t>
      </w:r>
      <w:r w:rsidR="00D81125">
        <w:rPr>
          <w:rFonts w:ascii="Times New Roman" w:hAnsi="Times New Roman"/>
          <w:bCs/>
          <w:color w:val="0D0D0D"/>
          <w:lang w:val="en-GB"/>
        </w:rPr>
        <w:t xml:space="preserve">Aree in cui i C carriers trattati con litio presentano alti valori di </w:t>
      </w:r>
      <w:r w:rsidR="00D81125" w:rsidRPr="0078256D">
        <w:rPr>
          <w:rFonts w:ascii="Times New Roman" w:hAnsi="Times New Roman"/>
          <w:b/>
          <w:bCs/>
          <w:color w:val="0D0D0D"/>
          <w:lang w:val="en-GB"/>
        </w:rPr>
        <w:t>RD</w:t>
      </w:r>
    </w:p>
    <w:p w:rsidR="00002DD3" w:rsidRDefault="001E5BE4" w:rsidP="001E5BE4">
      <w:pPr>
        <w:pStyle w:val="Tesi"/>
        <w:tabs>
          <w:tab w:val="left" w:pos="8503"/>
        </w:tabs>
        <w:spacing w:after="0" w:line="360" w:lineRule="auto"/>
        <w:ind w:right="1091"/>
        <w:jc w:val="both"/>
        <w:rPr>
          <w:rFonts w:ascii="Times New Roman" w:hAnsi="Times New Roman"/>
          <w:i/>
          <w:sz w:val="24"/>
          <w:szCs w:val="24"/>
          <w:u w:val="single"/>
        </w:rPr>
      </w:pPr>
      <w:r>
        <w:rPr>
          <w:rFonts w:ascii="Times New Roman" w:hAnsi="Times New Roman"/>
          <w:i/>
          <w:noProof/>
          <w:sz w:val="24"/>
          <w:szCs w:val="24"/>
          <w:u w:val="single"/>
          <w:lang w:val="it-IT" w:eastAsia="it-IT"/>
        </w:rPr>
        <w:drawing>
          <wp:anchor distT="0" distB="0" distL="0" distR="0" simplePos="0" relativeHeight="251704320" behindDoc="0" locked="0" layoutInCell="1" allowOverlap="1">
            <wp:simplePos x="0" y="0"/>
            <wp:positionH relativeFrom="column">
              <wp:posOffset>342900</wp:posOffset>
            </wp:positionH>
            <wp:positionV relativeFrom="paragraph">
              <wp:posOffset>6515100</wp:posOffset>
            </wp:positionV>
            <wp:extent cx="5556885" cy="1590040"/>
            <wp:effectExtent l="0" t="0" r="0" b="0"/>
            <wp:wrapTopAndBottom/>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7">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56885" cy="1590040"/>
                    </a:xfrm>
                    <a:prstGeom prst="rect">
                      <a:avLst/>
                    </a:prstGeom>
                    <a:solidFill>
                      <a:srgbClr val="FFFFFF"/>
                    </a:solidFill>
                    <a:ln>
                      <a:noFill/>
                    </a:ln>
                  </pic:spPr>
                </pic:pic>
              </a:graphicData>
            </a:graphic>
          </wp:anchor>
        </w:drawing>
      </w:r>
      <w:r>
        <w:rPr>
          <w:rFonts w:ascii="Times New Roman" w:hAnsi="Times New Roman"/>
          <w:i/>
          <w:noProof/>
          <w:sz w:val="24"/>
          <w:szCs w:val="24"/>
          <w:u w:val="single"/>
          <w:lang w:val="it-IT" w:eastAsia="it-IT"/>
        </w:rPr>
        <w:drawing>
          <wp:anchor distT="0" distB="0" distL="0" distR="0" simplePos="0" relativeHeight="251705344" behindDoc="0" locked="0" layoutInCell="1" allowOverlap="1">
            <wp:simplePos x="0" y="0"/>
            <wp:positionH relativeFrom="column">
              <wp:posOffset>342900</wp:posOffset>
            </wp:positionH>
            <wp:positionV relativeFrom="paragraph">
              <wp:posOffset>-114300</wp:posOffset>
            </wp:positionV>
            <wp:extent cx="5556885" cy="6628130"/>
            <wp:effectExtent l="0" t="0" r="0" b="0"/>
            <wp:wrapTopAndBottom/>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48">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56885" cy="6628130"/>
                    </a:xfrm>
                    <a:prstGeom prst="rect">
                      <a:avLst/>
                    </a:prstGeom>
                    <a:solidFill>
                      <a:srgbClr val="FFFFFF"/>
                    </a:solidFill>
                    <a:ln>
                      <a:noFill/>
                    </a:ln>
                  </pic:spPr>
                </pic:pic>
              </a:graphicData>
            </a:graphic>
          </wp:anchor>
        </w:drawing>
      </w:r>
      <w:r w:rsidR="00FE0056">
        <w:rPr>
          <w:rFonts w:ascii="Times New Roman" w:hAnsi="Times New Roman"/>
          <w:bCs/>
          <w:color w:val="0D0D0D"/>
          <w:lang w:val="en-GB"/>
        </w:rPr>
        <w:tab/>
      </w:r>
      <w:r w:rsidR="00002DD3" w:rsidRPr="008409BD">
        <w:rPr>
          <w:rFonts w:ascii="Times New Roman" w:hAnsi="Times New Roman"/>
          <w:b/>
          <w:bCs/>
          <w:color w:val="0D0D0D"/>
          <w:lang w:val="en-GB"/>
        </w:rPr>
        <w:t xml:space="preserve">Fig. 14 </w:t>
      </w:r>
      <w:r w:rsidR="00FE0056">
        <w:rPr>
          <w:rFonts w:ascii="Times New Roman" w:hAnsi="Times New Roman"/>
          <w:bCs/>
          <w:color w:val="0D0D0D"/>
          <w:lang w:val="en-GB"/>
        </w:rPr>
        <w:t xml:space="preserve">Aree in cui i C carriers trattati con litio presentano alti valori di </w:t>
      </w:r>
      <w:r w:rsidR="00FE0056" w:rsidRPr="0078256D">
        <w:rPr>
          <w:rFonts w:ascii="Times New Roman" w:hAnsi="Times New Roman"/>
          <w:b/>
          <w:bCs/>
          <w:color w:val="0D0D0D"/>
          <w:lang w:val="en-GB"/>
        </w:rPr>
        <w:t>MD</w:t>
      </w:r>
      <w:r w:rsidR="00002DD3" w:rsidRPr="008409BD">
        <w:rPr>
          <w:rFonts w:ascii="Times New Roman" w:hAnsi="Times New Roman"/>
          <w:color w:val="0D0D0D"/>
          <w:lang w:val="en-GB"/>
        </w:rPr>
        <w:t>.</w:t>
      </w:r>
    </w:p>
    <w:p w:rsidR="00A0541C" w:rsidRPr="00367195" w:rsidRDefault="00B460A6" w:rsidP="001E5BE4">
      <w:pPr>
        <w:pStyle w:val="Tesi"/>
        <w:tabs>
          <w:tab w:val="left" w:pos="8503"/>
        </w:tabs>
        <w:spacing w:after="0" w:line="360" w:lineRule="auto"/>
        <w:ind w:right="1091"/>
        <w:jc w:val="both"/>
        <w:rPr>
          <w:rFonts w:ascii="Times New Roman" w:hAnsi="Times New Roman"/>
          <w:i/>
          <w:sz w:val="24"/>
          <w:szCs w:val="24"/>
          <w:u w:val="single"/>
        </w:rPr>
      </w:pPr>
      <w:r w:rsidRPr="00367195">
        <w:rPr>
          <w:rFonts w:ascii="Times New Roman" w:hAnsi="Times New Roman"/>
          <w:i/>
          <w:sz w:val="24"/>
          <w:szCs w:val="24"/>
          <w:u w:val="single"/>
        </w:rPr>
        <w:t>Effetto del litio nel gruppo T/T omozigoti</w:t>
      </w:r>
    </w:p>
    <w:p w:rsidR="00002DD3" w:rsidRDefault="00002DD3" w:rsidP="001E5BE4">
      <w:pPr>
        <w:pStyle w:val="Tesi"/>
        <w:tabs>
          <w:tab w:val="left" w:pos="8503"/>
        </w:tabs>
        <w:spacing w:after="0" w:line="360" w:lineRule="auto"/>
        <w:ind w:right="1091"/>
        <w:jc w:val="both"/>
        <w:rPr>
          <w:rFonts w:ascii="Times New Roman" w:hAnsi="Times New Roman"/>
          <w:sz w:val="24"/>
          <w:szCs w:val="24"/>
        </w:rPr>
      </w:pPr>
    </w:p>
    <w:p w:rsidR="00A0541C" w:rsidRDefault="00B460A6" w:rsidP="001E5BE4">
      <w:pPr>
        <w:pStyle w:val="Tesi"/>
        <w:tabs>
          <w:tab w:val="left" w:pos="8503"/>
        </w:tabs>
        <w:spacing w:after="0" w:line="360" w:lineRule="auto"/>
        <w:ind w:right="1091"/>
        <w:jc w:val="both"/>
        <w:rPr>
          <w:rFonts w:ascii="Times New Roman" w:hAnsi="Times New Roman"/>
          <w:sz w:val="24"/>
          <w:szCs w:val="24"/>
        </w:rPr>
      </w:pPr>
      <w:r>
        <w:rPr>
          <w:rFonts w:ascii="Times New Roman" w:hAnsi="Times New Roman"/>
          <w:sz w:val="24"/>
          <w:szCs w:val="24"/>
        </w:rPr>
        <w:t>Di seguito abbiamo condotto la stessa analisi nel gruppo T/T per testare l'effetto del litio in questo gruppo</w:t>
      </w:r>
      <w:r w:rsidR="00EB42CB">
        <w:rPr>
          <w:rFonts w:ascii="Times New Roman" w:hAnsi="Times New Roman"/>
          <w:sz w:val="24"/>
          <w:szCs w:val="24"/>
        </w:rPr>
        <w:t>. Pertanto abbiamo confrontato i</w:t>
      </w:r>
      <w:r>
        <w:rPr>
          <w:rFonts w:ascii="Times New Roman" w:hAnsi="Times New Roman"/>
          <w:sz w:val="24"/>
          <w:szCs w:val="24"/>
        </w:rPr>
        <w:t xml:space="preserve"> </w:t>
      </w:r>
      <w:r w:rsidR="00EB42CB">
        <w:rPr>
          <w:rFonts w:ascii="Times New Roman" w:hAnsi="Times New Roman"/>
          <w:sz w:val="24"/>
          <w:szCs w:val="24"/>
        </w:rPr>
        <w:t>valori di FA, MD, AD ed RD tra i</w:t>
      </w:r>
      <w:r>
        <w:rPr>
          <w:rFonts w:ascii="Times New Roman" w:hAnsi="Times New Roman"/>
          <w:sz w:val="24"/>
          <w:szCs w:val="24"/>
        </w:rPr>
        <w:t xml:space="preserve"> T/T omozig</w:t>
      </w:r>
      <w:r w:rsidR="00EB42CB">
        <w:rPr>
          <w:rFonts w:ascii="Times New Roman" w:hAnsi="Times New Roman"/>
          <w:sz w:val="24"/>
          <w:szCs w:val="24"/>
        </w:rPr>
        <w:t>oti trattati con litio e i</w:t>
      </w:r>
      <w:r>
        <w:rPr>
          <w:rFonts w:ascii="Times New Roman" w:hAnsi="Times New Roman"/>
          <w:sz w:val="24"/>
          <w:szCs w:val="24"/>
        </w:rPr>
        <w:t xml:space="preserve"> T/T che non assumevano litio da almeno</w:t>
      </w:r>
      <w:r w:rsidR="00EB42CB">
        <w:rPr>
          <w:rFonts w:ascii="Times New Roman" w:hAnsi="Times New Roman"/>
          <w:sz w:val="24"/>
          <w:szCs w:val="24"/>
        </w:rPr>
        <w:t xml:space="preserve"> sei mesi, usando il sess, l'età e l'onset come co</w:t>
      </w:r>
      <w:r>
        <w:rPr>
          <w:rFonts w:ascii="Times New Roman" w:hAnsi="Times New Roman"/>
          <w:sz w:val="24"/>
          <w:szCs w:val="24"/>
        </w:rPr>
        <w:t>variate nel disegno sperimentale. Interessantemente nessuna differenza significativa è stata trovata in questa analisi.</w:t>
      </w:r>
    </w:p>
    <w:p w:rsidR="00A0541C" w:rsidRDefault="00A0541C" w:rsidP="001E5BE4">
      <w:pPr>
        <w:pStyle w:val="Tesi"/>
        <w:tabs>
          <w:tab w:val="left" w:pos="8503"/>
        </w:tabs>
        <w:spacing w:after="0" w:line="360" w:lineRule="auto"/>
        <w:ind w:right="1091"/>
        <w:jc w:val="both"/>
        <w:rPr>
          <w:rFonts w:ascii="Times New Roman" w:hAnsi="Times New Roman"/>
          <w:sz w:val="24"/>
          <w:szCs w:val="24"/>
        </w:rPr>
      </w:pPr>
    </w:p>
    <w:p w:rsidR="00A0541C" w:rsidRDefault="00A0541C" w:rsidP="001E5BE4">
      <w:pPr>
        <w:pStyle w:val="Tesi"/>
        <w:tabs>
          <w:tab w:val="left" w:pos="8503"/>
        </w:tabs>
        <w:spacing w:after="0" w:line="360" w:lineRule="auto"/>
        <w:ind w:right="1091"/>
        <w:jc w:val="both"/>
        <w:rPr>
          <w:rFonts w:ascii="Times New Roman" w:hAnsi="Times New Roman"/>
          <w:sz w:val="24"/>
          <w:szCs w:val="24"/>
        </w:rPr>
      </w:pPr>
    </w:p>
    <w:p w:rsidR="00A0541C" w:rsidRPr="00002DD3" w:rsidRDefault="00B460A6" w:rsidP="001E5BE4">
      <w:pPr>
        <w:pStyle w:val="Tesi"/>
        <w:tabs>
          <w:tab w:val="left" w:pos="8503"/>
        </w:tabs>
        <w:spacing w:after="0" w:line="360" w:lineRule="auto"/>
        <w:ind w:right="1091"/>
        <w:jc w:val="both"/>
        <w:rPr>
          <w:rFonts w:ascii="Times New Roman" w:hAnsi="Times New Roman"/>
          <w:i/>
          <w:sz w:val="24"/>
          <w:szCs w:val="24"/>
          <w:u w:val="single"/>
        </w:rPr>
      </w:pPr>
      <w:r w:rsidRPr="00002DD3">
        <w:rPr>
          <w:rFonts w:ascii="Times New Roman" w:hAnsi="Times New Roman"/>
          <w:i/>
          <w:sz w:val="24"/>
          <w:szCs w:val="24"/>
          <w:u w:val="single"/>
        </w:rPr>
        <w:t>Effetto del genotipo nei pazienti trattati con litio</w:t>
      </w:r>
    </w:p>
    <w:p w:rsidR="00A0541C" w:rsidRDefault="00B460A6" w:rsidP="001E5BE4">
      <w:pPr>
        <w:pStyle w:val="Tesi"/>
        <w:tabs>
          <w:tab w:val="left" w:pos="8503"/>
        </w:tabs>
        <w:spacing w:after="0" w:line="360" w:lineRule="auto"/>
        <w:ind w:right="1091"/>
        <w:jc w:val="both"/>
        <w:rPr>
          <w:rFonts w:ascii="Times New Roman" w:hAnsi="Times New Roman"/>
          <w:sz w:val="24"/>
          <w:szCs w:val="24"/>
        </w:rPr>
      </w:pPr>
      <w:r>
        <w:rPr>
          <w:rFonts w:ascii="Times New Roman" w:hAnsi="Times New Roman"/>
          <w:sz w:val="24"/>
          <w:szCs w:val="24"/>
        </w:rPr>
        <w:t>Un' alteriore analisi d'interazione è stata condotta per studiare gli effetti del polimorfismo nel gruppo trattato con litio</w:t>
      </w:r>
      <w:r w:rsidR="00EB42CB">
        <w:rPr>
          <w:rFonts w:ascii="Times New Roman" w:hAnsi="Times New Roman"/>
          <w:sz w:val="24"/>
          <w:szCs w:val="24"/>
        </w:rPr>
        <w:t>; pertanto abbiamo confrontato i</w:t>
      </w:r>
      <w:r>
        <w:rPr>
          <w:rFonts w:ascii="Times New Roman" w:hAnsi="Times New Roman"/>
          <w:sz w:val="24"/>
          <w:szCs w:val="24"/>
        </w:rPr>
        <w:t xml:space="preserve"> valori di FA, MA, AD ed RD</w:t>
      </w:r>
      <w:r w:rsidR="00EB42CB">
        <w:rPr>
          <w:rFonts w:ascii="Times New Roman" w:hAnsi="Times New Roman"/>
          <w:sz w:val="24"/>
          <w:szCs w:val="24"/>
        </w:rPr>
        <w:t xml:space="preserve"> tra gliomozigoti T/T (n=10) e i</w:t>
      </w:r>
      <w:r>
        <w:rPr>
          <w:rFonts w:ascii="Times New Roman" w:hAnsi="Times New Roman"/>
          <w:sz w:val="24"/>
          <w:szCs w:val="24"/>
        </w:rPr>
        <w:t xml:space="preserve"> C-carriers (n=13), trattati con litio, prendendo come covariate l'età, il sesso e l'onset della malattia. L'unico coefficiente dove abbiamo riportato differenze significative è MD. L'analisi ha inoltre evidenziato 6 clusters, 4 dei quali sono formati da più di 100 voxels. Le differenze sono localizzate principalmente nell'emisfero destro e in aree dorsali del cervello. I picchi di significatività sono situati nel fascicolo longitudinale superiore, nel fascicolo longitudinale inferiore destro e nel tratto corticospinale localizzato nel limbo posteriore della capsula interna.</w:t>
      </w: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002DD3" w:rsidRDefault="00002DD3" w:rsidP="001E5BE4">
      <w:pPr>
        <w:pStyle w:val="Tesi"/>
        <w:tabs>
          <w:tab w:val="left" w:pos="8503"/>
        </w:tabs>
        <w:spacing w:line="360" w:lineRule="auto"/>
        <w:ind w:right="1091"/>
        <w:jc w:val="both"/>
        <w:rPr>
          <w:rFonts w:ascii="Times New Roman" w:hAnsi="Times New Roman"/>
          <w:sz w:val="24"/>
          <w:szCs w:val="24"/>
        </w:rPr>
      </w:pPr>
    </w:p>
    <w:p w:rsidR="00002DD3" w:rsidRDefault="00002DD3" w:rsidP="001E5BE4">
      <w:pPr>
        <w:pStyle w:val="Tesi"/>
        <w:tabs>
          <w:tab w:val="left" w:pos="8503"/>
        </w:tabs>
        <w:spacing w:line="360" w:lineRule="auto"/>
        <w:ind w:right="1091"/>
        <w:jc w:val="both"/>
        <w:rPr>
          <w:rFonts w:ascii="Times New Roman" w:hAnsi="Times New Roman"/>
          <w:sz w:val="24"/>
          <w:szCs w:val="24"/>
        </w:rPr>
      </w:pPr>
    </w:p>
    <w:p w:rsidR="00002DD3" w:rsidRDefault="00002DD3" w:rsidP="001E5BE4">
      <w:pPr>
        <w:pStyle w:val="Tesi"/>
        <w:tabs>
          <w:tab w:val="left" w:pos="8503"/>
        </w:tabs>
        <w:spacing w:line="360" w:lineRule="auto"/>
        <w:ind w:right="1091"/>
        <w:jc w:val="both"/>
        <w:rPr>
          <w:rFonts w:ascii="Times New Roman" w:hAnsi="Times New Roman"/>
          <w:sz w:val="24"/>
          <w:szCs w:val="24"/>
        </w:rPr>
      </w:pPr>
    </w:p>
    <w:p w:rsidR="00002DD3" w:rsidRDefault="00002DD3" w:rsidP="001E5BE4">
      <w:pPr>
        <w:pStyle w:val="Tesi"/>
        <w:tabs>
          <w:tab w:val="left" w:pos="8503"/>
        </w:tabs>
        <w:spacing w:line="360" w:lineRule="auto"/>
        <w:ind w:right="1091"/>
        <w:jc w:val="both"/>
        <w:rPr>
          <w:rFonts w:ascii="Times New Roman" w:hAnsi="Times New Roman"/>
          <w:sz w:val="24"/>
          <w:szCs w:val="24"/>
        </w:rPr>
      </w:pPr>
    </w:p>
    <w:p w:rsidR="00002DD3" w:rsidRDefault="00002DD3" w:rsidP="001E5BE4">
      <w:pPr>
        <w:pStyle w:val="Tesi"/>
        <w:tabs>
          <w:tab w:val="left" w:pos="8503"/>
        </w:tabs>
        <w:spacing w:line="360" w:lineRule="auto"/>
        <w:ind w:right="1091"/>
        <w:jc w:val="both"/>
        <w:rPr>
          <w:rFonts w:ascii="Times New Roman" w:hAnsi="Times New Roman"/>
          <w:sz w:val="24"/>
          <w:szCs w:val="24"/>
        </w:rPr>
      </w:pPr>
    </w:p>
    <w:p w:rsidR="00002DD3" w:rsidRDefault="00002DD3" w:rsidP="001E5BE4">
      <w:pPr>
        <w:pStyle w:val="Tesi"/>
        <w:tabs>
          <w:tab w:val="left" w:pos="8503"/>
        </w:tabs>
        <w:spacing w:line="360" w:lineRule="auto"/>
        <w:ind w:right="1091"/>
        <w:jc w:val="both"/>
        <w:rPr>
          <w:rFonts w:ascii="Times New Roman" w:hAnsi="Times New Roman"/>
          <w:sz w:val="24"/>
          <w:szCs w:val="24"/>
        </w:rPr>
      </w:pPr>
    </w:p>
    <w:p w:rsidR="00002DD3" w:rsidRDefault="00002DD3" w:rsidP="001E5BE4">
      <w:pPr>
        <w:pStyle w:val="Tesi"/>
        <w:tabs>
          <w:tab w:val="left" w:pos="8503"/>
        </w:tabs>
        <w:spacing w:line="360" w:lineRule="auto"/>
        <w:ind w:right="1091"/>
        <w:jc w:val="both"/>
        <w:rPr>
          <w:rFonts w:ascii="Times New Roman" w:hAnsi="Times New Roman"/>
          <w:sz w:val="24"/>
          <w:szCs w:val="24"/>
        </w:rPr>
      </w:pPr>
    </w:p>
    <w:p w:rsidR="00002DD3" w:rsidRDefault="00002DD3" w:rsidP="001E5BE4">
      <w:pPr>
        <w:pStyle w:val="Tesi"/>
        <w:tabs>
          <w:tab w:val="left" w:pos="8503"/>
        </w:tabs>
        <w:spacing w:line="360" w:lineRule="auto"/>
        <w:ind w:right="1091"/>
        <w:jc w:val="both"/>
        <w:rPr>
          <w:rFonts w:ascii="Times New Roman" w:hAnsi="Times New Roman"/>
          <w:sz w:val="24"/>
          <w:szCs w:val="24"/>
        </w:rPr>
      </w:pPr>
    </w:p>
    <w:p w:rsidR="00002DD3" w:rsidRDefault="00002DD3" w:rsidP="001E5BE4">
      <w:pPr>
        <w:pStyle w:val="Tesi"/>
        <w:tabs>
          <w:tab w:val="left" w:pos="8503"/>
        </w:tabs>
        <w:spacing w:line="360" w:lineRule="auto"/>
        <w:ind w:right="1091"/>
        <w:jc w:val="both"/>
        <w:rPr>
          <w:rFonts w:ascii="Times New Roman" w:hAnsi="Times New Roman"/>
          <w:sz w:val="24"/>
          <w:szCs w:val="24"/>
        </w:rPr>
      </w:pPr>
    </w:p>
    <w:p w:rsidR="00002DD3" w:rsidRDefault="00002DD3" w:rsidP="001E5BE4">
      <w:pPr>
        <w:pStyle w:val="Tesi"/>
        <w:tabs>
          <w:tab w:val="left" w:pos="8503"/>
        </w:tabs>
        <w:spacing w:line="360" w:lineRule="auto"/>
        <w:ind w:right="1091"/>
        <w:jc w:val="both"/>
        <w:rPr>
          <w:rFonts w:ascii="Times New Roman" w:hAnsi="Times New Roman"/>
          <w:sz w:val="24"/>
          <w:szCs w:val="24"/>
        </w:rPr>
      </w:pPr>
    </w:p>
    <w:tbl>
      <w:tblPr>
        <w:tblW w:w="0" w:type="auto"/>
        <w:tblInd w:w="6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55" w:type="dxa"/>
          <w:left w:w="55" w:type="dxa"/>
          <w:bottom w:w="55" w:type="dxa"/>
          <w:right w:w="55" w:type="dxa"/>
        </w:tblCellMar>
        <w:tblLook w:val="0000"/>
      </w:tblPr>
      <w:tblGrid>
        <w:gridCol w:w="1139"/>
        <w:gridCol w:w="1190"/>
        <w:gridCol w:w="1177"/>
        <w:gridCol w:w="1137"/>
        <w:gridCol w:w="1303"/>
        <w:gridCol w:w="1644"/>
        <w:gridCol w:w="1188"/>
      </w:tblGrid>
      <w:tr w:rsidR="00002DD3" w:rsidRPr="008409BD" w:rsidTr="004E5999">
        <w:trPr>
          <w:trHeight w:val="614"/>
        </w:trPr>
        <w:tc>
          <w:tcPr>
            <w:tcW w:w="1139"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002DD3" w:rsidRPr="008409BD" w:rsidRDefault="002B0C0F" w:rsidP="001E5BE4">
            <w:pPr>
              <w:pStyle w:val="Contenutotabella"/>
              <w:spacing w:line="360" w:lineRule="auto"/>
              <w:jc w:val="center"/>
              <w:rPr>
                <w:rFonts w:ascii="Calibri" w:hAnsi="Calibri"/>
                <w:b/>
                <w:bCs/>
                <w:color w:val="0D0D0D"/>
                <w:sz w:val="20"/>
                <w:szCs w:val="20"/>
              </w:rPr>
            </w:pPr>
            <w:r>
              <w:rPr>
                <w:rFonts w:ascii="Calibri" w:hAnsi="Calibri"/>
                <w:b/>
                <w:bCs/>
                <w:color w:val="0D0D0D"/>
                <w:sz w:val="20"/>
                <w:szCs w:val="20"/>
              </w:rPr>
              <w:t>Misure DTI</w:t>
            </w:r>
          </w:p>
        </w:tc>
        <w:tc>
          <w:tcPr>
            <w:tcW w:w="1190"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002DD3" w:rsidRPr="008409BD" w:rsidRDefault="002B0C0F" w:rsidP="001E5BE4">
            <w:pPr>
              <w:pStyle w:val="Contenutotabella"/>
              <w:snapToGrid w:val="0"/>
              <w:spacing w:line="360" w:lineRule="auto"/>
              <w:jc w:val="center"/>
              <w:rPr>
                <w:rFonts w:ascii="Calibri" w:hAnsi="Calibri"/>
                <w:b/>
                <w:bCs/>
                <w:color w:val="0D0D0D"/>
                <w:sz w:val="20"/>
                <w:szCs w:val="20"/>
              </w:rPr>
            </w:pPr>
            <w:r>
              <w:rPr>
                <w:rFonts w:ascii="Calibri" w:hAnsi="Calibri"/>
                <w:b/>
                <w:bCs/>
                <w:color w:val="0D0D0D"/>
                <w:sz w:val="20"/>
                <w:szCs w:val="20"/>
              </w:rPr>
              <w:t>T/T trattati con litio</w:t>
            </w:r>
          </w:p>
        </w:tc>
        <w:tc>
          <w:tcPr>
            <w:tcW w:w="1177"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002DD3" w:rsidRPr="008409BD" w:rsidRDefault="00002DD3" w:rsidP="001E5BE4">
            <w:pPr>
              <w:pStyle w:val="Contenutotabella"/>
              <w:snapToGrid w:val="0"/>
              <w:spacing w:line="360" w:lineRule="auto"/>
              <w:jc w:val="center"/>
              <w:rPr>
                <w:rFonts w:ascii="Calibri" w:hAnsi="Calibri"/>
                <w:b/>
                <w:bCs/>
                <w:color w:val="0D0D0D"/>
                <w:sz w:val="20"/>
                <w:szCs w:val="20"/>
              </w:rPr>
            </w:pPr>
            <w:r w:rsidRPr="008409BD">
              <w:rPr>
                <w:rFonts w:ascii="Calibri" w:hAnsi="Calibri"/>
                <w:b/>
                <w:bCs/>
                <w:color w:val="0D0D0D"/>
                <w:sz w:val="20"/>
                <w:szCs w:val="20"/>
              </w:rPr>
              <w:t xml:space="preserve">C carriers </w:t>
            </w:r>
            <w:r w:rsidR="002B0C0F">
              <w:rPr>
                <w:rFonts w:ascii="Calibri" w:hAnsi="Calibri"/>
                <w:b/>
                <w:bCs/>
                <w:color w:val="0D0D0D"/>
                <w:sz w:val="20"/>
                <w:szCs w:val="20"/>
              </w:rPr>
              <w:t>trattati con litio</w:t>
            </w:r>
          </w:p>
        </w:tc>
        <w:tc>
          <w:tcPr>
            <w:tcW w:w="1137"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002DD3" w:rsidRPr="008409BD" w:rsidRDefault="002B0C0F" w:rsidP="001E5BE4">
            <w:pPr>
              <w:pStyle w:val="Contenutotabella"/>
              <w:snapToGrid w:val="0"/>
              <w:spacing w:line="360" w:lineRule="auto"/>
              <w:jc w:val="center"/>
              <w:rPr>
                <w:rFonts w:ascii="Calibri" w:hAnsi="Calibri"/>
                <w:b/>
                <w:bCs/>
                <w:color w:val="0D0D0D"/>
                <w:sz w:val="20"/>
                <w:szCs w:val="20"/>
              </w:rPr>
            </w:pPr>
            <w:r>
              <w:rPr>
                <w:rFonts w:ascii="Calibri" w:hAnsi="Calibri"/>
                <w:b/>
                <w:bCs/>
                <w:color w:val="0D0D0D"/>
                <w:sz w:val="20"/>
                <w:szCs w:val="20"/>
              </w:rPr>
              <w:t>Numero di voxels</w:t>
            </w:r>
          </w:p>
        </w:tc>
        <w:tc>
          <w:tcPr>
            <w:tcW w:w="1303"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002DD3" w:rsidRPr="008409BD" w:rsidRDefault="002B0C0F" w:rsidP="001E5BE4">
            <w:pPr>
              <w:pStyle w:val="Contenutotabella"/>
              <w:snapToGrid w:val="0"/>
              <w:spacing w:line="360" w:lineRule="auto"/>
              <w:jc w:val="center"/>
              <w:rPr>
                <w:rFonts w:ascii="Calibri" w:hAnsi="Calibri"/>
                <w:b/>
                <w:bCs/>
                <w:color w:val="0D0D0D"/>
                <w:sz w:val="20"/>
                <w:szCs w:val="20"/>
              </w:rPr>
            </w:pPr>
            <w:r>
              <w:rPr>
                <w:rFonts w:ascii="Calibri" w:hAnsi="Calibri"/>
                <w:b/>
                <w:bCs/>
                <w:color w:val="0D0D0D"/>
                <w:sz w:val="20"/>
                <w:szCs w:val="20"/>
              </w:rPr>
              <w:t>Picco di segnale</w:t>
            </w:r>
          </w:p>
          <w:p w:rsidR="00002DD3" w:rsidRPr="008409BD" w:rsidRDefault="00002DD3" w:rsidP="001E5BE4">
            <w:pPr>
              <w:pStyle w:val="Contenutotabella"/>
              <w:spacing w:line="360" w:lineRule="auto"/>
              <w:jc w:val="center"/>
              <w:rPr>
                <w:rFonts w:ascii="Calibri" w:hAnsi="Calibri"/>
                <w:b/>
                <w:bCs/>
                <w:color w:val="0D0D0D"/>
                <w:sz w:val="20"/>
                <w:szCs w:val="20"/>
              </w:rPr>
            </w:pPr>
            <w:r w:rsidRPr="008409BD">
              <w:rPr>
                <w:rFonts w:ascii="Calibri" w:hAnsi="Calibri"/>
                <w:b/>
                <w:bCs/>
                <w:color w:val="0D0D0D"/>
                <w:sz w:val="20"/>
                <w:szCs w:val="20"/>
              </w:rPr>
              <w:t>(x, y, z)</w:t>
            </w:r>
          </w:p>
        </w:tc>
        <w:tc>
          <w:tcPr>
            <w:tcW w:w="1644"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002DD3" w:rsidRPr="008409BD" w:rsidRDefault="001E5BE4" w:rsidP="001E5BE4">
            <w:pPr>
              <w:pStyle w:val="Contenutotabella"/>
              <w:snapToGrid w:val="0"/>
              <w:spacing w:line="360" w:lineRule="auto"/>
              <w:jc w:val="center"/>
              <w:rPr>
                <w:rFonts w:ascii="Calibri" w:hAnsi="Calibri"/>
                <w:b/>
                <w:bCs/>
                <w:color w:val="0D0D0D"/>
                <w:sz w:val="20"/>
                <w:szCs w:val="20"/>
              </w:rPr>
            </w:pPr>
            <w:r>
              <w:rPr>
                <w:rFonts w:ascii="Calibri" w:hAnsi="Calibri"/>
                <w:b/>
                <w:bCs/>
                <w:color w:val="0D0D0D"/>
                <w:sz w:val="20"/>
                <w:szCs w:val="20"/>
              </w:rPr>
              <w:t>Tratti</w:t>
            </w:r>
            <w:r w:rsidR="002B0C0F">
              <w:rPr>
                <w:rFonts w:ascii="Calibri" w:hAnsi="Calibri"/>
                <w:b/>
                <w:bCs/>
                <w:color w:val="0D0D0D"/>
                <w:sz w:val="20"/>
                <w:szCs w:val="20"/>
              </w:rPr>
              <w:t xml:space="preserve"> di bianca al picco</w:t>
            </w:r>
          </w:p>
        </w:tc>
        <w:tc>
          <w:tcPr>
            <w:tcW w:w="1188"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002DD3" w:rsidRPr="008409BD" w:rsidRDefault="002B0C0F" w:rsidP="001E5BE4">
            <w:pPr>
              <w:pStyle w:val="Contenutotabella"/>
              <w:snapToGrid w:val="0"/>
              <w:spacing w:line="360" w:lineRule="auto"/>
              <w:jc w:val="center"/>
              <w:rPr>
                <w:rFonts w:ascii="Calibri" w:hAnsi="Calibri"/>
                <w:b/>
                <w:bCs/>
                <w:color w:val="0D0D0D"/>
                <w:sz w:val="20"/>
                <w:szCs w:val="20"/>
              </w:rPr>
            </w:pPr>
            <w:r>
              <w:rPr>
                <w:rFonts w:ascii="Calibri" w:hAnsi="Calibri"/>
                <w:b/>
                <w:bCs/>
                <w:color w:val="0D0D0D"/>
                <w:sz w:val="20"/>
                <w:szCs w:val="20"/>
              </w:rPr>
              <w:t>Direzione dell’effetto</w:t>
            </w:r>
          </w:p>
        </w:tc>
      </w:tr>
      <w:tr w:rsidR="00002DD3" w:rsidRPr="008409BD" w:rsidTr="004E5999">
        <w:trPr>
          <w:trHeight w:val="1276"/>
        </w:trPr>
        <w:tc>
          <w:tcPr>
            <w:tcW w:w="1139" w:type="dxa"/>
            <w:vMerge w:val="restart"/>
            <w:tcBorders>
              <w:top w:val="single" w:sz="18" w:space="0" w:color="000000"/>
            </w:tcBorders>
            <w:shd w:val="clear" w:color="auto" w:fill="auto"/>
            <w:vAlign w:val="center"/>
          </w:tcPr>
          <w:p w:rsidR="00002DD3" w:rsidRPr="008409BD" w:rsidRDefault="002B0C0F" w:rsidP="001E5BE4">
            <w:pPr>
              <w:pStyle w:val="Contenutotabella"/>
              <w:snapToGrid w:val="0"/>
              <w:spacing w:line="360" w:lineRule="auto"/>
              <w:jc w:val="center"/>
              <w:rPr>
                <w:rFonts w:ascii="Calibri" w:hAnsi="Calibri"/>
                <w:color w:val="0D0D0D"/>
                <w:sz w:val="20"/>
                <w:szCs w:val="22"/>
              </w:rPr>
            </w:pPr>
            <w:r>
              <w:rPr>
                <w:rFonts w:ascii="Calibri" w:hAnsi="Calibri"/>
                <w:b/>
                <w:color w:val="0D0D0D"/>
                <w:sz w:val="20"/>
                <w:szCs w:val="22"/>
              </w:rPr>
              <w:t>Diffusività Media</w:t>
            </w:r>
          </w:p>
        </w:tc>
        <w:tc>
          <w:tcPr>
            <w:tcW w:w="1190" w:type="dxa"/>
            <w:vMerge w:val="restart"/>
            <w:tcBorders>
              <w:top w:val="single" w:sz="18" w:space="0" w:color="000000"/>
            </w:tcBorders>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7.71±0.56</w:t>
            </w:r>
          </w:p>
        </w:tc>
        <w:tc>
          <w:tcPr>
            <w:tcW w:w="1177" w:type="dxa"/>
            <w:vMerge w:val="restart"/>
            <w:tcBorders>
              <w:top w:val="single" w:sz="18" w:space="0" w:color="000000"/>
            </w:tcBorders>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8.11±0.59</w:t>
            </w:r>
          </w:p>
        </w:tc>
        <w:tc>
          <w:tcPr>
            <w:tcW w:w="1137" w:type="dxa"/>
            <w:tcBorders>
              <w:top w:val="single" w:sz="18" w:space="0" w:color="000000"/>
            </w:tcBorders>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9124</w:t>
            </w:r>
          </w:p>
        </w:tc>
        <w:tc>
          <w:tcPr>
            <w:tcW w:w="1303" w:type="dxa"/>
            <w:tcBorders>
              <w:top w:val="single" w:sz="18" w:space="0" w:color="000000"/>
            </w:tcBorders>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39  -49  22</w:t>
            </w:r>
          </w:p>
        </w:tc>
        <w:tc>
          <w:tcPr>
            <w:tcW w:w="1644" w:type="dxa"/>
            <w:tcBorders>
              <w:top w:val="single" w:sz="18" w:space="0" w:color="000000"/>
            </w:tcBorders>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Superior longitudinal fasciculus R</w:t>
            </w:r>
          </w:p>
        </w:tc>
        <w:tc>
          <w:tcPr>
            <w:tcW w:w="1188" w:type="dxa"/>
            <w:vMerge w:val="restart"/>
            <w:tcBorders>
              <w:top w:val="single" w:sz="18" w:space="0" w:color="000000"/>
            </w:tcBorders>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T/T &lt; C carriers</w:t>
            </w:r>
          </w:p>
        </w:tc>
      </w:tr>
      <w:tr w:rsidR="00002DD3" w:rsidRPr="008409BD" w:rsidTr="004E5999">
        <w:trPr>
          <w:trHeight w:val="1276"/>
        </w:trPr>
        <w:tc>
          <w:tcPr>
            <w:tcW w:w="1139" w:type="dxa"/>
            <w:vMerge/>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2"/>
              </w:rPr>
            </w:pPr>
          </w:p>
        </w:tc>
        <w:tc>
          <w:tcPr>
            <w:tcW w:w="1190" w:type="dxa"/>
            <w:vMerge/>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p>
        </w:tc>
        <w:tc>
          <w:tcPr>
            <w:tcW w:w="1177" w:type="dxa"/>
            <w:vMerge/>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p>
        </w:tc>
        <w:tc>
          <w:tcPr>
            <w:tcW w:w="1137" w:type="dxa"/>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878</w:t>
            </w:r>
          </w:p>
        </w:tc>
        <w:tc>
          <w:tcPr>
            <w:tcW w:w="1303" w:type="dxa"/>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49  -20  -21</w:t>
            </w:r>
          </w:p>
        </w:tc>
        <w:tc>
          <w:tcPr>
            <w:tcW w:w="1644" w:type="dxa"/>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Inferior longitudinal fasciculus R</w:t>
            </w:r>
          </w:p>
        </w:tc>
        <w:tc>
          <w:tcPr>
            <w:tcW w:w="1188" w:type="dxa"/>
            <w:vMerge/>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p>
        </w:tc>
      </w:tr>
      <w:tr w:rsidR="00002DD3" w:rsidRPr="008409BD" w:rsidTr="004E5999">
        <w:trPr>
          <w:trHeight w:val="1276"/>
        </w:trPr>
        <w:tc>
          <w:tcPr>
            <w:tcW w:w="1139" w:type="dxa"/>
            <w:vMerge/>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2"/>
              </w:rPr>
            </w:pPr>
          </w:p>
        </w:tc>
        <w:tc>
          <w:tcPr>
            <w:tcW w:w="1190" w:type="dxa"/>
            <w:vMerge/>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p>
        </w:tc>
        <w:tc>
          <w:tcPr>
            <w:tcW w:w="1177" w:type="dxa"/>
            <w:vMerge/>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p>
        </w:tc>
        <w:tc>
          <w:tcPr>
            <w:tcW w:w="1137" w:type="dxa"/>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861</w:t>
            </w:r>
          </w:p>
        </w:tc>
        <w:tc>
          <w:tcPr>
            <w:tcW w:w="1303" w:type="dxa"/>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24  -16  6</w:t>
            </w:r>
          </w:p>
        </w:tc>
        <w:tc>
          <w:tcPr>
            <w:tcW w:w="1644" w:type="dxa"/>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Corticalspinal tract R (Posterior limb of internal capsule)</w:t>
            </w:r>
          </w:p>
        </w:tc>
        <w:tc>
          <w:tcPr>
            <w:tcW w:w="1188" w:type="dxa"/>
            <w:vMerge/>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p>
        </w:tc>
      </w:tr>
      <w:tr w:rsidR="00002DD3" w:rsidRPr="008409BD" w:rsidTr="004E5999">
        <w:trPr>
          <w:trHeight w:val="1276"/>
        </w:trPr>
        <w:tc>
          <w:tcPr>
            <w:tcW w:w="1139" w:type="dxa"/>
            <w:vMerge/>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2"/>
              </w:rPr>
            </w:pPr>
          </w:p>
        </w:tc>
        <w:tc>
          <w:tcPr>
            <w:tcW w:w="1190" w:type="dxa"/>
            <w:vMerge/>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p>
        </w:tc>
        <w:tc>
          <w:tcPr>
            <w:tcW w:w="1177" w:type="dxa"/>
            <w:vMerge/>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p>
        </w:tc>
        <w:tc>
          <w:tcPr>
            <w:tcW w:w="1137" w:type="dxa"/>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691</w:t>
            </w:r>
          </w:p>
        </w:tc>
        <w:tc>
          <w:tcPr>
            <w:tcW w:w="1303" w:type="dxa"/>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42  13  15</w:t>
            </w:r>
          </w:p>
        </w:tc>
        <w:tc>
          <w:tcPr>
            <w:tcW w:w="1644" w:type="dxa"/>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r w:rsidRPr="008409BD">
              <w:rPr>
                <w:rFonts w:ascii="Calibri" w:hAnsi="Calibri"/>
                <w:color w:val="0D0D0D"/>
                <w:sz w:val="20"/>
                <w:szCs w:val="20"/>
              </w:rPr>
              <w:t>Superior longitudinal fasciculus R</w:t>
            </w:r>
          </w:p>
        </w:tc>
        <w:tc>
          <w:tcPr>
            <w:tcW w:w="1188" w:type="dxa"/>
            <w:vMerge/>
            <w:shd w:val="clear" w:color="auto" w:fill="auto"/>
            <w:vAlign w:val="center"/>
          </w:tcPr>
          <w:p w:rsidR="00002DD3" w:rsidRPr="008409BD" w:rsidRDefault="00002DD3" w:rsidP="001E5BE4">
            <w:pPr>
              <w:pStyle w:val="Contenutotabella"/>
              <w:snapToGrid w:val="0"/>
              <w:spacing w:line="360" w:lineRule="auto"/>
              <w:jc w:val="center"/>
              <w:rPr>
                <w:rFonts w:ascii="Calibri" w:hAnsi="Calibri"/>
                <w:color w:val="0D0D0D"/>
                <w:sz w:val="20"/>
                <w:szCs w:val="20"/>
              </w:rPr>
            </w:pPr>
          </w:p>
        </w:tc>
      </w:tr>
    </w:tbl>
    <w:p w:rsidR="00002DD3" w:rsidRPr="00002DD3" w:rsidRDefault="00002DD3" w:rsidP="001E5BE4">
      <w:pPr>
        <w:pStyle w:val="Tesi"/>
        <w:tabs>
          <w:tab w:val="left" w:pos="8503"/>
        </w:tabs>
        <w:spacing w:line="360" w:lineRule="auto"/>
        <w:ind w:right="1091"/>
        <w:jc w:val="both"/>
        <w:rPr>
          <w:rFonts w:ascii="Times New Roman" w:hAnsi="Times New Roman" w:cs="Times New Roman"/>
          <w:sz w:val="20"/>
          <w:szCs w:val="20"/>
        </w:rPr>
      </w:pPr>
      <w:r w:rsidRPr="00002DD3">
        <w:rPr>
          <w:rFonts w:ascii="Times New Roman" w:eastAsia="Calibri" w:hAnsi="Times New Roman" w:cs="Times New Roman"/>
          <w:b/>
          <w:bCs/>
          <w:color w:val="0D0D0D"/>
          <w:sz w:val="20"/>
          <w:szCs w:val="20"/>
          <w:lang w:val="en-GB"/>
        </w:rPr>
        <w:t xml:space="preserve">Table 7 </w:t>
      </w:r>
      <w:r w:rsidR="002B0C0F">
        <w:rPr>
          <w:rFonts w:ascii="Times New Roman" w:eastAsia="Calibri" w:hAnsi="Times New Roman" w:cs="Times New Roman"/>
          <w:bCs/>
          <w:color w:val="0D0D0D"/>
          <w:sz w:val="20"/>
          <w:szCs w:val="20"/>
          <w:lang w:val="en-GB"/>
        </w:rPr>
        <w:t>Con</w:t>
      </w:r>
      <w:r w:rsidR="00EB42CB">
        <w:rPr>
          <w:rFonts w:ascii="Times New Roman" w:eastAsia="Calibri" w:hAnsi="Times New Roman" w:cs="Times New Roman"/>
          <w:bCs/>
          <w:color w:val="0D0D0D"/>
          <w:sz w:val="20"/>
          <w:szCs w:val="20"/>
          <w:lang w:val="en-GB"/>
        </w:rPr>
        <w:t>fronto tra gli omozigoti T/T e i</w:t>
      </w:r>
      <w:r w:rsidR="002B0C0F">
        <w:rPr>
          <w:rFonts w:ascii="Times New Roman" w:eastAsia="Calibri" w:hAnsi="Times New Roman" w:cs="Times New Roman"/>
          <w:bCs/>
          <w:color w:val="0D0D0D"/>
          <w:sz w:val="20"/>
          <w:szCs w:val="20"/>
          <w:lang w:val="en-GB"/>
        </w:rPr>
        <w:t xml:space="preserve"> C-carriers, entrambi tr</w:t>
      </w:r>
      <w:r w:rsidR="00FC2832">
        <w:rPr>
          <w:rFonts w:ascii="Times New Roman" w:eastAsia="Calibri" w:hAnsi="Times New Roman" w:cs="Times New Roman"/>
          <w:bCs/>
          <w:color w:val="0D0D0D"/>
          <w:sz w:val="20"/>
          <w:szCs w:val="20"/>
          <w:lang w:val="en-GB"/>
        </w:rPr>
        <w:t>attati con litio. I valori delle misure DTI (media</w:t>
      </w:r>
      <w:r w:rsidR="00FC2832" w:rsidRPr="00002DD3">
        <w:rPr>
          <w:rFonts w:ascii="Times New Roman" w:eastAsia="Calibri" w:hAnsi="Times New Roman" w:cs="Times New Roman"/>
          <w:color w:val="0D0D0D"/>
          <w:sz w:val="20"/>
          <w:szCs w:val="20"/>
          <w:lang w:val="en-GB"/>
        </w:rPr>
        <w:t>±</w:t>
      </w:r>
      <w:r w:rsidR="00FC2832">
        <w:rPr>
          <w:rFonts w:ascii="Times New Roman" w:eastAsia="Calibri" w:hAnsi="Times New Roman" w:cs="Times New Roman"/>
          <w:color w:val="0D0D0D"/>
          <w:sz w:val="20"/>
          <w:szCs w:val="20"/>
          <w:lang w:val="en-GB"/>
        </w:rPr>
        <w:t>DS) sono mostrati per entrambi i gruppi, consider</w:t>
      </w:r>
      <w:r w:rsidR="00EB42CB">
        <w:rPr>
          <w:rFonts w:ascii="Times New Roman" w:eastAsia="Calibri" w:hAnsi="Times New Roman" w:cs="Times New Roman"/>
          <w:color w:val="0D0D0D"/>
          <w:sz w:val="20"/>
          <w:szCs w:val="20"/>
          <w:lang w:val="en-GB"/>
        </w:rPr>
        <w:t>ando le regioni di bianca dove i</w:t>
      </w:r>
      <w:r w:rsidR="00FC2832">
        <w:rPr>
          <w:rFonts w:ascii="Times New Roman" w:eastAsia="Calibri" w:hAnsi="Times New Roman" w:cs="Times New Roman"/>
          <w:color w:val="0D0D0D"/>
          <w:sz w:val="20"/>
          <w:szCs w:val="20"/>
          <w:lang w:val="en-GB"/>
        </w:rPr>
        <w:t xml:space="preserve"> due gruppi differiscono maggiormente. Le dimensioni dei cluster (numero di voxels, </w:t>
      </w:r>
      <w:r w:rsidR="00FC2832" w:rsidRPr="00002DD3">
        <w:rPr>
          <w:rFonts w:ascii="Times New Roman" w:eastAsia="Calibri" w:hAnsi="Times New Roman" w:cs="Times New Roman"/>
          <w:color w:val="0D0D0D"/>
          <w:sz w:val="20"/>
          <w:szCs w:val="20"/>
          <w:lang w:val="en-GB"/>
        </w:rPr>
        <w:t>mm</w:t>
      </w:r>
      <w:r w:rsidR="00FC2832" w:rsidRPr="00002DD3">
        <w:rPr>
          <w:rFonts w:ascii="Times New Roman" w:eastAsia="Calibri" w:hAnsi="Times New Roman" w:cs="Times New Roman"/>
          <w:color w:val="0D0D0D"/>
          <w:sz w:val="20"/>
          <w:szCs w:val="20"/>
          <w:vertAlign w:val="superscript"/>
          <w:lang w:val="en-GB"/>
        </w:rPr>
        <w:t>3</w:t>
      </w:r>
      <w:r w:rsidR="00FC2832" w:rsidRPr="00002DD3">
        <w:rPr>
          <w:rFonts w:ascii="Times New Roman" w:eastAsia="Calibri" w:hAnsi="Times New Roman" w:cs="Times New Roman"/>
          <w:color w:val="0D0D0D"/>
          <w:sz w:val="20"/>
          <w:szCs w:val="20"/>
          <w:lang w:val="en-GB"/>
        </w:rPr>
        <w:t>)</w:t>
      </w:r>
      <w:r w:rsidR="00FC2832">
        <w:rPr>
          <w:rFonts w:ascii="Times New Roman" w:eastAsia="Calibri" w:hAnsi="Times New Roman" w:cs="Times New Roman"/>
          <w:color w:val="0D0D0D"/>
          <w:sz w:val="20"/>
          <w:szCs w:val="20"/>
          <w:lang w:val="en-GB"/>
        </w:rPr>
        <w:t xml:space="preserve"> e le regioni coinvolte sono elencati. </w:t>
      </w:r>
      <w:r w:rsidR="00FC2832">
        <w:rPr>
          <w:rFonts w:ascii="Times New Roman" w:eastAsia="Calibri" w:hAnsi="Times New Roman" w:cs="Times New Roman"/>
          <w:bCs/>
          <w:color w:val="0D0D0D"/>
          <w:sz w:val="20"/>
          <w:szCs w:val="20"/>
          <w:lang w:val="en-GB"/>
        </w:rPr>
        <w:t xml:space="preserve"> </w:t>
      </w:r>
    </w:p>
    <w:p w:rsidR="00002DD3" w:rsidRDefault="00002DD3" w:rsidP="001E5BE4">
      <w:pPr>
        <w:pStyle w:val="Tesi"/>
        <w:tabs>
          <w:tab w:val="left" w:pos="8503"/>
        </w:tabs>
        <w:spacing w:line="360" w:lineRule="auto"/>
        <w:ind w:right="1091"/>
        <w:jc w:val="both"/>
        <w:rPr>
          <w:rFonts w:ascii="Times New Roman" w:hAnsi="Times New Roman"/>
          <w:sz w:val="24"/>
          <w:szCs w:val="24"/>
        </w:rPr>
      </w:pPr>
    </w:p>
    <w:p w:rsidR="00002DD3" w:rsidRDefault="00002DD3" w:rsidP="001E5BE4">
      <w:pPr>
        <w:pStyle w:val="Tesi"/>
        <w:tabs>
          <w:tab w:val="left" w:pos="8503"/>
        </w:tabs>
        <w:spacing w:line="360" w:lineRule="auto"/>
        <w:ind w:right="1091"/>
        <w:jc w:val="both"/>
        <w:rPr>
          <w:rFonts w:ascii="Times New Roman" w:hAnsi="Times New Roman"/>
          <w:sz w:val="24"/>
          <w:szCs w:val="24"/>
        </w:rPr>
      </w:pPr>
    </w:p>
    <w:p w:rsidR="00002DD3" w:rsidRDefault="00002DD3" w:rsidP="001E5BE4">
      <w:pPr>
        <w:pStyle w:val="Tesi"/>
        <w:tabs>
          <w:tab w:val="left" w:pos="8503"/>
        </w:tabs>
        <w:spacing w:line="360" w:lineRule="auto"/>
        <w:ind w:right="1091"/>
        <w:jc w:val="both"/>
        <w:rPr>
          <w:rFonts w:ascii="Times New Roman" w:hAnsi="Times New Roman"/>
          <w:sz w:val="24"/>
          <w:szCs w:val="24"/>
        </w:rPr>
      </w:pPr>
    </w:p>
    <w:p w:rsidR="00002DD3" w:rsidRDefault="00002DD3" w:rsidP="001E5BE4">
      <w:pPr>
        <w:pStyle w:val="Tesi"/>
        <w:tabs>
          <w:tab w:val="left" w:pos="8503"/>
        </w:tabs>
        <w:spacing w:line="360" w:lineRule="auto"/>
        <w:ind w:right="1091"/>
        <w:jc w:val="both"/>
        <w:rPr>
          <w:rFonts w:ascii="Times New Roman" w:hAnsi="Times New Roman"/>
          <w:sz w:val="24"/>
          <w:szCs w:val="24"/>
        </w:rPr>
      </w:pPr>
    </w:p>
    <w:p w:rsidR="00002DD3" w:rsidRDefault="00002DD3" w:rsidP="001E5BE4">
      <w:pPr>
        <w:pStyle w:val="Tesi"/>
        <w:tabs>
          <w:tab w:val="left" w:pos="8503"/>
        </w:tabs>
        <w:spacing w:line="360" w:lineRule="auto"/>
        <w:ind w:right="1091"/>
        <w:jc w:val="both"/>
        <w:rPr>
          <w:rFonts w:ascii="Times New Roman" w:hAnsi="Times New Roman"/>
          <w:sz w:val="24"/>
          <w:szCs w:val="24"/>
        </w:rPr>
      </w:pPr>
    </w:p>
    <w:p w:rsidR="00002DD3" w:rsidRDefault="00002DD3" w:rsidP="001E5BE4">
      <w:pPr>
        <w:pStyle w:val="Tesi"/>
        <w:tabs>
          <w:tab w:val="left" w:pos="8503"/>
        </w:tabs>
        <w:spacing w:line="360" w:lineRule="auto"/>
        <w:ind w:right="1091"/>
        <w:jc w:val="both"/>
        <w:rPr>
          <w:rFonts w:ascii="Times New Roman" w:hAnsi="Times New Roman"/>
          <w:sz w:val="24"/>
          <w:szCs w:val="24"/>
        </w:rPr>
      </w:pPr>
    </w:p>
    <w:p w:rsidR="00002DD3" w:rsidRDefault="00002DD3" w:rsidP="001E5BE4">
      <w:pPr>
        <w:pStyle w:val="Tesi"/>
        <w:tabs>
          <w:tab w:val="left" w:pos="8503"/>
        </w:tabs>
        <w:spacing w:line="360" w:lineRule="auto"/>
        <w:ind w:right="1091"/>
        <w:jc w:val="both"/>
        <w:rPr>
          <w:rFonts w:ascii="Times New Roman" w:hAnsi="Times New Roman"/>
          <w:sz w:val="24"/>
          <w:szCs w:val="24"/>
        </w:rPr>
      </w:pPr>
    </w:p>
    <w:p w:rsidR="00002DD3" w:rsidRDefault="00002DD3" w:rsidP="001E5BE4">
      <w:pPr>
        <w:pStyle w:val="Tesi"/>
        <w:tabs>
          <w:tab w:val="left" w:pos="8503"/>
        </w:tabs>
        <w:spacing w:line="360" w:lineRule="auto"/>
        <w:ind w:right="1091"/>
        <w:jc w:val="both"/>
        <w:rPr>
          <w:rFonts w:ascii="Times New Roman" w:hAnsi="Times New Roman"/>
          <w:sz w:val="24"/>
          <w:szCs w:val="24"/>
        </w:rPr>
      </w:pPr>
    </w:p>
    <w:p w:rsidR="00002DD3" w:rsidRDefault="00002DD3" w:rsidP="001E5BE4">
      <w:pPr>
        <w:pStyle w:val="Tesi"/>
        <w:tabs>
          <w:tab w:val="left" w:pos="8503"/>
        </w:tabs>
        <w:spacing w:line="360" w:lineRule="auto"/>
        <w:ind w:right="1091"/>
        <w:jc w:val="both"/>
        <w:rPr>
          <w:rFonts w:ascii="Times New Roman" w:hAnsi="Times New Roman"/>
          <w:sz w:val="24"/>
          <w:szCs w:val="24"/>
        </w:rPr>
      </w:pPr>
    </w:p>
    <w:p w:rsidR="00A0541C" w:rsidRPr="00002DD3" w:rsidRDefault="00B460A6" w:rsidP="001E5BE4">
      <w:pPr>
        <w:pStyle w:val="Tesi"/>
        <w:tabs>
          <w:tab w:val="left" w:pos="8503"/>
        </w:tabs>
        <w:spacing w:line="360" w:lineRule="auto"/>
        <w:ind w:right="1091"/>
        <w:jc w:val="both"/>
        <w:rPr>
          <w:rFonts w:ascii="Times New Roman" w:hAnsi="Times New Roman"/>
          <w:i/>
          <w:sz w:val="24"/>
          <w:szCs w:val="24"/>
          <w:u w:val="single"/>
        </w:rPr>
      </w:pPr>
      <w:r w:rsidRPr="00002DD3">
        <w:rPr>
          <w:rFonts w:ascii="Times New Roman" w:hAnsi="Times New Roman"/>
          <w:i/>
          <w:sz w:val="24"/>
          <w:szCs w:val="24"/>
          <w:u w:val="single"/>
        </w:rPr>
        <w:t>Effetto del genotipo nei pazienti non trattati con Litio</w:t>
      </w:r>
    </w:p>
    <w:p w:rsidR="00A0541C" w:rsidRDefault="00B460A6" w:rsidP="001E5BE4">
      <w:pPr>
        <w:pStyle w:val="Tesi"/>
        <w:tabs>
          <w:tab w:val="left" w:pos="8503"/>
        </w:tabs>
        <w:spacing w:line="360" w:lineRule="auto"/>
        <w:ind w:right="1091"/>
        <w:jc w:val="both"/>
        <w:rPr>
          <w:rFonts w:ascii="Times New Roman" w:hAnsi="Times New Roman"/>
          <w:sz w:val="24"/>
          <w:szCs w:val="24"/>
        </w:rPr>
      </w:pPr>
      <w:r>
        <w:rPr>
          <w:rFonts w:ascii="Times New Roman" w:hAnsi="Times New Roman"/>
          <w:sz w:val="24"/>
          <w:szCs w:val="24"/>
        </w:rPr>
        <w:t>l'ultima analisi che abbiamo condotto era mirata per vedere una possibile interazione dell'effetto del polimorfismo con il gruppo dei pazienti non trattati</w:t>
      </w:r>
      <w:r w:rsidR="00EB42CB">
        <w:rPr>
          <w:rFonts w:ascii="Times New Roman" w:hAnsi="Times New Roman"/>
          <w:sz w:val="24"/>
          <w:szCs w:val="24"/>
        </w:rPr>
        <w:t>; abbiamo pertanto confrontato i</w:t>
      </w:r>
      <w:r>
        <w:rPr>
          <w:rFonts w:ascii="Times New Roman" w:hAnsi="Times New Roman"/>
          <w:sz w:val="24"/>
          <w:szCs w:val="24"/>
        </w:rPr>
        <w:t xml:space="preserve"> valori di FA, AD, RD ed MD </w:t>
      </w:r>
      <w:r w:rsidR="00EB42CB">
        <w:rPr>
          <w:rFonts w:ascii="Times New Roman" w:hAnsi="Times New Roman"/>
          <w:sz w:val="24"/>
          <w:szCs w:val="24"/>
        </w:rPr>
        <w:t>tra gli omozigoti T/T (n=16) e i</w:t>
      </w:r>
      <w:r>
        <w:rPr>
          <w:rFonts w:ascii="Times New Roman" w:hAnsi="Times New Roman"/>
          <w:sz w:val="24"/>
          <w:szCs w:val="24"/>
        </w:rPr>
        <w:t xml:space="preserve"> C-carriers (n=30), non trattati negli ultimi 6 mesi con litio, usando come covariate il sesso, l'età e l'onset. Le analisi hanno mostrato differenze significative per l'AD, localizzate principalmente nella porzione superiore del cervello. 3 di 5 clusters sono</w:t>
      </w:r>
      <w:r w:rsidR="00EB42CB">
        <w:rPr>
          <w:rFonts w:ascii="Times New Roman" w:hAnsi="Times New Roman"/>
          <w:sz w:val="24"/>
          <w:szCs w:val="24"/>
        </w:rPr>
        <w:t xml:space="preserve"> formati da piu di 100 voxels, i</w:t>
      </w:r>
      <w:r>
        <w:rPr>
          <w:rFonts w:ascii="Times New Roman" w:hAnsi="Times New Roman"/>
          <w:sz w:val="24"/>
          <w:szCs w:val="24"/>
        </w:rPr>
        <w:t xml:space="preserve"> cui picchi sono localizzati nel fascicolo longitudinale superiore sinistro e destro. Nessuna differenza significativa per gli altri tre parametri.</w:t>
      </w: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397330" w:rsidRDefault="00397330" w:rsidP="001E5BE4">
      <w:pPr>
        <w:pStyle w:val="Tesi"/>
        <w:tabs>
          <w:tab w:val="left" w:pos="8503"/>
        </w:tabs>
        <w:spacing w:line="360" w:lineRule="auto"/>
        <w:ind w:right="1091"/>
        <w:jc w:val="both"/>
        <w:rPr>
          <w:rFonts w:ascii="Times New Roman" w:hAnsi="Times New Roman"/>
          <w:sz w:val="24"/>
          <w:szCs w:val="24"/>
        </w:rPr>
      </w:pPr>
    </w:p>
    <w:p w:rsidR="00397330" w:rsidRDefault="00397330" w:rsidP="001E5BE4">
      <w:pPr>
        <w:pStyle w:val="Tesi"/>
        <w:tabs>
          <w:tab w:val="left" w:pos="8503"/>
        </w:tabs>
        <w:spacing w:line="360" w:lineRule="auto"/>
        <w:ind w:right="1091"/>
        <w:jc w:val="both"/>
        <w:rPr>
          <w:rFonts w:ascii="Times New Roman" w:hAnsi="Times New Roman"/>
          <w:sz w:val="24"/>
          <w:szCs w:val="24"/>
        </w:rPr>
      </w:pPr>
    </w:p>
    <w:p w:rsidR="00397330" w:rsidRDefault="00397330" w:rsidP="001E5BE4">
      <w:pPr>
        <w:pStyle w:val="Tesi"/>
        <w:tabs>
          <w:tab w:val="left" w:pos="8503"/>
        </w:tabs>
        <w:spacing w:line="360" w:lineRule="auto"/>
        <w:ind w:right="1091"/>
        <w:jc w:val="both"/>
        <w:rPr>
          <w:rFonts w:ascii="Times New Roman" w:hAnsi="Times New Roman"/>
          <w:sz w:val="24"/>
          <w:szCs w:val="24"/>
        </w:rPr>
      </w:pPr>
    </w:p>
    <w:p w:rsidR="00397330" w:rsidRDefault="00397330" w:rsidP="001E5BE4">
      <w:pPr>
        <w:pStyle w:val="Tesi"/>
        <w:tabs>
          <w:tab w:val="left" w:pos="8503"/>
        </w:tabs>
        <w:spacing w:line="360" w:lineRule="auto"/>
        <w:ind w:right="1091"/>
        <w:jc w:val="both"/>
        <w:rPr>
          <w:rFonts w:ascii="Times New Roman" w:hAnsi="Times New Roman"/>
          <w:sz w:val="24"/>
          <w:szCs w:val="24"/>
        </w:rPr>
      </w:pPr>
    </w:p>
    <w:p w:rsidR="00A0541C" w:rsidRDefault="00B460A6" w:rsidP="001E5BE4">
      <w:pPr>
        <w:pStyle w:val="Tesi"/>
        <w:tabs>
          <w:tab w:val="left" w:pos="8503"/>
        </w:tabs>
        <w:spacing w:line="360" w:lineRule="auto"/>
        <w:ind w:right="1091"/>
        <w:jc w:val="both"/>
        <w:rPr>
          <w:rFonts w:ascii="Times New Roman" w:hAnsi="Times New Roman"/>
          <w:b/>
          <w:bCs/>
          <w:sz w:val="24"/>
          <w:szCs w:val="24"/>
        </w:rPr>
      </w:pPr>
      <w:r>
        <w:rPr>
          <w:rFonts w:ascii="Times New Roman" w:hAnsi="Times New Roman"/>
          <w:b/>
          <w:bCs/>
          <w:sz w:val="24"/>
          <w:szCs w:val="24"/>
        </w:rPr>
        <w:t>5. DISCUSSIONE E CONCLUSIONI</w:t>
      </w:r>
    </w:p>
    <w:p w:rsidR="00A0541C" w:rsidRDefault="00B460A6" w:rsidP="001E5BE4">
      <w:pPr>
        <w:pStyle w:val="Tesi"/>
        <w:tabs>
          <w:tab w:val="left" w:pos="8503"/>
        </w:tabs>
        <w:spacing w:line="360" w:lineRule="auto"/>
        <w:ind w:right="1091"/>
        <w:jc w:val="both"/>
        <w:rPr>
          <w:rFonts w:ascii="Times New Roman" w:hAnsi="Times New Roman"/>
          <w:b/>
          <w:bCs/>
          <w:sz w:val="24"/>
          <w:szCs w:val="24"/>
        </w:rPr>
      </w:pPr>
      <w:r>
        <w:rPr>
          <w:rFonts w:ascii="Times New Roman" w:hAnsi="Times New Roman"/>
          <w:b/>
          <w:bCs/>
          <w:sz w:val="24"/>
          <w:szCs w:val="24"/>
        </w:rPr>
        <w:t>5.1 Discussion</w:t>
      </w:r>
    </w:p>
    <w:p w:rsidR="00A0541C" w:rsidRDefault="00B460A6" w:rsidP="001E5BE4">
      <w:pPr>
        <w:pStyle w:val="Tesi"/>
        <w:tabs>
          <w:tab w:val="left" w:pos="8503"/>
        </w:tabs>
        <w:spacing w:line="360" w:lineRule="auto"/>
        <w:ind w:right="1091"/>
        <w:jc w:val="both"/>
        <w:rPr>
          <w:rFonts w:ascii="Times New Roman" w:hAnsi="Times New Roman"/>
          <w:color w:val="0D0D0D"/>
          <w:sz w:val="24"/>
          <w:szCs w:val="24"/>
        </w:rPr>
      </w:pPr>
      <w:r>
        <w:rPr>
          <w:rFonts w:ascii="Times New Roman" w:hAnsi="Times New Roman"/>
          <w:sz w:val="24"/>
          <w:szCs w:val="24"/>
        </w:rPr>
        <w:t>Abbiamo condotto analisi TBSS su pazienti bipolari al fi</w:t>
      </w:r>
      <w:r w:rsidR="00EB42CB">
        <w:rPr>
          <w:rFonts w:ascii="Times New Roman" w:hAnsi="Times New Roman"/>
          <w:sz w:val="24"/>
          <w:szCs w:val="24"/>
        </w:rPr>
        <w:t>ne di poter meglio comprendere i</w:t>
      </w:r>
      <w:r>
        <w:rPr>
          <w:rFonts w:ascii="Times New Roman" w:hAnsi="Times New Roman"/>
          <w:sz w:val="24"/>
          <w:szCs w:val="24"/>
        </w:rPr>
        <w:t xml:space="preserve"> cambiamenti dell'integrità della sostanza bianca in seguito all'assunzione di litio e al diverso polimorfisrmo della GSK-3</w:t>
      </w:r>
      <w:r>
        <w:rPr>
          <w:rFonts w:ascii="Times New Roman" w:hAnsi="Times New Roman"/>
          <w:color w:val="0D0D0D"/>
          <w:sz w:val="24"/>
          <w:szCs w:val="24"/>
        </w:rPr>
        <w:t xml:space="preserve">β. </w:t>
      </w:r>
    </w:p>
    <w:p w:rsidR="00A0541C" w:rsidRDefault="00B460A6" w:rsidP="001E5BE4">
      <w:pPr>
        <w:pStyle w:val="Tesi"/>
        <w:tabs>
          <w:tab w:val="left" w:pos="8503"/>
        </w:tabs>
        <w:spacing w:line="360" w:lineRule="auto"/>
        <w:ind w:right="1091"/>
        <w:jc w:val="both"/>
        <w:rPr>
          <w:rFonts w:ascii="Times New Roman" w:hAnsi="Times New Roman"/>
          <w:color w:val="0D0D0D"/>
          <w:sz w:val="24"/>
          <w:szCs w:val="24"/>
        </w:rPr>
      </w:pPr>
      <w:r>
        <w:rPr>
          <w:rFonts w:ascii="Times New Roman" w:hAnsi="Times New Roman"/>
          <w:color w:val="0D0D0D"/>
          <w:sz w:val="24"/>
          <w:szCs w:val="24"/>
        </w:rPr>
        <w:t>Questo è il primo studio che dimostra come la struttura della sostanza bianca sia associata a varianti genetiche di un polimorfismo promotore associato all'attività della GSK-3β ed al trattamento con sali di litio.</w:t>
      </w:r>
    </w:p>
    <w:p w:rsidR="00A0541C" w:rsidRDefault="00B460A6" w:rsidP="001E5BE4">
      <w:pPr>
        <w:pStyle w:val="Tesi"/>
        <w:tabs>
          <w:tab w:val="left" w:pos="8503"/>
        </w:tabs>
        <w:spacing w:line="360" w:lineRule="auto"/>
        <w:ind w:right="1091"/>
        <w:jc w:val="both"/>
        <w:rPr>
          <w:rFonts w:ascii="Times New Roman" w:hAnsi="Times New Roman"/>
          <w:color w:val="0D0D0D"/>
          <w:sz w:val="24"/>
          <w:szCs w:val="24"/>
        </w:rPr>
      </w:pPr>
      <w:r>
        <w:rPr>
          <w:rFonts w:ascii="Times New Roman" w:hAnsi="Times New Roman"/>
          <w:color w:val="0D0D0D"/>
          <w:sz w:val="24"/>
          <w:szCs w:val="24"/>
        </w:rPr>
        <w:t>Per prima cosa, abbiamo osservato cambiamenti molto diffusi della struttura nei pazienti trattati con litio r</w:t>
      </w:r>
      <w:r w:rsidR="00EB42CB">
        <w:rPr>
          <w:rFonts w:ascii="Times New Roman" w:hAnsi="Times New Roman"/>
          <w:color w:val="0D0D0D"/>
          <w:sz w:val="24"/>
          <w:szCs w:val="24"/>
        </w:rPr>
        <w:t>ispetto a quelli non trattati: i</w:t>
      </w:r>
      <w:r>
        <w:rPr>
          <w:rFonts w:ascii="Times New Roman" w:hAnsi="Times New Roman"/>
          <w:color w:val="0D0D0D"/>
          <w:sz w:val="24"/>
          <w:szCs w:val="24"/>
        </w:rPr>
        <w:t xml:space="preserve"> pazienti che assumevano litio hanno mostrato una ridotta anisotropia frazionaria e un'aumentata MD ed RD, nei principali tratti di sostanza bianca. Pertanto, abbiamo compreso che il litio ha un grande effetto rimodellante sulla microstruttura della bianca.</w:t>
      </w:r>
    </w:p>
    <w:p w:rsidR="00A0541C" w:rsidRDefault="00B460A6" w:rsidP="001E5BE4">
      <w:pPr>
        <w:pStyle w:val="Tesi"/>
        <w:tabs>
          <w:tab w:val="left" w:pos="8503"/>
        </w:tabs>
        <w:spacing w:line="360" w:lineRule="auto"/>
        <w:ind w:right="1091"/>
        <w:jc w:val="both"/>
        <w:rPr>
          <w:rFonts w:ascii="Times New Roman" w:hAnsi="Times New Roman"/>
          <w:color w:val="0D0D0D"/>
          <w:sz w:val="24"/>
          <w:szCs w:val="24"/>
        </w:rPr>
      </w:pPr>
      <w:r>
        <w:rPr>
          <w:rFonts w:ascii="Times New Roman" w:hAnsi="Times New Roman"/>
          <w:color w:val="0D0D0D"/>
          <w:sz w:val="24"/>
          <w:szCs w:val="24"/>
        </w:rPr>
        <w:t xml:space="preserve">Abbiamo inoltre trovato un aumento piuttosto circoscritto di AD nei pazienti trattati con litio, localizzato nel fascicolo fronto occipitale inferiore sinistro, che abbiamo ipotizzato possa essere rappresentativo del ruolo neurotrofico e protettivo del trattamento con litio, poichè un aumento di AD implica una maggiore integrità assonale. Inoltre tale scoperta è in accordo con uno studio recente di Benedetti et al. (2011b) nel quale, parte dei fascicoli osservati possiede valori anormali di AD nei pazienti bipolari confrontati ai soggetti sani. Abbiamo inoltre visto che tali risultati persistono nel gruppo dei C-carriers, ma non negli omozigoti T/T, del polimorfismo di GSK-3β. </w:t>
      </w:r>
    </w:p>
    <w:p w:rsidR="00A0541C" w:rsidRDefault="00B460A6" w:rsidP="001E5BE4">
      <w:pPr>
        <w:pStyle w:val="Tesi"/>
        <w:tabs>
          <w:tab w:val="left" w:pos="8503"/>
        </w:tabs>
        <w:spacing w:line="360" w:lineRule="auto"/>
        <w:ind w:right="1091"/>
        <w:jc w:val="both"/>
        <w:rPr>
          <w:rFonts w:ascii="Times New Roman" w:hAnsi="Times New Roman"/>
          <w:color w:val="0D0D0D"/>
          <w:sz w:val="24"/>
          <w:szCs w:val="24"/>
        </w:rPr>
      </w:pPr>
      <w:r>
        <w:rPr>
          <w:rFonts w:ascii="Times New Roman" w:hAnsi="Times New Roman"/>
          <w:color w:val="0D0D0D"/>
          <w:sz w:val="24"/>
          <w:szCs w:val="24"/>
        </w:rPr>
        <w:t>In seguito, le nostre analisi hanno rivelato grossi cambiamenti nella sostanza bianca dei pazienti C-carr</w:t>
      </w:r>
      <w:r w:rsidR="00D325B6">
        <w:rPr>
          <w:rFonts w:ascii="Times New Roman" w:hAnsi="Times New Roman"/>
          <w:color w:val="0D0D0D"/>
          <w:sz w:val="24"/>
          <w:szCs w:val="24"/>
        </w:rPr>
        <w:t>iers contro gli omozigoti T/T: i</w:t>
      </w:r>
      <w:r>
        <w:rPr>
          <w:rFonts w:ascii="Times New Roman" w:hAnsi="Times New Roman"/>
          <w:color w:val="0D0D0D"/>
          <w:sz w:val="24"/>
          <w:szCs w:val="24"/>
        </w:rPr>
        <w:t xml:space="preserve"> pazienti portatori della variante genotipica T/T confrontati c</w:t>
      </w:r>
      <w:r w:rsidR="00D325B6">
        <w:rPr>
          <w:rFonts w:ascii="Times New Roman" w:hAnsi="Times New Roman"/>
          <w:color w:val="0D0D0D"/>
          <w:sz w:val="24"/>
          <w:szCs w:val="24"/>
        </w:rPr>
        <w:t>on i</w:t>
      </w:r>
      <w:r>
        <w:rPr>
          <w:rFonts w:ascii="Times New Roman" w:hAnsi="Times New Roman"/>
          <w:color w:val="0D0D0D"/>
          <w:sz w:val="24"/>
          <w:szCs w:val="24"/>
        </w:rPr>
        <w:t xml:space="preserve"> C-carriers mostrano una riduzione di AD, RD ed MD nei principali tratti della sostanza bianca, principalmente nell'emisfero destro. Abbiamo pertanto concluso che il genotipo della GSK-3β ha un effetto consistente sulla microstruttura della bianca. Successivamente abbiamo identificato dei cambiamenti nel gruppo dei pazienti trattati e non trattati: nei trattati abbiamo trovato riduzioni</w:t>
      </w:r>
      <w:r w:rsidR="00D325B6">
        <w:rPr>
          <w:rFonts w:ascii="Times New Roman" w:hAnsi="Times New Roman"/>
          <w:color w:val="0D0D0D"/>
          <w:sz w:val="24"/>
          <w:szCs w:val="24"/>
        </w:rPr>
        <w:t xml:space="preserve"> di MD nei T/T confrontati con i</w:t>
      </w:r>
      <w:r>
        <w:rPr>
          <w:rFonts w:ascii="Times New Roman" w:hAnsi="Times New Roman"/>
          <w:color w:val="0D0D0D"/>
          <w:sz w:val="24"/>
          <w:szCs w:val="24"/>
        </w:rPr>
        <w:t xml:space="preserve"> C-carriers, mentre nei non trattati abbiamo osservato riduzioni di AD nei T/T quando confrontati ai C-carriers.</w:t>
      </w:r>
    </w:p>
    <w:p w:rsidR="00A0541C" w:rsidRDefault="00B460A6" w:rsidP="001E5BE4">
      <w:pPr>
        <w:pStyle w:val="Tesi"/>
        <w:tabs>
          <w:tab w:val="left" w:pos="8503"/>
        </w:tabs>
        <w:spacing w:after="0" w:line="360" w:lineRule="auto"/>
        <w:ind w:right="1089"/>
        <w:jc w:val="both"/>
        <w:rPr>
          <w:rFonts w:ascii="Times New Roman" w:hAnsi="Times New Roman"/>
          <w:color w:val="0D0D0D"/>
          <w:sz w:val="24"/>
          <w:szCs w:val="24"/>
        </w:rPr>
      </w:pPr>
      <w:r>
        <w:rPr>
          <w:rFonts w:ascii="Times New Roman" w:hAnsi="Times New Roman"/>
          <w:color w:val="0D0D0D"/>
          <w:sz w:val="24"/>
          <w:szCs w:val="24"/>
        </w:rPr>
        <w:t>Questi findings sugg</w:t>
      </w:r>
      <w:r w:rsidR="00D325B6">
        <w:rPr>
          <w:rFonts w:ascii="Times New Roman" w:hAnsi="Times New Roman"/>
          <w:color w:val="0D0D0D"/>
          <w:sz w:val="24"/>
          <w:szCs w:val="24"/>
        </w:rPr>
        <w:t>eriscono che sia la GSK-3β che i</w:t>
      </w:r>
      <w:r>
        <w:rPr>
          <w:rFonts w:ascii="Times New Roman" w:hAnsi="Times New Roman"/>
          <w:color w:val="0D0D0D"/>
          <w:sz w:val="24"/>
          <w:szCs w:val="24"/>
        </w:rPr>
        <w:t xml:space="preserve"> sali di litio possono aver influenzato le precedenti scoperte in contrasto, effettuate sui pazienti bipolari confrontati </w:t>
      </w:r>
      <w:r w:rsidR="00D325B6">
        <w:rPr>
          <w:rFonts w:ascii="Times New Roman" w:hAnsi="Times New Roman"/>
          <w:color w:val="0D0D0D"/>
          <w:sz w:val="24"/>
          <w:szCs w:val="24"/>
        </w:rPr>
        <w:t>con i</w:t>
      </w:r>
      <w:r>
        <w:rPr>
          <w:rFonts w:ascii="Times New Roman" w:hAnsi="Times New Roman"/>
          <w:color w:val="0D0D0D"/>
          <w:sz w:val="24"/>
          <w:szCs w:val="24"/>
        </w:rPr>
        <w:t xml:space="preserve"> soggetti sani: in questi studi infatti, l'assunzione di litio non è sempre stata considerata, mentre il polimorfismo della GSK-3β non è mai statio preso in considerazione.</w:t>
      </w:r>
    </w:p>
    <w:p w:rsidR="00A0541C" w:rsidRDefault="00B460A6" w:rsidP="001E5BE4">
      <w:pPr>
        <w:pStyle w:val="Tesi"/>
        <w:tabs>
          <w:tab w:val="left" w:pos="8503"/>
        </w:tabs>
        <w:spacing w:after="0" w:line="360" w:lineRule="auto"/>
        <w:ind w:right="1089"/>
        <w:jc w:val="both"/>
        <w:rPr>
          <w:rFonts w:ascii="Times New Roman" w:hAnsi="Times New Roman"/>
          <w:color w:val="0D0D0D"/>
          <w:sz w:val="24"/>
          <w:szCs w:val="24"/>
        </w:rPr>
      </w:pPr>
      <w:r>
        <w:rPr>
          <w:rFonts w:ascii="Times New Roman" w:hAnsi="Times New Roman"/>
          <w:color w:val="0D0D0D"/>
          <w:sz w:val="24"/>
          <w:szCs w:val="24"/>
        </w:rPr>
        <w:t>Ci sono quindi svariate ipotesi non al</w:t>
      </w:r>
      <w:r w:rsidR="00D325B6">
        <w:rPr>
          <w:rFonts w:ascii="Times New Roman" w:hAnsi="Times New Roman"/>
          <w:color w:val="0D0D0D"/>
          <w:sz w:val="24"/>
          <w:szCs w:val="24"/>
        </w:rPr>
        <w:t>ternative che possono spiegare i</w:t>
      </w:r>
      <w:r>
        <w:rPr>
          <w:rFonts w:ascii="Times New Roman" w:hAnsi="Times New Roman"/>
          <w:color w:val="0D0D0D"/>
          <w:sz w:val="24"/>
          <w:szCs w:val="24"/>
        </w:rPr>
        <w:t xml:space="preserve"> risultati ottenuti. In questo capitolo presenterò pertanto alcuni possibili meccanismi che abbiamo preso in considerzione e che possono contribuire ai risultati.</w:t>
      </w: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Pr="00397330" w:rsidRDefault="00B460A6" w:rsidP="001E5BE4">
      <w:pPr>
        <w:pStyle w:val="Tesi"/>
        <w:tabs>
          <w:tab w:val="left" w:pos="8503"/>
        </w:tabs>
        <w:spacing w:line="360" w:lineRule="auto"/>
        <w:ind w:right="1091"/>
        <w:jc w:val="both"/>
        <w:rPr>
          <w:rFonts w:ascii="Times New Roman" w:hAnsi="Times New Roman"/>
          <w:b/>
          <w:color w:val="0D0D0D"/>
          <w:sz w:val="26"/>
          <w:szCs w:val="26"/>
        </w:rPr>
      </w:pPr>
      <w:r w:rsidRPr="00397330">
        <w:rPr>
          <w:rFonts w:ascii="Times New Roman" w:hAnsi="Times New Roman"/>
          <w:b/>
          <w:color w:val="0D0D0D"/>
          <w:sz w:val="26"/>
          <w:szCs w:val="26"/>
        </w:rPr>
        <w:t>5.1.1 Effetto del Litio</w:t>
      </w:r>
    </w:p>
    <w:p w:rsidR="00A0541C" w:rsidRDefault="00B460A6" w:rsidP="001E5BE4">
      <w:pPr>
        <w:pStyle w:val="Tesi"/>
        <w:tabs>
          <w:tab w:val="left" w:pos="8503"/>
        </w:tabs>
        <w:spacing w:line="360" w:lineRule="auto"/>
        <w:ind w:right="1091"/>
        <w:jc w:val="both"/>
        <w:rPr>
          <w:rFonts w:ascii="Times New Roman" w:hAnsi="Times New Roman"/>
          <w:i/>
          <w:iCs/>
          <w:color w:val="0D0D0D"/>
          <w:sz w:val="24"/>
          <w:szCs w:val="24"/>
          <w:u w:val="single"/>
        </w:rPr>
      </w:pPr>
      <w:r>
        <w:rPr>
          <w:rFonts w:ascii="Times New Roman" w:hAnsi="Times New Roman"/>
          <w:i/>
          <w:iCs/>
          <w:color w:val="0D0D0D"/>
          <w:sz w:val="24"/>
          <w:szCs w:val="24"/>
          <w:u w:val="single"/>
        </w:rPr>
        <w:t>Neuroprotezione e autofagia</w:t>
      </w:r>
    </w:p>
    <w:p w:rsidR="00A0541C" w:rsidRDefault="00B460A6" w:rsidP="001E5BE4">
      <w:pPr>
        <w:pStyle w:val="Tesi"/>
        <w:tabs>
          <w:tab w:val="left" w:pos="8503"/>
        </w:tabs>
        <w:spacing w:line="360" w:lineRule="auto"/>
        <w:ind w:right="1091"/>
        <w:jc w:val="both"/>
        <w:rPr>
          <w:rFonts w:ascii="Times New Roman" w:hAnsi="Times New Roman"/>
          <w:color w:val="0D0D0D"/>
          <w:sz w:val="24"/>
          <w:szCs w:val="24"/>
        </w:rPr>
      </w:pPr>
      <w:r>
        <w:rPr>
          <w:rFonts w:ascii="Times New Roman" w:hAnsi="Times New Roman"/>
          <w:color w:val="0D0D0D"/>
          <w:sz w:val="24"/>
          <w:szCs w:val="24"/>
        </w:rPr>
        <w:t>Dalla letteratura sappiamo che il litio possiede degli effetti neuroprotettivi e neurotrofici (Chuang, 2004). Il litio deve in par</w:t>
      </w:r>
      <w:r w:rsidR="00D325B6">
        <w:rPr>
          <w:rFonts w:ascii="Times New Roman" w:hAnsi="Times New Roman"/>
          <w:color w:val="0D0D0D"/>
          <w:sz w:val="24"/>
          <w:szCs w:val="24"/>
        </w:rPr>
        <w:t>te i</w:t>
      </w:r>
      <w:r>
        <w:rPr>
          <w:rFonts w:ascii="Times New Roman" w:hAnsi="Times New Roman"/>
          <w:color w:val="0D0D0D"/>
          <w:sz w:val="24"/>
          <w:szCs w:val="24"/>
        </w:rPr>
        <w:t xml:space="preserve"> suoi effetti alla ripristino della struttura, che avviene grazie alla regolazione di piccole funzioni che vengono compromesse dal DB. Per esempio, alcune evidenze suggeriscono che il litio possa revertire le riduzioni di volume della sostanza grigia che si presentano nell'ippocampo e nella corteccia mediale prefrontale (Hallan et al., 2011). Il litio inoltre</w:t>
      </w:r>
      <w:r w:rsidR="00D325B6">
        <w:rPr>
          <w:rFonts w:ascii="Times New Roman" w:hAnsi="Times New Roman"/>
          <w:color w:val="0D0D0D"/>
          <w:sz w:val="24"/>
          <w:szCs w:val="24"/>
        </w:rPr>
        <w:t xml:space="preserve"> ha la capacità di contrastare i</w:t>
      </w:r>
      <w:r>
        <w:rPr>
          <w:rFonts w:ascii="Times New Roman" w:hAnsi="Times New Roman"/>
          <w:color w:val="0D0D0D"/>
          <w:sz w:val="24"/>
          <w:szCs w:val="24"/>
        </w:rPr>
        <w:t xml:space="preserve"> cambiamenti atrofici, come quelli che si presentano</w:t>
      </w:r>
      <w:r w:rsidR="00D325B6">
        <w:rPr>
          <w:rFonts w:ascii="Times New Roman" w:hAnsi="Times New Roman"/>
          <w:color w:val="0D0D0D"/>
          <w:sz w:val="24"/>
          <w:szCs w:val="24"/>
        </w:rPr>
        <w:t xml:space="preserve"> </w:t>
      </w:r>
      <w:r>
        <w:rPr>
          <w:rFonts w:ascii="Times New Roman" w:hAnsi="Times New Roman"/>
          <w:color w:val="0D0D0D"/>
          <w:sz w:val="24"/>
          <w:szCs w:val="24"/>
        </w:rPr>
        <w:t>in seguito a stress ripetuti.</w:t>
      </w:r>
    </w:p>
    <w:p w:rsidR="00A0541C" w:rsidRDefault="00B460A6" w:rsidP="001E5BE4">
      <w:pPr>
        <w:pStyle w:val="Tesi"/>
        <w:tabs>
          <w:tab w:val="left" w:pos="8503"/>
        </w:tabs>
        <w:spacing w:line="360" w:lineRule="auto"/>
        <w:ind w:right="1091"/>
        <w:jc w:val="both"/>
        <w:rPr>
          <w:rFonts w:ascii="Times New Roman" w:eastAsia=";Times New Roman" w:hAnsi="Times New Roman"/>
          <w:color w:val="0D0D0D"/>
          <w:sz w:val="24"/>
          <w:szCs w:val="24"/>
          <w:lang w:val="en-GB"/>
        </w:rPr>
      </w:pPr>
      <w:r>
        <w:rPr>
          <w:rFonts w:ascii="Times New Roman" w:hAnsi="Times New Roman"/>
          <w:color w:val="0D0D0D"/>
          <w:sz w:val="24"/>
          <w:szCs w:val="24"/>
        </w:rPr>
        <w:t>Le iniziali ipotesi riguardanti il ruolo neuroprotettivo e neurotrofico del litio erano basate sulle osservazioni che asseriscono che il trattamento cronico con litio a concentrazioni terapeutiche, aumenti la produzione, mediata da recettori muscarinici M3, di secondi messaggeri, e l'espressione di c-Fos e recettori M3 (Gao et al., 1993). Inoltre, il litio aumenta l'attività di due importanti fattori di trascrizione: AP-1 (attivatore delle proteine) e CREB (</w:t>
      </w:r>
      <w:r>
        <w:rPr>
          <w:rFonts w:ascii="Times New Roman" w:eastAsia=";Times New Roman" w:hAnsi="Times New Roman"/>
          <w:color w:val="0D0D0D"/>
          <w:sz w:val="24"/>
          <w:szCs w:val="24"/>
          <w:lang w:val="en-GB"/>
        </w:rPr>
        <w:t>Ozaki &amp; Chuang, 1997). Studi passati dimostrano anche che il litio promuove la sopravvivenza dei neuroni gabaergici (Volonte et al., 1994), ulteriori evidenze sperimentali supportano l'idea che il litio protegga contro diverse forme di insulti letali per le cellule, suggerendo il suo ruolo multi-neuroprotettivo.</w:t>
      </w:r>
    </w:p>
    <w:p w:rsidR="00A0541C" w:rsidRDefault="00B460A6" w:rsidP="001E5BE4">
      <w:pPr>
        <w:pStyle w:val="Tesi"/>
        <w:tabs>
          <w:tab w:val="left" w:pos="8503"/>
        </w:tabs>
        <w:spacing w:line="360" w:lineRule="auto"/>
        <w:ind w:right="1091"/>
        <w:jc w:val="both"/>
        <w:rPr>
          <w:rFonts w:ascii="Times New Roman" w:eastAsia=";Times New Roman" w:hAnsi="Times New Roman"/>
          <w:color w:val="0D0D0D"/>
          <w:sz w:val="24"/>
          <w:szCs w:val="24"/>
          <w:lang w:val="en-GB"/>
        </w:rPr>
      </w:pPr>
      <w:r>
        <w:rPr>
          <w:rFonts w:ascii="Times New Roman" w:eastAsia=";Times New Roman" w:hAnsi="Times New Roman"/>
          <w:color w:val="0D0D0D"/>
          <w:sz w:val="24"/>
          <w:szCs w:val="24"/>
          <w:lang w:val="en-GB"/>
        </w:rPr>
        <w:t>La tossicità indotta dal glutammato è stata presa in considerazione in un gran numero di patologie neurodegenerative come la corea di Huntington, la sclerosi laterale amiotrofica, degenerazione cerebellare, infortuni alla colonna vertebrale e possibilmente anche all'Alzheimer e al Parkinson (Friedlander, 2003; Mattson and Kroemer, 2003; Yuan and Yankner, 2000). Pertanto gli effetti neuroprotettivi del litio contro l'eccito-tossicità del glutammato sono stati abbondantemente studiati. Oltre alla tossicità del glutammato, il litio può inoltre proteggere contro altre forme di insulti del sistema nervoso centrale (Chuang, 2004; Chuang &amp; Priller, 2006; Rowe &amp; Chuang, 2004; Rowe et al., 2007). Sempre il litio, è stato visto che può stimolare la proliferazione delle cellule progenitrici, in colture cellulari neuronali, in modo da prevenire la perdita di proliferazione indotta dal glutammato o dai glucocorticoidi (Hashimoto et al., 2003).</w:t>
      </w: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9136A0" w:rsidP="001E5BE4">
      <w:pPr>
        <w:pStyle w:val="Tesi"/>
        <w:tabs>
          <w:tab w:val="left" w:pos="8503"/>
        </w:tabs>
        <w:spacing w:line="360" w:lineRule="auto"/>
        <w:ind w:right="1091"/>
        <w:jc w:val="both"/>
        <w:rPr>
          <w:rFonts w:ascii="Times New Roman" w:hAnsi="Times New Roman"/>
          <w:sz w:val="24"/>
          <w:szCs w:val="24"/>
        </w:rPr>
      </w:pPr>
      <w:r>
        <w:rPr>
          <w:noProof/>
          <w:color w:val="0D0D0D"/>
          <w:lang w:val="it-IT" w:eastAsia="it-IT"/>
        </w:rPr>
        <w:drawing>
          <wp:inline distT="0" distB="0" distL="0" distR="0">
            <wp:extent cx="5229860" cy="3893820"/>
            <wp:effectExtent l="0" t="0" r="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a:lum bright="2000" contrast="-6000"/>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29860" cy="3893820"/>
                    </a:xfrm>
                    <a:prstGeom prst="rect">
                      <a:avLst/>
                    </a:prstGeom>
                    <a:solidFill>
                      <a:srgbClr val="FFFFFF"/>
                    </a:solidFill>
                    <a:ln>
                      <a:noFill/>
                    </a:ln>
                  </pic:spPr>
                </pic:pic>
              </a:graphicData>
            </a:graphic>
          </wp:inline>
        </w:drawing>
      </w:r>
    </w:p>
    <w:p w:rsidR="009136A0" w:rsidRPr="009136A0" w:rsidRDefault="009136A0" w:rsidP="001E5BE4">
      <w:pPr>
        <w:spacing w:line="360" w:lineRule="auto"/>
        <w:ind w:right="1416"/>
        <w:jc w:val="both"/>
        <w:rPr>
          <w:rFonts w:ascii="Times New Roman" w:hAnsi="Times New Roman"/>
          <w:color w:val="0D0D0D"/>
          <w:sz w:val="20"/>
          <w:szCs w:val="20"/>
        </w:rPr>
      </w:pPr>
      <w:r w:rsidRPr="009136A0">
        <w:rPr>
          <w:rFonts w:ascii="Times New Roman" w:eastAsia="font50" w:hAnsi="Times New Roman"/>
          <w:b/>
          <w:bCs/>
          <w:color w:val="0D0D0D"/>
          <w:sz w:val="20"/>
          <w:szCs w:val="20"/>
          <w:lang w:val="en-GB"/>
        </w:rPr>
        <w:t xml:space="preserve">Fig. 1 </w:t>
      </w:r>
      <w:r w:rsidRPr="009136A0">
        <w:rPr>
          <w:rFonts w:ascii="Times New Roman" w:eastAsia="font50" w:hAnsi="Times New Roman"/>
          <w:color w:val="0D0D0D"/>
          <w:sz w:val="20"/>
          <w:szCs w:val="20"/>
          <w:lang w:val="en-GB"/>
        </w:rPr>
        <w:t>Multiple signaling pathways and mechanisms of actions involved in the neuroprotective effects of lithium (Chiu and Chuang, 2010)</w:t>
      </w:r>
      <w:r w:rsidRPr="009136A0">
        <w:rPr>
          <w:rFonts w:ascii="Times New Roman" w:hAnsi="Times New Roman"/>
          <w:color w:val="0D0D0D"/>
          <w:sz w:val="20"/>
          <w:szCs w:val="20"/>
        </w:rPr>
        <w:t>.</w:t>
      </w:r>
    </w:p>
    <w:p w:rsidR="009136A0" w:rsidRDefault="009136A0" w:rsidP="001E5BE4">
      <w:pPr>
        <w:pStyle w:val="Tesi"/>
        <w:tabs>
          <w:tab w:val="left" w:pos="8503"/>
        </w:tabs>
        <w:spacing w:line="360" w:lineRule="auto"/>
        <w:ind w:right="1091"/>
        <w:jc w:val="both"/>
        <w:rPr>
          <w:rFonts w:ascii="Times New Roman" w:eastAsia=";Times New Roman" w:hAnsi="Times New Roman"/>
          <w:color w:val="0D0D0D"/>
          <w:sz w:val="24"/>
          <w:szCs w:val="24"/>
          <w:lang w:val="en-GB"/>
        </w:rPr>
      </w:pPr>
    </w:p>
    <w:p w:rsidR="00A0541C" w:rsidRDefault="00B460A6" w:rsidP="001E5BE4">
      <w:pPr>
        <w:pStyle w:val="Tesi"/>
        <w:tabs>
          <w:tab w:val="left" w:pos="8503"/>
        </w:tabs>
        <w:spacing w:line="360" w:lineRule="auto"/>
        <w:ind w:right="1091"/>
        <w:jc w:val="both"/>
        <w:rPr>
          <w:rFonts w:ascii="Times New Roman" w:eastAsia=";Times New Roman" w:hAnsi="Times New Roman"/>
          <w:color w:val="0D0D0D"/>
          <w:sz w:val="24"/>
          <w:szCs w:val="24"/>
          <w:lang w:val="en-GB"/>
        </w:rPr>
      </w:pPr>
      <w:r>
        <w:rPr>
          <w:rFonts w:ascii="Times New Roman" w:eastAsia=";Times New Roman" w:hAnsi="Times New Roman"/>
          <w:color w:val="0D0D0D"/>
          <w:sz w:val="24"/>
          <w:szCs w:val="24"/>
          <w:lang w:val="en-GB"/>
        </w:rPr>
        <w:t>E' stato dimostrato che il litio possiede un effetto neuroprotettivo contro l'apoptosi indotta da numerose tipologie di insulto (Bhat et al., 2000; Alvarez et al., 2002; Bijur et al., 2000). Come precedentemente detto nel capitolo 3, il più noto target terapeutico del litio è l’inositolo monofosfatasi (IMPase) e i suoi enzimi correlati. A concentrazioni terapeutiche, il litio è un potente inibitore di varie fosfatasi del fosfoinositoliche coinvolte nel metabolismo dell’inositolo fosfato, come IPPase e IMPase (Berridge et al., 1989; Gould et al., 2004a; Quiroz et al., 2004; Sherman et al., 1986). Il litio infatti blocca il riciclo dell’inositolo prima della sintesi dei fosfolipidi inositolici.  L’azione inibitoria del litio sugli inositoli ha condotto all’ipotesi della deplezione degli inositoli, che vede il litio agire in funzione di questa sua attività anti- inositolo mediata da IP3 (Berridge et al., 1989). Attraverso questo meccanismo, è stato visto che il litio inibisce il collasso dei coni di crescita in colture di neuroni, e di com aumenti l’area di tali coni (Williams et al., 2002). Sebbene svariati esperimenti hanno visto che gli effetti neuroprotettivi del litio non possono essere mimati da nessun altro inibitore dell’IMPase nè da un incremento copioso di inositoli (Centeno et al., 1998; Nonaka et al., 1998a, 1998b), l</w:t>
      </w:r>
      <w:r w:rsidR="00D325B6">
        <w:rPr>
          <w:rFonts w:ascii="Times New Roman" w:eastAsia=";Times New Roman" w:hAnsi="Times New Roman"/>
          <w:color w:val="0D0D0D"/>
          <w:sz w:val="24"/>
          <w:szCs w:val="24"/>
          <w:lang w:val="en-GB"/>
        </w:rPr>
        <w:t>’abilità del litio di svuotare i</w:t>
      </w:r>
      <w:r>
        <w:rPr>
          <w:rFonts w:ascii="Times New Roman" w:eastAsia=";Times New Roman" w:hAnsi="Times New Roman"/>
          <w:color w:val="0D0D0D"/>
          <w:sz w:val="24"/>
          <w:szCs w:val="24"/>
          <w:lang w:val="en-GB"/>
        </w:rPr>
        <w:t xml:space="preserve"> depositi inositolici è stato identificato come un nuovo pathway di induzione dell’autofagia.</w:t>
      </w:r>
    </w:p>
    <w:p w:rsidR="00A0541C" w:rsidRDefault="00A0541C" w:rsidP="001E5BE4">
      <w:pPr>
        <w:pStyle w:val="Tesi"/>
        <w:tabs>
          <w:tab w:val="left" w:pos="8503"/>
        </w:tabs>
        <w:spacing w:line="360" w:lineRule="auto"/>
        <w:ind w:right="1091"/>
        <w:jc w:val="both"/>
        <w:rPr>
          <w:rFonts w:ascii="Times New Roman" w:eastAsia=";Times New Roman" w:hAnsi="Times New Roman"/>
          <w:color w:val="0D0D0D"/>
          <w:sz w:val="24"/>
          <w:szCs w:val="24"/>
          <w:lang w:val="en-GB"/>
        </w:rPr>
      </w:pPr>
    </w:p>
    <w:p w:rsidR="00A0541C" w:rsidRDefault="009136A0" w:rsidP="001E5BE4">
      <w:pPr>
        <w:pStyle w:val="Tesi"/>
        <w:tabs>
          <w:tab w:val="left" w:pos="8503"/>
        </w:tabs>
        <w:spacing w:line="360" w:lineRule="auto"/>
        <w:ind w:right="1091"/>
        <w:jc w:val="both"/>
        <w:rPr>
          <w:rFonts w:ascii="Times New Roman" w:eastAsia=";Times New Roman" w:hAnsi="Times New Roman"/>
          <w:color w:val="0D0D0D"/>
          <w:sz w:val="24"/>
          <w:szCs w:val="24"/>
          <w:lang w:val="en-GB"/>
        </w:rPr>
      </w:pPr>
      <w:r>
        <w:rPr>
          <w:noProof/>
          <w:color w:val="0D0D0D"/>
          <w:lang w:val="it-IT" w:eastAsia="it-IT"/>
        </w:rPr>
        <w:drawing>
          <wp:inline distT="0" distB="0" distL="0" distR="0">
            <wp:extent cx="4685030" cy="2506980"/>
            <wp:effectExtent l="0" t="0" r="0" b="0"/>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85030" cy="2506980"/>
                    </a:xfrm>
                    <a:prstGeom prst="rect">
                      <a:avLst/>
                    </a:prstGeom>
                    <a:solidFill>
                      <a:srgbClr val="FFFFFF"/>
                    </a:solidFill>
                    <a:ln>
                      <a:noFill/>
                    </a:ln>
                  </pic:spPr>
                </pic:pic>
              </a:graphicData>
            </a:graphic>
          </wp:inline>
        </w:drawing>
      </w:r>
    </w:p>
    <w:p w:rsidR="00A0541C" w:rsidRPr="009136A0" w:rsidRDefault="009136A0" w:rsidP="001E5BE4">
      <w:pPr>
        <w:pStyle w:val="Tesi"/>
        <w:tabs>
          <w:tab w:val="left" w:pos="8503"/>
        </w:tabs>
        <w:spacing w:line="360" w:lineRule="auto"/>
        <w:ind w:right="1091"/>
        <w:jc w:val="both"/>
        <w:rPr>
          <w:rFonts w:ascii="Times New Roman" w:eastAsia=";Times New Roman" w:hAnsi="Times New Roman"/>
          <w:color w:val="0D0D0D"/>
          <w:sz w:val="20"/>
          <w:szCs w:val="20"/>
          <w:lang w:val="en-GB"/>
        </w:rPr>
      </w:pPr>
      <w:r w:rsidRPr="009136A0">
        <w:rPr>
          <w:rFonts w:ascii="Times New Roman" w:eastAsia="font50" w:hAnsi="Times New Roman"/>
          <w:b/>
          <w:bCs/>
          <w:color w:val="0D0D0D"/>
          <w:sz w:val="20"/>
          <w:szCs w:val="20"/>
          <w:lang w:val="en-GB"/>
        </w:rPr>
        <w:t>Fig. 2</w:t>
      </w:r>
      <w:r w:rsidRPr="009136A0">
        <w:rPr>
          <w:rFonts w:ascii="Times New Roman" w:eastAsia="font50" w:hAnsi="Times New Roman"/>
          <w:color w:val="0D0D0D"/>
          <w:sz w:val="20"/>
          <w:szCs w:val="20"/>
          <w:lang w:val="en-GB"/>
        </w:rPr>
        <w:t xml:space="preserve"> </w:t>
      </w:r>
      <w:r w:rsidR="00CE1D88">
        <w:rPr>
          <w:rFonts w:ascii="Times New Roman" w:eastAsia="font50" w:hAnsi="Times New Roman"/>
          <w:color w:val="0D0D0D"/>
          <w:sz w:val="20"/>
          <w:szCs w:val="20"/>
          <w:lang w:val="en-GB"/>
        </w:rPr>
        <w:t>Azioni del litio sulla deplezione dell’inositolo e sull’induazione dei processi autofagici</w:t>
      </w:r>
      <w:r w:rsidRPr="009136A0">
        <w:rPr>
          <w:rFonts w:ascii="Times New Roman" w:eastAsia="font50" w:hAnsi="Times New Roman"/>
          <w:color w:val="0D0D0D"/>
          <w:sz w:val="20"/>
          <w:szCs w:val="20"/>
          <w:lang w:val="en-GB"/>
        </w:rPr>
        <w:t xml:space="preserve"> (Chiu and Chuang, 2010)</w:t>
      </w:r>
      <w:r w:rsidRPr="009136A0">
        <w:rPr>
          <w:rFonts w:ascii="Times New Roman" w:hAnsi="Times New Roman"/>
          <w:color w:val="0D0D0D"/>
          <w:sz w:val="20"/>
          <w:szCs w:val="20"/>
        </w:rPr>
        <w:t>.</w:t>
      </w:r>
    </w:p>
    <w:p w:rsidR="009136A0" w:rsidRDefault="009136A0" w:rsidP="001E5BE4">
      <w:pPr>
        <w:pStyle w:val="Tesi"/>
        <w:tabs>
          <w:tab w:val="left" w:pos="8503"/>
        </w:tabs>
        <w:spacing w:line="360" w:lineRule="auto"/>
        <w:ind w:right="1091"/>
        <w:jc w:val="both"/>
        <w:rPr>
          <w:rFonts w:ascii="Times New Roman" w:eastAsia=";Times New Roman" w:hAnsi="Times New Roman"/>
          <w:color w:val="0D0D0D"/>
          <w:sz w:val="24"/>
          <w:szCs w:val="24"/>
          <w:lang w:val="en-GB"/>
        </w:rPr>
      </w:pPr>
    </w:p>
    <w:p w:rsidR="00A0541C" w:rsidRDefault="00B460A6" w:rsidP="001E5BE4">
      <w:pPr>
        <w:pStyle w:val="Tesi"/>
        <w:tabs>
          <w:tab w:val="left" w:pos="8503"/>
        </w:tabs>
        <w:spacing w:line="360" w:lineRule="auto"/>
        <w:ind w:right="1091"/>
        <w:jc w:val="both"/>
        <w:rPr>
          <w:rFonts w:ascii="Times New Roman" w:eastAsia=";Times New Roman" w:hAnsi="Times New Roman"/>
          <w:color w:val="0D0D0D"/>
          <w:sz w:val="24"/>
          <w:szCs w:val="24"/>
          <w:lang w:val="en-GB"/>
        </w:rPr>
      </w:pPr>
      <w:r>
        <w:rPr>
          <w:rFonts w:ascii="Times New Roman" w:eastAsia=";Times New Roman" w:hAnsi="Times New Roman"/>
          <w:color w:val="0D0D0D"/>
          <w:sz w:val="24"/>
          <w:szCs w:val="24"/>
          <w:lang w:val="en-GB"/>
        </w:rPr>
        <w:t>La macroautofagia, generalmente sinonimo di autofagia, è un processo fisiologico fondamentale per la degradazione di proteine citoplasmatiche e organelli, ed è stato recentemente cironosciuta come una delle principali risposte cellulari allo stress, cosi come uno dei sistemi di regolazione, sviluppo e funzionamente neuronale. Il processo autofagico viene iniziato con la formazione di strutture a doppia memb</w:t>
      </w:r>
      <w:r w:rsidR="00D325B6">
        <w:rPr>
          <w:rFonts w:ascii="Times New Roman" w:eastAsia=";Times New Roman" w:hAnsi="Times New Roman"/>
          <w:color w:val="0D0D0D"/>
          <w:sz w:val="24"/>
          <w:szCs w:val="24"/>
          <w:lang w:val="en-GB"/>
        </w:rPr>
        <w:t>rana chiamate autofagosomi, i quali si fondono con i</w:t>
      </w:r>
      <w:r>
        <w:rPr>
          <w:rFonts w:ascii="Times New Roman" w:eastAsia=";Times New Roman" w:hAnsi="Times New Roman"/>
          <w:color w:val="0D0D0D"/>
          <w:sz w:val="24"/>
          <w:szCs w:val="24"/>
          <w:lang w:val="en-GB"/>
        </w:rPr>
        <w:t xml:space="preserve"> lisosomi per formare autolisosomi e per degradare il loro contenuto come ultimo step, attraverso enzimi idrolitici (Rubinsztein et al., 2007). il processo dell'autofagia è responsabile per il riciclo dei componenti citosolici in condizioni normali, come anche del riciclo dei componenti necessari  per la sopravvivenza celllulare in condizioni di bisogno (Maiuri et al., 2007; Melendez &amp; Neufeld, 2008). Di conseguenza, si crede che,  questa funzione di controllo da parte dei meccanism autofagici, sia di grande beneficio in numerose patologie neurodegenerative caratterizzate dall'accumulo di proteine che diventano nocive se si trovano in concentrazioni troppo alte (Berger et al., 2006). Sono stati identificati numerosi pathways di segnale che regolano l'autofagia, per esempio la rapamicina che inibisce mTOR, come regolatore negativo. Oppos</w:t>
      </w:r>
      <w:r w:rsidR="00D325B6">
        <w:rPr>
          <w:rFonts w:ascii="Times New Roman" w:eastAsia=";Times New Roman" w:hAnsi="Times New Roman"/>
          <w:color w:val="0D0D0D"/>
          <w:sz w:val="24"/>
          <w:szCs w:val="24"/>
          <w:lang w:val="en-GB"/>
        </w:rPr>
        <w:t>ta alla rapamicina che aumenta i</w:t>
      </w:r>
      <w:r>
        <w:rPr>
          <w:rFonts w:ascii="Times New Roman" w:eastAsia=";Times New Roman" w:hAnsi="Times New Roman"/>
          <w:color w:val="0D0D0D"/>
          <w:sz w:val="24"/>
          <w:szCs w:val="24"/>
          <w:lang w:val="en-GB"/>
        </w:rPr>
        <w:t xml:space="preserve"> processi di autofagia, l'inibizione della GSK-3β provoca una downregulatione di tali processi per mezzo dell'attivazione della cascata mTOR (Sarkar et al., 2008). l'autofagia però è indotta anche da meccanismi che sono mTOR-indipendenti. Per esemp</w:t>
      </w:r>
      <w:r w:rsidR="00D325B6">
        <w:rPr>
          <w:rFonts w:ascii="Times New Roman" w:eastAsia=";Times New Roman" w:hAnsi="Times New Roman"/>
          <w:color w:val="0D0D0D"/>
          <w:sz w:val="24"/>
          <w:szCs w:val="24"/>
          <w:lang w:val="en-GB"/>
        </w:rPr>
        <w:t>io è stato visto che, inibendo i</w:t>
      </w:r>
      <w:r>
        <w:rPr>
          <w:rFonts w:ascii="Times New Roman" w:eastAsia=";Times New Roman" w:hAnsi="Times New Roman"/>
          <w:color w:val="0D0D0D"/>
          <w:sz w:val="24"/>
          <w:szCs w:val="24"/>
          <w:lang w:val="en-GB"/>
        </w:rPr>
        <w:t xml:space="preserve"> trasportatori dell'inositolo e la IMPasi (Phiel &amp; Klein, 2001), l</w:t>
      </w:r>
      <w:r w:rsidR="00D325B6">
        <w:rPr>
          <w:rFonts w:ascii="Times New Roman" w:eastAsia=";Times New Roman" w:hAnsi="Times New Roman"/>
          <w:color w:val="0D0D0D"/>
          <w:sz w:val="24"/>
          <w:szCs w:val="24"/>
          <w:lang w:val="en-GB"/>
        </w:rPr>
        <w:t>'abilità del litio di svuotare i</w:t>
      </w:r>
      <w:r>
        <w:rPr>
          <w:rFonts w:ascii="Times New Roman" w:eastAsia=";Times New Roman" w:hAnsi="Times New Roman"/>
          <w:color w:val="0D0D0D"/>
          <w:sz w:val="24"/>
          <w:szCs w:val="24"/>
          <w:lang w:val="en-GB"/>
        </w:rPr>
        <w:t xml:space="preserve"> depositi di inositolo e</w:t>
      </w:r>
      <w:r w:rsidR="00D325B6">
        <w:rPr>
          <w:rFonts w:ascii="Times New Roman" w:eastAsia=";Times New Roman" w:hAnsi="Times New Roman"/>
          <w:color w:val="0D0D0D"/>
          <w:sz w:val="24"/>
          <w:szCs w:val="24"/>
          <w:lang w:val="en-GB"/>
        </w:rPr>
        <w:t xml:space="preserve"> conseguentemente di diminuire i</w:t>
      </w:r>
      <w:r>
        <w:rPr>
          <w:rFonts w:ascii="Times New Roman" w:eastAsia=";Times New Roman" w:hAnsi="Times New Roman"/>
          <w:color w:val="0D0D0D"/>
          <w:sz w:val="24"/>
          <w:szCs w:val="24"/>
          <w:lang w:val="en-GB"/>
        </w:rPr>
        <w:t xml:space="preserve"> livelli di IP3, induce l'autofagia in maniera indipendente da mTOR (Sarkar et al., 2005; Sarkar &amp; Rubinsztein, 2008). </w:t>
      </w:r>
    </w:p>
    <w:p w:rsidR="00A0541C" w:rsidRDefault="00B460A6" w:rsidP="001E5BE4">
      <w:pPr>
        <w:pStyle w:val="Tesi"/>
        <w:tabs>
          <w:tab w:val="left" w:pos="8503"/>
        </w:tabs>
        <w:spacing w:line="360" w:lineRule="auto"/>
        <w:ind w:right="1091"/>
        <w:jc w:val="both"/>
        <w:rPr>
          <w:rFonts w:ascii="Times New Roman" w:eastAsia=";Times New Roman" w:hAnsi="Times New Roman"/>
          <w:color w:val="0D0D0D"/>
          <w:sz w:val="24"/>
          <w:szCs w:val="24"/>
          <w:lang w:val="en-GB"/>
        </w:rPr>
      </w:pPr>
      <w:r>
        <w:rPr>
          <w:rFonts w:ascii="Times New Roman" w:eastAsia=";Times New Roman" w:hAnsi="Times New Roman"/>
          <w:color w:val="0D0D0D"/>
          <w:sz w:val="24"/>
          <w:szCs w:val="24"/>
          <w:lang w:val="en-GB"/>
        </w:rPr>
        <w:t>Il litio inibisce in maniera autonoma sia la GSK-3β che la IMPasi. Interessantemente, il litio inibisce l'IMPasi a concentrazioni piu basse rispetto a quelle alle quali induce l'autofagia; di contro, inibisce la GSK-3β a dosi più alte rispetto a quelle necessarie all'inibizione dell'autofagia (Stambolic et al., 1996). Tuttavia, l'induzione dell'autofagia è considerata un potenziale meccanismo attraverso il quale il litio contribuisce a espletare le sue funzioni neuroprotettive. A concentrazioni terapeutiche infatti, il litio facilita l'eliminazione di substrati necessari ai processi autofagici (Sarkar et al., 2005).</w:t>
      </w:r>
    </w:p>
    <w:p w:rsidR="00A0541C" w:rsidRDefault="00B460A6" w:rsidP="001E5BE4">
      <w:pPr>
        <w:pStyle w:val="Tesi"/>
        <w:tabs>
          <w:tab w:val="left" w:pos="8503"/>
        </w:tabs>
        <w:spacing w:line="360" w:lineRule="auto"/>
        <w:ind w:right="1091"/>
        <w:jc w:val="both"/>
        <w:rPr>
          <w:rFonts w:ascii="Times New Roman" w:eastAsia=";Times New Roman" w:hAnsi="Times New Roman"/>
          <w:color w:val="0D0D0D"/>
          <w:sz w:val="24"/>
          <w:szCs w:val="24"/>
          <w:lang w:val="en-GB"/>
        </w:rPr>
      </w:pPr>
      <w:r>
        <w:rPr>
          <w:rFonts w:ascii="Times New Roman" w:eastAsia=";Times New Roman" w:hAnsi="Times New Roman"/>
          <w:color w:val="0D0D0D"/>
          <w:sz w:val="24"/>
          <w:szCs w:val="24"/>
          <w:lang w:val="en-GB"/>
        </w:rPr>
        <w:t>Gli ormai noti elementi caratteristici dei processi di rimielinizzazione sono la presenza di internodi corti e di guaine che sono inappropriate per la misura dei neuroni che devono ricoprire (Peters, 2009). Può essere ipotizzato che tali processi rigenerativi, indotti dall'autofagia, possano condurre ad una maggiore permeabilità all'acqua dei fogli di mielina, e quindi a cambiamenti nelle misure DTI osservate da noi. Il pattern di scoperte che abbiamo descritto nel nostro studio, è stato precedentemente osservato in condizioni neurologiche associate all'infiammazione, degenerazione, demielinizzazione (Alexander et al., 2007). un aumento di diffusività perpendicolare alle pareti assonali, suggerisce una mielinizzazione non corretta (Song et al., 2002); la FA diminuisce proporzionalmente con l'età e durante la progressione di numerose patologie neurodegenerative che coinvolgono la sostanza bianca e risultano in una perdita assonale e nella distruzione di fogli di mielina, come la scelrosi multipla, varie demenze e infezioni (Horsfield and Jones, 2002). Seguendo il ragionamento appena fatto, comunque, gli estesi cambiamenti nelle misure DTI osservate nei nostri pazienti bipolari, può non essere necessariamente un indice di una patologia della bianca, ma potrebbe riflettere un'ancora non descritta parte delle azioni terapeutiche del litio.</w:t>
      </w:r>
    </w:p>
    <w:p w:rsidR="00A0541C" w:rsidRDefault="00A0541C" w:rsidP="001E5BE4">
      <w:pPr>
        <w:pStyle w:val="Tesi"/>
        <w:tabs>
          <w:tab w:val="left" w:pos="8503"/>
        </w:tabs>
        <w:spacing w:line="360" w:lineRule="auto"/>
        <w:ind w:right="1091"/>
        <w:jc w:val="both"/>
      </w:pPr>
    </w:p>
    <w:p w:rsidR="00A0541C" w:rsidRPr="00026B84" w:rsidRDefault="00B460A6" w:rsidP="001E5BE4">
      <w:pPr>
        <w:pStyle w:val="Tesi"/>
        <w:tabs>
          <w:tab w:val="left" w:pos="8503"/>
        </w:tabs>
        <w:spacing w:line="360" w:lineRule="auto"/>
        <w:ind w:right="1091"/>
        <w:jc w:val="both"/>
        <w:rPr>
          <w:rFonts w:ascii="Times New Roman" w:eastAsia=";Times New Roman" w:hAnsi="Times New Roman"/>
          <w:color w:val="0D0D0D"/>
          <w:sz w:val="24"/>
          <w:szCs w:val="24"/>
          <w:lang w:val="en-GB"/>
        </w:rPr>
      </w:pPr>
      <w:r>
        <w:rPr>
          <w:rFonts w:ascii="Times New Roman" w:eastAsia=";Times New Roman" w:hAnsi="Times New Roman"/>
          <w:color w:val="0D0D0D"/>
          <w:sz w:val="24"/>
          <w:szCs w:val="24"/>
          <w:lang w:val="en-GB"/>
        </w:rPr>
        <w:t>Interessantemente, l'effetto del litio sulla sostanza bianca viene osservato solo nel gruppo dei C-carriers per il polimorfismo della GSK-3β. Nel capitolo 3, viene introdotto l'effetto inibente del litio sulla GSK-3β. Poichè l'ativazione della GSK-3β è stata legata alla morte cellulare per apoptosi indotta da vari insulti, l'inibizione da parte del litio di questo enzima senza dubbio costituisce parte dei meccanismi molecolari che sottostanno al suo ruolo neuroprotettivo. I risultati ottenuti suggeriscono infatti che l'inibizione della GSK-3</w:t>
      </w:r>
      <w:r>
        <w:rPr>
          <w:rFonts w:ascii="Times New Roman" w:eastAsia=";Times New Roman" w:hAnsi="Times New Roman"/>
          <w:b/>
          <w:bCs/>
          <w:color w:val="0D0D0D"/>
          <w:sz w:val="24"/>
          <w:szCs w:val="24"/>
          <w:lang w:val="en-GB"/>
        </w:rPr>
        <w:t xml:space="preserve">β </w:t>
      </w:r>
      <w:r>
        <w:rPr>
          <w:rFonts w:ascii="Times New Roman" w:eastAsia=";Times New Roman" w:hAnsi="Times New Roman"/>
          <w:color w:val="0D0D0D"/>
          <w:sz w:val="24"/>
          <w:szCs w:val="24"/>
          <w:lang w:val="en-GB"/>
        </w:rPr>
        <w:t>è un meccanismo chiave delle azioni del litio. Pertanto sembra che il polimorfismo di GSK-3β -50T/C sia capace di modificare la risposta alla terapia con sali di litio. Infatti, Benedetti e colleghi (2005)hanno visto che in pazienti affetti da DB, l'allele meno attivo C della GSK-3β è associato ad una migliore risposta al trattamento. I nostri risultati sembrano confermare questo dato, e noi ipotizziamo che tale farmaco siap iù efficace nei C-carriers.</w:t>
      </w:r>
    </w:p>
    <w:p w:rsidR="00A0541C" w:rsidRDefault="00A0541C" w:rsidP="001E5BE4">
      <w:pPr>
        <w:pStyle w:val="Tesi"/>
        <w:tabs>
          <w:tab w:val="left" w:pos="8503"/>
        </w:tabs>
        <w:spacing w:line="360" w:lineRule="auto"/>
        <w:ind w:right="1091"/>
        <w:jc w:val="both"/>
        <w:rPr>
          <w:u w:val="single"/>
        </w:rPr>
      </w:pPr>
    </w:p>
    <w:p w:rsidR="00A0541C" w:rsidRDefault="00B460A6" w:rsidP="001E5BE4">
      <w:pPr>
        <w:pStyle w:val="Tesi"/>
        <w:tabs>
          <w:tab w:val="left" w:pos="8503"/>
        </w:tabs>
        <w:spacing w:line="360" w:lineRule="auto"/>
        <w:ind w:right="1091"/>
        <w:jc w:val="both"/>
        <w:rPr>
          <w:rFonts w:ascii="Times New Roman" w:eastAsia=";Times New Roman" w:hAnsi="Times New Roman"/>
          <w:color w:val="0D0D0D"/>
          <w:sz w:val="24"/>
          <w:szCs w:val="24"/>
          <w:u w:val="single"/>
          <w:lang w:val="en-GB"/>
        </w:rPr>
      </w:pPr>
      <w:r>
        <w:rPr>
          <w:rFonts w:ascii="Times New Roman" w:eastAsia=";Times New Roman" w:hAnsi="Times New Roman"/>
          <w:color w:val="0D0D0D"/>
          <w:sz w:val="24"/>
          <w:szCs w:val="24"/>
          <w:u w:val="single"/>
          <w:lang w:val="en-GB"/>
        </w:rPr>
        <w:t>Effetto neurotrofico</w:t>
      </w:r>
    </w:p>
    <w:p w:rsidR="00A0541C" w:rsidRDefault="00B460A6" w:rsidP="001E5BE4">
      <w:pPr>
        <w:pStyle w:val="Tesi"/>
        <w:tabs>
          <w:tab w:val="left" w:pos="8503"/>
        </w:tabs>
        <w:spacing w:line="360" w:lineRule="auto"/>
        <w:ind w:right="1091"/>
        <w:jc w:val="both"/>
        <w:rPr>
          <w:rFonts w:ascii="Times New Roman" w:eastAsia=";Times New Roman" w:hAnsi="Times New Roman"/>
          <w:color w:val="0D0D0D"/>
          <w:sz w:val="24"/>
          <w:szCs w:val="24"/>
          <w:lang w:val="en-GB"/>
        </w:rPr>
      </w:pPr>
      <w:r>
        <w:rPr>
          <w:rFonts w:ascii="Times New Roman" w:eastAsia=";Times New Roman" w:hAnsi="Times New Roman"/>
          <w:color w:val="0D0D0D"/>
          <w:sz w:val="24"/>
          <w:szCs w:val="24"/>
          <w:lang w:val="en-GB"/>
        </w:rPr>
        <w:t xml:space="preserve">Hashimoto et al. (2002) hanno trovato che il trattamento a lungo termine di colture di cellule corticali induce il BDNF. L'induzione del BDNF e l'attivazione della via di segnalaszione BDNF-TrkB sono dei pre-requisiti per l'azione neuroprotettiva del litio. Come le altre neurotrofine, il BDNF promuove la differenziazione neuronale, la neurogenesi nell'adulto e la plasticità </w:t>
      </w:r>
      <w:r w:rsidR="00D325B6">
        <w:rPr>
          <w:rFonts w:ascii="Times New Roman" w:eastAsia=";Times New Roman" w:hAnsi="Times New Roman"/>
          <w:color w:val="0D0D0D"/>
          <w:sz w:val="24"/>
          <w:szCs w:val="24"/>
          <w:lang w:val="en-GB"/>
        </w:rPr>
        <w:t>neuronale. Noi ipotizziamo che i</w:t>
      </w:r>
      <w:r>
        <w:rPr>
          <w:rFonts w:ascii="Times New Roman" w:eastAsia=";Times New Roman" w:hAnsi="Times New Roman"/>
          <w:color w:val="0D0D0D"/>
          <w:sz w:val="24"/>
          <w:szCs w:val="24"/>
          <w:lang w:val="en-GB"/>
        </w:rPr>
        <w:t xml:space="preserve"> risultati delle nostre analisi DTI non siano direttamente collegati all'integrità delle guaine di mielina, ma neanche alla reale condizione di diffusività di una singola fibra. Se le fibre fossero soltanto più disorganizzate, o se facessero piu incroci tra di loro rispetto a quelli aspettati, o se piu diramazioni dendritiche fossero presenti rispetto al campione paragonato, il risultato sarebbe lo stesso. Infine ip</w:t>
      </w:r>
      <w:r w:rsidR="00D325B6">
        <w:rPr>
          <w:rFonts w:ascii="Times New Roman" w:eastAsia=";Times New Roman" w:hAnsi="Times New Roman"/>
          <w:color w:val="0D0D0D"/>
          <w:sz w:val="24"/>
          <w:szCs w:val="24"/>
          <w:lang w:val="en-GB"/>
        </w:rPr>
        <w:t>otizziamo che i</w:t>
      </w:r>
      <w:r>
        <w:rPr>
          <w:rFonts w:ascii="Times New Roman" w:eastAsia=";Times New Roman" w:hAnsi="Times New Roman"/>
          <w:color w:val="0D0D0D"/>
          <w:sz w:val="24"/>
          <w:szCs w:val="24"/>
          <w:lang w:val="en-GB"/>
        </w:rPr>
        <w:t xml:space="preserve"> risultati riflettano l'effetto di attivazione del BDNF, che rispecchia lo sviluppo e la crescita di nuove diramazioni dendritiche.</w:t>
      </w:r>
    </w:p>
    <w:p w:rsidR="00A0541C" w:rsidRDefault="00A0541C" w:rsidP="001E5BE4">
      <w:pPr>
        <w:pStyle w:val="Tesi"/>
        <w:tabs>
          <w:tab w:val="left" w:pos="8503"/>
        </w:tabs>
        <w:spacing w:line="360" w:lineRule="auto"/>
        <w:ind w:right="1091"/>
        <w:jc w:val="both"/>
        <w:rPr>
          <w:u w:val="single"/>
        </w:rPr>
      </w:pPr>
    </w:p>
    <w:p w:rsidR="00A0541C" w:rsidRDefault="00B460A6" w:rsidP="001E5BE4">
      <w:pPr>
        <w:pStyle w:val="Tesi"/>
        <w:tabs>
          <w:tab w:val="left" w:pos="8503"/>
        </w:tabs>
        <w:spacing w:line="360" w:lineRule="auto"/>
        <w:ind w:right="1091"/>
        <w:jc w:val="both"/>
        <w:rPr>
          <w:rFonts w:ascii="Times New Roman" w:eastAsia=";Times New Roman" w:hAnsi="Times New Roman"/>
          <w:color w:val="0D0D0D"/>
          <w:sz w:val="24"/>
          <w:szCs w:val="24"/>
          <w:u w:val="single"/>
          <w:lang w:val="en-GB"/>
        </w:rPr>
      </w:pPr>
      <w:r>
        <w:rPr>
          <w:rFonts w:ascii="Times New Roman" w:eastAsia=";Times New Roman" w:hAnsi="Times New Roman"/>
          <w:color w:val="0D0D0D"/>
          <w:sz w:val="24"/>
          <w:szCs w:val="24"/>
          <w:u w:val="single"/>
          <w:lang w:val="en-GB"/>
        </w:rPr>
        <w:t>Mobilitazione dei lipidi</w:t>
      </w:r>
    </w:p>
    <w:p w:rsidR="00A0541C" w:rsidRDefault="00B460A6" w:rsidP="001E5BE4">
      <w:pPr>
        <w:pStyle w:val="Tesi"/>
        <w:tabs>
          <w:tab w:val="left" w:pos="8503"/>
        </w:tabs>
        <w:spacing w:line="360" w:lineRule="auto"/>
        <w:ind w:right="1091"/>
        <w:jc w:val="both"/>
        <w:rPr>
          <w:rFonts w:ascii="Times New Roman" w:eastAsia=";Times New Roman" w:hAnsi="Times New Roman"/>
          <w:color w:val="0D0D0D"/>
          <w:sz w:val="24"/>
          <w:szCs w:val="24"/>
          <w:lang w:val="en-GB"/>
        </w:rPr>
      </w:pPr>
      <w:r>
        <w:rPr>
          <w:rFonts w:ascii="Times New Roman" w:eastAsia=";Times New Roman" w:hAnsi="Times New Roman"/>
          <w:color w:val="0D0D0D"/>
          <w:sz w:val="24"/>
          <w:szCs w:val="24"/>
          <w:lang w:val="en-GB"/>
        </w:rPr>
        <w:t>I nostri pazienti sono stati trattati con numerosi famraci da soli o in combinazione con sali di lit</w:t>
      </w:r>
      <w:r w:rsidR="00D325B6">
        <w:rPr>
          <w:rFonts w:ascii="Times New Roman" w:eastAsia=";Times New Roman" w:hAnsi="Times New Roman"/>
          <w:color w:val="0D0D0D"/>
          <w:sz w:val="24"/>
          <w:szCs w:val="24"/>
          <w:lang w:val="en-GB"/>
        </w:rPr>
        <w:t>io, includendo antidepressivi, i</w:t>
      </w:r>
      <w:r>
        <w:rPr>
          <w:rFonts w:ascii="Times New Roman" w:eastAsia=";Times New Roman" w:hAnsi="Times New Roman"/>
          <w:color w:val="0D0D0D"/>
          <w:sz w:val="24"/>
          <w:szCs w:val="24"/>
          <w:lang w:val="en-GB"/>
        </w:rPr>
        <w:t xml:space="preserve"> quali non abbiamo considerato. Diversi meccanismi non alternativi possono aver contribuito agli effetti osservati del litio sui parametri DTI. Basandoci su tali premesse, un'altra possibile spiegazione dei nostri risultati è legata all'uso di farmaci antidepressivi: le poche evidenze disponibili suggeriscono che gli antidepressivi possono cambiare la struttura della sostanza bianca nei pazienti con disturbi psichiatrici. Uno studio in 13 pazienti drug-naive con disturbo ossessivo compulsivo, ha mostrato che un trattamento di tre mesi con SSRI ha diminuito sensibilmente la sintomatologia ossessivo-compulsiva, ma ha anche ridotto la FA, normalizzando abnormemente gli alti valori basali (Yoo et al., 2007). Nei pazienti depressi, il trattamento con antidepressivi triciclici o con farmaci serotoninergici selettivi, aumenta le  hyperintensities della sostanza bianca (Steffens et al., 2008), mentre un trattamento di un anno con SSRI  causa un significativo decremento della FA in maniera direttamente proporzionale alla diminuzione della severità dei sintomi depressivi (Taylor et al., 2011). nei pazienti con DB che prendono più farmaci, incluso il litio, il carico famracologico è inversamente proporzionale alla FA (Versace et al., 2008). Tali sco</w:t>
      </w:r>
      <w:r w:rsidR="00D325B6">
        <w:rPr>
          <w:rFonts w:ascii="Times New Roman" w:eastAsia=";Times New Roman" w:hAnsi="Times New Roman"/>
          <w:color w:val="0D0D0D"/>
          <w:sz w:val="24"/>
          <w:szCs w:val="24"/>
          <w:lang w:val="en-GB"/>
        </w:rPr>
        <w:t>perte ci portano a pensare che i</w:t>
      </w:r>
      <w:r>
        <w:rPr>
          <w:rFonts w:ascii="Times New Roman" w:eastAsia=";Times New Roman" w:hAnsi="Times New Roman"/>
          <w:color w:val="0D0D0D"/>
          <w:sz w:val="24"/>
          <w:szCs w:val="24"/>
          <w:lang w:val="en-GB"/>
        </w:rPr>
        <w:t xml:space="preserve"> cambiamenti nella microstruttura della sostanza bianca possano essere parte dei meccanismi d'azione dei farmaci presi in considerazione, in accordo con recenti prospettive che enfatizzano la rilevanza terapeutica degli effetti degli antidepressivi sulla mielinizzazione e sull'omeostasi lipidica (Bartzokis, 2011; Bartzokis et al., 2009; Vik-Mo et al., 2009). Disfunzioni del metabolismo lipidico della glia e mielinizzazione anormale, sono stati riportati nel disturbo bipolare (Berrettini, 2000; Tkachev, 2003), ed è noto come il colesterolo sia il maggior componente della mielina, e di come il colesterolo prodotto in tale sede, serva come fattore di crescita nella sinaptogenesi. Ferno e colleghi (2005)</w:t>
      </w:r>
      <w:r w:rsidR="00D325B6">
        <w:rPr>
          <w:rFonts w:ascii="Times New Roman" w:eastAsia=";Times New Roman" w:hAnsi="Times New Roman"/>
          <w:color w:val="0D0D0D"/>
          <w:sz w:val="24"/>
          <w:szCs w:val="24"/>
          <w:lang w:val="en-GB"/>
        </w:rPr>
        <w:t xml:space="preserve"> hanno dimostrato che i</w:t>
      </w:r>
      <w:r>
        <w:rPr>
          <w:rFonts w:ascii="Times New Roman" w:eastAsia=";Times New Roman" w:hAnsi="Times New Roman"/>
          <w:color w:val="0D0D0D"/>
          <w:sz w:val="24"/>
          <w:szCs w:val="24"/>
          <w:lang w:val="en-GB"/>
        </w:rPr>
        <w:t xml:space="preserve"> </w:t>
      </w:r>
      <w:r w:rsidR="00D325B6">
        <w:rPr>
          <w:rFonts w:ascii="Times New Roman" w:eastAsia=";Times New Roman" w:hAnsi="Times New Roman"/>
          <w:color w:val="0D0D0D"/>
          <w:sz w:val="24"/>
          <w:szCs w:val="24"/>
          <w:lang w:val="en-GB"/>
        </w:rPr>
        <w:t>farmaci antipsicotici attivino i</w:t>
      </w:r>
      <w:r>
        <w:rPr>
          <w:rFonts w:ascii="Times New Roman" w:eastAsia=";Times New Roman" w:hAnsi="Times New Roman"/>
          <w:color w:val="0D0D0D"/>
          <w:sz w:val="24"/>
          <w:szCs w:val="24"/>
          <w:lang w:val="en-GB"/>
        </w:rPr>
        <w:t xml:space="preserve"> fattori di trascrizione di SREBP nelle cellule gliali umane, con conseguente upregulation di numerosi geni coinvolti nella biosintesi di colesterolo e acidi grassi. Raeder et al. (2006) hanno investigato invece se gli antidepressivi e gli stabilizzanti dell'umore sono in grado di indurre un'attivazione simile di SREBP e della lipogenesi. Pertanto hanno esposto delle colture cellulari di cellule gliali umane a concentrazioni variasbili di antipsicotici e stabilizzanti dell'umore, trovando che mentre tutti gli antidepressivi attivano SREBP con conseguente upregulation dei prodotti pro-lipogenesi, gli stabilizzanti dell'umore invece non influiscono sul funzionamento di SREBP nè dei geni ad esso collegati. La stimolazione della biosintesi lipidica è seguita da un'attivazione trascrizionale dei pathway di trasporto ed efflusso di colesterolo, che coinvolgono l'apolipoproteina E (ApoE)  (Vik-Mo et al., 2009), e da modificazioni del traffico intracellulare di colesterolo attraverso il sistema endosomiale/lisosom</w:t>
      </w:r>
      <w:r w:rsidR="001E5BE4">
        <w:rPr>
          <w:rFonts w:ascii="Times New Roman" w:eastAsia=";Times New Roman" w:hAnsi="Times New Roman"/>
          <w:color w:val="0D0D0D"/>
          <w:sz w:val="24"/>
          <w:szCs w:val="24"/>
          <w:lang w:val="en-GB"/>
        </w:rPr>
        <w:t>iale (Kristiana et al., 2010). L</w:t>
      </w:r>
      <w:r>
        <w:rPr>
          <w:rFonts w:ascii="Times New Roman" w:eastAsia=";Times New Roman" w:hAnsi="Times New Roman"/>
          <w:color w:val="0D0D0D"/>
          <w:sz w:val="24"/>
          <w:szCs w:val="24"/>
          <w:lang w:val="en-GB"/>
        </w:rPr>
        <w:t>a Apo E e il colesterolo sono essenziali entrambi sia nella generazione e riparazione della mielina (Dietschy and Turley, 2004), sia nella regolazione della plasticità sinaptica nel cervello umano adulto (Barres and Smi</w:t>
      </w:r>
      <w:r w:rsidR="00A731E3">
        <w:rPr>
          <w:rFonts w:ascii="Times New Roman" w:eastAsia=";Times New Roman" w:hAnsi="Times New Roman"/>
          <w:color w:val="0D0D0D"/>
          <w:sz w:val="24"/>
          <w:szCs w:val="24"/>
          <w:lang w:val="en-GB"/>
        </w:rPr>
        <w:t xml:space="preserve">th, 2001), </w:t>
      </w:r>
      <w:r>
        <w:rPr>
          <w:rFonts w:ascii="Times New Roman" w:eastAsia=";Times New Roman" w:hAnsi="Times New Roman"/>
          <w:color w:val="0D0D0D"/>
          <w:sz w:val="24"/>
          <w:szCs w:val="24"/>
          <w:lang w:val="en-GB"/>
        </w:rPr>
        <w:t xml:space="preserve">poichè il colesterolo derivato dalla glia può promorre la sinaptogenesi (Mauch et al., 2001). Inoltre, a causa della loro struttura di cationi anfifilici, gli antidepressivi possono interagire con le membrane fosfolipidiche, per cui possibilmente modificano la fluidità della membrana e la loro composizione lipidica (Zschocke et al., 2011), portando all'accumulo di fosfolipidi nei lisosomi (Xia et al., 2000). Un'alterazione del metabolismo lipidico e del traffico di colesterolo può promorre l'autofagia e indipendentemente dall'omeostasi del colesterolo, sia gli SSRI che </w:t>
      </w:r>
      <w:r w:rsidR="008E3459">
        <w:rPr>
          <w:rFonts w:ascii="Times New Roman" w:eastAsia=";Times New Roman" w:hAnsi="Times New Roman"/>
          <w:color w:val="0D0D0D"/>
          <w:sz w:val="24"/>
          <w:szCs w:val="24"/>
          <w:lang w:val="en-GB"/>
        </w:rPr>
        <w:t>i</w:t>
      </w:r>
      <w:r>
        <w:rPr>
          <w:rFonts w:ascii="Times New Roman" w:eastAsia=";Times New Roman" w:hAnsi="Times New Roman"/>
          <w:color w:val="0D0D0D"/>
          <w:sz w:val="24"/>
          <w:szCs w:val="24"/>
          <w:lang w:val="en-GB"/>
        </w:rPr>
        <w:t xml:space="preserve"> triciclici possono promuovere l'autofagia negli astrociti e nei neuroni, interagendo con gli aggregati lipidici presenti nelle strutture lisosomiali (Zschocke et al., 2011). L'arricchimento di colesterolo nello strato esterno del biofilm mielinico riduce la capacità di legame con  l'acqua e permette la giustapposizione delle membrane e il loro impacchettamento (Bartzokis, 2011).  La permeabilità delle membrane all'acqua, correla fortemente con la composizione lipidica piuttosto che con lo spessore della membrana, e decresce con l'aggiunta di colesterolo (Mathai et al., 2008). Puo essere ipotizzato che </w:t>
      </w:r>
      <w:r w:rsidR="008E3459">
        <w:rPr>
          <w:rFonts w:ascii="Times New Roman" w:eastAsia=";Times New Roman" w:hAnsi="Times New Roman"/>
          <w:color w:val="0D0D0D"/>
          <w:sz w:val="24"/>
          <w:szCs w:val="24"/>
          <w:lang w:val="en-GB"/>
        </w:rPr>
        <w:t>i</w:t>
      </w:r>
      <w:r>
        <w:rPr>
          <w:rFonts w:ascii="Times New Roman" w:eastAsia=";Times New Roman" w:hAnsi="Times New Roman"/>
          <w:color w:val="0D0D0D"/>
          <w:sz w:val="24"/>
          <w:szCs w:val="24"/>
          <w:lang w:val="en-GB"/>
        </w:rPr>
        <w:t xml:space="preserve"> cambiamenti farmaco-indotti nei lipidi gliali e nel metabolismo del colesterolo, insieme ad una aumentata autofagia, portino a modificazioni della struttura delle membrane cellulari e dei rivestimenti mielinici, risultando in cambiamenti delle loro proprietà biofisiche, come la diffusività dell'acqua misurata dalla DTI. Essendo il nostro campione non monitorato per gli altri farmaci assunti dai pazienti, non possiamo precludere </w:t>
      </w:r>
      <w:r w:rsidR="008E3459">
        <w:rPr>
          <w:rFonts w:ascii="Times New Roman" w:eastAsia=";Times New Roman" w:hAnsi="Times New Roman"/>
          <w:color w:val="0D0D0D"/>
          <w:sz w:val="24"/>
          <w:szCs w:val="24"/>
          <w:lang w:val="en-GB"/>
        </w:rPr>
        <w:t>i</w:t>
      </w:r>
      <w:r>
        <w:rPr>
          <w:rFonts w:ascii="Times New Roman" w:eastAsia=";Times New Roman" w:hAnsi="Times New Roman"/>
          <w:color w:val="0D0D0D"/>
          <w:sz w:val="24"/>
          <w:szCs w:val="24"/>
          <w:lang w:val="en-GB"/>
        </w:rPr>
        <w:t xml:space="preserve"> nostri risultati dall'essere influenzati da tali meccanismi. Questa possibilità è supportata dal fatto che il litio facilita, migliora e prolunga l'effetto degli antidepressivi (Goodwin, 2003; Lin et al., 2006).</w:t>
      </w:r>
    </w:p>
    <w:p w:rsidR="00A0541C" w:rsidRDefault="00A0541C" w:rsidP="001E5BE4">
      <w:pPr>
        <w:pStyle w:val="Tesi"/>
        <w:tabs>
          <w:tab w:val="left" w:pos="8503"/>
        </w:tabs>
        <w:spacing w:line="360" w:lineRule="auto"/>
        <w:ind w:right="1091"/>
        <w:jc w:val="both"/>
        <w:rPr>
          <w:b/>
          <w:bCs/>
        </w:rPr>
      </w:pPr>
    </w:p>
    <w:p w:rsidR="00A0541C" w:rsidRDefault="00B460A6" w:rsidP="001E5BE4">
      <w:pPr>
        <w:pStyle w:val="Tesi"/>
        <w:tabs>
          <w:tab w:val="left" w:pos="8503"/>
        </w:tabs>
        <w:spacing w:line="360" w:lineRule="auto"/>
        <w:ind w:right="1091"/>
        <w:jc w:val="both"/>
        <w:rPr>
          <w:rFonts w:ascii="Times New Roman" w:eastAsia=";Times New Roman" w:hAnsi="Times New Roman"/>
          <w:b/>
          <w:bCs/>
          <w:i/>
          <w:color w:val="0D0D0D"/>
          <w:sz w:val="24"/>
          <w:szCs w:val="24"/>
          <w:lang w:val="en-GB"/>
        </w:rPr>
      </w:pPr>
      <w:r>
        <w:rPr>
          <w:rFonts w:ascii="Times New Roman" w:eastAsia=";Times New Roman" w:hAnsi="Times New Roman"/>
          <w:b/>
          <w:bCs/>
          <w:color w:val="0D0D0D"/>
          <w:sz w:val="24"/>
          <w:szCs w:val="24"/>
          <w:lang w:val="en-GB"/>
        </w:rPr>
        <w:t>5.1.2 Effetto del polimorifismo di GSK-3</w:t>
      </w:r>
      <w:r w:rsidRPr="001E5BE4">
        <w:rPr>
          <w:rFonts w:ascii="Times New Roman" w:eastAsia=";Times New Roman" w:hAnsi="Times New Roman"/>
          <w:b/>
          <w:bCs/>
          <w:color w:val="0D0D0D"/>
          <w:sz w:val="24"/>
          <w:szCs w:val="24"/>
          <w:lang w:val="en-GB"/>
        </w:rPr>
        <w:t>β</w:t>
      </w:r>
    </w:p>
    <w:p w:rsidR="00A0541C" w:rsidRDefault="00B460A6" w:rsidP="001E5BE4">
      <w:pPr>
        <w:pStyle w:val="Tesi"/>
        <w:tabs>
          <w:tab w:val="left" w:pos="8503"/>
        </w:tabs>
        <w:spacing w:line="360" w:lineRule="auto"/>
        <w:ind w:right="1091"/>
        <w:jc w:val="both"/>
        <w:rPr>
          <w:rFonts w:ascii="Times New Roman" w:hAnsi="Times New Roman"/>
          <w:color w:val="0D0D0D"/>
          <w:sz w:val="24"/>
          <w:szCs w:val="24"/>
          <w:lang w:val="en-GB"/>
        </w:rPr>
      </w:pPr>
      <w:r>
        <w:rPr>
          <w:rFonts w:ascii="Times New Roman" w:hAnsi="Times New Roman"/>
          <w:sz w:val="24"/>
          <w:szCs w:val="24"/>
        </w:rPr>
        <w:t>Precedenti studi di Benedetti e colleghi (</w:t>
      </w:r>
      <w:r>
        <w:rPr>
          <w:rFonts w:ascii="Times New Roman" w:hAnsi="Times New Roman"/>
          <w:color w:val="0D0D0D"/>
          <w:sz w:val="24"/>
          <w:szCs w:val="24"/>
          <w:lang w:val="en-GB"/>
        </w:rPr>
        <w:t>2004a, 2004b, 2005), mostrano che nei pazienti affetti da DB, l'allele meno attivo C del polimorfismo di GSK-</w:t>
      </w:r>
      <w:r>
        <w:rPr>
          <w:rFonts w:ascii="Times New Roman" w:hAnsi="Times New Roman"/>
          <w:i/>
          <w:iCs/>
          <w:color w:val="0D0D0D"/>
          <w:sz w:val="24"/>
          <w:szCs w:val="24"/>
          <w:lang w:val="en-GB"/>
        </w:rPr>
        <w:t>3</w:t>
      </w:r>
      <w:r>
        <w:rPr>
          <w:rFonts w:ascii="Times New Roman" w:hAnsi="Times New Roman"/>
          <w:color w:val="0D0D0D"/>
          <w:sz w:val="24"/>
          <w:szCs w:val="24"/>
          <w:lang w:val="en-GB"/>
        </w:rPr>
        <w:t>β è associato a caratteristiche cliniche meno gravi che includono un onset più tardivo, con una migliore risposta alle manipolazioni antidepressive del ciclo sonno-veglia, e al trattamento con litio nella stabilizzazione a lungo termine dell'umore. Il genotipo C/C è inoltre stato associato con un ridotto rischio di disturbi neurodegenerativi come il parkinson e l'alzheimer (Kalinderi et al . 2009; Mateo et al . 2009). Dato il fatto che la riduzione di attività della GSK-3</w:t>
      </w:r>
      <w:r w:rsidRPr="001E5BE4">
        <w:rPr>
          <w:rFonts w:ascii="Times New Roman" w:hAnsi="Times New Roman"/>
          <w:b/>
          <w:bCs/>
          <w:color w:val="0D0D0D"/>
          <w:sz w:val="24"/>
          <w:szCs w:val="24"/>
          <w:lang w:val="en-GB"/>
        </w:rPr>
        <w:t>β</w:t>
      </w:r>
      <w:r>
        <w:rPr>
          <w:rFonts w:ascii="Times New Roman" w:hAnsi="Times New Roman"/>
          <w:b/>
          <w:bCs/>
          <w:i/>
          <w:color w:val="0D0D0D"/>
          <w:sz w:val="24"/>
          <w:szCs w:val="24"/>
          <w:lang w:val="en-GB"/>
        </w:rPr>
        <w:t xml:space="preserve"> </w:t>
      </w:r>
      <w:r>
        <w:rPr>
          <w:rFonts w:ascii="Times New Roman" w:hAnsi="Times New Roman"/>
          <w:color w:val="0D0D0D"/>
          <w:sz w:val="24"/>
          <w:szCs w:val="24"/>
          <w:lang w:val="en-GB"/>
        </w:rPr>
        <w:t>viene associata con un'aumentata resilienza neuronale, neurotrofismo e ridotta apoptosi, ipotizziamo che l'essere portatori dell'allelemeno attivo C costituisc</w:t>
      </w:r>
      <w:r w:rsidR="008E3459">
        <w:rPr>
          <w:rFonts w:ascii="Times New Roman" w:hAnsi="Times New Roman"/>
          <w:color w:val="0D0D0D"/>
          <w:sz w:val="24"/>
          <w:szCs w:val="24"/>
          <w:lang w:val="en-GB"/>
        </w:rPr>
        <w:t>a un fattore protettivo contro i</w:t>
      </w:r>
      <w:r>
        <w:rPr>
          <w:rFonts w:ascii="Times New Roman" w:hAnsi="Times New Roman"/>
          <w:color w:val="0D0D0D"/>
          <w:sz w:val="24"/>
          <w:szCs w:val="24"/>
          <w:lang w:val="en-GB"/>
        </w:rPr>
        <w:t xml:space="preserve"> danni neuropatologici associati al DB. Poichè l'attività di GSK-3 è correlata con l'apoptosi nelle cellule neuronali, un'attivazione meno cospicua può quindi proteggere il cervello con la morte cellulare in modelli di iper-infiammazione e di apoptosi (Wang et al . 2009). Pertanto noi ipotizziamo che le differenze tra C carriers e omozigoti T/T possano riflettere lo sviluppo di nuove spine dendritiche, dovuto all'attivazione di BDNF, come descritto sopra.</w:t>
      </w:r>
    </w:p>
    <w:p w:rsidR="00A0541C" w:rsidRDefault="00B460A6" w:rsidP="001E5BE4">
      <w:pPr>
        <w:pStyle w:val="Tesi"/>
        <w:tabs>
          <w:tab w:val="left" w:pos="8503"/>
        </w:tabs>
        <w:spacing w:line="360" w:lineRule="auto"/>
        <w:ind w:right="1091"/>
        <w:jc w:val="both"/>
        <w:rPr>
          <w:rFonts w:ascii="Times New Roman" w:hAnsi="Times New Roman"/>
          <w:bCs/>
          <w:color w:val="0D0D0D"/>
          <w:sz w:val="24"/>
          <w:szCs w:val="24"/>
        </w:rPr>
      </w:pPr>
      <w:r>
        <w:rPr>
          <w:rFonts w:ascii="Times New Roman" w:hAnsi="Times New Roman"/>
          <w:color w:val="0D0D0D"/>
          <w:sz w:val="24"/>
          <w:szCs w:val="24"/>
          <w:lang w:val="en-GB"/>
        </w:rPr>
        <w:t>Nei gruppi di soggetti trattati e non, le differenze nei parametri DTI sono ridotte: nel gruppo dei trattati con li</w:t>
      </w:r>
      <w:r w:rsidR="008E3459">
        <w:rPr>
          <w:rFonts w:ascii="Times New Roman" w:hAnsi="Times New Roman"/>
          <w:color w:val="0D0D0D"/>
          <w:sz w:val="24"/>
          <w:szCs w:val="24"/>
          <w:lang w:val="en-GB"/>
        </w:rPr>
        <w:t>tio, i</w:t>
      </w:r>
      <w:r>
        <w:rPr>
          <w:rFonts w:ascii="Times New Roman" w:hAnsi="Times New Roman"/>
          <w:color w:val="0D0D0D"/>
          <w:sz w:val="24"/>
          <w:szCs w:val="24"/>
          <w:lang w:val="en-GB"/>
        </w:rPr>
        <w:t xml:space="preserve"> C carriers hanno un  aumento significativo solo nella MD, </w:t>
      </w:r>
      <w:r w:rsidR="008E3459">
        <w:rPr>
          <w:rFonts w:ascii="Times New Roman" w:hAnsi="Times New Roman"/>
          <w:color w:val="0D0D0D"/>
          <w:sz w:val="24"/>
          <w:szCs w:val="24"/>
          <w:lang w:val="en-GB"/>
        </w:rPr>
        <w:t>mentre nel gruppo non trattato i</w:t>
      </w:r>
      <w:r>
        <w:rPr>
          <w:rFonts w:ascii="Times New Roman" w:hAnsi="Times New Roman"/>
          <w:color w:val="0D0D0D"/>
          <w:sz w:val="24"/>
          <w:szCs w:val="24"/>
          <w:lang w:val="en-GB"/>
        </w:rPr>
        <w:t xml:space="preserve"> C-carriers hanno un aumento solo per quanto riguarda l'AD. Pertanto, l'effetto del polimorfismo di GSK-3 persiste  e la riduzione di significatività probabilmente è dovuta al ridotto numero di soggetti nell'analisi (trattati con litio = 10T/T vs 13 C carriers; non trattati = 16 T/T vs 30 C-carriers). Infine il fatto che l'effetto neuroprotettivo sembri piu efficace nell'emisfero destro, può essere l</w:t>
      </w:r>
      <w:r w:rsidR="008E3459">
        <w:rPr>
          <w:rFonts w:ascii="Times New Roman" w:hAnsi="Times New Roman"/>
          <w:color w:val="0D0D0D"/>
          <w:sz w:val="24"/>
          <w:szCs w:val="24"/>
          <w:lang w:val="en-GB"/>
        </w:rPr>
        <w:t>e</w:t>
      </w:r>
      <w:r>
        <w:rPr>
          <w:rFonts w:ascii="Times New Roman" w:hAnsi="Times New Roman"/>
          <w:color w:val="0D0D0D"/>
          <w:sz w:val="24"/>
          <w:szCs w:val="24"/>
          <w:lang w:val="en-GB"/>
        </w:rPr>
        <w:t>gato a fattori che influenza</w:t>
      </w:r>
      <w:r w:rsidR="0068558B">
        <w:rPr>
          <w:rFonts w:ascii="Times New Roman" w:hAnsi="Times New Roman"/>
          <w:color w:val="0D0D0D"/>
          <w:sz w:val="24"/>
          <w:szCs w:val="24"/>
          <w:lang w:val="en-GB"/>
        </w:rPr>
        <w:t>n</w:t>
      </w:r>
      <w:r>
        <w:rPr>
          <w:rFonts w:ascii="Times New Roman" w:hAnsi="Times New Roman"/>
          <w:color w:val="0D0D0D"/>
          <w:sz w:val="24"/>
          <w:szCs w:val="24"/>
          <w:lang w:val="en-GB"/>
        </w:rPr>
        <w:t xml:space="preserve">o la vulnerabilità emisferica in maniera indipendente dal DB </w:t>
      </w:r>
      <w:r>
        <w:rPr>
          <w:rFonts w:ascii="Times New Roman" w:hAnsi="Times New Roman"/>
          <w:bCs/>
          <w:color w:val="0D0D0D"/>
          <w:sz w:val="24"/>
          <w:szCs w:val="24"/>
        </w:rPr>
        <w:t>(Dolcos et al., 2002).</w:t>
      </w: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Pr="00026B84" w:rsidRDefault="00B460A6" w:rsidP="001E5BE4">
      <w:pPr>
        <w:pStyle w:val="Tesi"/>
        <w:tabs>
          <w:tab w:val="left" w:pos="8503"/>
        </w:tabs>
        <w:spacing w:line="360" w:lineRule="auto"/>
        <w:ind w:right="1091"/>
        <w:jc w:val="both"/>
        <w:rPr>
          <w:rFonts w:ascii="Times New Roman" w:hAnsi="Times New Roman"/>
          <w:b/>
          <w:bCs/>
          <w:color w:val="0D0D0D"/>
          <w:sz w:val="24"/>
          <w:szCs w:val="24"/>
        </w:rPr>
      </w:pPr>
      <w:r w:rsidRPr="00026B84">
        <w:rPr>
          <w:rFonts w:ascii="Times New Roman" w:hAnsi="Times New Roman"/>
          <w:b/>
          <w:bCs/>
          <w:color w:val="0D0D0D"/>
          <w:sz w:val="24"/>
          <w:szCs w:val="24"/>
        </w:rPr>
        <w:t>5.2 Punti di forza e limitazioni dello studio</w:t>
      </w:r>
    </w:p>
    <w:p w:rsidR="00A0541C" w:rsidRDefault="00B460A6" w:rsidP="001E5BE4">
      <w:pPr>
        <w:pStyle w:val="Tesi"/>
        <w:tabs>
          <w:tab w:val="left" w:pos="8503"/>
        </w:tabs>
        <w:spacing w:line="360" w:lineRule="auto"/>
        <w:ind w:right="1091"/>
        <w:jc w:val="both"/>
        <w:rPr>
          <w:rFonts w:ascii="Times New Roman" w:hAnsi="Times New Roman"/>
          <w:bCs/>
          <w:color w:val="0D0D0D"/>
          <w:sz w:val="24"/>
          <w:szCs w:val="24"/>
        </w:rPr>
      </w:pPr>
      <w:r>
        <w:rPr>
          <w:rFonts w:ascii="Times New Roman" w:hAnsi="Times New Roman"/>
          <w:bCs/>
          <w:color w:val="0D0D0D"/>
          <w:sz w:val="24"/>
          <w:szCs w:val="24"/>
        </w:rPr>
        <w:t xml:space="preserve">nell nostre analisi abbiamo </w:t>
      </w:r>
      <w:r w:rsidR="001A6334">
        <w:rPr>
          <w:rFonts w:ascii="Times New Roman" w:hAnsi="Times New Roman"/>
          <w:bCs/>
          <w:color w:val="0D0D0D"/>
          <w:sz w:val="24"/>
          <w:szCs w:val="24"/>
        </w:rPr>
        <w:t>deciso di monitorare, non solo i</w:t>
      </w:r>
      <w:r>
        <w:rPr>
          <w:rFonts w:ascii="Times New Roman" w:hAnsi="Times New Roman"/>
          <w:bCs/>
          <w:color w:val="0D0D0D"/>
          <w:sz w:val="24"/>
          <w:szCs w:val="24"/>
        </w:rPr>
        <w:t xml:space="preserve"> valori di FA, ma anche AD, MD ed RD, cosi da avere più dati riguardanti la direzione dei cambiamenti. Infatti, mentre la FA ci da un'idea della misura della direzionalità del flusso delle molecole d'acqua, AD ed RD sono rispettivamente il più alto autovalore nella direzione principale del flusso e la media degli altri due autovalori, relativi alle altre due direzioni, indicando quindi la direzionalità delle molecole negli altri </w:t>
      </w:r>
      <w:r w:rsidR="001A6334">
        <w:rPr>
          <w:rFonts w:ascii="Times New Roman" w:hAnsi="Times New Roman"/>
          <w:bCs/>
          <w:color w:val="0D0D0D"/>
          <w:sz w:val="24"/>
          <w:szCs w:val="24"/>
        </w:rPr>
        <w:t>due piani geometrici. Pertanto i</w:t>
      </w:r>
      <w:r>
        <w:rPr>
          <w:rFonts w:ascii="Times New Roman" w:hAnsi="Times New Roman"/>
          <w:bCs/>
          <w:color w:val="0D0D0D"/>
          <w:sz w:val="24"/>
          <w:szCs w:val="24"/>
        </w:rPr>
        <w:t xml:space="preserve"> cambiamenti di FA ci informano soltanto riguardo alle alterazioni globali della diffusione, senza darci informazioni sulle sue cause. Quindi, da una riduzione di FA, non si può dedurre se è dovuta ad una diminuzione del flusso longitudinalmente lungo la fibra, o ad un aumento di diffusività radiale (come per esempio in caso di danneggiamento della guaina mielinica, o di formazione di nuove spine). Pertanto, mentre l'MD dà informazioni relative alla grandezza dei cambiamenti, AD e RD offrono degli spunti per sopperire alla mancanza di informazioni relative ad aumenti o riduzioni di flusso lungo l'asse principale e radialmente alla direzione massiva del flusso. Dunque ciò che possiamo comprendere dalle analisi DTI non è direttamente correlato all'integrità delle guaine mieliniche, ma neppure alla reale condizione della diffusività in una fibra, fornendo un indice globale della diffusività in vari distretti e in vari fasci che si incrociano. Questo è ben noto per le giunzioni tra le varie fibre, ma è bene ricordare che molte altre microscopiche condizioni possono crearsi all'interno di un singolo voxel in maniera tale da disturbare o influire con la misurazione.</w:t>
      </w:r>
    </w:p>
    <w:p w:rsidR="00A0541C" w:rsidRDefault="00B460A6" w:rsidP="001E5BE4">
      <w:pPr>
        <w:pStyle w:val="Tesi"/>
        <w:tabs>
          <w:tab w:val="left" w:pos="8503"/>
        </w:tabs>
        <w:spacing w:line="360" w:lineRule="auto"/>
        <w:ind w:right="1091"/>
        <w:jc w:val="both"/>
        <w:rPr>
          <w:rFonts w:ascii="Times New Roman" w:hAnsi="Times New Roman"/>
          <w:bCs/>
          <w:color w:val="0D0D0D"/>
          <w:sz w:val="24"/>
          <w:szCs w:val="24"/>
        </w:rPr>
      </w:pPr>
      <w:r>
        <w:rPr>
          <w:rFonts w:ascii="Times New Roman" w:hAnsi="Times New Roman"/>
          <w:bCs/>
          <w:color w:val="0D0D0D"/>
          <w:sz w:val="24"/>
          <w:szCs w:val="24"/>
        </w:rPr>
        <w:t>Da un punto di vista tecnico, l'alto campo magnetico usato nel nostro studio (3 Tesla), e l'alto numero di gradienti utilizzati</w:t>
      </w:r>
      <w:r w:rsidR="001E5BE4">
        <w:rPr>
          <w:rFonts w:ascii="Times New Roman" w:hAnsi="Times New Roman"/>
          <w:bCs/>
          <w:color w:val="0D0D0D"/>
          <w:sz w:val="24"/>
          <w:szCs w:val="24"/>
        </w:rPr>
        <w:t xml:space="preserve"> (35), ci hanno permesso di ot</w:t>
      </w:r>
      <w:r>
        <w:rPr>
          <w:rFonts w:ascii="Times New Roman" w:hAnsi="Times New Roman"/>
          <w:bCs/>
          <w:color w:val="0D0D0D"/>
          <w:sz w:val="24"/>
          <w:szCs w:val="24"/>
        </w:rPr>
        <w:t>tenere un segnale molto forte con un alto grado di sensibilità nella detezione delle molecole d'acqua.</w:t>
      </w:r>
    </w:p>
    <w:p w:rsidR="00A0541C" w:rsidRDefault="00B460A6" w:rsidP="001E5BE4">
      <w:pPr>
        <w:pStyle w:val="Tesi"/>
        <w:tabs>
          <w:tab w:val="left" w:pos="8503"/>
        </w:tabs>
        <w:spacing w:line="360" w:lineRule="auto"/>
        <w:ind w:right="1091"/>
        <w:jc w:val="both"/>
        <w:rPr>
          <w:rFonts w:ascii="Times New Roman" w:hAnsi="Times New Roman"/>
          <w:bCs/>
          <w:color w:val="0D0D0D"/>
          <w:sz w:val="24"/>
          <w:szCs w:val="24"/>
        </w:rPr>
      </w:pPr>
      <w:r>
        <w:rPr>
          <w:rFonts w:ascii="Times New Roman" w:hAnsi="Times New Roman"/>
          <w:bCs/>
          <w:color w:val="0D0D0D"/>
          <w:sz w:val="24"/>
          <w:szCs w:val="24"/>
        </w:rPr>
        <w:t>Riguardo la clinica, sebbe</w:t>
      </w:r>
      <w:r w:rsidR="001A6334">
        <w:rPr>
          <w:rFonts w:ascii="Times New Roman" w:hAnsi="Times New Roman"/>
          <w:bCs/>
          <w:color w:val="0D0D0D"/>
          <w:sz w:val="24"/>
          <w:szCs w:val="24"/>
        </w:rPr>
        <w:t>ne non abbiamo potuto dividere i</w:t>
      </w:r>
      <w:r>
        <w:rPr>
          <w:rFonts w:ascii="Times New Roman" w:hAnsi="Times New Roman"/>
          <w:bCs/>
          <w:color w:val="0D0D0D"/>
          <w:sz w:val="24"/>
          <w:szCs w:val="24"/>
        </w:rPr>
        <w:t xml:space="preserve"> nostri pazienti in sottogruppi basandoci sulla dimensione dei sintomi, il nostro campione è piuttosto grande e ci permette di distingu</w:t>
      </w:r>
      <w:r w:rsidR="001A6334">
        <w:rPr>
          <w:rFonts w:ascii="Times New Roman" w:hAnsi="Times New Roman"/>
          <w:bCs/>
          <w:color w:val="0D0D0D"/>
          <w:sz w:val="24"/>
          <w:szCs w:val="24"/>
        </w:rPr>
        <w:t>ere i</w:t>
      </w:r>
      <w:r>
        <w:rPr>
          <w:rFonts w:ascii="Times New Roman" w:hAnsi="Times New Roman"/>
          <w:bCs/>
          <w:color w:val="0D0D0D"/>
          <w:sz w:val="24"/>
          <w:szCs w:val="24"/>
        </w:rPr>
        <w:t xml:space="preserve"> pazienti trattati con litio da quelli non trattati. Abbiamo investigato anche fattori genetici in relazione alle anomalie riscontrate nella struttura cerebrale.</w:t>
      </w:r>
    </w:p>
    <w:p w:rsidR="001E5BE4" w:rsidRDefault="00B460A6" w:rsidP="001E5BE4">
      <w:pPr>
        <w:pStyle w:val="Tesi"/>
        <w:tabs>
          <w:tab w:val="left" w:pos="8503"/>
        </w:tabs>
        <w:spacing w:line="360" w:lineRule="auto"/>
        <w:ind w:right="1091"/>
        <w:jc w:val="both"/>
        <w:rPr>
          <w:rFonts w:ascii="Times New Roman" w:hAnsi="Times New Roman"/>
          <w:bCs/>
          <w:color w:val="0D0D0D"/>
          <w:sz w:val="24"/>
          <w:szCs w:val="24"/>
        </w:rPr>
      </w:pPr>
      <w:r>
        <w:rPr>
          <w:rFonts w:ascii="Times New Roman" w:hAnsi="Times New Roman"/>
          <w:bCs/>
          <w:color w:val="0D0D0D"/>
          <w:sz w:val="24"/>
          <w:szCs w:val="24"/>
        </w:rPr>
        <w:t>Non di meno, siamo a conoscenza di alcuni limiti presenti</w:t>
      </w:r>
      <w:r w:rsidR="001E5BE4">
        <w:rPr>
          <w:rFonts w:ascii="Times New Roman" w:hAnsi="Times New Roman"/>
          <w:bCs/>
          <w:color w:val="0D0D0D"/>
          <w:sz w:val="24"/>
          <w:szCs w:val="24"/>
        </w:rPr>
        <w:t xml:space="preserve"> </w:t>
      </w:r>
      <w:r>
        <w:rPr>
          <w:rFonts w:ascii="Times New Roman" w:hAnsi="Times New Roman"/>
          <w:bCs/>
          <w:color w:val="0D0D0D"/>
          <w:sz w:val="24"/>
          <w:szCs w:val="24"/>
        </w:rPr>
        <w:t>in</w:t>
      </w:r>
      <w:r w:rsidR="001E5BE4">
        <w:rPr>
          <w:rFonts w:ascii="Times New Roman" w:hAnsi="Times New Roman"/>
          <w:bCs/>
          <w:color w:val="0D0D0D"/>
          <w:sz w:val="24"/>
          <w:szCs w:val="24"/>
        </w:rPr>
        <w:t xml:space="preserve"> </w:t>
      </w:r>
      <w:r>
        <w:rPr>
          <w:rFonts w:ascii="Times New Roman" w:hAnsi="Times New Roman"/>
          <w:bCs/>
          <w:color w:val="0D0D0D"/>
          <w:sz w:val="24"/>
          <w:szCs w:val="24"/>
        </w:rPr>
        <w:t>questo studio, primo di tutti la molteplicità dei farmaci assunti dai pazienti che può influire</w:t>
      </w:r>
      <w:r w:rsidR="001E5BE4">
        <w:rPr>
          <w:rFonts w:ascii="Times New Roman" w:hAnsi="Times New Roman"/>
          <w:bCs/>
          <w:color w:val="0D0D0D"/>
          <w:sz w:val="24"/>
          <w:szCs w:val="24"/>
        </w:rPr>
        <w:t xml:space="preserve"> </w:t>
      </w:r>
      <w:r>
        <w:rPr>
          <w:rFonts w:ascii="Times New Roman" w:hAnsi="Times New Roman"/>
          <w:bCs/>
          <w:color w:val="0D0D0D"/>
          <w:sz w:val="24"/>
          <w:szCs w:val="24"/>
        </w:rPr>
        <w:t xml:space="preserve">e avere effetti confondenti in alcuni dei nostri risultati. Una seconda osservazione è che le donne sono di numero significativamente maggiore rispetto ai maschi, ma questo bias è stato superato corregendo per il sesso i nostri modelli statistici; inoltre sappiamo che la grandezza dei cervelli tra uomo e donna è diversa. </w:t>
      </w:r>
    </w:p>
    <w:p w:rsidR="00A0541C" w:rsidRDefault="00B460A6" w:rsidP="001E5BE4">
      <w:pPr>
        <w:pStyle w:val="Tesi"/>
        <w:tabs>
          <w:tab w:val="left" w:pos="8503"/>
        </w:tabs>
        <w:spacing w:line="360" w:lineRule="auto"/>
        <w:ind w:right="1091"/>
        <w:jc w:val="both"/>
        <w:rPr>
          <w:rFonts w:ascii="Times New Roman" w:hAnsi="Times New Roman"/>
          <w:bCs/>
          <w:color w:val="0D0D0D"/>
          <w:sz w:val="24"/>
          <w:szCs w:val="24"/>
        </w:rPr>
      </w:pPr>
      <w:r>
        <w:rPr>
          <w:rFonts w:ascii="Times New Roman" w:hAnsi="Times New Roman"/>
          <w:bCs/>
          <w:color w:val="0D0D0D"/>
          <w:sz w:val="24"/>
          <w:szCs w:val="24"/>
        </w:rPr>
        <w:t>Nel nostro studio non c'è nessuna stima della compliance, non sono presenti pazienti</w:t>
      </w:r>
      <w:r w:rsidR="001E5BE4">
        <w:rPr>
          <w:rFonts w:ascii="Times New Roman" w:hAnsi="Times New Roman"/>
          <w:bCs/>
          <w:color w:val="0D0D0D"/>
          <w:sz w:val="24"/>
          <w:szCs w:val="24"/>
        </w:rPr>
        <w:t xml:space="preserve"> drug-naive, nè placebo. Infine</w:t>
      </w:r>
      <w:r>
        <w:rPr>
          <w:rFonts w:ascii="Times New Roman" w:hAnsi="Times New Roman"/>
          <w:bCs/>
          <w:color w:val="0D0D0D"/>
          <w:sz w:val="24"/>
          <w:szCs w:val="24"/>
        </w:rPr>
        <w:t>, la metodologia che abbiamo usato nello studio, non ci permette di identificare una relazione di causalità, ma soltanto delle correlazioni.</w:t>
      </w: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B460A6" w:rsidP="001E5BE4">
      <w:pPr>
        <w:pStyle w:val="Tesi"/>
        <w:tabs>
          <w:tab w:val="left" w:pos="8503"/>
        </w:tabs>
        <w:spacing w:line="360" w:lineRule="auto"/>
        <w:ind w:right="1091"/>
        <w:jc w:val="both"/>
        <w:rPr>
          <w:rFonts w:ascii="Times New Roman" w:hAnsi="Times New Roman"/>
          <w:b/>
          <w:bCs/>
          <w:sz w:val="24"/>
          <w:szCs w:val="24"/>
        </w:rPr>
      </w:pPr>
      <w:r>
        <w:rPr>
          <w:rFonts w:ascii="Times New Roman" w:hAnsi="Times New Roman"/>
          <w:b/>
          <w:bCs/>
          <w:sz w:val="24"/>
          <w:szCs w:val="24"/>
        </w:rPr>
        <w:t>5.3 Prospettive Future</w:t>
      </w:r>
    </w:p>
    <w:p w:rsidR="00A0541C" w:rsidRDefault="001E5BE4" w:rsidP="001E5BE4">
      <w:pPr>
        <w:pStyle w:val="Tesi"/>
        <w:tabs>
          <w:tab w:val="left" w:pos="8503"/>
        </w:tabs>
        <w:spacing w:line="360" w:lineRule="auto"/>
        <w:ind w:right="1091"/>
        <w:jc w:val="both"/>
        <w:rPr>
          <w:rFonts w:ascii="Times New Roman" w:hAnsi="Times New Roman"/>
          <w:color w:val="0D0D0D"/>
          <w:sz w:val="24"/>
          <w:szCs w:val="24"/>
          <w:lang w:val="en-GB"/>
        </w:rPr>
      </w:pPr>
      <w:r>
        <w:rPr>
          <w:rFonts w:ascii="Times New Roman" w:hAnsi="Times New Roman"/>
          <w:sz w:val="24"/>
          <w:szCs w:val="24"/>
        </w:rPr>
        <w:t>Questo é</w:t>
      </w:r>
      <w:r w:rsidR="00B460A6">
        <w:rPr>
          <w:rFonts w:ascii="Times New Roman" w:hAnsi="Times New Roman"/>
          <w:sz w:val="24"/>
          <w:szCs w:val="24"/>
        </w:rPr>
        <w:t xml:space="preserve"> il primo studio che indaga gli effetti del litio e del polimorfismo di GSK-3</w:t>
      </w:r>
      <w:r w:rsidR="00B460A6">
        <w:rPr>
          <w:rFonts w:ascii="Times New Roman" w:hAnsi="Times New Roman"/>
          <w:color w:val="0D0D0D"/>
          <w:sz w:val="24"/>
          <w:szCs w:val="24"/>
          <w:lang w:val="en-GB"/>
        </w:rPr>
        <w:t>β sulla struttura della sostanza bianca in pazienti affetti da disturbo bipolare. Prendendo in considerazione le limitazioni citate sopra, crediamo che il presente studio possa contribuire ad avanzare la conoscenza sulla biopatologia del DB</w:t>
      </w:r>
      <w:r>
        <w:rPr>
          <w:rFonts w:ascii="Times New Roman" w:hAnsi="Times New Roman"/>
          <w:color w:val="0D0D0D"/>
          <w:sz w:val="24"/>
          <w:szCs w:val="24"/>
          <w:lang w:val="en-GB"/>
        </w:rPr>
        <w:t>. T</w:t>
      </w:r>
      <w:r w:rsidR="001A6334">
        <w:rPr>
          <w:rFonts w:ascii="Times New Roman" w:hAnsi="Times New Roman"/>
          <w:color w:val="0D0D0D"/>
          <w:sz w:val="24"/>
          <w:szCs w:val="24"/>
          <w:lang w:val="en-GB"/>
        </w:rPr>
        <w:t>utti i</w:t>
      </w:r>
      <w:r w:rsidR="00B460A6">
        <w:rPr>
          <w:rFonts w:ascii="Times New Roman" w:hAnsi="Times New Roman"/>
          <w:color w:val="0D0D0D"/>
          <w:sz w:val="24"/>
          <w:szCs w:val="24"/>
          <w:lang w:val="en-GB"/>
        </w:rPr>
        <w:t xml:space="preserve"> meccanismi menzionati, e altri che ancora devono essere scoperti, possono dar luogo agli effetti trovati, e le future ricerche sulle azioni del litio e su questa chinasi </w:t>
      </w:r>
      <w:r>
        <w:rPr>
          <w:rFonts w:ascii="Times New Roman" w:hAnsi="Times New Roman"/>
          <w:color w:val="0D0D0D"/>
          <w:sz w:val="24"/>
          <w:szCs w:val="24"/>
          <w:lang w:val="en-GB"/>
        </w:rPr>
        <w:t>potranno aiutare a chiarirli ult</w:t>
      </w:r>
      <w:r w:rsidR="00B460A6">
        <w:rPr>
          <w:rFonts w:ascii="Times New Roman" w:hAnsi="Times New Roman"/>
          <w:color w:val="0D0D0D"/>
          <w:sz w:val="24"/>
          <w:szCs w:val="24"/>
          <w:lang w:val="en-GB"/>
        </w:rPr>
        <w:t>eriormente. Come emerge dalle limitazioni del nostro studio, sarebbe ce</w:t>
      </w:r>
      <w:r w:rsidR="001A6334">
        <w:rPr>
          <w:rFonts w:ascii="Times New Roman" w:hAnsi="Times New Roman"/>
          <w:color w:val="0D0D0D"/>
          <w:sz w:val="24"/>
          <w:szCs w:val="24"/>
          <w:lang w:val="en-GB"/>
        </w:rPr>
        <w:t>rtamente utile considerare i</w:t>
      </w:r>
      <w:r w:rsidR="00B460A6">
        <w:rPr>
          <w:rFonts w:ascii="Times New Roman" w:hAnsi="Times New Roman"/>
          <w:color w:val="0D0D0D"/>
          <w:sz w:val="24"/>
          <w:szCs w:val="24"/>
          <w:lang w:val="en-GB"/>
        </w:rPr>
        <w:t xml:space="preserve"> volumi cerebrali e</w:t>
      </w:r>
      <w:r>
        <w:rPr>
          <w:rFonts w:ascii="Times New Roman" w:hAnsi="Times New Roman"/>
          <w:color w:val="0D0D0D"/>
          <w:sz w:val="24"/>
          <w:szCs w:val="24"/>
          <w:lang w:val="en-GB"/>
        </w:rPr>
        <w:t xml:space="preserve"> costruire un gruppo lievemente</w:t>
      </w:r>
      <w:r w:rsidR="00B460A6">
        <w:rPr>
          <w:rFonts w:ascii="Times New Roman" w:hAnsi="Times New Roman"/>
          <w:color w:val="0D0D0D"/>
          <w:sz w:val="24"/>
          <w:szCs w:val="24"/>
          <w:lang w:val="en-GB"/>
        </w:rPr>
        <w:t xml:space="preserve"> più omogeneo, specialmente riguardo al trattamento</w:t>
      </w:r>
      <w:r>
        <w:rPr>
          <w:rFonts w:ascii="Times New Roman" w:hAnsi="Times New Roman"/>
          <w:color w:val="0D0D0D"/>
          <w:sz w:val="24"/>
          <w:szCs w:val="24"/>
          <w:lang w:val="en-GB"/>
        </w:rPr>
        <w:t xml:space="preserve"> farmacologico, cosi che divent</w:t>
      </w:r>
      <w:r w:rsidR="00B460A6">
        <w:rPr>
          <w:rFonts w:ascii="Times New Roman" w:hAnsi="Times New Roman"/>
          <w:color w:val="0D0D0D"/>
          <w:sz w:val="24"/>
          <w:szCs w:val="24"/>
          <w:lang w:val="en-GB"/>
        </w:rPr>
        <w:t>i possibile correlare l'effetto dei differenti farmaci con le anomalie strutturali osservate nei nostri soggetti.</w:t>
      </w: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A0541C" w:rsidRDefault="00A0541C" w:rsidP="001E5BE4">
      <w:pPr>
        <w:pStyle w:val="Tesi"/>
        <w:tabs>
          <w:tab w:val="left" w:pos="8503"/>
        </w:tabs>
        <w:spacing w:line="360" w:lineRule="auto"/>
        <w:ind w:right="1091"/>
        <w:jc w:val="both"/>
        <w:rPr>
          <w:rFonts w:ascii="Times New Roman" w:hAnsi="Times New Roman"/>
          <w:sz w:val="24"/>
          <w:szCs w:val="24"/>
        </w:rPr>
      </w:pPr>
    </w:p>
    <w:p w:rsidR="00743FB5" w:rsidRDefault="00743FB5" w:rsidP="001E5BE4">
      <w:pPr>
        <w:pStyle w:val="Tesi"/>
        <w:tabs>
          <w:tab w:val="left" w:pos="8503"/>
        </w:tabs>
        <w:spacing w:line="360" w:lineRule="auto"/>
        <w:ind w:right="1091"/>
        <w:jc w:val="both"/>
        <w:rPr>
          <w:rFonts w:ascii="Times New Roman" w:hAnsi="Times New Roman"/>
          <w:sz w:val="24"/>
          <w:szCs w:val="24"/>
        </w:rPr>
      </w:pPr>
    </w:p>
    <w:p w:rsidR="00743FB5" w:rsidRDefault="00743FB5" w:rsidP="001E5BE4">
      <w:pPr>
        <w:pStyle w:val="Tesi"/>
        <w:tabs>
          <w:tab w:val="left" w:pos="8503"/>
        </w:tabs>
        <w:spacing w:line="360" w:lineRule="auto"/>
        <w:ind w:right="1091"/>
        <w:jc w:val="both"/>
        <w:rPr>
          <w:rFonts w:ascii="Times New Roman" w:hAnsi="Times New Roman"/>
          <w:sz w:val="24"/>
          <w:szCs w:val="24"/>
        </w:rPr>
      </w:pPr>
    </w:p>
    <w:p w:rsidR="00743FB5" w:rsidRDefault="00743FB5" w:rsidP="001E5BE4">
      <w:pPr>
        <w:pStyle w:val="Tesi"/>
        <w:tabs>
          <w:tab w:val="left" w:pos="8503"/>
        </w:tabs>
        <w:spacing w:line="360" w:lineRule="auto"/>
        <w:ind w:right="1091"/>
        <w:jc w:val="both"/>
        <w:rPr>
          <w:rFonts w:ascii="Times New Roman" w:hAnsi="Times New Roman"/>
          <w:sz w:val="24"/>
          <w:szCs w:val="24"/>
        </w:rPr>
      </w:pPr>
    </w:p>
    <w:p w:rsidR="00743FB5" w:rsidRDefault="00743FB5" w:rsidP="001E5BE4">
      <w:pPr>
        <w:pStyle w:val="Tesi"/>
        <w:tabs>
          <w:tab w:val="left" w:pos="8503"/>
        </w:tabs>
        <w:spacing w:line="360" w:lineRule="auto"/>
        <w:ind w:right="1091"/>
        <w:jc w:val="both"/>
        <w:rPr>
          <w:rFonts w:ascii="Times New Roman" w:hAnsi="Times New Roman"/>
          <w:sz w:val="24"/>
          <w:szCs w:val="24"/>
        </w:rPr>
      </w:pPr>
    </w:p>
    <w:p w:rsidR="00743FB5" w:rsidRDefault="00743FB5" w:rsidP="001E5BE4">
      <w:pPr>
        <w:pStyle w:val="Tesi"/>
        <w:tabs>
          <w:tab w:val="left" w:pos="8503"/>
        </w:tabs>
        <w:spacing w:line="360" w:lineRule="auto"/>
        <w:ind w:right="1091"/>
        <w:jc w:val="both"/>
        <w:rPr>
          <w:rFonts w:ascii="Times New Roman" w:hAnsi="Times New Roman"/>
          <w:sz w:val="24"/>
          <w:szCs w:val="24"/>
        </w:rPr>
      </w:pPr>
    </w:p>
    <w:p w:rsidR="00743FB5" w:rsidRDefault="00743FB5" w:rsidP="001E5BE4">
      <w:pPr>
        <w:pStyle w:val="Tesi"/>
        <w:tabs>
          <w:tab w:val="left" w:pos="8503"/>
        </w:tabs>
        <w:spacing w:line="360" w:lineRule="auto"/>
        <w:ind w:right="1091"/>
        <w:jc w:val="both"/>
        <w:rPr>
          <w:rFonts w:ascii="Times New Roman" w:hAnsi="Times New Roman"/>
          <w:sz w:val="24"/>
          <w:szCs w:val="24"/>
        </w:rPr>
      </w:pPr>
    </w:p>
    <w:p w:rsidR="00743FB5" w:rsidRDefault="00743FB5" w:rsidP="001E5BE4">
      <w:pPr>
        <w:pStyle w:val="Tesi"/>
        <w:tabs>
          <w:tab w:val="left" w:pos="8503"/>
        </w:tabs>
        <w:spacing w:line="360" w:lineRule="auto"/>
        <w:ind w:right="1091"/>
        <w:jc w:val="both"/>
        <w:rPr>
          <w:rFonts w:ascii="Times New Roman" w:hAnsi="Times New Roman"/>
          <w:sz w:val="24"/>
          <w:szCs w:val="24"/>
        </w:rPr>
      </w:pPr>
    </w:p>
    <w:p w:rsidR="00743FB5" w:rsidRDefault="00743FB5" w:rsidP="001E5BE4">
      <w:pPr>
        <w:pStyle w:val="Tesi"/>
        <w:tabs>
          <w:tab w:val="left" w:pos="8503"/>
        </w:tabs>
        <w:spacing w:line="360" w:lineRule="auto"/>
        <w:ind w:right="1091"/>
        <w:jc w:val="both"/>
        <w:rPr>
          <w:rFonts w:ascii="Times New Roman" w:hAnsi="Times New Roman"/>
          <w:sz w:val="24"/>
          <w:szCs w:val="24"/>
        </w:rPr>
      </w:pPr>
    </w:p>
    <w:p w:rsidR="00743FB5" w:rsidRDefault="00743FB5" w:rsidP="001E5BE4">
      <w:pPr>
        <w:pStyle w:val="Tesi"/>
        <w:tabs>
          <w:tab w:val="left" w:pos="8503"/>
        </w:tabs>
        <w:spacing w:line="360" w:lineRule="auto"/>
        <w:ind w:right="1091"/>
        <w:jc w:val="both"/>
        <w:rPr>
          <w:rFonts w:ascii="Times New Roman" w:hAnsi="Times New Roman"/>
          <w:sz w:val="24"/>
          <w:szCs w:val="24"/>
        </w:rPr>
      </w:pPr>
    </w:p>
    <w:p w:rsidR="00743FB5" w:rsidRDefault="00743FB5" w:rsidP="001E5BE4">
      <w:pPr>
        <w:pStyle w:val="Tesi"/>
        <w:tabs>
          <w:tab w:val="left" w:pos="8503"/>
        </w:tabs>
        <w:spacing w:line="360" w:lineRule="auto"/>
        <w:ind w:right="1091"/>
        <w:jc w:val="both"/>
        <w:rPr>
          <w:rFonts w:ascii="Times New Roman" w:hAnsi="Times New Roman"/>
          <w:sz w:val="24"/>
          <w:szCs w:val="24"/>
        </w:rPr>
      </w:pPr>
    </w:p>
    <w:p w:rsidR="00743FB5" w:rsidRDefault="00743FB5" w:rsidP="001E5BE4">
      <w:pPr>
        <w:pStyle w:val="Tesi"/>
        <w:tabs>
          <w:tab w:val="left" w:pos="8503"/>
        </w:tabs>
        <w:spacing w:line="360" w:lineRule="auto"/>
        <w:ind w:right="1091"/>
        <w:jc w:val="both"/>
        <w:rPr>
          <w:rFonts w:ascii="Times New Roman" w:hAnsi="Times New Roman"/>
          <w:sz w:val="24"/>
          <w:szCs w:val="24"/>
        </w:rPr>
      </w:pPr>
    </w:p>
    <w:p w:rsidR="00743FB5" w:rsidRDefault="00743FB5" w:rsidP="001E5BE4">
      <w:pPr>
        <w:pStyle w:val="Tesi"/>
        <w:tabs>
          <w:tab w:val="left" w:pos="8503"/>
        </w:tabs>
        <w:spacing w:line="360" w:lineRule="auto"/>
        <w:ind w:right="1091"/>
        <w:jc w:val="both"/>
        <w:rPr>
          <w:rFonts w:ascii="Times New Roman" w:hAnsi="Times New Roman"/>
          <w:sz w:val="24"/>
          <w:szCs w:val="24"/>
        </w:rPr>
      </w:pPr>
    </w:p>
    <w:p w:rsidR="00026B84" w:rsidRDefault="00026B84" w:rsidP="001E5BE4">
      <w:pPr>
        <w:pStyle w:val="Tesi"/>
        <w:tabs>
          <w:tab w:val="left" w:pos="8503"/>
        </w:tabs>
        <w:spacing w:line="360" w:lineRule="auto"/>
        <w:ind w:right="1091"/>
        <w:jc w:val="both"/>
        <w:rPr>
          <w:rFonts w:ascii="Times New Roman" w:hAnsi="Times New Roman"/>
          <w:sz w:val="24"/>
          <w:szCs w:val="24"/>
        </w:rPr>
      </w:pPr>
      <w:bookmarkStart w:id="0" w:name="_GoBack"/>
      <w:bookmarkEnd w:id="0"/>
    </w:p>
    <w:p w:rsidR="00743FB5" w:rsidRDefault="00743FB5" w:rsidP="001E5BE4">
      <w:pPr>
        <w:pStyle w:val="Tesi"/>
        <w:tabs>
          <w:tab w:val="left" w:pos="8503"/>
        </w:tabs>
        <w:spacing w:line="360" w:lineRule="auto"/>
        <w:ind w:right="1091"/>
        <w:jc w:val="both"/>
        <w:rPr>
          <w:rFonts w:ascii="Times New Roman" w:hAnsi="Times New Roman"/>
          <w:sz w:val="24"/>
          <w:szCs w:val="24"/>
        </w:rPr>
      </w:pPr>
    </w:p>
    <w:p w:rsidR="00743FB5" w:rsidRDefault="00743FB5" w:rsidP="001E5BE4">
      <w:pPr>
        <w:pStyle w:val="Tesi"/>
        <w:tabs>
          <w:tab w:val="left" w:pos="8503"/>
        </w:tabs>
        <w:spacing w:line="360" w:lineRule="auto"/>
        <w:ind w:right="1091"/>
        <w:jc w:val="both"/>
        <w:rPr>
          <w:rFonts w:ascii="Times New Roman" w:hAnsi="Times New Roman"/>
          <w:sz w:val="24"/>
          <w:szCs w:val="24"/>
        </w:rPr>
      </w:pPr>
    </w:p>
    <w:p w:rsidR="001A6334" w:rsidRDefault="001A6334" w:rsidP="001E5BE4">
      <w:pPr>
        <w:pStyle w:val="Tesi"/>
        <w:tabs>
          <w:tab w:val="left" w:pos="8503"/>
        </w:tabs>
        <w:spacing w:line="360" w:lineRule="auto"/>
        <w:ind w:right="1091"/>
        <w:jc w:val="both"/>
        <w:rPr>
          <w:rFonts w:ascii="Times New Roman" w:hAnsi="Times New Roman"/>
          <w:sz w:val="24"/>
          <w:szCs w:val="24"/>
        </w:rPr>
      </w:pPr>
    </w:p>
    <w:p w:rsidR="00A0541C" w:rsidRDefault="00743FB5" w:rsidP="001E5BE4">
      <w:pPr>
        <w:spacing w:line="360" w:lineRule="auto"/>
        <w:ind w:right="1091"/>
        <w:jc w:val="both"/>
        <w:rPr>
          <w:rFonts w:ascii="Times New Roman" w:hAnsi="Times New Roman"/>
          <w:b/>
          <w:bCs/>
          <w:color w:val="0D0D0D"/>
          <w:sz w:val="24"/>
          <w:szCs w:val="24"/>
        </w:rPr>
      </w:pPr>
      <w:r>
        <w:rPr>
          <w:rFonts w:ascii="Times New Roman" w:hAnsi="Times New Roman"/>
          <w:b/>
          <w:bCs/>
          <w:color w:val="0D0D0D"/>
          <w:sz w:val="24"/>
          <w:szCs w:val="24"/>
        </w:rPr>
        <w:t>BIBLIOGRAFIA</w:t>
      </w:r>
    </w:p>
    <w:p w:rsidR="00A0541C" w:rsidRDefault="00A0541C" w:rsidP="001E5BE4">
      <w:pPr>
        <w:spacing w:line="360" w:lineRule="auto"/>
        <w:ind w:right="1091"/>
        <w:jc w:val="both"/>
        <w:rPr>
          <w:rFonts w:ascii="Times New Roman" w:hAnsi="Times New Roman"/>
          <w:sz w:val="24"/>
          <w:szCs w:val="24"/>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Adler CM, Holland SK, Schmithorst V, et al. (2004). “Abnormal frontal white matter tracts in  disorder: A diffusion tensor imaging study.” Bipolar Disorders 6:197-203.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Adler CM, Adams J, DelBello MP, et al. (2005). “Evidence of white matter pathology in  first-episode manic adolescents with bipolar disorder: a diffusion tensor imaging study.” Abstract presented at: Annual Meeting of the American College of  Neuropsychopharmacology, April 10-15, 2005; Kona, Hawaii.</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Adler, C. M., DelBello, M. P., Strakowski, S. M. (2006a). “Brain network dysfunction in bipolar disorder.” CNS Spectrums 11, 312 20.</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Adler CM, Adams J, DelBello MP, et al. (2006b) “Evidence of white matter pathology in  bipolar disorder adolescents experiencing their first episode of mania: a diffusion  tensor imaging study.” American Journal Psychiatry 163:322-324.</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Adli, M., Hollinde, D.L., Stamm, T., Wiethoff, K., Tsahuridu, M., Kirchheiner, J., Heinz, A., Bauer, M. (2007). “Response to lithium augmentation in depression is associated with the glycogen synthase kinase 3-beta -50T/C single nucleotide polymorphism.” Biological Psychiatry 62(11): 1295-1302.</w:t>
      </w: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Akiskal, H. S., M. L. Bourgeois, et al. (2000). “Re-evaluating the prevalence of and diagnostic composition within the broad clinical spectrum of bipolar disorders.” Journal of Affective Disorders 59 Suppl 1: S5-S30.</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Akiskal, H. S. (2004). “The bipolar spectrum in psychiatric and general medical practice.” Primary Psychiatry, 11(9), 30–35.</w:t>
      </w:r>
    </w:p>
    <w:p w:rsidR="00A0541C" w:rsidRDefault="00A0541C" w:rsidP="001E5BE4">
      <w:pPr>
        <w:spacing w:line="360" w:lineRule="auto"/>
        <w:ind w:right="1091"/>
        <w:jc w:val="both"/>
        <w:rPr>
          <w:rFonts w:ascii="Times New Roman" w:hAnsi="Times New Roman"/>
          <w:sz w:val="20"/>
          <w:szCs w:val="20"/>
        </w:rPr>
      </w:pPr>
    </w:p>
    <w:p w:rsidR="00A0541C" w:rsidRPr="00743FB5" w:rsidRDefault="00B460A6" w:rsidP="001E5BE4">
      <w:pPr>
        <w:spacing w:line="360" w:lineRule="auto"/>
        <w:ind w:right="1091"/>
        <w:jc w:val="both"/>
        <w:rPr>
          <w:rFonts w:ascii="Times New Roman" w:hAnsi="Times New Roman"/>
          <w:color w:val="0D0D0D"/>
          <w:sz w:val="20"/>
          <w:szCs w:val="20"/>
          <w:lang w:val="it-IT" w:eastAsia="it-IT"/>
        </w:rPr>
      </w:pPr>
      <w:r>
        <w:rPr>
          <w:rFonts w:ascii="Times New Roman" w:hAnsi="Times New Roman"/>
          <w:color w:val="0D0D0D"/>
          <w:sz w:val="20"/>
          <w:szCs w:val="20"/>
          <w:lang w:val="it-IT" w:eastAsia="it-IT"/>
        </w:rPr>
        <w:t>Alexander, A.L., Lee, J.E., Lazar, M., Field, A.S., (2007). “Diffusion tensor imaging of the brain.” Neurotherapeutics 4, 316-329.</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Ali A, Hoeflich KP, Woodgett JR (2001): Glycogen synthase kinase-3: properties, functions, and regulation. Chem Review 101:2527-40.</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Allison, J.H., Stewart, M.A. (1971). “Reduced brain inositol in lithium-treated rats.” Nat N Biol 233: 267–268.</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Altshuler, L. L., J. G. Curran, et al. (1995). “T2 hyperintensities in bipolar disorder: magnetic resonance imaging comparison and literature meta-analysis.” American Journal of Psychiatry 152(8): 1139-1144.</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Alvarez, G., Munoz-Montano, J. R., Satrustegui, J., Avila, J., Bogonez, E., &amp; Diaz-Nido, J. (2002). “Regulation of tau phosphorylation and protection against beta-amyloidinduced neurodegeneration by lithium. Possible implications for Alzheimer's disease.” Bipolar Disorders 4, 153−165.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Andersson, J.L.R., Jenkinson M., and Smith S. (2007a). “Non-linear optimisation.” FMRIB technical report TR07JA1 from www.fmrib.ox.ac.uk/analysis/techrep.</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Andersson, J.L.R., Jenkinson M., and Smith S. (2007b). “Non-linear registration, aka Spatial normalisation” FMRIB technical report TR07JA2 from www.fmrib.ox.ac.uk/analysis/techrep.</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Angst, J. (1978). “The course of affective disorders. II. Typology of bipolar manic-depressive illness.” Arch Psychiatr Nervenkr 226(1): 65-73.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Angst, J. (1998). “The emerging epidemiology of hypomania and bipolar II disorder.” Journal of Affective Disorders 50(2-3): 143-151.</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Angst, J., A. Gamma, et al. (2003). “Toward a re-definition of subthreshold bipolarity: epidemiology and proposed criteria for bipolar-II, minor bipolar disorders and hypomania.” Journal of Affective Disorders 73(1-2): 133-146.</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Atack, J.R. (2000). “Lithium, phosphatidylinositol signaling, and  bipolar disorder.” In: Manji HK, Bowden CL, Belmaker RH (eds). “Bipolar Medications: Mechanism of Action.” American psychiatric press Inc.: Washington, DC. pp 1–30.</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Barbini, B., D. Di Molfetta, et al. (1995). “Seasonal concordance of recurrence in mood disorder patients.” European Psychiatry 10(4): 171-174.</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Barres, B.A., Smith, S.J. (2001). “Neurobiology. Cholesterol--making or breaking the synapse.” Science 294, 1296-1297.</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Bartzokis, G. (2011). “Neuroglialpharmacology: white matter pathophysiologies and psychiatric treatments.” Front Biosci 17, 2695-2733.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Bartzokis, G., Lu, P.H., Stewart, S.B., Oluwadara, B., Lucas, A.J., Pantages, J., Pratt, E., Sherin, J.E., Altshuler, L.L., Mintz, J., Gitlin, M.J., Subotnik, K.L., Nuechterlein, K.H. (2009.) “In vivo evidence of differential impact of typical and atypical antipsychotics on intracortical myelin in adults with schizophrenia.” Schizophr Res 113, 322-331.</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Bauer, M. S. (2001). “The collaborative practice model for bipolar disorder: design and implementation in a multi-site randomized controlled trial.” Bipolar Disorder 3(5): 233-244.</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Bauer, M. S. and L. Mitchner (2004). “What is a "mood stabilizer"? An evidence-based response.” American Journal of Psychiatry 161(1): 3-18.</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Beaulieu, C. (2002). “The basis of anisotropic water diffusion in the nervous system - a technical review.” NMR Biomed 15(7-8): 435-455.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Behrens, T.E., Berg, H.J., Jbabdi, S., Rushworth, M.F., and Woolrich, M.W. (2007). “Probabilistic diffusion tractography with multiple fibre orientations: What can we gain?” Neuroimage 34, 144-155.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 xml:space="preserve">Behrens, T.E., Johansen-Berg, H., Woolrich, M.W., Smith, S.M., Wheeler-Kingshott, C.A., Boulby, P.A., Barker, G.J., Sillery, E.L., Sheehan, K., Ciccarelli, O., et al. (2003a). “Non-invasive mapping of connections between human thalamus and cortex using diffusion imaging.” Nature Neuroscience 6, 750-757. </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 xml:space="preserve">Behrens, T.E., Woolrich, M.W., Jenkinson, M., Johansen-Berg, H., Nunes, R.G., Clare, S., Matthews, P.M., Brady, J.M., and Smith, S.M. (2003b). “Characterization and propagation of uncertainty in diffusion-weighted MR imaging.” Magnetic Resonance Medicine 50, 1077-1088. </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Bell-McGinty, S., et al. (2004). “Brain morphometric abnormalities in geriatric depression: long-term neurobiological effects of illness duration.” American Journal of Psychiatry 159(8): 1424-1427.</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Bellivier, F., Leroux, M., Henry, C., Rayah, F., Rouillon, F., Laplanche, J.L., Leboyer, M. (2002). “Serotonin transporter gene polymorphism influences age at onset in patients with bipolar affective disorder.” Neuroscience Lett 334 (1) 17–20.</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Benazzi, F. and H. S. Akiskal (2003). “Refining the evaluation of bipolar II: beyond the strict SCID-CV guidelines for hypomania.” Journal of Affective Disorders 73(1-2): 33-38.</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Benedetti, F., B. Barbini, et al. (1996). “Infradian mood fluctuations during a Major Depressive episode.” Journal of Affective Disorders 41(2): 81-87</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Benedetti, F., B. Barbini, et al. (1998). “Patterns of mood variation during antidepressant treatment.” Journal of Affective Disorders 49(2): 133-139.</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Benedetti, F., A. Bernasconi, et al. (2004a). “A single nucleotide polymorphism in glycogen synthase kinase 3-beta promoter gene influences onset of illness in patients affected by bipolar disorder.” Neurosci Lett 355(1-2): 37-40.</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Benedetti, F., A. Serretti, et al. (2004b). “A glycogen synthase kinase 3-beta promoter gene single nucleotide polymorphism is associated with age at onset and response to total sleep deprivation in bipolar depression.” Neurosci Lett 368(2): 123-126.</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Benedetti, F., A. Serretti, et al. (2005). “Long-term response to lithium salts in bipolar illness is influenced by the glycogen synthase kinase 3-beta -50 T/C SNP.” Neurosci Lett 376(1): 51-55.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Benedetti, F., S. Poletti, et al. (2010). “Temporal lobe grey matter volume in schizophrenia is associated with a genetic polymorphism influencing glycogen synthase kinase 3-beta activity.” Genes Brain Behaviour 9(4): 365-371</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Benedetti, F., P. H. Yeh, et al. (2011a). “Disruption of white matter integrity in bipolar depression as a possible structural marker of illness.” Biological Psychiatry 69(4): 309-317.</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Benedetti F, Absinta M, Rocca MA, Radaelli D, Poletti S, Bernasconi A, Dallaspezia S, Pagani E, Falini A, Copetti M, Colombo C, Comi G, Smeraldi E, Filippi M. (2011b). “Tract-specific white matter structural disruption in patients with bipolar disorder.” Bipolar Disorders 13: 414-424.</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Berger, Z., Ravikumar, B., Menzies, F. M., Oroz, L. G., Underwood, B. R., Pangalos, M. N., et al. (2006). “Rapamycin alleviates toxicity of different aggregate-prone proteins.” Hum Mol Genet 15, 433−442.</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Berrettini, W.H. (2000). “Are schizophrenic and bipolar disorders related? A review of family and molecular studies.” Biological Psychiatry 48: 531–538.</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Berridge, M. J., Downes, C. P., &amp; Hanley, M. R. (1989). “Neural and developmental actions of lithium: a unifying hypothesis.” Cell 59, 411−419.</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Beyer, J. L., Taylor, W. D., MacFall, J.R., Kuchibhatla, M., Payne, M. E., Provenzale,  J.M., et al. (2005). “Cortical white matter microstructural abnormalities in  bipolar disorder”. Neuropsychopharmacology 30:2225–2229.</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lang w:val="en-GB"/>
        </w:rPr>
        <w:t>Bhat, R. V., Shanley, J., Correll, M. P., Fieles, W. E., Keith, R. A., Scott, C. W., et al. (2000). “</w:t>
      </w:r>
      <w:r>
        <w:rPr>
          <w:rFonts w:ascii="Times New Roman" w:hAnsi="Times New Roman"/>
          <w:color w:val="0D0D0D"/>
          <w:sz w:val="20"/>
          <w:szCs w:val="20"/>
        </w:rPr>
        <w:t>Regulation and localization of tyrosine216 phosphorylation of glycogen synthase kinase-3beta in cellular and animal models of neuronal degeneration.” Proc Natl Acad Sci U S A 97, 11074−11079.</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Bijur, G.N. et al. (2000). “Glycogen synthase kinase-3b facilitates staurosporine and heat shock-induced apoptosis: protection by lithium.” J. Biol. Chem. 275, 7583–7590.</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Bondy, C.A., Cheng, C.M. (2004). “Signaling by insulin-like growth factor 1 in brain.” Eur J Pharmacol 490: 25–31.</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Brambilla, P., Glahn, D. C., Balestrieri, M., Soares, J. C. (2005). “Magnetic resonance findings in bipolar disorder.” Psychiatr Clin North Am 28, 443 67.</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Bremner, J. D., et al. (2004). “Deficits in hippocampal and anterior cingulate functioning during verbal declarative memory encoding in midlife major depression.” American Journal of Psychiatry 161(4): 637-645.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 xml:space="preserve">Brittlebank, A. D., et al. (1993). “Autobiographical memory in depression: state or trait marker?” British Journal of Psychiatry 162: 118-121. </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Bruno, S. D., G. J. Barker, et al. (2004). “A study of bipolar disorder using magnetization transfer imaging and voxel-based morphometry.” Brain 127(Pt 11): 2433-2440.</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Bruno, S., Cercignani, M., Ron, M. A. (2008). “White matter abnormalities in  bipolar disorder: A voxel-based diffusion tensor imaging study.” Bipolar  Disorders 10:460 – 468.</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 xml:space="preserve">Bullmore, E.T., Suckling, J., Overmeyer, S., Rabe-Hesketh, S., Taylor, E., and Brammer, M.J. (1999). “Global, voxel, and cluster tests, by theory and permutation, for a difference between two groups of structural MR images of the brain.” IEEE Trans Med Imaging 18, 32-42. </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Carpenter, L. L., D. J. Kupfer, et al. (1986). “Is diurnal variation a meaningful symptom in unipolar depression?” Journal of Affective Disorders 11(3): 255-264.</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Chaddock, C. A., Barker, G. J., Marshall, N., Schulze, K., Hall, M. H., Fern, A., et al.  (2009). “White matter microstructural impairments and genetic liability  to familial bipolar I disorder.” British Journal of Psychiatry 194:527–534.</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Chalecka-Franaszek, E. and Chuang, D.M. (1999). “Lithium activates the serine/threonine kinase Akt-1 and suppresses glutamate-induced inhibition of Akt-1 activity in neurons.” Proc. Natl. Acad. Sci. U. S. A. 96: 8745–8750.</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Chuang, D.M. (2004). “Neuroprotective and neurotrophic actions of the mood stabilizer lithium: can it be used to treat neurodegenerative disease?” Critical Reviews in Neurobiology 16(1-2): 83-90.</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lang w:val="en-GB"/>
        </w:rPr>
        <w:t xml:space="preserve">Chuang, D. M., &amp; Priller, J. (2006). “Potential use of lithium in neurodegenerative </w:t>
      </w:r>
      <w:r>
        <w:rPr>
          <w:rFonts w:ascii="Times New Roman" w:hAnsi="Times New Roman"/>
          <w:color w:val="0D0D0D"/>
          <w:sz w:val="20"/>
          <w:szCs w:val="20"/>
        </w:rPr>
        <w:t>disorders.” In M. Bauer, P. Grof, &amp; B. Müller-Oerlinghausen (Eds.), “Lithium in Neuropsychiatry: The Comprehensive Guide” (pp. 381−397). Abingdon, Oxfordshire, United Kingdom: Informa Health Care.</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Chuang, D. M., Wang, Z., and Chiu, C.T. (2011). “GSK-3 as a target for lithium-induced neuroprotection against excitotoxicity in neuronal cultures and animal models of ischemic stroke.” Frontiers in Molecular Neuroscience 4:15.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Concha, L., Gross, D.W., Wheatley, B.M., Beaulieu, C. (2006). “Diffusion tensor imaging of time-dependent axonal and myelin degradation after corpus callosotomy in epilepsy patients.” NeuroImage 32, 1090–1099.</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Davis, K. A., A. Kwon, et al. (2004). “Decreased cortical gray and cerebral white matter in male patients with familial bipolar I disorder.” Journal of Affective Disorders 82(3): 475-485.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De Sarno, P. et al. (2002). “Regulation of Akt and glycogen synthase kinase-3b phosphorylation by sodium valproate and lithium.” Neuropharmacology 43: 1158–1164.</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Dietschy, J.M., Turley, S.D. (2004). “Thematic review series: brain Lipids. Cholesterol metabolism in the central nervous system during early development and in the mature animal.” J Lipid Res 45, 1375-1397.</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Dolcos, F., Rice, H.J. &amp; Cabeza, R. (2002). “Hemispheric asymmetry and aging: right hemisphere decline or asymmetry reduction.” Neurosci Biobehav Rev 26, 819–825.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Drevets, W. C., J. L. Price, et al. (2008). “Brain structural and functional abnormalities in mood disorders: implications for neurocircuitry models of depression.” Brain Structure and Function 213(1-2): 93-118.</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Eastwood, M. R., J. L. Whitton, et al. (1985). “Infradian rhythms. A comparison of affective disorders and normal persons.” Archives of General Psychiatry 42(3): 295-299.</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Edekman R. R., Hesselink J. R., Zlatkin M. B., Crues J. V. (2006). “Clinical magnetic resonance imaging.” Saunders Elsevier, Philadelphia.</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Eickholt, B.J. et al. (2002). “An inactive pool of GSK-3 at the leading edge of growth cones is implicated in semaphorin 3A signaling.” J. Cell Biol. 157, 211–217.</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Einstein A. (1956). “Investigations on the theory of the brownian movement.” New York, NY. Dover.</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Eldar-Finkelman, H., Ilouz, R. (2003). “Challenges and opportunities with glycogen synthase kinase-3 inhibitors for insulin resistance and type 2 diabetes treatment.” Expert Opin Invest Drugs 12: 1511–1519.</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Elliott, R., et al. (1996). “Neuropsychological impairments in unipolar depression: the influence of perceived failure on subsequent performance.” Psychological Medicine 26(5): 975-989.</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Embi, N., Rylatt, D.B., Cohen, P. (1980). “Glycogen synthase kinase-3 from rabbit skeletal muscle. Separation from cyclic-AMP-dependent protein kinase and phosphorylase kinase.” European Journal of Biochemistry 107:519-27.</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Etienne-Manneville, S. and Hall, A. (2003). “Cdc42 regulates GSK-3b and adenomatous polyposis coli to control cell polarity.” Nature 421, 753–756.</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 xml:space="preserve">Faravelli, C., B. Guerrini Degl'Innocenti, et al. (1990). “Epidemiology of mood disorders: a community survey in Florence.” Journal of Affective Disorders 20(2): 135-141. </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Ferno, J., Raeder, M.B., Vik-Mo, A.O., Skrede, S., Glambek, M., Tronstad, K.J., Breilid, H., Lovlie, R., Berge, R.K., Stansberg, C., Steen, V.M. (2005). “Antipsychotic drugs activate SREBP-regulated expression of lipid biosynthetic genes in cultured human glioma cells: a novel mechanism of action?” Pharmacogenom. J. 5: 298–304.</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lang w:val="en-GB"/>
        </w:rPr>
        <w:t xml:space="preserve">Friedlander, R. M. (2003). “Apoptosis and caspases in neurodegenerative diseases.” N Engl </w:t>
      </w:r>
      <w:r>
        <w:rPr>
          <w:rFonts w:ascii="Times New Roman" w:hAnsi="Times New Roman"/>
          <w:color w:val="0D0D0D"/>
          <w:sz w:val="20"/>
          <w:szCs w:val="20"/>
        </w:rPr>
        <w:t>J Med 348, 1365−1375.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Gage, F. H. (2000). “Mammalian neural stem cells.” Science 287, 1433−1438.</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lang w:val="en-GB"/>
        </w:rPr>
        <w:t xml:space="preserve">Gao, X. M., Fukamauchi, F., &amp; Chuang, D. M. (1993). “Long-term biphasic effects of </w:t>
      </w:r>
      <w:r>
        <w:rPr>
          <w:rFonts w:ascii="Times New Roman" w:hAnsi="Times New Roman"/>
          <w:color w:val="0D0D0D"/>
          <w:sz w:val="20"/>
          <w:szCs w:val="20"/>
        </w:rPr>
        <w:t>lithium treatment on phospholipase C-coupled M3-muscarinic acetylcholine receptors in cultured cerebellar granule cells.” Neurochem Int 22, 395−403.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Gelder, M., Mayou, R., Geddes, J. (2005). “Psychiatry” III ed., ed. Oxford. New York. 97-118.</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Gershon, E. S., W. E. Bunney, Jr., et al. (1976). “The inheritance of affective disorders: a review of data and of hypotheses.” Behavioural Genetics 6(3): 227-261.</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lang w:val="en-GB"/>
        </w:rPr>
        <w:t xml:space="preserve">Goodwin, F. K. (2003). “Rationale for using lithium in combination with other mood </w:t>
      </w:r>
      <w:r>
        <w:rPr>
          <w:rFonts w:ascii="Times New Roman" w:hAnsi="Times New Roman"/>
          <w:color w:val="0D0D0D"/>
          <w:sz w:val="20"/>
          <w:szCs w:val="20"/>
        </w:rPr>
        <w:t>stabilizers in the management of bipolar disorder.” Journal of Clincal Psychiatry 64(Suppl 5), 18−24.</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Gould, T.D., Quiroz, J.A., Singh, J., Zarate, C.A., Manji, H.K. (2004a).  “Emerging experimental therapeutics for bipolar disorder: insights from the molecular and cellular actions of current mood  stabilizers.” Mol Psychiatry 9: 734–755.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Gould, T.D., Manji, H.K. (2005). “Glycogen Synthase Kinase-3: a Putative Molecular Target for Lithium Mimetic Drugs.” Neuropsychopharmacology 30: 1223-1237.</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Gould, N.F., Holmes, M.K., Fantie, B.D., Luckenbaugh, D.A., Pine, D.S., Gould, T.D., Burgess, N., Manji, H.K., Zarate, C.A. (2007). “Performance on a virtual reality spatial memory navigation task in depressed patients.” American Journal of Psychiatry 164(3): 516-519.</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Grimes, C.A., Jope, R.S. (2001). “The multifaceted roles of glycogen synthase kinase 3beta in cellular signaling.” Prog Neurobiol 65:391-426.</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Hagmann, P., L. Jonasson, et al. (2006). “Understanding diffusion MR imaging techniques: from scalar diffusion-weighted imaging to diffusion tensor imaging and beyond.” Radiographics 26 Suppl 1: S205-223.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Hajek, T., N. Carrey, et al. (2005). “Neuroanatomical abnormalities as risk factors for bipolar disorder.” Bipolar Disorders 7(5): 393-403.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Hallahan, B., J. Newell, et al. (2011). “Structural magnetic resonance imaging in bipolar disorder: an international collaborative mega-analysis of individual adult patient data.” Biological Psychiatry 69(4): 326-335.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Hantouche, E. G., H. S. Akiskal, et al. (1998). “Systematic clinical methodology for validating bipolar-II disorder: data in mid-stream from a French national multi-site study (EPIDEP).” Journal of Affective Disorders 50(2-3): 163-173.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Haq, S. et al. (2003). “Stabilization of beta-catenin by a Wnt-independent mechanism regulates cardiomyocyte growth.” Proc. Natl. Acad. Sci. U. S. A. 100, 4610–4615.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Hardt, S.E. and Sadoshima, J. (2002). “Glycogen synthase kinase-3beta: a novel regulator of cardiac hypertrophy and development.” Circ. Res. 90, 1055–1063.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Hashimoto, R., Takei, N., Shimazu, K., Christ, L., Lu, B., Chuang, D.M. (2002). “Lithium induces brain-derived neurotrophic factor and activates TrkB in rodent cortical neurons: an essential step for neuroprotection against glutamate excitotoxicity.” Neuropharmacology 43(7): 1173-1179.</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Hashimoto, R., Senatorov, V., Kanai, H., Leeds, P., &amp; Chuang, D. M. (2003). “Lithium stimulates progenitor proliferation in cultured brain neurons.” Neuroscience 117, 55−61.</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Haznedar, M. M., Roversi, F., Pallanti, S., Baldini-Rossi, N., Schnur, D. B., Licalzi,  E. M., et al. (2005). “Fronto-thalamo-striatal gray and white matter volumes  and anisotropy of their connections in bipolar spectrum illnesses.” Biological Psychiatry 57:733–742.</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Heng, S., A. W. Song, et al. (2010). “White matter abnormalities in bipolar disorder: insights from diffusion tensor imaging studies.” Journal of Neural Transmission 117(5): 639-654.</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Hill, M.M. and Hemmings, B.A. (2002). “Inhibition of protein kinase B/Akt. Implications for cancer therapy.” Pharmacol. Ther. 93, 243–251.</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Hirschfeld, R. M. A., Holzer, C., Calabrese, J. R., Weissman, M., Reed, M., Davies, M., et al. (2003). “Validity of the mood disorder questionnaire: A general population study.” American Journal of Psychiatry, 160(1), 178–179.</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Hirschfeld, R. M. A., Williams, B. W. J., Spitzer, R. L., Calabrese, J. R., Flynn, L., Keck, P. E., et al. (2000). “Development and validation of a screening instrument for bipolar spectrum disorder: The mood disorder questionnaire.” American Journal of Psychiatry, 157(11), 1873–1875.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Hoeflich, K.P. et al. (2000). “Requirement for glycogen synthase kinase-3b in cell survival and NF-kB activation.” Nature 406, 86–90.</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Hong, M., Lee, V.M. (1997). “Insulin and insulin-like growth factor-1 regulate tau phosphorylation in cultured human neurons.” Journal of Biological Chemestry 272:19547-53.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Horsfield, M.A., and Jones, D.K. (2002). “Applications of diffusion-weighted and diffusion tensor MRI to white matter diseases - a review.” NMR Biomed 15, 570-577.</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Houenou, J., Wessa, M., Douaud, G., Leboyer, M., Chanraud, S., Perrin, M., et al. (2007). “Increased white matter connectivity in euthymic bipolar patients: Diffusion tensor tractography between the subgenual cingulate and the amygdalo-hippocampal complex”. Molecular Psychiatry 12:1001–1010.</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Huba, G. J., W. G. Lawlor, et al. (1976). “The use of autocorrelation analysis in the longitudinal study of mood patterns in depressed patients.” British Journal of Psychiatry 128: 146-155.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Jacobsen, F. M., T. A. Wehr, et al. (1987). “Seasonal affective disorder: a review of the syndrome and its public health implications.” American Journal of Public Health 77(1): 57-60.</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James, N.M. (1977). “Early- and late-onset bipolar affective disorder: A genetic study.” Achieves of General Psychiatry 34 (6) 715–717.</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Jenkinson, M., Bannister, P., Brady, M., and Smith, S. (2002). “Improved optimization for the robust and accurate linear registration and motion correction of brain images.” Neuroimage 17, 825-841.</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 xml:space="preserve">Jenkinson, M., and Smith, S. (2001). “A global optimisation method for robust affine registration of brain images.” Medical Image Analalysis 5, 143-156. </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Jones, D. K., M. R. Symms, et al. (2005). “The effect of filter size on VBM analyses of DT-MRI data.” Neuroimage 26(2): 546-554.</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Jones, D. K., M. Catani, et al. (2006). “Age effects on diffusion tensor magnetic resonance imaging tractography measures of frontal cortex connections in schizophrenia.” Human Brain Mapping 27(3): 230-238.</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Jope, R.S. (1999). “Anti-bipolar therapy: mechanism of action of lithium.” Molecular Psychiatry 4, 117 – 128.</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Jope, R.S. (2003). “Lithium and GSK-3: one inhibitor, twwo inhibitory actions, multiple outcomes.” Trends in Pharmacological Science 24(9): 441-443.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Jope RS, Johnson GV (2004). “The glamour and gloom of glycogen synthase kinase-3.” Trends Biochem Sci 29: 95–102.</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Kalinderi K, Fidani L, Katsarou Z, Clarimón J, Bostantjopoulou S, Kotsis A. (2011). “GSK3β polymorphisms, MAPT H1 haplotype and Parkinson's disease in a Greek cohort.” Neurobiology og Aging 32(3): 546.e1-546.e5.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Kang, D.E. et al. (1999). “Presenilin 1 facilitates the constitutive turnover of b-catenin: differential activity of Alzheimer’s diseaselinked PS1 mutants in the b-catenin signaling pathway.” Journal of Neuroscience 19, 4229-4237.</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Kintanischi, G.P., Holtz, G. (1992). “Klinish Experimentelle Untersuchungen zu Tageschwankungen bei depressiven patienten.” Schweizer Archiv der Neurologie schwelz 245-64.</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Klein, P.S., Melton, D.A. (1996). “A molecular mechanism for the  effect of lithium on development.” Proc Natl Acad Sci USA 93: 8455-8459.</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Kleinman, L., A. Lowin, et al. (2003). “Costs of bipolar disorder.” Pharmacoeconomics 21(9): 601-622.</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Kochunov, P., Thompson, P. M., et al. (2007). “Relationship between white matter fractional anisotropy and other indices of cerebral health in normal aging: tract-based spatial statistics study of aging.” Neuroimage 35(2): 478-487.</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Koukopoulos, A., Sani, G., et al. (2003). “Duration and stability of the rapid-cycling course: a long-term personal follow-up of 109 patients.” Journal of Affective Disorders 73(1-2): 75-85.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Kozlovsky, N. et al. (2002). “GSK-3 and the neurodevelopmental hypothesis of schizophrenia.” European Neuropsychopharmacology 12, 13-25.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Kristiana, I., Sharpe, L.J., Catts, V.S., Lutze-Mann, L.H., Brown, A.J. (2010). “Antipsychotic drugs upregulate lipogenic gene expression by disrupting intracellular trafficking of lipoprotein-derived cholesterol.” Pharmacogenomics J 10, 396-407.</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Kupfer, D. J. (2004). “Epidemiology and clinical course of bipolar disorder.” In D.J. Kupfer (Ed.), “Bipolar depression: The clinician’s reference guide” (pp. 1–14). Montvale, NJ: Dowden Health Media Publication.</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Lan, T.H., T. H. Beaty, et al. (2007). “Parent-of-origin effect in the segregation analysis of bipolar affective disorder families.” Psychiatr Genet 17(2): 93-101.</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Lembke, A., Ketter, T.A. (2002). “Impaired recognition of facial emotion in mania.” American Journal of Psychiatry159(2): 302-304.</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Lewy, A.J. and R.L. Sack (1986). “Light therapy and psychiatry.” Proceedings of the Society for Experimental Biology and Medicine 183(1): 11-18.</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Lesort, M., Greendorfer, A., Stockmeier, C., Johnson, G.V., Jope, R.S. (1999). “Glycogen synthase kinase-3beta, beta-catenin, and tau in postmortem bipolar brain.” J Neural Transm 106:1217-22.</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lang w:val="en-GB"/>
        </w:rPr>
        <w:t xml:space="preserve">Lin, D., Mok, H., &amp; Yatham, L. N. (2006). “Polytherapy in bipolar disorder.” CNS Drugs 20, </w:t>
      </w:r>
      <w:r>
        <w:rPr>
          <w:rFonts w:ascii="Times New Roman" w:hAnsi="Times New Roman"/>
          <w:color w:val="0D0D0D"/>
          <w:sz w:val="20"/>
          <w:szCs w:val="20"/>
        </w:rPr>
        <w:t>29−42.</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Linseman, D.A., Butts, B.D., Precht, T.A., Phelps, R.A., Le, S.S., Laessig, T.A. et al (2004). “Glycogen synthase kinase-3beta phosphorylates Bax and promotes its mitochondrial localization during neuronal apoptosis.” Journal of Neuroscience 24: 9993–10002.</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Lloyd, G. G., Lishman, W. A. (1975). “Effect of depression on the speed of recall of pleasant and unpleasant experiences.” Psychological Medicine 5(2): 173-180.</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Lochhead, P.A. et al. (2001). “Inhibition of GSK-3 selectively reduces glucose-6-phosphatase and phosphatase and phosphoenolypyruvate carboxykinase gene expression.” Diabetes 50, 937–946.</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Loberg, R.D. et al. (2002). “Enhanced glycogen synthase kinase-3b activity mediates hypoxia-induced apoptosis of vascular smooth muscle cells and is prevented by glucose transport and metabolism.”J. Biol. Chem. 277, 41667–41673.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Logan, C.Y., Nusse, R. (2004). “The Wnt signaling pathway in development and disease.” Annu Rev Cell Dev Biol 20: 781–810.</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Lopez, J.F., Neale, C.R., Meader-Woodruff, J.H. (2004). “Methods of postmortem investigation of the human brain”. In Charney DS, Nester EJ (eds). Neurobiology of Mental Illness. Oxford University Press: New York. pp 210–220.</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Mahon, K., Wu, J., Malhotra, A.K., Burdick, K.E., DeRosse, P., Ardekani, B.A., Szeszko, P. R. (2009). “A voxel-based diffusion tensor imaging study of white matter in bipolar disorder.” Neuropsychopharmacology 34:1590 –1600.</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lang w:val="en-GB"/>
        </w:rPr>
        <w:t xml:space="preserve">Maiuri, M. C., Zalckvar, E., Kimchi, A., &amp; Kroemer, G. (2007). “Self-eating and self-killing: </w:t>
      </w:r>
      <w:r>
        <w:rPr>
          <w:rFonts w:ascii="Times New Roman" w:hAnsi="Times New Roman"/>
          <w:color w:val="0D0D0D"/>
          <w:sz w:val="20"/>
          <w:szCs w:val="20"/>
        </w:rPr>
        <w:t>crosstalk between autophagy and apoptosis.” Nat Rev Mol Cell Biol 8, 741−752.</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Manning, J.S. (2002). “The mood disorder questionnaire in primary care: (Not) ready for prime time?” Primary Care Companion to the Journal of Clinical Psychiatry, 4(1), 7–8.</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Manning. J. S. (2003). “Bipolar disorder in primary care.” Journal of Family Practice (Supplement), 3(6), 6–9.</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Manoukian, A.S. and Woodgett, J.R. (2002). “Role of glycogen synthase kinase-3 in cancer: regulation by Wnts and other signaling pathways.” Adv. Cancer Res. 84, 203–229.</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Martinez-Aran, A., et al. (2007). “Functional outcome in bipolar disorder: the role of clinical and cognitive factors.” Bipolar Disorders 9(1-2): 103-113.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Mateo I, Vázquez-Higuera JL, Sánchez-Juan P, Rodríguez-Rodríguez E, Infante J, García-Gorostiaga I, Berciano J, Combarros O. (2009). “Epistasis between tau phosphorylation regulating genes (CDK5R1 and GSK-3beta) and Alzheimer's disease risk.” Acta Neurol Scand 120(2):130-133.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Mathai, J.C., Tristram-Nagle, S., Nagle, J.F., Zeidel, M.L. (2008). “Structural determinants of water permeability through the lipid membrane.” J Gen Physiol 131, 69-76.</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lang w:val="en-GB"/>
        </w:rPr>
        <w:t xml:space="preserve">Mattson, M. P., &amp; Kroemer, G. (2003). “Mitochondria in cell death: novel targets for </w:t>
      </w:r>
      <w:r>
        <w:rPr>
          <w:rFonts w:ascii="Times New Roman" w:hAnsi="Times New Roman"/>
          <w:color w:val="0D0D0D"/>
          <w:sz w:val="20"/>
          <w:szCs w:val="20"/>
        </w:rPr>
        <w:t>neuroprotection and cardioprotection.” Trends Mol Med 9, 196−205.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Mauch, D.H., Nagler, K., Schumacher, S., Goritz, C., Muller, E.C., Otto, A., Pfrieger, F.W. (2001). “CNS synaptogenesis promoted by glia-derived cholesterol.” Science 294, 1354-1357.</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McGuffin, P., R. Katz, et al. (1986). “Past and present state examination: the assessment of 'lifetime ever' psychopathology.” Psychol Med 16(2): 461-465.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McIntosh, A. M., Maniega, S.M., Lymer, G. K., McKirdy, J., Hall, J., Sussmann, J.E., et  al. (2008). “White matter tractography in bipolar disorder and schizophrenia.” Biological Psychiatry 64:1088 –1092.</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lang w:val="en-GB"/>
        </w:rPr>
        <w:t xml:space="preserve">Melendez, A., &amp; Neufeld, T. P. (2008). “The cell biology of autophagy in metazoans: a </w:t>
      </w:r>
      <w:r>
        <w:rPr>
          <w:rFonts w:ascii="Times New Roman" w:hAnsi="Times New Roman"/>
          <w:color w:val="0D0D0D"/>
          <w:sz w:val="20"/>
          <w:szCs w:val="20"/>
        </w:rPr>
        <w:t>developing story.” Development 135, 2347−2360.</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Miller, K. (2006). “Bipolar disorder: etiology, diagnosis, and management.” Journal of the American Academy of Nurse Practitioners 18(8): 368-373.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Moore, G.J., Bebchuk, J.M., Parrish, J.K., Faulk, M.W., Arfken, C.L., Strahl-Bevacqua, J. et al. (1999). “Temporal dissociation between lithium-induced changes in frontal lobe myo-inositol and clinical response in manic-depressive illness.” American Journal of Psychiatry 156: 1902–1908.</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Morfini, G. et al. (2002). “Glycogen synthase kinase 3 phosphorylates kinesin light chains and negatively regulates kinesin-based motility.” EMBO J. 21, 281–293.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 xml:space="preserve">Mori, S., ed. (2005). “MRI Atlas of Human White Matter” (Amsterdam, Elsevier). </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 xml:space="preserve">Moseley, M. (2002). “Diffusion tensor imaging and aging - a review.” NMR Biomed 15, 553-560. </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Moseley, M., Bammer, R., and Illes, J. (2002). “Diffusion-tensor imaging of cognitive performance.” Brain Cognition 50, 396-413.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Murray, C. J. and A. D. Lopez (1996). “Evidence-based health policy--lessons from the Global Burden of Disease Study.” Science 274(5288): 740-743.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Muzina, D. J. (2007). “Bipolar spectrum disorder: differential diagnosis and treatment.” Journal of Primary Care 34(3): 521-550, vi.</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Mynatt, S., Cunningham, P., &amp; Manning, J. S. (2002). “Identifying bipolar spectrum disorders.” Nurse Practitioner, 27(6), 15–25.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Narrow, W. E., D. S. Rae, et al. (2002). “Revised prevalence estimates of mental disorders in the United States: using a clinical significance criterion to reconcile 2 surveys' estimates.” Archivies of General Psychiatry 59(2): 115-123.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Nichols, T. E., Holmes, A.P. (2002). “Nonparametric permutation tests for functional neuroimaging: a primer with examples.” Human Brain Mapping 15, 1-25.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Nikoulina, S.E. et al. (2000). “Potential role of glycogen synthase kinase-3 in skeletal muscle insulin resistance of type 2 diabetes.” Diabetes 49, 263–271.</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lang w:val="en-GB"/>
        </w:rPr>
        <w:t xml:space="preserve">Nonaka, S., Hough, C. J.,&amp; Chuang, D.M. (1998a). “Chronic lithiumtreatment robustly protects </w:t>
      </w:r>
      <w:r>
        <w:rPr>
          <w:rFonts w:ascii="Times New Roman" w:hAnsi="Times New Roman"/>
          <w:color w:val="0D0D0D"/>
          <w:sz w:val="20"/>
          <w:szCs w:val="20"/>
        </w:rPr>
        <w:t>neurons in the central nervous system against excitotoxicity by inhibiting N-methyl-Daspartate receptor-mediated calcium influx.” Proc Natl Acad Sci U S A 95, 2642−2647.</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Nonaka, S., Katsube, N., &amp; Chuang, D. M. (1998b). “Lithium protects rat cerebellar granule cells against apoptosis induced by anticonvulsants, phenytoin and carbamazepine.” J Pharmacol Exp Ther 286, 539−547.</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Osby, U., Brandt, L., et al. (2001). “Excess mortality in bipolar and unipolar disorder in Sweden.” Archives of General Psychiatry 58(9): 844-850.</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Ospina-Duque, J., Duque,  C., Carvajal-Carmona, L., Ortiz-Barrientos, D., Soto, I., Pineda, N., Cuartas, M., Calle, J., Lopez, C., Ochoa, L., Garcia, J., Gomez, J., Agudelo, A., Lozano, M., Montoya, G., Ospina, A., Lopez, M., Gallo, A., Miranda, A., Serna, L., Montoya, P., Palacio, C., Bedoya, G., McCarthy, M., Reus, V., Freimer, N., Ruiz-Linares A. (2001). “An association study of bipolar mood disorder (type I) with the 5-HTTLPR serotonin transporter polymorphism in a human population isolate from Colombia.” Neurosci. Lett. 292 (3)199–202.</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lang w:val="en-GB"/>
        </w:rPr>
        <w:t xml:space="preserve">Ozaki, N., &amp; Chuang, D. M. (1997). “Lithium increases transcription factor binding to AP-1 </w:t>
      </w:r>
      <w:r>
        <w:rPr>
          <w:rFonts w:ascii="Times New Roman" w:hAnsi="Times New Roman"/>
          <w:color w:val="0D0D0D"/>
          <w:sz w:val="20"/>
          <w:szCs w:val="20"/>
        </w:rPr>
        <w:t>and cyclic AMP-responsive element in cultured neurons and rat brain.” J Neurochem 69, 2336−2344.</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Pagani, E., Filippi, M., Rocca, M.A., and Horsfield, M.A. (2005). “A method for obtaining tract-specific diffusion tensor MRI measurements in the presence of disease: application to patients with clinically isolated syndromes suggestive of multiple sclerosis.” Neuroimage 26, 258-265.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Pap, M. and Cooper, G.M. (1998). “Role of glycogen synthase kinase-3 in the phosphatidylinositol 3-kinase/Akt cell survival pathway.” J. Biol. Chem. 273, 19929–19932.</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Perez, M. et al. (2003). “Prion peptide induces neuronal cell death through a pathway involving glycogen synthase kinase-3.” Biochem. J. 372, 129–136.</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Peters, A., (2009). “The effects of normal aging on myelinated nerve fibers in monkey central nervous system.” Front Neuroanat 3, 11.</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Phiel, C.J. and Klein, P.S. (2001). “Molecular targets of lithium action.” Annual Review of Pharmacology and Toxicology 41, 789 – 813.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Phiel, C.J. et al. (2003). “GSK-3a regulates production of Alzheimer’s disease amyloid-b peptides.” Nature 423, 435–439.</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Pierpaoli, C., P. Jezzard, et al. (1996). “Diffusion tensor MR imaging of the human brain.” Radiology 201(3): 637-648.</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Pini, S., V. de Queiroz, et al. (2005). “Prevalence and burden of bipolar disorders in European countries.” European Neuropsychopharmacology 15(4): 425-434.</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Plyte, S.E., Hughes, K., Nikolakaki, E., Pulverer, B.J., Woodgett, J.R. (1992). “Glycogen synthase kinase-3: functions in oncogenesis and development.” Biochim Biophys Acta 1114:147-62.</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Praschak-Rieder, N., Willeit, M., (2003). “Treatment of seasonal affective disorders.” Dialogues Clin Neurosci 5: p. 391-400.</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lang w:val="en-GB"/>
        </w:rPr>
        <w:t xml:space="preserve">Quiroz, J. A., Gould, T. D., &amp; Manji, H. K. (2004). “Molecular effects of lithium.” Mol Interv 4, </w:t>
      </w:r>
      <w:r>
        <w:rPr>
          <w:rFonts w:ascii="Times New Roman" w:hAnsi="Times New Roman"/>
          <w:color w:val="0D0D0D"/>
          <w:sz w:val="20"/>
          <w:szCs w:val="20"/>
        </w:rPr>
        <w:t>259−272.</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Rajkowska, G. (2002). “Cell pathology in bipolar disorder.” Bipolar Disorders 4(2): 105-116.</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lang w:val="en-GB"/>
        </w:rPr>
        <w:t>Ravikumar, B., Vacher, C., Berger, Z., Davies, J. E., Luo, S., Oroz, L. G., et al. (2004). “</w:t>
      </w:r>
      <w:r>
        <w:rPr>
          <w:rFonts w:ascii="Times New Roman" w:hAnsi="Times New Roman"/>
          <w:color w:val="0D0D0D"/>
          <w:sz w:val="20"/>
          <w:szCs w:val="20"/>
        </w:rPr>
        <w:t>Inhibition of mTOR induces autophagy and reduces toxicity of polyglutamine expansions in fly and mouse models of Huntington disease.” Nat Genet 36, 585−595.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Regenold, W. T., D’Agostino, C. A., Ramesh, N., Hasnain, M., Roys, S., Gullapalli, R. P (2006). “Diffusion-weighted magnetic resonance imaging of white  matter in bipolar disorder: A pilot study.” Bipolar Disorders 8:188 –195.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Rich, B. A., et al. (2008). “Neural connectivity in children with bipolar disorder: impairment in the face emotion processing circuit.” Journal of Child Psychology and Psychiatry 49(1): 88-96.</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Roth, D., Rehm, L. P., Rozensky, R. H. (1980). “Self-reward, self-punishment and depression.” Psychol Rep 47(1): 3-7.</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lang w:val="en-GB"/>
        </w:rPr>
        <w:t xml:space="preserve">Rowe, M. K., &amp; Chuang, D. M. (2004). “Lithium neuroprotection: molecular mechanisms </w:t>
      </w:r>
      <w:r>
        <w:rPr>
          <w:rFonts w:ascii="Times New Roman" w:hAnsi="Times New Roman"/>
          <w:color w:val="0D0D0D"/>
          <w:sz w:val="20"/>
          <w:szCs w:val="20"/>
        </w:rPr>
        <w:t xml:space="preserve">and clinical implications.” Expert Rev Mol Med 6, 1−18. </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Rowe, M. K., Wiest, C., &amp; Chuang, D. M. (2007). “GSK-3 is a viable potential target for therapeutic intervention in bipolar disorder.” Neurosci Biobehav Rev 31, 920−931.</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Rubinow, D. R., Post, R. M. (1992). “Impaired recognition of affect in facial expression in depressed patients.” Biological Psychiatry 31(9): 947-953.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lang w:val="en-GB"/>
        </w:rPr>
        <w:t xml:space="preserve">Rubinsztein, D. C., Gestwicki, J. E., Murphy, L. O., &amp; Klionsky, D. J. (2007). “Potential </w:t>
      </w:r>
      <w:r>
        <w:rPr>
          <w:rFonts w:ascii="Times New Roman" w:hAnsi="Times New Roman"/>
          <w:color w:val="0D0D0D"/>
          <w:sz w:val="20"/>
          <w:szCs w:val="20"/>
        </w:rPr>
        <w:t>therapeutic applications of autophagy.” Nat Rev Drug Discov 6, 304−312.</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Rueckert, D., L. I. Sonoda, et al. (1999). “Nonrigid registration using free-form deformations: application to breast MR images.” IEEE Transaction on Medical Imaging 18(8): 712-721.</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Runeson, B. S. and C. L. Rich (1994). “Diagnostic and statistical manual of mental disorders, 3rd ed. (DSM-III), adaptive functioning in young Swedish suicides.” Annals of Clinical Psychiatry 6(3): 181-183.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Russ, C., Lovestone, S.,  Powell, J.F. (2001). “Identification of sequence variants and analysis of the role of the glycogen synthase kinase 3 beta gene and promoter in late onset Alzheimer’s disease” Molecular Psychiatry 6, 320–324.</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lang w:val="en-GB"/>
        </w:rPr>
        <w:t>Sarkar, S., Floto, R. A., Berger, Z., Imarisio, S., Cordenier, A., Pasco, M., et al. (2005). “</w:t>
      </w:r>
      <w:r>
        <w:rPr>
          <w:rFonts w:ascii="Times New Roman" w:hAnsi="Times New Roman"/>
          <w:color w:val="0D0D0D"/>
          <w:sz w:val="20"/>
          <w:szCs w:val="20"/>
        </w:rPr>
        <w:t>Lithium induces autophagy by inhibiting inositol monophosphatase.” J Cell Biol 170, 1101−1111.</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eastAsia="Times New Roman" w:hAnsi="Times New Roman" w:cs="Times New Roman"/>
          <w:color w:val="0D0D0D"/>
          <w:sz w:val="20"/>
          <w:szCs w:val="20"/>
        </w:rPr>
      </w:pPr>
      <w:r>
        <w:rPr>
          <w:rFonts w:ascii="Times New Roman" w:eastAsia="Times New Roman" w:hAnsi="Times New Roman" w:cs="Times New Roman"/>
          <w:color w:val="0D0D0D"/>
          <w:sz w:val="20"/>
          <w:szCs w:val="20"/>
        </w:rPr>
        <w:t>Sarkar, S., Krishna, G., Imarisio, S., Saiki, S., O’Kane, C.J., Rubinsztein, D.C. (2008). “A rational mechanism for combination treatment of Huntington’s disease using lithium and rapamycin.” Hum Mol Genet 17: 170–178.</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eastAsia="Times New Roman" w:hAnsi="Times New Roman" w:cs="Times New Roman"/>
          <w:color w:val="0D0D0D"/>
          <w:sz w:val="20"/>
          <w:szCs w:val="20"/>
        </w:rPr>
      </w:pPr>
      <w:r>
        <w:rPr>
          <w:rFonts w:ascii="Times New Roman" w:eastAsia="Times New Roman" w:hAnsi="Times New Roman" w:cs="Times New Roman"/>
          <w:color w:val="0D0D0D"/>
          <w:sz w:val="20"/>
          <w:szCs w:val="20"/>
        </w:rPr>
        <w:t>Sarkar, S., Rubinsztein, D.C. (2008). “Small molecule enhancers of autophagy for neurodegenerative diseases.” Mol Biosystems 4: 895–901.</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Schou, M. (2001). “Lithium treatment at 52.” Journal of Affective Disorders 67: 21–32.</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Scully, P. J., J. M. Owens, et al. (2004). “Schizophrenia, schizoaffective and bipolar disorder within an epidemiologically complete, homogeneous population in rural Ireland: small area variation in rate.” Schizophrenia Research 67(2-3): 143-155.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Sen, P.N., Basser, P.J. (2005). “A model for diffusion in white matter in the brain.” Biophysical Journal 89, 2927–2938.</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Sheline, Y. I. (2003). “Neuroimaging studies of mood disorder effect on the brain.” Biological Psychiatry 54(3): 338-352.</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lang w:val="en-GB"/>
        </w:rPr>
        <w:t xml:space="preserve">Sherman, W. R., Gish, B. G., Honchar, M. P., &amp; Munsell, L. Y. (1986). “Effects of lithium on </w:t>
      </w:r>
      <w:r>
        <w:rPr>
          <w:rFonts w:ascii="Times New Roman" w:hAnsi="Times New Roman"/>
          <w:color w:val="0D0D0D"/>
          <w:sz w:val="20"/>
          <w:szCs w:val="20"/>
        </w:rPr>
        <w:t>phosphoinositide metabolism in vivo.” Fed Proc 45, 2639−2646.</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Smeraldi, E., A. Petroccione, et al. (1984). “Outcomes on lithium treatment as a tool for genetic studies in affective disorders.” Journal of Affective Disorders 6(2): 139-151.</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Smeraldi, E., Benedetti, F., Zanardi, R. (2002). “Serotonin transporter promoter genotype and illness recurrence in mood disorders.” European Neuropsychopharmacology 12 (1) 73–75.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Smith, S.M. (2002). “Fast robust automated brain extraction.” Human Brain Mapping. 17, 143–155.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Smith, S.M., Jenkinson, M., Woolrich, M.W., Beckmann, C.F., Behrens, T.E., Johansen- Berg, H., Bannister, P.R., De Luca, M., Drobnjak, I., Flitney, D.E., Niazy, R.K., Saunders, J., Vickers, J., Zhang, Y., De Stefano, N., Brady, J.M., Matthews, P.M. (2004). “Advances in functional and structural MR image analysis and implementation as FSL.” NeuroImage 23 (Suppl. 1), S208–S219.</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Smith, S.M., Jenkinson, M., Johansen-Berg, H., Rueckert, D., Nichols, T.E., Mackay, C.E., Watkins, K.E., Ciccarelli, O., Cader, M.Z., Matthews, P.M., Behrens, T.E.J. (2006). “Tract-based spatial statistics: voxelwise analysis of multi-subject diffusion data.” NeuroImage 31, 1487–1505.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Smith, S.M., Johansen-Berg, H., Jenkinson, M., Rueckert, D., Nichols, T.E., Miller, K.L., Robson, M.D., Jones, D.K., Klein, J.C., Bartsch, A.J., Behrens, T.E. (2007). “Acquisition and voxelwise analysis of multi-subject diffusion data with tract-based spatial statistics.” Nature Protocols 2, 499–503.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 xml:space="preserve">Smith, S.M., and Nichols, T.E. (2009). Threshold-free cluster enhancement: addressing problems of smoothing, threshold dependence and localisation in cluster inference. Neuroimage 44, 83-98. </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Song, L. et al. (2002). “Central role of glycogen synthase kinase-3b in endoplasmic reticulum stress-induced caspase-3 activation.” J. Biol. Chem. 277, 44701–44708.</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Song, S.K., Sun, S.W., Ramsbottom, M.J., Chang, C., Russell, J., Cross, A.H. (2002). “Dysmyelination revealed through MRI as increased radial (but unchanged axial) diffusion of water.” NeuroImage 17, 1429–1436.</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Song, S.K., Sun, S.W., Ju, W.K., Lin, S.J., Cross, A.H., Neufeld, A.H. (2003). “Diffusion tensor imaging detects and differentiates axon and myelin degeneration in mouse optic nerve after retinal ischemia.” NeuroImage 20, 1714–1722.</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 xml:space="preserve">Song, S.K., Yoshino, J., Le, T.Q., Lin, S.J., Sun, S.W., Cross, A.H., Armstrong, R.C. (2005). “Demyelination increases radial diffusivity in corpus callosum of mouse brain.” NeuroImage 26, 132–140. </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Sperber, B.R., Leight, S., Goedert, M., Lee, V.M. (1995). “Glycogen synthase kinase-3 beta phosphorylates tau protein at multiple sites in intact cells.” Neuroscience Letters 197:149-53.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Stambolic, V., Woodgett, J.R. (1994). “Mitogen inactivation of glycogen synthase kinase-3 beta in intact cells via serine phosphorylation.” Biochem Journal 303 ( Pt 3):701-4.</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Stambolic, V., Ruel, L., Woodgett, J.R. (1996). “Lithium inhibits  glycogen synthase kinase-3 activity and mimics wingless  signalling in intact cells.” Curr Biol 6: 1664–1668.</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Steffens, D.C., Chung, H., Krishnan, K.R., Longstreth, W.T., Jr., Carlson, M., Burke, G.L. (2008). “Antidepressant treatment and worsening white matter on serial cranial magnetic resonance imaging in the elderly: the Cardiovascular Health Study.” Stroke 39, 857-862.</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Strakowski, S.M., Adler, C.M., Holland, S.K., Mills, N.P., DelBello, M.P. (2004). “A preliminary fMRI study of sustained attention in unmedicated, euthymic bipolar disorder.” Neuropsychopharmacology 29, 1734 40.</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Strakowski, S.M., DelBello, M.P., Adler, C.M. (2005). “The functional neuroanatomy of bipolar disorder.” Molecular Psychiatry 10, 105 16.</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Strakowski, S.M., Adler, C.M., DelBello, M.P. (2007). “Metabolic dysfunction within the anterior limbic network in bipolar disorder: a model for studying new treatments.” Neuropsychiatry and Neuropsychology 1, 5 14.</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Sun, S.W., Liang, H.F., Trinkaus, K., Cross, A.H., Armstrong, R.C., Song, S.K. (2006). “Noninvasive detection of cuprizone induced axonal damage and demyelination in the mouse corpus callosum.” Magnetic Resonance Medicine 55, 302–308.</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Sussmann, J.E., Lymer, G.K., McKirdy, J., Moorhead, T.W., Maniega, S.M., Job, D., et  al. (2009). “White matter abnormalities in bipolar disorder and schizophrenia detected using diffusion tensor magnetic resonance imaging.” Bipolar Disorders 11:11–18.</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Taylor, W.D., Macfall, J.R., Boyd, B., Payne, M.E., Sheline, Y.I., Krishnan, R.R., Murali Doraiswamy, P. (2011). “One-year change in anterior cingulate cortex white matter microstructure: relationship with late-life depression outcomes.” American Journal of Geriatric Psychiatry 19, 43-52.</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ten Have, M.,  Vollebergh, W., et al. (2002). “Bipolar disorder in the general population in The Netherlands (prevalence, consequences and care utilisation): results from The Netherlands Mental Health Survey and Incidence Study (NEMESIS).” Journal of Affective Disorders 68(2-3): 203-213.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 xml:space="preserve">Terman, J.S., M. Terman, et al. (2001). "Circadian time of morning light administration and therapeutic response in winter depression." Archives of General Psychiatry 58(1): 69-75. </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Thomason, M.E. and PM. Thompson (2011). “Diffusion imaging, white matter, and psychopathology.” Annual Review Clinical Psychology 7: 63-85.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Tkachev, D., Mimmack, M.L., Ryan, M.M., Wayland, M., Freeman, T., Jones, P.B.  Starkey, M., Webster, M.J.,. Yolken, R.H, Bahn, S. (2003). “Oligodendrocyte  dysfunction in schizophrenia and bipolar disorder.” Lancet 362: 798–805.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Versace, A., Almeida, J.R., Hassel, S., Walsh, N.D., Novelli, M., Klein, C.R., Kupfer, D.J., Phillips, M.L. (2008). “Elevated left and reduced right orbitomedial prefrontal fractional anisotropy in adults with bipolar disorder revealed by tract-based spatial statistics.” Archieves of General Psychiatry 65(9): 1041-1052.</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Vik-Mo, A.O., Ferno, J., Skrede, S., Steen, V.M. (2009). “Psychotropic drugs up-regulate the expression of cholesterol transport proteins including ApoE in cultured human CNS- and liver cells.” BMC Pharmacol 9, 10.</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Vieta, E. and T. Suppes (2008). “Bipolar II disorder: arguments for and against a distinct diagnostic entity.” Bipolar Disorder 10(1 Pt 2): 163-178.</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lang w:val="en-GB"/>
        </w:rPr>
        <w:t xml:space="preserve">Volonte, C., Ciotti, M. T., &amp; Merlo, D. (1994). “LiCl promotes survival of GABAergic </w:t>
      </w:r>
      <w:r>
        <w:rPr>
          <w:rFonts w:ascii="Times New Roman" w:hAnsi="Times New Roman"/>
          <w:color w:val="0D0D0D"/>
          <w:sz w:val="20"/>
          <w:szCs w:val="20"/>
        </w:rPr>
        <w:t>neurons from cerebellum and cerebral cortex: LiCl induces survival of GABAergic neurons.” Neurosci Lett 172, 6−10.</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Von Zerssen, D., H. Barthelmes, et al. (1985). “Circadian rhythms in endogenous depression.” Psychiatry Res 16(1): 51-63.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Wakefield, J.G. et al. (2003). “A role for glycogen synthase kinase-3 in mitotic spindle dynamics and chromosome alignment”. J. Cell Sci. 116, 637–646.</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Wang, F., Jackowski, M., Kalmar, J. H., Chepenik, L. G., Tie, K., Qiu, M., et al. (2008a). “Abnormal anterior cingulum integrity in bipolar disorder determined  through diffusion tensor imaging.” British Journal of Psychiatry 193:126 –129.</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Wang, F., Kalmar, J.H., Edmiston, E., Chepenik, L. G., Bhagwagar, Z., Spencer, L., et  al. (2008b). “Abnormal corpus callosum integrity in bipolar disorder: A diffusion tensor imaging study.” Biological Psychiatry 64:730 –733.</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Wang FS, Ko JY, Weng LH, Yeh DW, Ke HJ, Wu SL. (2009). “Inhibition of glycogen synthase kinase-3beta attenuates glucocorticoid-induced bone loss.” Life scientific 85(19-20): 685-692.</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Watcharasit, P., Bijur, G.N., Zmijewski, J.W., Song, L., Zmijewska, A., Chen, X. et al. (2002). “Direct, activating interaction between glycogen synthase kinase-3beta and p53 after DNA damage.” Proc Natl Acad Sci USA 99: 7951–7955.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lang w:val="en-GB"/>
        </w:rPr>
        <w:t xml:space="preserve">Williams, R. S., Cheng, L., Mudge, A. W., &amp; Harwood, A. J. (2002). “A common mechanism </w:t>
      </w:r>
      <w:r>
        <w:rPr>
          <w:rFonts w:ascii="Times New Roman" w:hAnsi="Times New Roman"/>
          <w:color w:val="0D0D0D"/>
          <w:sz w:val="20"/>
          <w:szCs w:val="20"/>
        </w:rPr>
        <w:t>of action for three mood-stabilizing drugs.” Nature 417, 292−295.</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Xia, Z., Ying, G., Hansson, A.L., Karlsson, H., Xie, Y., Bergstrand, A., DePierre, J.W., Nassberger, L. (2000). “Antidepressant-induced lipidosis with special reference to tricyclic compounds.” Prog Neurobiol 60, 501-512.</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Yoo, S.Y., Jang, J.H., Shin, Y.W., Kim, D.J., Park, H.J., Moon, W.J., Chung, E.C., Lee, J.M., Kim, I.Y., Kim, S.I., Kwon, J.S. (2007). “White matter abnormalities in drug-naive patients with obsessive-compulsive disorder: a diffusion tensor study before and after citalopram treatment.” Acta Psychiatr Scand 116, 211-219.</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lang w:val="en-GB"/>
        </w:rPr>
        <w:t xml:space="preserve">Yuan, J., &amp; Yankner, B. A. (2000). “Apoptosis in the nervous system.” Nature 407, </w:t>
      </w:r>
      <w:r>
        <w:rPr>
          <w:rFonts w:ascii="Times New Roman" w:hAnsi="Times New Roman"/>
          <w:color w:val="0D0D0D"/>
          <w:sz w:val="20"/>
          <w:szCs w:val="20"/>
        </w:rPr>
        <w:t>802−809.</w:t>
      </w:r>
    </w:p>
    <w:p w:rsidR="00743FB5" w:rsidRPr="00743FB5" w:rsidRDefault="00743FB5" w:rsidP="001E5BE4">
      <w:pPr>
        <w:spacing w:line="360" w:lineRule="auto"/>
        <w:ind w:right="1091"/>
        <w:jc w:val="both"/>
        <w:rPr>
          <w:rFonts w:ascii="Times New Roman" w:hAnsi="Times New Roman"/>
          <w:color w:val="0D0D0D"/>
          <w:sz w:val="20"/>
          <w:szCs w:val="20"/>
        </w:rPr>
      </w:pPr>
    </w:p>
    <w:p w:rsidR="00A0541C" w:rsidRDefault="00B460A6" w:rsidP="001E5BE4">
      <w:pPr>
        <w:spacing w:line="360" w:lineRule="auto"/>
        <w:ind w:right="1091"/>
        <w:jc w:val="both"/>
        <w:rPr>
          <w:rFonts w:ascii="Times New Roman" w:hAnsi="Times New Roman"/>
          <w:color w:val="0D0D0D"/>
          <w:sz w:val="20"/>
          <w:szCs w:val="20"/>
          <w:lang w:val="en-GB"/>
        </w:rPr>
      </w:pPr>
      <w:r>
        <w:rPr>
          <w:rFonts w:ascii="Times New Roman" w:hAnsi="Times New Roman"/>
          <w:color w:val="0D0D0D"/>
          <w:sz w:val="20"/>
          <w:szCs w:val="20"/>
          <w:lang w:val="en-GB"/>
        </w:rPr>
        <w:t>Yurgelun-Todd, D. A., Silveri, M. M., Gruber, S. A., Rohan, M. L., Pimentel, P. J. (2007). “White matter abnormalities observed in bipolar disorder: A diffusion tensor imaging study.” Bipolar Disorders 9:504 –512.</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rPr>
        <w:t>Zanetti, M. V., Jackowski, M. P., Versace, A., Almeida, J. R., Hassel, S., Duran, F. L., et  al. (2009). “State-dependent microstructural white matter changes in  bipolar I depression.” European Archievies of Psychiatry and Clinical Neuroscience 259:316 –328.</w:t>
      </w:r>
    </w:p>
    <w:p w:rsidR="00A0541C" w:rsidRDefault="00A0541C" w:rsidP="001E5BE4">
      <w:pPr>
        <w:spacing w:line="360" w:lineRule="auto"/>
        <w:ind w:right="1091"/>
        <w:jc w:val="both"/>
        <w:rPr>
          <w:rFonts w:ascii="Times New Roman" w:hAnsi="Times New Roman"/>
          <w:sz w:val="20"/>
          <w:szCs w:val="20"/>
        </w:rPr>
      </w:pPr>
    </w:p>
    <w:p w:rsidR="00A0541C" w:rsidRDefault="00B460A6" w:rsidP="001E5BE4">
      <w:pPr>
        <w:spacing w:line="360" w:lineRule="auto"/>
        <w:ind w:right="1091"/>
        <w:jc w:val="both"/>
        <w:rPr>
          <w:rFonts w:ascii="Times New Roman" w:hAnsi="Times New Roman"/>
          <w:color w:val="0D0D0D"/>
          <w:sz w:val="20"/>
          <w:szCs w:val="20"/>
        </w:rPr>
      </w:pPr>
      <w:r>
        <w:rPr>
          <w:rFonts w:ascii="Times New Roman" w:hAnsi="Times New Roman"/>
          <w:color w:val="0D0D0D"/>
          <w:sz w:val="20"/>
          <w:szCs w:val="20"/>
          <w:lang w:val="en-GB"/>
        </w:rPr>
        <w:t xml:space="preserve">Zschocke, J., Zimmermann, N., Berning, B., Ganal, V., Holsboer, F., Rein, T. (2011). “Antidepressant Drugs Diversely Affect Autophagy Pathways in Astrocytes and Neurons-Dissociation from Cholesterol Homeostasis.” Neuropsychopharmacology </w:t>
      </w:r>
      <w:r>
        <w:rPr>
          <w:rFonts w:ascii="Times New Roman" w:hAnsi="Times New Roman"/>
          <w:color w:val="0D0D0D"/>
          <w:sz w:val="20"/>
          <w:szCs w:val="20"/>
        </w:rPr>
        <w:t>36(8):1754-68.</w:t>
      </w:r>
    </w:p>
    <w:p w:rsidR="00A0541C" w:rsidRDefault="00A0541C" w:rsidP="001E5BE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1091"/>
        <w:jc w:val="both"/>
        <w:rPr>
          <w:rFonts w:ascii="Times New Roman" w:hAnsi="Times New Roman"/>
          <w:sz w:val="20"/>
          <w:szCs w:val="20"/>
        </w:rPr>
      </w:pPr>
    </w:p>
    <w:p w:rsidR="00A0541C" w:rsidRDefault="00A0541C" w:rsidP="001E5BE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1091"/>
        <w:jc w:val="both"/>
        <w:rPr>
          <w:rFonts w:ascii="Times New Roman" w:hAnsi="Times New Roman"/>
          <w:sz w:val="20"/>
          <w:szCs w:val="20"/>
        </w:rPr>
      </w:pPr>
    </w:p>
    <w:p w:rsidR="00A0541C" w:rsidRDefault="00A0541C" w:rsidP="001E5BE4">
      <w:pPr>
        <w:pStyle w:val="Tesi"/>
        <w:tabs>
          <w:tab w:val="left" w:pos="8503"/>
        </w:tabs>
        <w:spacing w:line="360" w:lineRule="auto"/>
        <w:ind w:right="1091"/>
        <w:jc w:val="both"/>
      </w:pPr>
    </w:p>
    <w:sectPr w:rsidR="00A0541C" w:rsidSect="00934507">
      <w:footerReference w:type="even" r:id="rId51"/>
      <w:footerReference w:type="default" r:id="rId52"/>
      <w:pgSz w:w="11906" w:h="16838"/>
      <w:pgMar w:top="1134" w:right="1134" w:bottom="1134" w:left="1134" w:header="0" w:footer="0" w:gutter="0"/>
      <w:cols w:space="720"/>
      <w:formProt w:val="0"/>
      <w:docGrid w:linePitch="440" w:charSpace="4505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325B6" w:rsidRDefault="00D325B6" w:rsidP="00670995">
      <w:pPr>
        <w:spacing w:after="0" w:line="240" w:lineRule="auto"/>
      </w:pPr>
      <w:r>
        <w:separator/>
      </w:r>
    </w:p>
  </w:endnote>
  <w:endnote w:type="continuationSeparator" w:id="1">
    <w:p w:rsidR="00D325B6" w:rsidRDefault="00D325B6" w:rsidP="0067099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OpenSymbol">
    <w:altName w:val="Arial Unicode MS"/>
    <w:charset w:val="02"/>
    <w:family w:val="auto"/>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Calibri">
    <w:panose1 w:val="020F0502020204030204"/>
    <w:charset w:val="00"/>
    <w:family w:val="swiss"/>
    <w:pitch w:val="variable"/>
    <w:sig w:usb0="A00002EF" w:usb1="4000207B" w:usb2="00000000" w:usb3="00000000" w:csb0="0000009F" w:csb1="00000000"/>
  </w:font>
  <w:font w:name="DejaVu Sans">
    <w:altName w:val="Times New Roman"/>
    <w:panose1 w:val="00000000000000000000"/>
    <w:charset w:val="00"/>
    <w:family w:val="roman"/>
    <w:notTrueType/>
    <w:pitch w:val="default"/>
    <w:sig w:usb0="00000000" w:usb1="00000000" w:usb2="00000000" w:usb3="00000000" w:csb0="00000000" w:csb1="00000000"/>
  </w:font>
  <w:font w:name="Lohit Hindi">
    <w:altName w:val="Times New Roman"/>
    <w:panose1 w:val="00000000000000000000"/>
    <w:charset w:val="00"/>
    <w:family w:val="roman"/>
    <w:notTrueType/>
    <w:pitch w:val="default"/>
    <w:sig w:usb0="00000000" w:usb1="00000000" w:usb2="00000000" w:usb3="00000000" w:csb0="00000000" w:csb1="00000000"/>
  </w:font>
  <w:font w:name="Liberation Sans">
    <w:altName w:val="Arial"/>
    <w:charset w:val="01"/>
    <w:family w:val="swiss"/>
    <w:pitch w:val="variable"/>
    <w:sig w:usb0="00000000" w:usb1="00000000" w:usb2="00000000" w:usb3="00000000" w:csb0="00000000" w:csb1="00000000"/>
  </w:font>
  <w:font w:name="Liberation Serif">
    <w:altName w:val="Times New Roman"/>
    <w:charset w:val="01"/>
    <w:family w:val="roman"/>
    <w:pitch w:val="variable"/>
    <w:sig w:usb0="00000000" w:usb1="00000000" w:usb2="00000000" w:usb3="00000000" w:csb0="00000000" w:csb1="00000000"/>
  </w:font>
  <w:font w:name="Times">
    <w:panose1 w:val="02020603050405020304"/>
    <w:charset w:val="00"/>
    <w:family w:val="roman"/>
    <w:notTrueType/>
    <w:pitch w:val="variable"/>
    <w:sig w:usb0="00000003" w:usb1="00000000" w:usb2="00000000" w:usb3="00000000" w:csb0="00000001" w:csb1="00000000"/>
  </w:font>
  <w:font w:name="WenQuanYi Micro Hei;Times New R">
    <w:panose1 w:val="00000000000000000000"/>
    <w:charset w:val="00"/>
    <w:family w:val="roman"/>
    <w:notTrueType/>
    <w:pitch w:val="default"/>
    <w:sig w:usb0="00000000" w:usb1="00000000" w:usb2="00000000" w:usb3="00000000" w:csb0="00000000" w:csb1="00000000"/>
  </w:font>
  <w:font w:name="Lucida Grande">
    <w:charset w:val="00"/>
    <w:family w:val="auto"/>
    <w:pitch w:val="variable"/>
    <w:sig w:usb0="E1000AEF" w:usb1="5000A1FF" w:usb2="00000000" w:usb3="00000000" w:csb0="000001BF" w:csb1="00000000"/>
  </w:font>
  <w:font w:name="Arial Standard">
    <w:altName w:val="Times New Roman"/>
    <w:charset w:val="00"/>
    <w:family w:val="swiss"/>
    <w:pitch w:val="default"/>
    <w:sig w:usb0="00000000" w:usb1="00000000" w:usb2="00000000" w:usb3="00000000" w:csb0="00000000"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0000400000000000000"/>
    <w:charset w:val="00"/>
    <w:family w:val="auto"/>
    <w:pitch w:val="variable"/>
    <w:sig w:usb0="00008003" w:usb1="00000000" w:usb2="00000000" w:usb3="00000000" w:csb0="00000001" w:csb1="00000000"/>
  </w:font>
  <w:font w:name=";Times New Roman">
    <w:panose1 w:val="00000000000000000000"/>
    <w:charset w:val="00"/>
    <w:family w:val="roman"/>
    <w:notTrueType/>
    <w:pitch w:val="default"/>
    <w:sig w:usb0="00000000" w:usb1="00000000" w:usb2="00000000" w:usb3="00000000" w:csb0="00000000" w:csb1="00000000"/>
  </w:font>
  <w:font w:name="Courier">
    <w:panose1 w:val="02070409020205020404"/>
    <w:charset w:val="00"/>
    <w:family w:val="modern"/>
    <w:notTrueType/>
    <w:pitch w:val="fixed"/>
    <w:sig w:usb0="00000003" w:usb1="00000000" w:usb2="00000000" w:usb3="00000000" w:csb0="00000001" w:csb1="00000000"/>
  </w:font>
  <w:font w:name="Courier New">
    <w:panose1 w:val="02070309020205020404"/>
    <w:charset w:val="00"/>
    <w:family w:val="modern"/>
    <w:pitch w:val="fixed"/>
    <w:sig w:usb0="20002A87" w:usb1="80000000" w:usb2="00000008" w:usb3="00000000" w:csb0="000001FF" w:csb1="00000000"/>
  </w:font>
  <w:font w:name="ヒラギノ角ゴ Pro W3">
    <w:charset w:val="4E"/>
    <w:family w:val="auto"/>
    <w:pitch w:val="variable"/>
    <w:sig w:usb0="00000001" w:usb1="08070000" w:usb2="00000010" w:usb3="00000000" w:csb0="00020000" w:csb1="00000000"/>
  </w:font>
  <w:font w:name="Times-Roman">
    <w:altName w:val="Times New Roman"/>
    <w:charset w:val="00"/>
    <w:family w:val="roman"/>
    <w:pitch w:val="default"/>
    <w:sig w:usb0="00000000" w:usb1="00000000" w:usb2="00000000" w:usb3="00000000" w:csb0="00000000" w:csb1="00000000"/>
  </w:font>
  <w:font w:name="font50">
    <w:altName w:val="Times New Roman"/>
    <w:charset w:val="80"/>
    <w:family w:val="auto"/>
    <w:pitch w:val="default"/>
    <w:sig w:usb0="00000000" w:usb1="00000000" w:usb2="00000000" w:usb3="00000000" w:csb0="00000000" w:csb1="00000000"/>
  </w:font>
  <w:font w:name="MS Gothic">
    <w:altName w:val="ＭＳ ゴシック"/>
    <w:panose1 w:val="020B0609070205080204"/>
    <w:charset w:val="80"/>
    <w:family w:val="modern"/>
    <w:notTrueType/>
    <w:pitch w:val="fixed"/>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25B6" w:rsidRDefault="00570A61" w:rsidP="00670995">
    <w:pPr>
      <w:pStyle w:val="Pidipagina"/>
      <w:framePr w:wrap="around" w:vAnchor="text" w:hAnchor="margin" w:xAlign="right" w:y="1"/>
      <w:rPr>
        <w:rStyle w:val="Numeropagina"/>
      </w:rPr>
    </w:pPr>
    <w:r>
      <w:rPr>
        <w:rStyle w:val="Numeropagina"/>
      </w:rPr>
      <w:fldChar w:fldCharType="begin"/>
    </w:r>
    <w:r w:rsidR="00D325B6">
      <w:rPr>
        <w:rStyle w:val="Numeropagina"/>
      </w:rPr>
      <w:instrText xml:space="preserve">PAGE  </w:instrText>
    </w:r>
    <w:r>
      <w:rPr>
        <w:rStyle w:val="Numeropagina"/>
      </w:rPr>
      <w:fldChar w:fldCharType="end"/>
    </w:r>
  </w:p>
  <w:p w:rsidR="00D325B6" w:rsidRDefault="00D325B6" w:rsidP="00670995">
    <w:pPr>
      <w:pStyle w:val="Pidipa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25B6" w:rsidRDefault="00570A61" w:rsidP="00670995">
    <w:pPr>
      <w:pStyle w:val="Pidipagina"/>
      <w:framePr w:wrap="around" w:vAnchor="text" w:hAnchor="margin" w:xAlign="right" w:y="1"/>
      <w:rPr>
        <w:rStyle w:val="Numeropagina"/>
      </w:rPr>
    </w:pPr>
    <w:r>
      <w:rPr>
        <w:rStyle w:val="Numeropagina"/>
      </w:rPr>
      <w:fldChar w:fldCharType="begin"/>
    </w:r>
    <w:r w:rsidR="00D325B6">
      <w:rPr>
        <w:rStyle w:val="Numeropagina"/>
      </w:rPr>
      <w:instrText xml:space="preserve">PAGE  </w:instrText>
    </w:r>
    <w:r>
      <w:rPr>
        <w:rStyle w:val="Numeropagina"/>
      </w:rPr>
      <w:fldChar w:fldCharType="separate"/>
    </w:r>
    <w:r w:rsidR="0026553B">
      <w:rPr>
        <w:rStyle w:val="Numeropagina"/>
        <w:noProof/>
      </w:rPr>
      <w:t>44</w:t>
    </w:r>
    <w:r>
      <w:rPr>
        <w:rStyle w:val="Numeropagina"/>
      </w:rPr>
      <w:fldChar w:fldCharType="end"/>
    </w:r>
  </w:p>
  <w:p w:rsidR="00D325B6" w:rsidRDefault="00D325B6" w:rsidP="00670995">
    <w:pPr>
      <w:pStyle w:val="Pidipa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325B6" w:rsidRDefault="00D325B6" w:rsidP="00670995">
      <w:pPr>
        <w:spacing w:after="0" w:line="240" w:lineRule="auto"/>
      </w:pPr>
      <w:r>
        <w:separator/>
      </w:r>
    </w:p>
  </w:footnote>
  <w:footnote w:type="continuationSeparator" w:id="1">
    <w:p w:rsidR="00D325B6" w:rsidRDefault="00D325B6" w:rsidP="0067099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F6EEB"/>
    <w:multiLevelType w:val="multilevel"/>
    <w:tmpl w:val="01CEA5DA"/>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
    <w:nsid w:val="2301225A"/>
    <w:multiLevelType w:val="multilevel"/>
    <w:tmpl w:val="300227E0"/>
    <w:lvl w:ilvl="0">
      <w:start w:val="1"/>
      <w:numFmt w:val="decimal"/>
      <w:lvlText w:val="%1."/>
      <w:lvlJc w:val="left"/>
      <w:pPr>
        <w:ind w:left="720" w:hanging="360"/>
      </w:pPr>
      <w:rPr>
        <w:b/>
      </w:rPr>
    </w:lvl>
    <w:lvl w:ilvl="1">
      <w:start w:val="1"/>
      <w:numFmt w:val="decimal"/>
      <w:lvlText w:val="%2."/>
      <w:lvlJc w:val="left"/>
      <w:pPr>
        <w:ind w:left="1080" w:hanging="360"/>
      </w:pPr>
    </w:lvl>
    <w:lvl w:ilvl="2">
      <w:start w:val="1"/>
      <w:numFmt w:val="decimal"/>
      <w:lvlText w:val="%2.%3."/>
      <w:lvlJc w:val="left"/>
      <w:pPr>
        <w:ind w:left="1440" w:hanging="360"/>
      </w:pPr>
    </w:lvl>
    <w:lvl w:ilvl="3">
      <w:start w:val="1"/>
      <w:numFmt w:val="decimal"/>
      <w:lvlText w:val="%2.%3.%4."/>
      <w:lvlJc w:val="left"/>
      <w:pPr>
        <w:ind w:left="1800" w:hanging="360"/>
      </w:pPr>
    </w:lvl>
    <w:lvl w:ilvl="4">
      <w:start w:val="1"/>
      <w:numFmt w:val="decimal"/>
      <w:lvlText w:val="%2.%3.%4.%5."/>
      <w:lvlJc w:val="left"/>
      <w:pPr>
        <w:ind w:left="2160" w:hanging="360"/>
      </w:pPr>
    </w:lvl>
    <w:lvl w:ilvl="5">
      <w:start w:val="1"/>
      <w:numFmt w:val="decimal"/>
      <w:lvlText w:val="%2.%3.%4.%5.%6."/>
      <w:lvlJc w:val="left"/>
      <w:pPr>
        <w:ind w:left="2520" w:hanging="360"/>
      </w:pPr>
    </w:lvl>
    <w:lvl w:ilvl="6">
      <w:start w:val="1"/>
      <w:numFmt w:val="decimal"/>
      <w:lvlText w:val="%2.%3.%4.%5.%6.%7."/>
      <w:lvlJc w:val="left"/>
      <w:pPr>
        <w:ind w:left="2880" w:hanging="360"/>
      </w:pPr>
    </w:lvl>
    <w:lvl w:ilvl="7">
      <w:start w:val="1"/>
      <w:numFmt w:val="decimal"/>
      <w:lvlText w:val="%2.%3.%4.%5.%6.%7.%8."/>
      <w:lvlJc w:val="left"/>
      <w:pPr>
        <w:ind w:left="3240" w:hanging="360"/>
      </w:pPr>
    </w:lvl>
    <w:lvl w:ilvl="8">
      <w:start w:val="1"/>
      <w:numFmt w:val="decimal"/>
      <w:lvlText w:val="%2.%3.%4.%5.%6.%7.%8.%9."/>
      <w:lvlJc w:val="left"/>
      <w:pPr>
        <w:ind w:left="3600" w:hanging="360"/>
      </w:pPr>
    </w:lvl>
  </w:abstractNum>
  <w:abstractNum w:abstractNumId="2">
    <w:nsid w:val="25864D22"/>
    <w:multiLevelType w:val="multilevel"/>
    <w:tmpl w:val="96467BA8"/>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2E3B402F"/>
    <w:multiLevelType w:val="multilevel"/>
    <w:tmpl w:val="F2CE728A"/>
    <w:lvl w:ilvl="0">
      <w:start w:val="1"/>
      <w:numFmt w:val="bullet"/>
      <w:lvlText w:val=""/>
      <w:lvlJc w:val="left"/>
      <w:pPr>
        <w:ind w:left="720" w:hanging="360"/>
      </w:pPr>
      <w:rPr>
        <w:rFonts w:ascii="Symbol" w:hAnsi="Symbol" w:cs="Symbol" w:hint="default"/>
      </w:rPr>
    </w:lvl>
    <w:lvl w:ilvl="1">
      <w:start w:val="1"/>
      <w:numFmt w:val="bullet"/>
      <w:lvlText w:val="◦"/>
      <w:lvlJc w:val="left"/>
      <w:pPr>
        <w:ind w:left="1080" w:hanging="360"/>
      </w:pPr>
      <w:rPr>
        <w:rFonts w:ascii="OpenSymbol" w:hAnsi="OpenSymbol" w:cs="OpenSymbol" w:hint="default"/>
      </w:rPr>
    </w:lvl>
    <w:lvl w:ilvl="2">
      <w:start w:val="1"/>
      <w:numFmt w:val="bullet"/>
      <w:lvlText w:val="▪"/>
      <w:lvlJc w:val="left"/>
      <w:pPr>
        <w:ind w:left="1440" w:hanging="360"/>
      </w:pPr>
      <w:rPr>
        <w:rFonts w:ascii="OpenSymbol" w:hAnsi="OpenSymbol" w:cs="OpenSymbol" w:hint="default"/>
      </w:rPr>
    </w:lvl>
    <w:lvl w:ilvl="3">
      <w:start w:val="1"/>
      <w:numFmt w:val="bullet"/>
      <w:lvlText w:val=""/>
      <w:lvlJc w:val="left"/>
      <w:pPr>
        <w:ind w:left="1800" w:hanging="360"/>
      </w:pPr>
      <w:rPr>
        <w:rFonts w:ascii="Symbol" w:hAnsi="Symbol" w:cs="Symbol" w:hint="default"/>
      </w:rPr>
    </w:lvl>
    <w:lvl w:ilvl="4">
      <w:start w:val="1"/>
      <w:numFmt w:val="bullet"/>
      <w:lvlText w:val="◦"/>
      <w:lvlJc w:val="left"/>
      <w:pPr>
        <w:ind w:left="2160" w:hanging="360"/>
      </w:pPr>
      <w:rPr>
        <w:rFonts w:ascii="OpenSymbol" w:hAnsi="OpenSymbol" w:cs="OpenSymbol" w:hint="default"/>
      </w:rPr>
    </w:lvl>
    <w:lvl w:ilvl="5">
      <w:start w:val="1"/>
      <w:numFmt w:val="bullet"/>
      <w:lvlText w:val="▪"/>
      <w:lvlJc w:val="left"/>
      <w:pPr>
        <w:ind w:left="2520" w:hanging="360"/>
      </w:pPr>
      <w:rPr>
        <w:rFonts w:ascii="OpenSymbol" w:hAnsi="OpenSymbol" w:cs="OpenSymbol" w:hint="default"/>
      </w:rPr>
    </w:lvl>
    <w:lvl w:ilvl="6">
      <w:start w:val="1"/>
      <w:numFmt w:val="bullet"/>
      <w:lvlText w:val=""/>
      <w:lvlJc w:val="left"/>
      <w:pPr>
        <w:ind w:left="2880" w:hanging="360"/>
      </w:pPr>
      <w:rPr>
        <w:rFonts w:ascii="Symbol" w:hAnsi="Symbol" w:cs="Symbol" w:hint="default"/>
      </w:rPr>
    </w:lvl>
    <w:lvl w:ilvl="7">
      <w:start w:val="1"/>
      <w:numFmt w:val="bullet"/>
      <w:lvlText w:val="◦"/>
      <w:lvlJc w:val="left"/>
      <w:pPr>
        <w:ind w:left="3240" w:hanging="360"/>
      </w:pPr>
      <w:rPr>
        <w:rFonts w:ascii="OpenSymbol" w:hAnsi="OpenSymbol" w:cs="OpenSymbol" w:hint="default"/>
      </w:rPr>
    </w:lvl>
    <w:lvl w:ilvl="8">
      <w:start w:val="1"/>
      <w:numFmt w:val="bullet"/>
      <w:lvlText w:val="▪"/>
      <w:lvlJc w:val="left"/>
      <w:pPr>
        <w:ind w:left="3600" w:hanging="360"/>
      </w:pPr>
      <w:rPr>
        <w:rFonts w:ascii="OpenSymbol" w:hAnsi="OpenSymbol" w:cs="OpenSymbol" w:hint="default"/>
      </w:rPr>
    </w:lvl>
  </w:abstractNum>
  <w:abstractNum w:abstractNumId="4">
    <w:nsid w:val="31E37C27"/>
    <w:multiLevelType w:val="multilevel"/>
    <w:tmpl w:val="5EF67F10"/>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5">
    <w:nsid w:val="42F1566C"/>
    <w:multiLevelType w:val="multilevel"/>
    <w:tmpl w:val="4914E798"/>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2.%3."/>
      <w:lvlJc w:val="left"/>
      <w:pPr>
        <w:ind w:left="1440" w:hanging="360"/>
      </w:pPr>
    </w:lvl>
    <w:lvl w:ilvl="3">
      <w:start w:val="1"/>
      <w:numFmt w:val="decimal"/>
      <w:lvlText w:val="%2.%3.%4."/>
      <w:lvlJc w:val="left"/>
      <w:pPr>
        <w:ind w:left="1800" w:hanging="360"/>
      </w:pPr>
    </w:lvl>
    <w:lvl w:ilvl="4">
      <w:start w:val="1"/>
      <w:numFmt w:val="decimal"/>
      <w:lvlText w:val="%2.%3.%4.%5."/>
      <w:lvlJc w:val="left"/>
      <w:pPr>
        <w:ind w:left="2160" w:hanging="360"/>
      </w:pPr>
    </w:lvl>
    <w:lvl w:ilvl="5">
      <w:start w:val="1"/>
      <w:numFmt w:val="decimal"/>
      <w:lvlText w:val="%2.%3.%4.%5.%6."/>
      <w:lvlJc w:val="left"/>
      <w:pPr>
        <w:ind w:left="2520" w:hanging="360"/>
      </w:pPr>
    </w:lvl>
    <w:lvl w:ilvl="6">
      <w:start w:val="1"/>
      <w:numFmt w:val="decimal"/>
      <w:lvlText w:val="%2.%3.%4.%5.%6.%7."/>
      <w:lvlJc w:val="left"/>
      <w:pPr>
        <w:ind w:left="2880" w:hanging="360"/>
      </w:pPr>
    </w:lvl>
    <w:lvl w:ilvl="7">
      <w:start w:val="1"/>
      <w:numFmt w:val="decimal"/>
      <w:lvlText w:val="%2.%3.%4.%5.%6.%7.%8."/>
      <w:lvlJc w:val="left"/>
      <w:pPr>
        <w:ind w:left="3240" w:hanging="360"/>
      </w:pPr>
    </w:lvl>
    <w:lvl w:ilvl="8">
      <w:start w:val="1"/>
      <w:numFmt w:val="decimal"/>
      <w:lvlText w:val="%2.%3.%4.%5.%6.%7.%8.%9."/>
      <w:lvlJc w:val="left"/>
      <w:pPr>
        <w:ind w:left="3600" w:hanging="360"/>
      </w:pPr>
    </w:lvl>
  </w:abstractNum>
  <w:abstractNum w:abstractNumId="6">
    <w:nsid w:val="4A14331C"/>
    <w:multiLevelType w:val="multilevel"/>
    <w:tmpl w:val="E982B298"/>
    <w:lvl w:ilvl="0">
      <w:start w:val="1"/>
      <w:numFmt w:val="bullet"/>
      <w:lvlText w:val=""/>
      <w:lvlJc w:val="left"/>
      <w:pPr>
        <w:ind w:left="720" w:hanging="360"/>
      </w:pPr>
      <w:rPr>
        <w:rFonts w:ascii="Symbol" w:hAnsi="Symbol" w:cs="Symbol" w:hint="default"/>
      </w:rPr>
    </w:lvl>
    <w:lvl w:ilvl="1">
      <w:start w:val="1"/>
      <w:numFmt w:val="bullet"/>
      <w:lvlText w:val="◦"/>
      <w:lvlJc w:val="left"/>
      <w:pPr>
        <w:ind w:left="1080" w:hanging="360"/>
      </w:pPr>
      <w:rPr>
        <w:rFonts w:ascii="OpenSymbol" w:hAnsi="OpenSymbol" w:cs="OpenSymbol" w:hint="default"/>
      </w:rPr>
    </w:lvl>
    <w:lvl w:ilvl="2">
      <w:start w:val="1"/>
      <w:numFmt w:val="bullet"/>
      <w:lvlText w:val="▪"/>
      <w:lvlJc w:val="left"/>
      <w:pPr>
        <w:ind w:left="1440" w:hanging="360"/>
      </w:pPr>
      <w:rPr>
        <w:rFonts w:ascii="OpenSymbol" w:hAnsi="OpenSymbol" w:cs="OpenSymbol" w:hint="default"/>
      </w:rPr>
    </w:lvl>
    <w:lvl w:ilvl="3">
      <w:start w:val="1"/>
      <w:numFmt w:val="bullet"/>
      <w:lvlText w:val=""/>
      <w:lvlJc w:val="left"/>
      <w:pPr>
        <w:ind w:left="1800" w:hanging="360"/>
      </w:pPr>
      <w:rPr>
        <w:rFonts w:ascii="Symbol" w:hAnsi="Symbol" w:cs="Symbol" w:hint="default"/>
      </w:rPr>
    </w:lvl>
    <w:lvl w:ilvl="4">
      <w:start w:val="1"/>
      <w:numFmt w:val="bullet"/>
      <w:lvlText w:val="◦"/>
      <w:lvlJc w:val="left"/>
      <w:pPr>
        <w:ind w:left="2160" w:hanging="360"/>
      </w:pPr>
      <w:rPr>
        <w:rFonts w:ascii="OpenSymbol" w:hAnsi="OpenSymbol" w:cs="OpenSymbol" w:hint="default"/>
      </w:rPr>
    </w:lvl>
    <w:lvl w:ilvl="5">
      <w:start w:val="1"/>
      <w:numFmt w:val="bullet"/>
      <w:lvlText w:val="▪"/>
      <w:lvlJc w:val="left"/>
      <w:pPr>
        <w:ind w:left="2520" w:hanging="360"/>
      </w:pPr>
      <w:rPr>
        <w:rFonts w:ascii="OpenSymbol" w:hAnsi="OpenSymbol" w:cs="OpenSymbol" w:hint="default"/>
      </w:rPr>
    </w:lvl>
    <w:lvl w:ilvl="6">
      <w:start w:val="1"/>
      <w:numFmt w:val="bullet"/>
      <w:lvlText w:val=""/>
      <w:lvlJc w:val="left"/>
      <w:pPr>
        <w:ind w:left="2880" w:hanging="360"/>
      </w:pPr>
      <w:rPr>
        <w:rFonts w:ascii="Symbol" w:hAnsi="Symbol" w:cs="Symbol" w:hint="default"/>
      </w:rPr>
    </w:lvl>
    <w:lvl w:ilvl="7">
      <w:start w:val="1"/>
      <w:numFmt w:val="bullet"/>
      <w:lvlText w:val="◦"/>
      <w:lvlJc w:val="left"/>
      <w:pPr>
        <w:ind w:left="3240" w:hanging="360"/>
      </w:pPr>
      <w:rPr>
        <w:rFonts w:ascii="OpenSymbol" w:hAnsi="OpenSymbol" w:cs="OpenSymbol" w:hint="default"/>
      </w:rPr>
    </w:lvl>
    <w:lvl w:ilvl="8">
      <w:start w:val="1"/>
      <w:numFmt w:val="bullet"/>
      <w:lvlText w:val="▪"/>
      <w:lvlJc w:val="left"/>
      <w:pPr>
        <w:ind w:left="3600" w:hanging="360"/>
      </w:pPr>
      <w:rPr>
        <w:rFonts w:ascii="OpenSymbol" w:hAnsi="OpenSymbol" w:cs="OpenSymbol" w:hint="default"/>
      </w:rPr>
    </w:lvl>
  </w:abstractNum>
  <w:abstractNum w:abstractNumId="7">
    <w:nsid w:val="4C7972B6"/>
    <w:multiLevelType w:val="multilevel"/>
    <w:tmpl w:val="EDAC604E"/>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2.%3."/>
      <w:lvlJc w:val="left"/>
      <w:pPr>
        <w:ind w:left="1440" w:hanging="360"/>
      </w:pPr>
    </w:lvl>
    <w:lvl w:ilvl="3">
      <w:start w:val="1"/>
      <w:numFmt w:val="decimal"/>
      <w:lvlText w:val="%2.%3.%4."/>
      <w:lvlJc w:val="left"/>
      <w:pPr>
        <w:ind w:left="1800" w:hanging="360"/>
      </w:pPr>
    </w:lvl>
    <w:lvl w:ilvl="4">
      <w:start w:val="1"/>
      <w:numFmt w:val="decimal"/>
      <w:lvlText w:val="%2.%3.%4.%5."/>
      <w:lvlJc w:val="left"/>
      <w:pPr>
        <w:ind w:left="2160" w:hanging="360"/>
      </w:pPr>
    </w:lvl>
    <w:lvl w:ilvl="5">
      <w:start w:val="1"/>
      <w:numFmt w:val="decimal"/>
      <w:lvlText w:val="%2.%3.%4.%5.%6."/>
      <w:lvlJc w:val="left"/>
      <w:pPr>
        <w:ind w:left="2520" w:hanging="360"/>
      </w:pPr>
    </w:lvl>
    <w:lvl w:ilvl="6">
      <w:start w:val="1"/>
      <w:numFmt w:val="decimal"/>
      <w:lvlText w:val="%2.%3.%4.%5.%6.%7."/>
      <w:lvlJc w:val="left"/>
      <w:pPr>
        <w:ind w:left="2880" w:hanging="360"/>
      </w:pPr>
    </w:lvl>
    <w:lvl w:ilvl="7">
      <w:start w:val="1"/>
      <w:numFmt w:val="decimal"/>
      <w:lvlText w:val="%2.%3.%4.%5.%6.%7.%8."/>
      <w:lvlJc w:val="left"/>
      <w:pPr>
        <w:ind w:left="3240" w:hanging="360"/>
      </w:pPr>
    </w:lvl>
    <w:lvl w:ilvl="8">
      <w:start w:val="1"/>
      <w:numFmt w:val="decimal"/>
      <w:lvlText w:val="%2.%3.%4.%5.%6.%7.%8.%9."/>
      <w:lvlJc w:val="left"/>
      <w:pPr>
        <w:ind w:left="3600" w:hanging="360"/>
      </w:pPr>
    </w:lvl>
  </w:abstractNum>
  <w:abstractNum w:abstractNumId="8">
    <w:nsid w:val="7792681E"/>
    <w:multiLevelType w:val="multilevel"/>
    <w:tmpl w:val="34C8248C"/>
    <w:lvl w:ilvl="0">
      <w:start w:val="1"/>
      <w:numFmt w:val="bullet"/>
      <w:lvlText w:val=""/>
      <w:lvlJc w:val="left"/>
      <w:pPr>
        <w:ind w:left="720" w:hanging="360"/>
      </w:pPr>
      <w:rPr>
        <w:rFonts w:ascii="Symbol" w:hAnsi="Symbol" w:cs="Symbol" w:hint="default"/>
      </w:rPr>
    </w:lvl>
    <w:lvl w:ilvl="1">
      <w:start w:val="1"/>
      <w:numFmt w:val="bullet"/>
      <w:lvlText w:val="◦"/>
      <w:lvlJc w:val="left"/>
      <w:pPr>
        <w:ind w:left="1080" w:hanging="360"/>
      </w:pPr>
      <w:rPr>
        <w:rFonts w:ascii="OpenSymbol" w:hAnsi="OpenSymbol" w:cs="OpenSymbol" w:hint="default"/>
      </w:rPr>
    </w:lvl>
    <w:lvl w:ilvl="2">
      <w:start w:val="1"/>
      <w:numFmt w:val="bullet"/>
      <w:lvlText w:val="▪"/>
      <w:lvlJc w:val="left"/>
      <w:pPr>
        <w:ind w:left="1440" w:hanging="360"/>
      </w:pPr>
      <w:rPr>
        <w:rFonts w:ascii="OpenSymbol" w:hAnsi="OpenSymbol" w:cs="OpenSymbol" w:hint="default"/>
      </w:rPr>
    </w:lvl>
    <w:lvl w:ilvl="3">
      <w:start w:val="1"/>
      <w:numFmt w:val="bullet"/>
      <w:lvlText w:val=""/>
      <w:lvlJc w:val="left"/>
      <w:pPr>
        <w:ind w:left="1800" w:hanging="360"/>
      </w:pPr>
      <w:rPr>
        <w:rFonts w:ascii="Symbol" w:hAnsi="Symbol" w:cs="Symbol" w:hint="default"/>
      </w:rPr>
    </w:lvl>
    <w:lvl w:ilvl="4">
      <w:start w:val="1"/>
      <w:numFmt w:val="bullet"/>
      <w:lvlText w:val="◦"/>
      <w:lvlJc w:val="left"/>
      <w:pPr>
        <w:ind w:left="2160" w:hanging="360"/>
      </w:pPr>
      <w:rPr>
        <w:rFonts w:ascii="OpenSymbol" w:hAnsi="OpenSymbol" w:cs="OpenSymbol" w:hint="default"/>
      </w:rPr>
    </w:lvl>
    <w:lvl w:ilvl="5">
      <w:start w:val="1"/>
      <w:numFmt w:val="bullet"/>
      <w:lvlText w:val="▪"/>
      <w:lvlJc w:val="left"/>
      <w:pPr>
        <w:ind w:left="2520" w:hanging="360"/>
      </w:pPr>
      <w:rPr>
        <w:rFonts w:ascii="OpenSymbol" w:hAnsi="OpenSymbol" w:cs="OpenSymbol" w:hint="default"/>
      </w:rPr>
    </w:lvl>
    <w:lvl w:ilvl="6">
      <w:start w:val="1"/>
      <w:numFmt w:val="bullet"/>
      <w:lvlText w:val=""/>
      <w:lvlJc w:val="left"/>
      <w:pPr>
        <w:ind w:left="2880" w:hanging="360"/>
      </w:pPr>
      <w:rPr>
        <w:rFonts w:ascii="Symbol" w:hAnsi="Symbol" w:cs="Symbol" w:hint="default"/>
      </w:rPr>
    </w:lvl>
    <w:lvl w:ilvl="7">
      <w:start w:val="1"/>
      <w:numFmt w:val="bullet"/>
      <w:lvlText w:val="◦"/>
      <w:lvlJc w:val="left"/>
      <w:pPr>
        <w:ind w:left="3240" w:hanging="360"/>
      </w:pPr>
      <w:rPr>
        <w:rFonts w:ascii="OpenSymbol" w:hAnsi="OpenSymbol" w:cs="OpenSymbol" w:hint="default"/>
      </w:rPr>
    </w:lvl>
    <w:lvl w:ilvl="8">
      <w:start w:val="1"/>
      <w:numFmt w:val="bullet"/>
      <w:lvlText w:val="▪"/>
      <w:lvlJc w:val="left"/>
      <w:pPr>
        <w:ind w:left="3600" w:hanging="360"/>
      </w:pPr>
      <w:rPr>
        <w:rFonts w:ascii="OpenSymbol" w:hAnsi="OpenSymbol" w:cs="OpenSymbol" w:hint="default"/>
      </w:rPr>
    </w:lvl>
  </w:abstractNum>
  <w:num w:numId="1">
    <w:abstractNumId w:val="7"/>
  </w:num>
  <w:num w:numId="2">
    <w:abstractNumId w:val="8"/>
  </w:num>
  <w:num w:numId="3">
    <w:abstractNumId w:val="3"/>
  </w:num>
  <w:num w:numId="4">
    <w:abstractNumId w:val="5"/>
  </w:num>
  <w:num w:numId="5">
    <w:abstractNumId w:val="1"/>
  </w:num>
  <w:num w:numId="6">
    <w:abstractNumId w:val="6"/>
  </w:num>
  <w:num w:numId="7">
    <w:abstractNumId w:val="0"/>
  </w:num>
  <w:num w:numId="8">
    <w:abstractNumId w:val="2"/>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hideSpellingErrors/>
  <w:activeWritingStyle w:appName="MSWord" w:lang="en-US" w:vendorID="64" w:dllVersion="131078" w:nlCheck="1" w:checkStyle="1"/>
  <w:activeWritingStyle w:appName="MSWord" w:lang="en-US" w:vendorID="2" w:dllVersion="6" w:checkStyle="1"/>
  <w:defaultTabStop w:val="720"/>
  <w:hyphenationZone w:val="283"/>
  <w:characterSpacingControl w:val="doNotCompress"/>
  <w:footnotePr>
    <w:footnote w:id="0"/>
    <w:footnote w:id="1"/>
  </w:footnotePr>
  <w:endnotePr>
    <w:endnote w:id="0"/>
    <w:endnote w:id="1"/>
  </w:endnotePr>
  <w:compat>
    <w:useFELayout/>
  </w:compat>
  <w:rsids>
    <w:rsidRoot w:val="00A0541C"/>
    <w:rsid w:val="00002DD3"/>
    <w:rsid w:val="00026B84"/>
    <w:rsid w:val="00035577"/>
    <w:rsid w:val="0005178D"/>
    <w:rsid w:val="00083DB7"/>
    <w:rsid w:val="000B442E"/>
    <w:rsid w:val="000D0594"/>
    <w:rsid w:val="00114618"/>
    <w:rsid w:val="001710E4"/>
    <w:rsid w:val="00194604"/>
    <w:rsid w:val="001A144A"/>
    <w:rsid w:val="001A6334"/>
    <w:rsid w:val="001E5BE4"/>
    <w:rsid w:val="00210647"/>
    <w:rsid w:val="00236C91"/>
    <w:rsid w:val="002606F6"/>
    <w:rsid w:val="00263CC8"/>
    <w:rsid w:val="0026553B"/>
    <w:rsid w:val="00271128"/>
    <w:rsid w:val="002824C9"/>
    <w:rsid w:val="002A7C81"/>
    <w:rsid w:val="002B0C0F"/>
    <w:rsid w:val="00302282"/>
    <w:rsid w:val="003352BF"/>
    <w:rsid w:val="00367195"/>
    <w:rsid w:val="00397330"/>
    <w:rsid w:val="003A701E"/>
    <w:rsid w:val="003C7BCD"/>
    <w:rsid w:val="004E5999"/>
    <w:rsid w:val="00570A61"/>
    <w:rsid w:val="00595224"/>
    <w:rsid w:val="0066052B"/>
    <w:rsid w:val="00670995"/>
    <w:rsid w:val="0068558B"/>
    <w:rsid w:val="006F0EF7"/>
    <w:rsid w:val="00743FB5"/>
    <w:rsid w:val="00752072"/>
    <w:rsid w:val="00753303"/>
    <w:rsid w:val="0078256D"/>
    <w:rsid w:val="007E5013"/>
    <w:rsid w:val="00850E8B"/>
    <w:rsid w:val="008707F0"/>
    <w:rsid w:val="008A7DB9"/>
    <w:rsid w:val="008E3459"/>
    <w:rsid w:val="0091018A"/>
    <w:rsid w:val="009136A0"/>
    <w:rsid w:val="00934507"/>
    <w:rsid w:val="009506D3"/>
    <w:rsid w:val="009512BB"/>
    <w:rsid w:val="009A6745"/>
    <w:rsid w:val="009E1356"/>
    <w:rsid w:val="009F0C3E"/>
    <w:rsid w:val="009F1675"/>
    <w:rsid w:val="00A0541C"/>
    <w:rsid w:val="00A70185"/>
    <w:rsid w:val="00A71E02"/>
    <w:rsid w:val="00A731E3"/>
    <w:rsid w:val="00A908D4"/>
    <w:rsid w:val="00A94EB7"/>
    <w:rsid w:val="00AA2842"/>
    <w:rsid w:val="00B07E28"/>
    <w:rsid w:val="00B460A6"/>
    <w:rsid w:val="00B7042D"/>
    <w:rsid w:val="00B8390D"/>
    <w:rsid w:val="00BC2DED"/>
    <w:rsid w:val="00CD2867"/>
    <w:rsid w:val="00CE1D88"/>
    <w:rsid w:val="00D325B6"/>
    <w:rsid w:val="00D81125"/>
    <w:rsid w:val="00DA0582"/>
    <w:rsid w:val="00DA69E8"/>
    <w:rsid w:val="00DC65EE"/>
    <w:rsid w:val="00DD65D1"/>
    <w:rsid w:val="00DE6E74"/>
    <w:rsid w:val="00E74EE2"/>
    <w:rsid w:val="00EB42CB"/>
    <w:rsid w:val="00F11D03"/>
    <w:rsid w:val="00F222F5"/>
    <w:rsid w:val="00F813FD"/>
    <w:rsid w:val="00FB77AB"/>
    <w:rsid w:val="00FC2832"/>
    <w:rsid w:val="00FE0056"/>
  </w:rsids>
  <m:mathPr>
    <m:mathFont m:val="Cambria Math"/>
    <m:brkBin m:val="before"/>
    <m:brkBinSub m:val="--"/>
    <m:smallFrac/>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it-IT"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rsid w:val="00934507"/>
    <w:pPr>
      <w:widowControl w:val="0"/>
      <w:tabs>
        <w:tab w:val="left" w:pos="709"/>
      </w:tabs>
      <w:suppressAutoHyphens/>
      <w:spacing w:after="200" w:line="276" w:lineRule="atLeast"/>
    </w:pPr>
    <w:rPr>
      <w:rFonts w:ascii="Calibri" w:eastAsia="DejaVu Sans" w:hAnsi="Calibri" w:cs="Lohit Hindi"/>
      <w:color w:val="00000A"/>
      <w:sz w:val="22"/>
      <w:szCs w:val="22"/>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itolo11">
    <w:name w:val="Titolo 11"/>
    <w:basedOn w:val="Titolo1"/>
    <w:rsid w:val="00934507"/>
  </w:style>
  <w:style w:type="character" w:customStyle="1" w:styleId="ListLabel1">
    <w:name w:val="ListLabel 1"/>
    <w:rsid w:val="00934507"/>
  </w:style>
  <w:style w:type="character" w:customStyle="1" w:styleId="ListLabel2">
    <w:name w:val="ListLabel 2"/>
    <w:rsid w:val="00934507"/>
  </w:style>
  <w:style w:type="character" w:customStyle="1" w:styleId="ListLabel3">
    <w:name w:val="ListLabel 3"/>
    <w:rsid w:val="00934507"/>
  </w:style>
  <w:style w:type="character" w:customStyle="1" w:styleId="ListLabel4">
    <w:name w:val="ListLabel 4"/>
    <w:rsid w:val="00934507"/>
  </w:style>
  <w:style w:type="character" w:customStyle="1" w:styleId="ListLabel5">
    <w:name w:val="ListLabel 5"/>
    <w:rsid w:val="00934507"/>
  </w:style>
  <w:style w:type="character" w:customStyle="1" w:styleId="ListLabel6">
    <w:name w:val="ListLabel 6"/>
    <w:rsid w:val="00934507"/>
  </w:style>
  <w:style w:type="character" w:customStyle="1" w:styleId="ListLabel7">
    <w:name w:val="ListLabel 7"/>
    <w:rsid w:val="00934507"/>
    <w:rPr>
      <w:rFonts w:cs="Symbol"/>
    </w:rPr>
  </w:style>
  <w:style w:type="character" w:customStyle="1" w:styleId="ListLabel8">
    <w:name w:val="ListLabel 8"/>
    <w:rsid w:val="00934507"/>
    <w:rPr>
      <w:rFonts w:cs="OpenSymbol"/>
    </w:rPr>
  </w:style>
  <w:style w:type="character" w:customStyle="1" w:styleId="ListLabel9">
    <w:name w:val="ListLabel 9"/>
    <w:rsid w:val="00934507"/>
    <w:rPr>
      <w:rFonts w:cs="Symbol"/>
    </w:rPr>
  </w:style>
  <w:style w:type="character" w:customStyle="1" w:styleId="ListLabel10">
    <w:name w:val="ListLabel 10"/>
    <w:rsid w:val="00934507"/>
    <w:rPr>
      <w:rFonts w:cs="OpenSymbol"/>
    </w:rPr>
  </w:style>
  <w:style w:type="character" w:customStyle="1" w:styleId="ListLabel11">
    <w:name w:val="ListLabel 11"/>
    <w:rsid w:val="00934507"/>
    <w:rPr>
      <w:rFonts w:cs="Symbol"/>
    </w:rPr>
  </w:style>
  <w:style w:type="character" w:customStyle="1" w:styleId="ListLabel12">
    <w:name w:val="ListLabel 12"/>
    <w:rsid w:val="00934507"/>
    <w:rPr>
      <w:rFonts w:cs="OpenSymbol"/>
    </w:rPr>
  </w:style>
  <w:style w:type="character" w:customStyle="1" w:styleId="ListLabel13">
    <w:name w:val="ListLabel 13"/>
    <w:rsid w:val="00934507"/>
    <w:rPr>
      <w:rFonts w:cs="Symbol"/>
    </w:rPr>
  </w:style>
  <w:style w:type="character" w:customStyle="1" w:styleId="ListLabel14">
    <w:name w:val="ListLabel 14"/>
    <w:rsid w:val="00934507"/>
    <w:rPr>
      <w:rFonts w:cs="OpenSymbol"/>
    </w:rPr>
  </w:style>
  <w:style w:type="character" w:customStyle="1" w:styleId="ListLabel15">
    <w:name w:val="ListLabel 15"/>
    <w:rsid w:val="00934507"/>
    <w:rPr>
      <w:rFonts w:cs="Symbol"/>
    </w:rPr>
  </w:style>
  <w:style w:type="character" w:customStyle="1" w:styleId="ListLabel16">
    <w:name w:val="ListLabel 16"/>
    <w:rsid w:val="00934507"/>
    <w:rPr>
      <w:rFonts w:cs="OpenSymbol"/>
    </w:rPr>
  </w:style>
  <w:style w:type="character" w:customStyle="1" w:styleId="ListLabel17">
    <w:name w:val="ListLabel 17"/>
    <w:rsid w:val="00934507"/>
    <w:rPr>
      <w:rFonts w:cs="Symbol"/>
    </w:rPr>
  </w:style>
  <w:style w:type="character" w:customStyle="1" w:styleId="ListLabel18">
    <w:name w:val="ListLabel 18"/>
    <w:rsid w:val="00934507"/>
    <w:rPr>
      <w:rFonts w:cs="OpenSymbol"/>
    </w:rPr>
  </w:style>
  <w:style w:type="character" w:customStyle="1" w:styleId="Punti">
    <w:name w:val="Punti"/>
    <w:rsid w:val="00934507"/>
    <w:rPr>
      <w:rFonts w:ascii="OpenSymbol" w:eastAsia="OpenSymbol" w:hAnsi="OpenSymbol" w:cs="OpenSymbol"/>
    </w:rPr>
  </w:style>
  <w:style w:type="character" w:customStyle="1" w:styleId="ListLabel19">
    <w:name w:val="ListLabel 19"/>
    <w:rsid w:val="00934507"/>
    <w:rPr>
      <w:rFonts w:cs="Symbol"/>
    </w:rPr>
  </w:style>
  <w:style w:type="character" w:customStyle="1" w:styleId="ListLabel20">
    <w:name w:val="ListLabel 20"/>
    <w:rsid w:val="00934507"/>
    <w:rPr>
      <w:rFonts w:cs="OpenSymbol"/>
    </w:rPr>
  </w:style>
  <w:style w:type="character" w:customStyle="1" w:styleId="CollegamentoInternet">
    <w:name w:val="Collegamento Internet"/>
    <w:rsid w:val="00934507"/>
    <w:rPr>
      <w:color w:val="000080"/>
      <w:u w:val="single"/>
      <w:lang w:val="it-IT" w:eastAsia="it-IT" w:bidi="it-IT"/>
    </w:rPr>
  </w:style>
  <w:style w:type="character" w:customStyle="1" w:styleId="ListLabel21">
    <w:name w:val="ListLabel 21"/>
    <w:rsid w:val="00934507"/>
    <w:rPr>
      <w:rFonts w:cs="Symbol"/>
    </w:rPr>
  </w:style>
  <w:style w:type="character" w:customStyle="1" w:styleId="ListLabel22">
    <w:name w:val="ListLabel 22"/>
    <w:rsid w:val="00934507"/>
    <w:rPr>
      <w:rFonts w:cs="OpenSymbol"/>
    </w:rPr>
  </w:style>
  <w:style w:type="character" w:customStyle="1" w:styleId="ListLabel23">
    <w:name w:val="ListLabel 23"/>
    <w:rsid w:val="00934507"/>
    <w:rPr>
      <w:rFonts w:cs="Symbol"/>
    </w:rPr>
  </w:style>
  <w:style w:type="character" w:customStyle="1" w:styleId="ListLabel24">
    <w:name w:val="ListLabel 24"/>
    <w:rsid w:val="00934507"/>
    <w:rPr>
      <w:rFonts w:cs="OpenSymbol"/>
    </w:rPr>
  </w:style>
  <w:style w:type="character" w:customStyle="1" w:styleId="ListLabel25">
    <w:name w:val="ListLabel 25"/>
    <w:rsid w:val="00934507"/>
    <w:rPr>
      <w:rFonts w:cs="Symbol"/>
    </w:rPr>
  </w:style>
  <w:style w:type="character" w:customStyle="1" w:styleId="ListLabel26">
    <w:name w:val="ListLabel 26"/>
    <w:rsid w:val="00934507"/>
    <w:rPr>
      <w:rFonts w:cs="OpenSymbol"/>
    </w:rPr>
  </w:style>
  <w:style w:type="character" w:customStyle="1" w:styleId="ListLabel27">
    <w:name w:val="ListLabel 27"/>
    <w:rsid w:val="00934507"/>
    <w:rPr>
      <w:rFonts w:cs="Symbol"/>
    </w:rPr>
  </w:style>
  <w:style w:type="character" w:customStyle="1" w:styleId="ListLabel28">
    <w:name w:val="ListLabel 28"/>
    <w:rsid w:val="00934507"/>
    <w:rPr>
      <w:rFonts w:cs="OpenSymbol"/>
    </w:rPr>
  </w:style>
  <w:style w:type="character" w:customStyle="1" w:styleId="ListLabel29">
    <w:name w:val="ListLabel 29"/>
    <w:rsid w:val="00934507"/>
    <w:rPr>
      <w:rFonts w:cs="Symbol"/>
    </w:rPr>
  </w:style>
  <w:style w:type="character" w:customStyle="1" w:styleId="ListLabel30">
    <w:name w:val="ListLabel 30"/>
    <w:rsid w:val="00934507"/>
    <w:rPr>
      <w:rFonts w:cs="OpenSymbol"/>
    </w:rPr>
  </w:style>
  <w:style w:type="paragraph" w:customStyle="1" w:styleId="Titolo1">
    <w:name w:val="Titolo1"/>
    <w:basedOn w:val="Normale"/>
    <w:next w:val="Corpodeltesto1"/>
    <w:rsid w:val="00934507"/>
    <w:pPr>
      <w:keepNext/>
      <w:spacing w:before="240" w:after="120"/>
    </w:pPr>
    <w:rPr>
      <w:rFonts w:ascii="Liberation Sans" w:hAnsi="Liberation Sans"/>
      <w:sz w:val="28"/>
      <w:szCs w:val="28"/>
    </w:rPr>
  </w:style>
  <w:style w:type="paragraph" w:customStyle="1" w:styleId="Corpodeltesto1">
    <w:name w:val="Corpo del testo1"/>
    <w:basedOn w:val="Normale"/>
    <w:rsid w:val="00934507"/>
    <w:pPr>
      <w:spacing w:after="120"/>
    </w:pPr>
  </w:style>
  <w:style w:type="paragraph" w:customStyle="1" w:styleId="Elenco1">
    <w:name w:val="Elenco1"/>
    <w:basedOn w:val="Corpodeltesto1"/>
    <w:rsid w:val="00934507"/>
  </w:style>
  <w:style w:type="paragraph" w:customStyle="1" w:styleId="Didascalia1">
    <w:name w:val="Didascalia1"/>
    <w:basedOn w:val="Normale"/>
    <w:rsid w:val="00934507"/>
    <w:pPr>
      <w:suppressLineNumbers/>
      <w:spacing w:before="120" w:after="120"/>
    </w:pPr>
    <w:rPr>
      <w:rFonts w:ascii="Liberation Serif" w:hAnsi="Liberation Serif"/>
      <w:i/>
      <w:iCs/>
      <w:sz w:val="24"/>
      <w:szCs w:val="24"/>
      <w:lang w:val="it-IT" w:eastAsia="zh-CN" w:bidi="hi-IN"/>
    </w:rPr>
  </w:style>
  <w:style w:type="paragraph" w:customStyle="1" w:styleId="Indice">
    <w:name w:val="Indice"/>
    <w:basedOn w:val="Normale"/>
    <w:rsid w:val="00934507"/>
    <w:pPr>
      <w:suppressLineNumbers/>
    </w:pPr>
  </w:style>
  <w:style w:type="paragraph" w:customStyle="1" w:styleId="Intestazione1">
    <w:name w:val="Intestazione 1"/>
    <w:rsid w:val="00934507"/>
    <w:pPr>
      <w:widowControl w:val="0"/>
      <w:suppressAutoHyphens/>
    </w:pPr>
    <w:rPr>
      <w:rFonts w:ascii="Liberation Serif" w:eastAsia="DejaVu Sans" w:hAnsi="Liberation Serif" w:cs="Lohit Hindi"/>
      <w:color w:val="00000A"/>
      <w:lang w:eastAsia="zh-CN" w:bidi="hi-IN"/>
    </w:rPr>
  </w:style>
  <w:style w:type="paragraph" w:customStyle="1" w:styleId="Intestazione10">
    <w:name w:val="Intestazione1"/>
    <w:basedOn w:val="Normale"/>
    <w:rsid w:val="00934507"/>
    <w:pPr>
      <w:keepNext/>
      <w:spacing w:before="240" w:after="120"/>
    </w:pPr>
    <w:rPr>
      <w:rFonts w:ascii="Liberation Sans" w:hAnsi="Liberation Sans" w:cs="DejaVu Sans"/>
      <w:sz w:val="28"/>
      <w:szCs w:val="28"/>
      <w:lang w:val="it-IT" w:eastAsia="zh-CN" w:bidi="hi-IN"/>
    </w:rPr>
  </w:style>
  <w:style w:type="paragraph" w:customStyle="1" w:styleId="Rigadintestazione">
    <w:name w:val="Riga d'intestazione"/>
    <w:basedOn w:val="Normale"/>
    <w:rsid w:val="00934507"/>
    <w:pPr>
      <w:keepNext/>
      <w:suppressLineNumbers/>
      <w:tabs>
        <w:tab w:val="center" w:pos="4986"/>
        <w:tab w:val="right" w:pos="9972"/>
      </w:tabs>
      <w:spacing w:before="240" w:after="120"/>
    </w:pPr>
    <w:rPr>
      <w:rFonts w:ascii="Liberation Sans" w:hAnsi="Liberation Sans"/>
      <w:sz w:val="28"/>
      <w:szCs w:val="28"/>
    </w:rPr>
  </w:style>
  <w:style w:type="paragraph" w:customStyle="1" w:styleId="Default">
    <w:name w:val="Default"/>
    <w:rsid w:val="00934507"/>
    <w:pPr>
      <w:tabs>
        <w:tab w:val="left" w:pos="709"/>
      </w:tabs>
      <w:suppressAutoHyphens/>
      <w:spacing w:after="200" w:line="276" w:lineRule="atLeast"/>
    </w:pPr>
    <w:rPr>
      <w:rFonts w:ascii="Calibri" w:eastAsia="DejaVu Sans" w:hAnsi="Calibri" w:cs="Lohit Hindi"/>
      <w:color w:val="00000A"/>
      <w:sz w:val="22"/>
      <w:szCs w:val="22"/>
      <w:lang w:val="en-US" w:eastAsia="en-US"/>
    </w:rPr>
  </w:style>
  <w:style w:type="paragraph" w:styleId="Didascalia">
    <w:name w:val="caption"/>
    <w:basedOn w:val="Normale"/>
    <w:rsid w:val="00934507"/>
  </w:style>
  <w:style w:type="paragraph" w:customStyle="1" w:styleId="Tesi">
    <w:name w:val="Tesi"/>
    <w:basedOn w:val="Normale"/>
    <w:rsid w:val="00934507"/>
  </w:style>
  <w:style w:type="paragraph" w:styleId="NormaleWeb">
    <w:name w:val="Normal (Web)"/>
    <w:basedOn w:val="Normale"/>
    <w:rsid w:val="00934507"/>
    <w:pPr>
      <w:spacing w:before="28" w:after="119"/>
    </w:pPr>
    <w:rPr>
      <w:rFonts w:ascii="Times" w:eastAsia="WenQuanYi Micro Hei;Times New R" w:hAnsi="Times" w:cs="Times"/>
    </w:rPr>
  </w:style>
  <w:style w:type="paragraph" w:styleId="Testofumetto">
    <w:name w:val="Balloon Text"/>
    <w:basedOn w:val="Normale"/>
    <w:link w:val="TestofumettoCarattere"/>
    <w:uiPriority w:val="99"/>
    <w:semiHidden/>
    <w:unhideWhenUsed/>
    <w:rsid w:val="00B460A6"/>
    <w:pPr>
      <w:spacing w:after="0" w:line="240" w:lineRule="auto"/>
    </w:pPr>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B460A6"/>
    <w:rPr>
      <w:rFonts w:ascii="Lucida Grande" w:eastAsia="DejaVu Sans" w:hAnsi="Lucida Grande" w:cs="Lucida Grande"/>
      <w:color w:val="00000A"/>
      <w:sz w:val="18"/>
      <w:szCs w:val="18"/>
      <w:lang w:val="en-US" w:eastAsia="en-US"/>
    </w:rPr>
  </w:style>
  <w:style w:type="paragraph" w:customStyle="1" w:styleId="NormaleWeb1">
    <w:name w:val="Normale (Web)1"/>
    <w:basedOn w:val="Normale"/>
    <w:rsid w:val="00A908D4"/>
    <w:pPr>
      <w:tabs>
        <w:tab w:val="clear" w:pos="709"/>
      </w:tabs>
      <w:spacing w:before="280" w:after="119" w:line="240" w:lineRule="auto"/>
    </w:pPr>
    <w:rPr>
      <w:rFonts w:ascii="Times" w:eastAsia="MS Mincho" w:hAnsi="Times" w:cs="Times New Roman"/>
      <w:color w:val="auto"/>
      <w:sz w:val="20"/>
      <w:szCs w:val="20"/>
      <w:lang w:val="it-IT" w:eastAsia="ar-SA"/>
    </w:rPr>
  </w:style>
  <w:style w:type="paragraph" w:customStyle="1" w:styleId="Contenutotabella">
    <w:name w:val="Contenuto tabella"/>
    <w:basedOn w:val="Normale"/>
    <w:rsid w:val="00F813FD"/>
    <w:pPr>
      <w:suppressLineNumbers/>
      <w:tabs>
        <w:tab w:val="clear" w:pos="709"/>
      </w:tabs>
      <w:spacing w:after="0" w:line="240" w:lineRule="auto"/>
    </w:pPr>
    <w:rPr>
      <w:rFonts w:ascii="Times New Roman" w:eastAsia="Times New Roman" w:hAnsi="Times New Roman" w:cs="Times New Roman"/>
      <w:color w:val="000000"/>
      <w:kern w:val="1"/>
      <w:sz w:val="24"/>
      <w:szCs w:val="24"/>
      <w:lang w:val="it-IT" w:eastAsia="ar-SA"/>
    </w:rPr>
  </w:style>
  <w:style w:type="paragraph" w:styleId="Pidipagina">
    <w:name w:val="footer"/>
    <w:basedOn w:val="Normale"/>
    <w:link w:val="PidipaginaCarattere"/>
    <w:uiPriority w:val="99"/>
    <w:unhideWhenUsed/>
    <w:rsid w:val="00670995"/>
    <w:pPr>
      <w:tabs>
        <w:tab w:val="clear" w:pos="709"/>
        <w:tab w:val="center" w:pos="4153"/>
        <w:tab w:val="right" w:pos="8306"/>
      </w:tabs>
      <w:spacing w:after="0" w:line="240" w:lineRule="auto"/>
    </w:pPr>
  </w:style>
  <w:style w:type="character" w:customStyle="1" w:styleId="PidipaginaCarattere">
    <w:name w:val="Piè di pagina Carattere"/>
    <w:basedOn w:val="Carpredefinitoparagrafo"/>
    <w:link w:val="Pidipagina"/>
    <w:uiPriority w:val="99"/>
    <w:rsid w:val="00670995"/>
    <w:rPr>
      <w:rFonts w:ascii="Calibri" w:eastAsia="DejaVu Sans" w:hAnsi="Calibri" w:cs="Lohit Hindi"/>
      <w:color w:val="00000A"/>
      <w:sz w:val="22"/>
      <w:szCs w:val="22"/>
      <w:lang w:val="en-US" w:eastAsia="en-US"/>
    </w:rPr>
  </w:style>
  <w:style w:type="character" w:styleId="Numeropagina">
    <w:name w:val="page number"/>
    <w:basedOn w:val="Carpredefinitoparagrafo"/>
    <w:uiPriority w:val="99"/>
    <w:semiHidden/>
    <w:unhideWhenUsed/>
    <w:rsid w:val="00670995"/>
  </w:style>
  <w:style w:type="paragraph" w:styleId="Corpodeltesto">
    <w:name w:val="Body Text"/>
    <w:basedOn w:val="Normale"/>
    <w:link w:val="CorpodeltestoCarattere"/>
    <w:rsid w:val="002824C9"/>
    <w:pPr>
      <w:tabs>
        <w:tab w:val="clear" w:pos="709"/>
      </w:tabs>
      <w:spacing w:after="120" w:line="240" w:lineRule="auto"/>
    </w:pPr>
    <w:rPr>
      <w:rFonts w:ascii="Arial Standard" w:eastAsia="SimSun" w:hAnsi="Arial Standard" w:cs="Mangal"/>
      <w:color w:val="auto"/>
      <w:kern w:val="1"/>
      <w:sz w:val="24"/>
      <w:szCs w:val="24"/>
      <w:lang w:val="it-IT" w:eastAsia="zh-CN" w:bidi="hi-IN"/>
    </w:rPr>
  </w:style>
  <w:style w:type="character" w:customStyle="1" w:styleId="CorpodeltestoCarattere">
    <w:name w:val="Corpo del testo Carattere"/>
    <w:basedOn w:val="Carpredefinitoparagrafo"/>
    <w:link w:val="Corpodeltesto"/>
    <w:rsid w:val="002824C9"/>
    <w:rPr>
      <w:rFonts w:ascii="Arial Standard" w:eastAsia="SimSun" w:hAnsi="Arial Standard" w:cs="Mangal"/>
      <w:kern w:val="1"/>
      <w:lang w:eastAsia="zh-CN" w:bidi="hi-IN"/>
    </w:rPr>
  </w:style>
</w:styles>
</file>

<file path=word/webSettings.xml><?xml version="1.0" encoding="utf-8"?>
<w:webSettings xmlns:r="http://schemas.openxmlformats.org/officeDocument/2006/relationships" xmlns:w="http://schemas.openxmlformats.org/wordprocessingml/2006/main">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19.png"/><Relationship Id="rId39" Type="http://schemas.openxmlformats.org/officeDocument/2006/relationships/image" Target="media/image32.png"/><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yperlink" Target="http://www.fmrib.ox.ac.jk/fsl/" TargetMode="External"/><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2.png"/><Relationship Id="rId41" Type="http://schemas.openxmlformats.org/officeDocument/2006/relationships/image" Target="media/image34.png"/><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8" Type="http://schemas.openxmlformats.org/officeDocument/2006/relationships/image" Target="media/image2.jpeg"/><Relationship Id="rId51"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4884</TotalTime>
  <Pages>103</Pages>
  <Words>25547</Words>
  <Characters>145624</Characters>
  <Application>Microsoft Office Word</Application>
  <DocSecurity>0</DocSecurity>
  <Lines>1213</Lines>
  <Paragraphs>341</Paragraphs>
  <ScaleCrop>false</ScaleCrop>
  <Company/>
  <LinksUpToDate>false</LinksUpToDate>
  <CharactersWithSpaces>170830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Hsr</dc:creator>
  <cp:lastModifiedBy>PC PLOTTAGGI</cp:lastModifiedBy>
  <cp:revision>47</cp:revision>
  <dcterms:created xsi:type="dcterms:W3CDTF">2013-09-12T14:32:00Z</dcterms:created>
  <dcterms:modified xsi:type="dcterms:W3CDTF">2014-01-13T10:55:00Z</dcterms:modified>
</cp:coreProperties>
</file>