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D5C" w:rsidRDefault="00331D5C" w:rsidP="00331D5C">
      <w:pPr>
        <w:shd w:val="clear" w:color="auto" w:fill="FFFFFF"/>
        <w:spacing w:line="360" w:lineRule="auto"/>
        <w:ind w:right="-82" w:firstLine="540"/>
        <w:jc w:val="both"/>
        <w:rPr>
          <w:rStyle w:val="Enfasigrassetto"/>
          <w:b w:val="0"/>
          <w:sz w:val="22"/>
          <w:szCs w:val="22"/>
          <w:lang w:val="it-IT"/>
        </w:rPr>
      </w:pPr>
      <w:r w:rsidRPr="00C66726">
        <w:rPr>
          <w:rStyle w:val="Enfasigrassetto"/>
          <w:sz w:val="22"/>
          <w:szCs w:val="22"/>
          <w:lang w:val="it-IT"/>
        </w:rPr>
        <w:t>Trib. Santa Maria Capua Vetere</w:t>
      </w:r>
      <w:r>
        <w:rPr>
          <w:rStyle w:val="Enfasigrassetto"/>
          <w:b w:val="0"/>
          <w:sz w:val="22"/>
          <w:szCs w:val="22"/>
          <w:lang w:val="it-IT"/>
        </w:rPr>
        <w:t xml:space="preserve">, </w:t>
      </w:r>
      <w:r w:rsidRPr="001D5CE9">
        <w:rPr>
          <w:rStyle w:val="Enfasigrassetto"/>
          <w:sz w:val="22"/>
          <w:szCs w:val="22"/>
          <w:lang w:val="it-IT"/>
        </w:rPr>
        <w:t>8 aprile 2013 – Est. Martorana</w:t>
      </w:r>
    </w:p>
    <w:p w:rsidR="00331D5C" w:rsidRDefault="00331D5C" w:rsidP="00331D5C">
      <w:pPr>
        <w:shd w:val="clear" w:color="auto" w:fill="FFFFFF"/>
        <w:spacing w:line="360" w:lineRule="auto"/>
        <w:ind w:right="-82" w:firstLine="540"/>
        <w:jc w:val="both"/>
        <w:rPr>
          <w:rStyle w:val="Enfasigrassetto"/>
          <w:b w:val="0"/>
          <w:sz w:val="22"/>
          <w:szCs w:val="22"/>
          <w:lang w:val="it-IT"/>
        </w:rPr>
      </w:pPr>
    </w:p>
    <w:p w:rsidR="00331D5C" w:rsidRPr="00C66726" w:rsidRDefault="00331D5C" w:rsidP="00331D5C">
      <w:pPr>
        <w:shd w:val="clear" w:color="auto" w:fill="FFFFFF"/>
        <w:spacing w:line="360" w:lineRule="auto"/>
        <w:ind w:right="-82" w:firstLine="540"/>
        <w:jc w:val="both"/>
        <w:rPr>
          <w:rStyle w:val="Enfasigrassetto"/>
          <w:sz w:val="22"/>
          <w:szCs w:val="22"/>
          <w:lang w:val="it-IT"/>
        </w:rPr>
      </w:pPr>
      <w:r w:rsidRPr="00C66726">
        <w:rPr>
          <w:rStyle w:val="Enfasigrassetto"/>
          <w:sz w:val="22"/>
          <w:szCs w:val="22"/>
          <w:lang w:val="it-IT"/>
        </w:rPr>
        <w:t xml:space="preserve">Impugnazione del licenziamento - Illegittimità – Collegato Lavoro – Decreto Milleproroghe – Differimento – Decadenza </w:t>
      </w:r>
    </w:p>
    <w:p w:rsidR="00331D5C" w:rsidRDefault="00331D5C" w:rsidP="00331D5C">
      <w:pPr>
        <w:shd w:val="clear" w:color="auto" w:fill="FFFFFF"/>
        <w:spacing w:line="360" w:lineRule="auto"/>
        <w:ind w:right="-82" w:firstLine="540"/>
        <w:jc w:val="both"/>
        <w:rPr>
          <w:rStyle w:val="Enfasigrassetto"/>
          <w:b w:val="0"/>
          <w:sz w:val="22"/>
          <w:szCs w:val="22"/>
          <w:lang w:val="it-IT"/>
        </w:rPr>
      </w:pPr>
    </w:p>
    <w:p w:rsidR="00331D5C" w:rsidRDefault="00331D5C" w:rsidP="00331D5C">
      <w:pPr>
        <w:shd w:val="clear" w:color="auto" w:fill="FFFFFF"/>
        <w:spacing w:line="360" w:lineRule="auto"/>
        <w:ind w:right="-82" w:firstLine="540"/>
        <w:jc w:val="both"/>
        <w:rPr>
          <w:rStyle w:val="Enfasigrassetto"/>
          <w:b w:val="0"/>
          <w:sz w:val="22"/>
          <w:szCs w:val="22"/>
          <w:lang w:val="it-IT"/>
        </w:rPr>
      </w:pPr>
      <w:r>
        <w:rPr>
          <w:rStyle w:val="Enfasigrassetto"/>
          <w:b w:val="0"/>
          <w:sz w:val="22"/>
          <w:szCs w:val="22"/>
          <w:lang w:val="it-IT"/>
        </w:rPr>
        <w:t xml:space="preserve"> </w:t>
      </w:r>
    </w:p>
    <w:p w:rsidR="00331D5C" w:rsidRPr="00C66726" w:rsidRDefault="00331D5C" w:rsidP="00331D5C">
      <w:pPr>
        <w:shd w:val="clear" w:color="auto" w:fill="FFFFFF"/>
        <w:spacing w:line="360" w:lineRule="auto"/>
        <w:ind w:right="-82" w:firstLine="540"/>
        <w:jc w:val="both"/>
        <w:rPr>
          <w:rStyle w:val="Enfasigrassetto"/>
          <w:b w:val="0"/>
          <w:i/>
          <w:sz w:val="22"/>
          <w:szCs w:val="22"/>
          <w:lang w:val="it-IT"/>
        </w:rPr>
      </w:pPr>
      <w:r w:rsidRPr="00C66726">
        <w:rPr>
          <w:rStyle w:val="Enfasigrassetto"/>
          <w:b w:val="0"/>
          <w:i/>
          <w:sz w:val="22"/>
          <w:szCs w:val="22"/>
          <w:lang w:val="it-IT"/>
        </w:rPr>
        <w:t>Stante la lettera di cui all’art. 2, comma 54, del Decreto “Milleproroghe”, che differisce al 31 dicembre 2011 il solo termine di sessanta giorni per l’impugnazione del licenziamento illegittimo, rimane efficace la previsione del termine decadenziale dei 270 giorni per l’instaurazione del relativo giudizio, con la conseguenza che il ricorso introduttivo, che sia stato depositato ben oltre i 270 giorni dalla concreta impugnazione del licenziamento, non può essere accolto per intervenuta decadenza.</w:t>
      </w:r>
    </w:p>
    <w:p w:rsidR="00331D5C" w:rsidRDefault="00331D5C" w:rsidP="00331D5C">
      <w:pPr>
        <w:shd w:val="clear" w:color="auto" w:fill="FFFFFF"/>
        <w:spacing w:line="360" w:lineRule="auto"/>
        <w:ind w:right="-82" w:firstLine="540"/>
        <w:jc w:val="both"/>
        <w:rPr>
          <w:rStyle w:val="Enfasigrassetto"/>
          <w:b w:val="0"/>
          <w:sz w:val="22"/>
          <w:szCs w:val="22"/>
          <w:lang w:val="it-IT"/>
        </w:rPr>
      </w:pPr>
    </w:p>
    <w:p w:rsidR="00331D5C" w:rsidRPr="00C66726" w:rsidRDefault="00331D5C" w:rsidP="00331D5C">
      <w:pPr>
        <w:pStyle w:val="NormaleWeb"/>
        <w:spacing w:before="0" w:beforeAutospacing="0" w:after="0" w:afterAutospacing="0" w:line="360" w:lineRule="auto"/>
        <w:jc w:val="both"/>
        <w:rPr>
          <w:rFonts w:ascii="Times New Roman" w:hAnsi="Times New Roman"/>
          <w:i w:val="0"/>
          <w:color w:val="auto"/>
          <w:sz w:val="24"/>
          <w:szCs w:val="24"/>
        </w:rPr>
      </w:pPr>
      <w:r w:rsidRPr="00C66726">
        <w:rPr>
          <w:rFonts w:ascii="Times New Roman" w:hAnsi="Times New Roman"/>
          <w:i w:val="0"/>
          <w:color w:val="auto"/>
          <w:sz w:val="24"/>
          <w:szCs w:val="24"/>
        </w:rPr>
        <w:t>Va preliminarmente evidenziato che l'istante, con ricorso depositato in data 21 settembre 2012, agisce in giudizio al fine di veder dichiarare l'illegittimità del licenziamento intimatogli in data 25.3.2011 e per l'effetto ordinare la reintegra nel posto di lavoro precedentemente occupato, invocando pertanto la norma di cui all'art. 18 della legge n. 300 del 1970.</w:t>
      </w:r>
    </w:p>
    <w:p w:rsidR="00331D5C" w:rsidRPr="00C66726" w:rsidRDefault="00331D5C" w:rsidP="00331D5C">
      <w:pPr>
        <w:pStyle w:val="NormaleWeb"/>
        <w:spacing w:before="0" w:beforeAutospacing="0" w:after="0" w:afterAutospacing="0" w:line="360" w:lineRule="auto"/>
        <w:jc w:val="both"/>
        <w:rPr>
          <w:rFonts w:ascii="Times New Roman" w:hAnsi="Times New Roman"/>
          <w:i w:val="0"/>
          <w:color w:val="auto"/>
          <w:sz w:val="24"/>
          <w:szCs w:val="24"/>
        </w:rPr>
      </w:pPr>
      <w:r w:rsidRPr="00C66726">
        <w:rPr>
          <w:rFonts w:ascii="Times New Roman" w:hAnsi="Times New Roman"/>
          <w:i w:val="0"/>
          <w:color w:val="auto"/>
          <w:sz w:val="24"/>
          <w:szCs w:val="24"/>
        </w:rPr>
        <w:t xml:space="preserve">Risulta pertanto applicabile </w:t>
      </w:r>
      <w:r w:rsidRPr="00C66726">
        <w:rPr>
          <w:rFonts w:ascii="Times New Roman" w:hAnsi="Times New Roman"/>
          <w:i w:val="0"/>
          <w:iCs w:val="0"/>
          <w:color w:val="auto"/>
          <w:sz w:val="24"/>
          <w:szCs w:val="24"/>
        </w:rPr>
        <w:t xml:space="preserve">ratione temporis </w:t>
      </w:r>
      <w:r w:rsidRPr="00C66726">
        <w:rPr>
          <w:rFonts w:ascii="Times New Roman" w:hAnsi="Times New Roman"/>
          <w:i w:val="0"/>
          <w:color w:val="auto"/>
          <w:sz w:val="24"/>
          <w:szCs w:val="24"/>
        </w:rPr>
        <w:t xml:space="preserve">alla fattispecie la disciplina processuale di cui ai commi da </w:t>
      </w:r>
      <w:smartTag w:uri="urn:schemas-microsoft-com:office:smarttags" w:element="metricconverter">
        <w:smartTagPr>
          <w:attr w:name="ProductID" w:val="48 a"/>
        </w:smartTagPr>
        <w:r w:rsidRPr="00C66726">
          <w:rPr>
            <w:rFonts w:ascii="Times New Roman" w:hAnsi="Times New Roman"/>
            <w:i w:val="0"/>
            <w:color w:val="auto"/>
            <w:sz w:val="24"/>
            <w:szCs w:val="24"/>
          </w:rPr>
          <w:t>48 a</w:t>
        </w:r>
      </w:smartTag>
      <w:r w:rsidRPr="00C66726">
        <w:rPr>
          <w:rFonts w:ascii="Times New Roman" w:hAnsi="Times New Roman"/>
          <w:i w:val="0"/>
          <w:color w:val="auto"/>
          <w:sz w:val="24"/>
          <w:szCs w:val="24"/>
        </w:rPr>
        <w:t xml:space="preserve"> 68 dell'art. 1 della legge n. 92/2012, operante – dice il comma 47 – per “le controversie aventi ad oggetto l'impugnativa dei licenziamenti nelle ipotesi regolate dall'articolo 18 della legge 20 maggio 1970, n. 300, e successive modificazioni, anche quando devono essere risolte questioni relative alla qualificazione del rapporto di lavoro”, “controversie instaurate successivamente alla data di entrata in vigore della presente legge” (così, testualmente, il comma 67).</w:t>
      </w:r>
    </w:p>
    <w:p w:rsidR="00331D5C" w:rsidRPr="00C66726" w:rsidRDefault="00331D5C" w:rsidP="00331D5C">
      <w:pPr>
        <w:pStyle w:val="NormaleWeb"/>
        <w:spacing w:before="0" w:beforeAutospacing="0" w:after="0" w:afterAutospacing="0" w:line="360" w:lineRule="auto"/>
        <w:jc w:val="both"/>
        <w:rPr>
          <w:rFonts w:ascii="Times New Roman" w:hAnsi="Times New Roman"/>
          <w:i w:val="0"/>
          <w:color w:val="auto"/>
          <w:sz w:val="24"/>
          <w:szCs w:val="24"/>
        </w:rPr>
      </w:pPr>
      <w:r w:rsidRPr="00C66726">
        <w:rPr>
          <w:rFonts w:ascii="Times New Roman" w:hAnsi="Times New Roman"/>
          <w:i w:val="0"/>
          <w:color w:val="auto"/>
          <w:sz w:val="24"/>
          <w:szCs w:val="24"/>
        </w:rPr>
        <w:t>Essendo stato invece il licenziamento per cui è causa intimato in data antecedente all'entrata in vigore della legge n.92 del 2012 – pubblicata in Gazzetta Uff. 03/07/2012, n. 153 – dovrà applicarsi la disciplina sostanziale vigente all'epoca della sua intimazione.</w:t>
      </w:r>
    </w:p>
    <w:p w:rsidR="00331D5C" w:rsidRPr="00C66726" w:rsidRDefault="00331D5C" w:rsidP="00331D5C">
      <w:pPr>
        <w:pStyle w:val="NormaleWeb"/>
        <w:spacing w:before="0" w:beforeAutospacing="0" w:after="0" w:afterAutospacing="0" w:line="360" w:lineRule="auto"/>
        <w:jc w:val="both"/>
        <w:rPr>
          <w:rFonts w:ascii="Times New Roman" w:hAnsi="Times New Roman"/>
          <w:i w:val="0"/>
          <w:color w:val="auto"/>
          <w:sz w:val="24"/>
          <w:szCs w:val="24"/>
        </w:rPr>
      </w:pPr>
      <w:r w:rsidRPr="00C66726">
        <w:rPr>
          <w:rFonts w:ascii="Times New Roman" w:hAnsi="Times New Roman"/>
          <w:i w:val="0"/>
          <w:color w:val="auto"/>
          <w:sz w:val="24"/>
          <w:szCs w:val="24"/>
        </w:rPr>
        <w:t>Tanto premesso, il ricorso non può essere accolto per le ragioni esposte nella motivazione che segue.</w:t>
      </w:r>
    </w:p>
    <w:p w:rsidR="00331D5C" w:rsidRPr="00C66726" w:rsidRDefault="00331D5C" w:rsidP="00331D5C">
      <w:pPr>
        <w:pStyle w:val="NormaleWeb"/>
        <w:spacing w:before="0" w:beforeAutospacing="0" w:after="0" w:afterAutospacing="0" w:line="360" w:lineRule="auto"/>
        <w:jc w:val="both"/>
        <w:rPr>
          <w:rFonts w:ascii="Times New Roman" w:hAnsi="Times New Roman"/>
          <w:i w:val="0"/>
          <w:color w:val="auto"/>
          <w:sz w:val="24"/>
          <w:szCs w:val="24"/>
        </w:rPr>
      </w:pPr>
      <w:r w:rsidRPr="00C66726">
        <w:rPr>
          <w:rFonts w:ascii="Times New Roman" w:hAnsi="Times New Roman"/>
          <w:i w:val="0"/>
          <w:color w:val="auto"/>
          <w:sz w:val="24"/>
          <w:szCs w:val="24"/>
        </w:rPr>
        <w:t xml:space="preserve">Preliminarmente, al fine di delineare compiutamente l'ambito delle questioni rilevanti ai fini del decidere, deve essere circoscritta la materia del contendere, atteso che il </w:t>
      </w:r>
      <w:r w:rsidRPr="00C66726">
        <w:rPr>
          <w:rFonts w:ascii="Times New Roman" w:hAnsi="Times New Roman"/>
          <w:i w:val="0"/>
          <w:color w:val="auto"/>
          <w:sz w:val="24"/>
          <w:szCs w:val="24"/>
        </w:rPr>
        <w:lastRenderedPageBreak/>
        <w:t>giudicante, nel doveroso rispetto del principio della corrispondenza tra il chiesto e il pronunciato (art. 112 c.p.c.), potrà pronunciarsi solo nei limiti delle domande e delle eccezioni proposte dalle parti.</w:t>
      </w:r>
    </w:p>
    <w:p w:rsidR="00331D5C" w:rsidRPr="00C66726" w:rsidRDefault="00331D5C" w:rsidP="00331D5C">
      <w:pPr>
        <w:pStyle w:val="NormaleWeb"/>
        <w:spacing w:before="0" w:beforeAutospacing="0" w:after="0" w:afterAutospacing="0" w:line="360" w:lineRule="auto"/>
        <w:jc w:val="both"/>
        <w:rPr>
          <w:rFonts w:ascii="Times New Roman" w:hAnsi="Times New Roman"/>
          <w:i w:val="0"/>
          <w:color w:val="auto"/>
          <w:sz w:val="24"/>
          <w:szCs w:val="24"/>
        </w:rPr>
      </w:pPr>
      <w:r w:rsidRPr="00C66726">
        <w:rPr>
          <w:rFonts w:ascii="Times New Roman" w:hAnsi="Times New Roman"/>
          <w:i w:val="0"/>
          <w:color w:val="auto"/>
          <w:sz w:val="24"/>
          <w:szCs w:val="24"/>
        </w:rPr>
        <w:t xml:space="preserve">Orbene, nel caso di specie, stando al perspicuo tenore delle domande proposte nel ricorso introduttivo (pag.9), alla cui stregua si chiede esclusivamente di accertare l'illegittimità del licenziamento intimato all'istante, con conseguente reintegra dello Scanarotti alle dipendenze della società cedente o cessionaria, deve ritenersi che, come correttamente argomentato dalla convenuta SSC Società Sviluppo Commerciale Carrefour srl, non sia stata proposta alcuna domanda di accertamento della nullità della cessione di ramo d'azienda intercorsa tra la predetta società e </w:t>
      </w:r>
      <w:smartTag w:uri="urn:schemas-microsoft-com:office:smarttags" w:element="PersonName">
        <w:smartTagPr>
          <w:attr w:name="ProductID" w:val="la Ipercapodrise"/>
        </w:smartTagPr>
        <w:r w:rsidRPr="00C66726">
          <w:rPr>
            <w:rFonts w:ascii="Times New Roman" w:hAnsi="Times New Roman"/>
            <w:i w:val="0"/>
            <w:color w:val="auto"/>
            <w:sz w:val="24"/>
            <w:szCs w:val="24"/>
          </w:rPr>
          <w:t>la Ipercapodrise</w:t>
        </w:r>
      </w:smartTag>
      <w:r w:rsidRPr="00C66726">
        <w:rPr>
          <w:rFonts w:ascii="Times New Roman" w:hAnsi="Times New Roman"/>
          <w:i w:val="0"/>
          <w:color w:val="auto"/>
          <w:sz w:val="24"/>
          <w:szCs w:val="24"/>
        </w:rPr>
        <w:t xml:space="preserve"> s.r.l. In data 21.12.2010, a cui sarebbe seguita – non già l'illegittimità del licenziamento intimato, costituente il </w:t>
      </w:r>
      <w:r w:rsidRPr="00C66726">
        <w:rPr>
          <w:rFonts w:ascii="Times New Roman" w:hAnsi="Times New Roman"/>
          <w:i w:val="0"/>
          <w:iCs w:val="0"/>
          <w:color w:val="auto"/>
          <w:sz w:val="24"/>
          <w:szCs w:val="24"/>
        </w:rPr>
        <w:t>petitum</w:t>
      </w:r>
      <w:r w:rsidRPr="00C66726">
        <w:rPr>
          <w:rFonts w:ascii="Times New Roman" w:hAnsi="Times New Roman"/>
          <w:i w:val="0"/>
          <w:color w:val="auto"/>
          <w:sz w:val="24"/>
          <w:szCs w:val="24"/>
        </w:rPr>
        <w:t xml:space="preserve"> cristallizzato nel ricorso introduttivo – ma la persistenza del rapporto di lavoro alle dipendenze della cedente, per l'effetto proprio della nullità del negozio traslativo.</w:t>
      </w:r>
    </w:p>
    <w:p w:rsidR="00331D5C" w:rsidRPr="00C66726" w:rsidRDefault="00331D5C" w:rsidP="00331D5C">
      <w:pPr>
        <w:pStyle w:val="NormaleWeb"/>
        <w:spacing w:before="0" w:beforeAutospacing="0" w:after="0" w:afterAutospacing="0" w:line="360" w:lineRule="auto"/>
        <w:jc w:val="both"/>
        <w:rPr>
          <w:rFonts w:ascii="Times New Roman" w:hAnsi="Times New Roman"/>
          <w:i w:val="0"/>
          <w:color w:val="auto"/>
          <w:sz w:val="24"/>
          <w:szCs w:val="24"/>
        </w:rPr>
      </w:pPr>
      <w:r w:rsidRPr="00C66726">
        <w:rPr>
          <w:rFonts w:ascii="Times New Roman" w:hAnsi="Times New Roman"/>
          <w:i w:val="0"/>
          <w:color w:val="auto"/>
          <w:sz w:val="24"/>
          <w:szCs w:val="24"/>
        </w:rPr>
        <w:t>In tali termini delineate le domande proposte, non deve essere esaminata l'eccezione di decadenza, formulata dalla società cedente, relativa all'omesso rispetto del termine di 270 giorni per l'introduzione del giudizio, di cui all'art. 32 della legge n. 183/2010, avente ad oggetto il predetto contratto di cessione, non essendo stata proposta – sebbene nell'illustrazione della causa petendi non manchi qualche riferimento ad una pretesa natura fraudolenta del contratto di cessione (pag. 4 e 5) – alcuna domanda volta all'accertamento della nullità o, comunque, alla caducazione del negozio traslativo, con i conseguenti effetti, in termini di inefficacia o nullità – e non illegittimità – sull'impugnato licenziamento.</w:t>
      </w:r>
    </w:p>
    <w:p w:rsidR="00331D5C" w:rsidRPr="00C66726" w:rsidRDefault="00331D5C" w:rsidP="00331D5C">
      <w:pPr>
        <w:pStyle w:val="NormaleWeb"/>
        <w:spacing w:before="0" w:beforeAutospacing="0" w:after="0" w:afterAutospacing="0" w:line="360" w:lineRule="auto"/>
        <w:jc w:val="both"/>
        <w:rPr>
          <w:rFonts w:ascii="Times New Roman" w:hAnsi="Times New Roman"/>
          <w:i w:val="0"/>
          <w:color w:val="auto"/>
          <w:sz w:val="24"/>
          <w:szCs w:val="24"/>
        </w:rPr>
      </w:pPr>
      <w:r w:rsidRPr="00C66726">
        <w:rPr>
          <w:rFonts w:ascii="Times New Roman" w:hAnsi="Times New Roman"/>
          <w:i w:val="0"/>
          <w:color w:val="auto"/>
          <w:sz w:val="24"/>
          <w:szCs w:val="24"/>
        </w:rPr>
        <w:t xml:space="preserve">Posta tale premessa, risulta per converso fondata, nei limiti della delibazione sommaria propria della presente fase, l'eccezione preliminare di decadenza formulata dalla convenuta Ipercapodrise s.r.l. Con riferimento alla domanda avente ad oggetto l'impugnativa del licenziamento. Ai sensi dell'art. 6 co. 2° legge n. 604/66, come modificato dall'art. 32 legge n. 183/2010, </w:t>
      </w:r>
      <w:r w:rsidRPr="00C66726">
        <w:rPr>
          <w:rFonts w:ascii="Times New Roman" w:hAnsi="Times New Roman"/>
          <w:i w:val="0"/>
          <w:iCs w:val="0"/>
          <w:color w:val="auto"/>
          <w:sz w:val="24"/>
          <w:szCs w:val="24"/>
        </w:rPr>
        <w:t>“l'impugnazione è inefficace se non è seguita, entro il successivo termine di duecentosettanta giorni, dal deposito del ricorso nella cancelleria del tribunale in funzione di giudice del lavoro o dalla comunicazione alla controparte della richiesta di tentativo di conciliazione o arbitrato, ferma restando la possibilità di produrre nuovi documenti formatisi dopo il deposito del ricorso”.</w:t>
      </w:r>
    </w:p>
    <w:p w:rsidR="00331D5C" w:rsidRPr="00C66726" w:rsidRDefault="00331D5C" w:rsidP="00331D5C">
      <w:pPr>
        <w:pStyle w:val="NormaleWeb"/>
        <w:spacing w:before="0" w:beforeAutospacing="0" w:after="0" w:afterAutospacing="0" w:line="360" w:lineRule="auto"/>
        <w:jc w:val="both"/>
        <w:rPr>
          <w:rFonts w:ascii="Times New Roman" w:hAnsi="Times New Roman"/>
          <w:i w:val="0"/>
          <w:color w:val="auto"/>
          <w:sz w:val="24"/>
          <w:szCs w:val="24"/>
        </w:rPr>
      </w:pPr>
      <w:r w:rsidRPr="00C66726">
        <w:rPr>
          <w:rFonts w:ascii="Times New Roman" w:hAnsi="Times New Roman"/>
          <w:i w:val="0"/>
          <w:color w:val="auto"/>
          <w:sz w:val="24"/>
          <w:szCs w:val="24"/>
        </w:rPr>
        <w:lastRenderedPageBreak/>
        <w:t xml:space="preserve">L'art. 2, co. 54 D.L. 29 dicembre 2010, n. </w:t>
      </w:r>
      <w:smartTag w:uri="urn:schemas-microsoft-com:office:smarttags" w:element="metricconverter">
        <w:smartTagPr>
          <w:attr w:name="ProductID" w:val="225, ha"/>
        </w:smartTagPr>
        <w:r w:rsidRPr="00C66726">
          <w:rPr>
            <w:rFonts w:ascii="Times New Roman" w:hAnsi="Times New Roman"/>
            <w:i w:val="0"/>
            <w:color w:val="auto"/>
            <w:sz w:val="24"/>
            <w:szCs w:val="24"/>
          </w:rPr>
          <w:t>225, ha</w:t>
        </w:r>
      </w:smartTag>
      <w:r w:rsidRPr="00C66726">
        <w:rPr>
          <w:rFonts w:ascii="Times New Roman" w:hAnsi="Times New Roman"/>
          <w:i w:val="0"/>
          <w:color w:val="auto"/>
          <w:sz w:val="24"/>
          <w:szCs w:val="24"/>
        </w:rPr>
        <w:t xml:space="preserve"> differito al 31 dicembre </w:t>
      </w:r>
      <w:smartTag w:uri="urn:schemas-microsoft-com:office:smarttags" w:element="metricconverter">
        <w:smartTagPr>
          <w:attr w:name="ProductID" w:val="2011 l"/>
        </w:smartTagPr>
        <w:r w:rsidRPr="00C66726">
          <w:rPr>
            <w:rFonts w:ascii="Times New Roman" w:hAnsi="Times New Roman"/>
            <w:i w:val="0"/>
            <w:color w:val="auto"/>
            <w:sz w:val="24"/>
            <w:szCs w:val="24"/>
          </w:rPr>
          <w:t>2011 l</w:t>
        </w:r>
      </w:smartTag>
      <w:r w:rsidRPr="00C66726">
        <w:rPr>
          <w:rFonts w:ascii="Times New Roman" w:hAnsi="Times New Roman"/>
          <w:i w:val="0"/>
          <w:color w:val="auto"/>
          <w:sz w:val="24"/>
          <w:szCs w:val="24"/>
        </w:rPr>
        <w:t xml:space="preserve">'efficacia della modifica del primo comma dell'art. 6 legge n. 604/1966, secondo cui </w:t>
      </w:r>
      <w:r w:rsidRPr="00C66726">
        <w:rPr>
          <w:rFonts w:ascii="Times New Roman" w:hAnsi="Times New Roman"/>
          <w:i w:val="0"/>
          <w:iCs w:val="0"/>
          <w:color w:val="auto"/>
          <w:sz w:val="24"/>
          <w:szCs w:val="24"/>
        </w:rPr>
        <w:t>“Il licenziamento deve essere impugnato a pena di decadenza entro 60 giorni dalla ricezione della sua comunicazione in forma scritta, ovvero dalla comunicazione, anch'essa in forma scritta, dei motivi, ove non contestuale, con qualsiasi atto scritto, anche extragiudiziale, idoneo a rendere nota la volontà del lavoratore anche attraverso l'intervento dell'organizzazione sindacale diretto ad impugnare il licenziamento stesso”.</w:t>
      </w:r>
    </w:p>
    <w:p w:rsidR="00331D5C" w:rsidRPr="00C66726" w:rsidRDefault="00331D5C" w:rsidP="00331D5C">
      <w:pPr>
        <w:pStyle w:val="NormaleWeb"/>
        <w:spacing w:before="0" w:beforeAutospacing="0" w:after="0" w:afterAutospacing="0" w:line="360" w:lineRule="auto"/>
        <w:jc w:val="both"/>
        <w:rPr>
          <w:rFonts w:ascii="Times New Roman" w:hAnsi="Times New Roman"/>
          <w:i w:val="0"/>
          <w:color w:val="auto"/>
          <w:sz w:val="24"/>
          <w:szCs w:val="24"/>
        </w:rPr>
      </w:pPr>
      <w:r w:rsidRPr="00C66726">
        <w:rPr>
          <w:rFonts w:ascii="Times New Roman" w:hAnsi="Times New Roman"/>
          <w:i w:val="0"/>
          <w:color w:val="auto"/>
          <w:sz w:val="24"/>
          <w:szCs w:val="24"/>
        </w:rPr>
        <w:t xml:space="preserve">La lettera dell'art. 2 co. 54 D.L. n. 225/2010 (ai cui sensi </w:t>
      </w:r>
      <w:r w:rsidRPr="00C66726">
        <w:rPr>
          <w:rFonts w:ascii="Times New Roman" w:hAnsi="Times New Roman"/>
          <w:i w:val="0"/>
          <w:iCs w:val="0"/>
          <w:color w:val="auto"/>
          <w:sz w:val="24"/>
          <w:szCs w:val="24"/>
        </w:rPr>
        <w:t xml:space="preserve">“in sede di prima applicazione, le disposizioni di cui all'articolo 6, primo comma, della legge 15 luglio 1966, n. 604, come modificato dal comma 1 del presente articolo, relative al termine di sessanta giorni per l'impugnazione del licenziamento, acquistano efficacia a decorrere 31 dicembre </w:t>
      </w:r>
      <w:smartTag w:uri="urn:schemas-microsoft-com:office:smarttags" w:element="metricconverter">
        <w:smartTagPr>
          <w:attr w:name="ProductID" w:val="2011”"/>
        </w:smartTagPr>
        <w:r w:rsidRPr="00C66726">
          <w:rPr>
            <w:rFonts w:ascii="Times New Roman" w:hAnsi="Times New Roman"/>
            <w:i w:val="0"/>
            <w:iCs w:val="0"/>
            <w:color w:val="auto"/>
            <w:sz w:val="24"/>
            <w:szCs w:val="24"/>
          </w:rPr>
          <w:t>2011”</w:t>
        </w:r>
      </w:smartTag>
      <w:r w:rsidRPr="00C66726">
        <w:rPr>
          <w:rFonts w:ascii="Times New Roman" w:hAnsi="Times New Roman"/>
          <w:i w:val="0"/>
          <w:color w:val="auto"/>
          <w:sz w:val="24"/>
          <w:szCs w:val="24"/>
        </w:rPr>
        <w:t>), in ragione dell'espressa limitazione dell'ambito di applicazione della proroga al solo termine dei “sessanta giorni” ed al solo primo comma dell'art. 6 legge n. 604/66, porta a concludere, come da subito evidenziato da attenta dottrina, che – ferma la sospensione, in sede di prima applicazione, del termine di decadenza di 60 giorni – sia, invece, efficace la previsione del termine decadenziale dei 270 giorni per l'impugnativa giudiziale dei licenziamenti, già assoggettati all'applicazione del termine decadenziale di 60 giorni.</w:t>
      </w:r>
    </w:p>
    <w:p w:rsidR="00331D5C" w:rsidRPr="00C66726" w:rsidRDefault="00331D5C" w:rsidP="00331D5C">
      <w:pPr>
        <w:pStyle w:val="NormaleWeb"/>
        <w:spacing w:before="0" w:beforeAutospacing="0" w:after="0" w:afterAutospacing="0" w:line="360" w:lineRule="auto"/>
        <w:jc w:val="both"/>
        <w:rPr>
          <w:rFonts w:ascii="Times New Roman" w:hAnsi="Times New Roman"/>
          <w:i w:val="0"/>
          <w:color w:val="auto"/>
          <w:sz w:val="24"/>
          <w:szCs w:val="24"/>
        </w:rPr>
      </w:pPr>
      <w:r w:rsidRPr="00C66726">
        <w:rPr>
          <w:rFonts w:ascii="Times New Roman" w:hAnsi="Times New Roman"/>
          <w:i w:val="0"/>
          <w:color w:val="auto"/>
          <w:sz w:val="24"/>
          <w:szCs w:val="24"/>
        </w:rPr>
        <w:t>Tale decadenza, secondo la dottrina più avvertita, è di generale applicazione e si applica anche ai licenziamenti collettivi, poiché la sua estensione a “tutti i casi di invalidità del licenziamento” è contenuta in una disposizione (art. 32, comma 2 della legge n. 183/2010), diretta a disciplinare tutti i licenziamenti.</w:t>
      </w:r>
    </w:p>
    <w:p w:rsidR="00331D5C" w:rsidRPr="00C66726" w:rsidRDefault="00331D5C" w:rsidP="00331D5C">
      <w:pPr>
        <w:pStyle w:val="NormaleWeb"/>
        <w:spacing w:before="0" w:beforeAutospacing="0" w:after="0" w:afterAutospacing="0" w:line="360" w:lineRule="auto"/>
        <w:jc w:val="both"/>
        <w:rPr>
          <w:rFonts w:ascii="Times New Roman" w:hAnsi="Times New Roman"/>
          <w:i w:val="0"/>
          <w:color w:val="auto"/>
          <w:sz w:val="24"/>
          <w:szCs w:val="24"/>
        </w:rPr>
      </w:pPr>
      <w:r w:rsidRPr="00C66726">
        <w:rPr>
          <w:rFonts w:ascii="Times New Roman" w:hAnsi="Times New Roman"/>
          <w:i w:val="0"/>
          <w:color w:val="auto"/>
          <w:sz w:val="24"/>
          <w:szCs w:val="24"/>
        </w:rPr>
        <w:t>Orbene, la modifica che l'art. 32 legge n. 183/2010 ha apportato al secondo comma dell'art. 6 legge n. 604/1966 non è né letteralmente né logicamente dipendente dalla nuova formulazione data al primo comma (che stabilisce la necessità dell'impugnazione del licenziamento nel termine di 60 giorni).</w:t>
      </w:r>
    </w:p>
    <w:p w:rsidR="00331D5C" w:rsidRPr="00C66726" w:rsidRDefault="00331D5C" w:rsidP="00331D5C">
      <w:pPr>
        <w:pStyle w:val="NormaleWeb"/>
        <w:spacing w:before="0" w:beforeAutospacing="0" w:after="0" w:afterAutospacing="0" w:line="360" w:lineRule="auto"/>
        <w:jc w:val="both"/>
        <w:rPr>
          <w:rFonts w:ascii="Times New Roman" w:hAnsi="Times New Roman"/>
          <w:i w:val="0"/>
          <w:color w:val="auto"/>
          <w:sz w:val="24"/>
          <w:szCs w:val="24"/>
        </w:rPr>
      </w:pPr>
      <w:r w:rsidRPr="00C66726">
        <w:rPr>
          <w:rFonts w:ascii="Times New Roman" w:hAnsi="Times New Roman"/>
          <w:i w:val="0"/>
          <w:color w:val="auto"/>
          <w:sz w:val="24"/>
          <w:szCs w:val="24"/>
        </w:rPr>
        <w:t>Presupposto della operatività del termine dei 270 giorni è semplicemente l'esistenza di un'impugnazione stragiudiziale del licenziamento.</w:t>
      </w:r>
    </w:p>
    <w:p w:rsidR="00331D5C" w:rsidRPr="00C66726" w:rsidRDefault="00331D5C" w:rsidP="00331D5C">
      <w:pPr>
        <w:pStyle w:val="NormaleWeb"/>
        <w:spacing w:before="0" w:beforeAutospacing="0" w:after="0" w:afterAutospacing="0" w:line="360" w:lineRule="auto"/>
        <w:jc w:val="both"/>
        <w:rPr>
          <w:rFonts w:ascii="Times New Roman" w:hAnsi="Times New Roman"/>
          <w:i w:val="0"/>
          <w:color w:val="auto"/>
          <w:sz w:val="24"/>
          <w:szCs w:val="24"/>
        </w:rPr>
      </w:pPr>
      <w:r w:rsidRPr="00C66726">
        <w:rPr>
          <w:rFonts w:ascii="Times New Roman" w:hAnsi="Times New Roman"/>
          <w:i w:val="0"/>
          <w:color w:val="auto"/>
          <w:sz w:val="24"/>
          <w:szCs w:val="24"/>
        </w:rPr>
        <w:t xml:space="preserve">Deve infatti ritenersi, come osservato in dottrina, che il differimento degli effetti di una norma di legge che modifica il testo di una legge previgente implichi la sopravvivenza della norma modificata; e se il legislatore, come nella specie, ha </w:t>
      </w:r>
      <w:r w:rsidRPr="00C66726">
        <w:rPr>
          <w:rFonts w:ascii="Times New Roman" w:hAnsi="Times New Roman"/>
          <w:i w:val="0"/>
          <w:color w:val="auto"/>
          <w:sz w:val="24"/>
          <w:szCs w:val="24"/>
        </w:rPr>
        <w:lastRenderedPageBreak/>
        <w:t>circoscritto il differimento della produzione degli effetti unicamente ad una parte del testo normativo, solo motivi di ordine letterale, logico o sistematico possono portare ad estendere il differimento anche ad altre parti. In mancanza di tali motivi, la nuova disciplina relativa alla sopravvenuta inefficacia dell'impugnazione stragiudiziale, ove non seguita entro 270 giorni da quella giudiziale o dalla proposta di arbitrato o conciliazione, non risulta oggetto di differimento e trova, quindi, immediata applicazione fin dall'entrata in vigore della legge n. 183/2010 e perciò a decorrere dal 24 novembre 2010.</w:t>
      </w:r>
    </w:p>
    <w:p w:rsidR="00331D5C" w:rsidRPr="00C66726" w:rsidRDefault="00331D5C" w:rsidP="00331D5C">
      <w:pPr>
        <w:pStyle w:val="NormaleWeb"/>
        <w:spacing w:before="0" w:beforeAutospacing="0" w:after="0" w:afterAutospacing="0" w:line="360" w:lineRule="auto"/>
        <w:jc w:val="both"/>
        <w:rPr>
          <w:rFonts w:ascii="Times New Roman" w:hAnsi="Times New Roman"/>
          <w:i w:val="0"/>
          <w:color w:val="auto"/>
          <w:sz w:val="24"/>
          <w:szCs w:val="24"/>
        </w:rPr>
      </w:pPr>
      <w:r w:rsidRPr="00C66726">
        <w:rPr>
          <w:rFonts w:ascii="Times New Roman" w:hAnsi="Times New Roman"/>
          <w:i w:val="0"/>
          <w:color w:val="auto"/>
          <w:sz w:val="24"/>
          <w:szCs w:val="24"/>
        </w:rPr>
        <w:t xml:space="preserve">Le conclusioni qui accolte, in conformità ad una parte della giurisprudenza di merito (Trib. Torino, 26 ottobre 2011; Trib. Genova 25 maggio 2012; Trib. Roma 8 febbraio 2012, n. 16469) trovano ulteriore conferma nei lavori parlamentari, alla luce dell'ordine del giorno 9/4086/12 della Camera dei Deputati, secondo il quale </w:t>
      </w:r>
      <w:r w:rsidRPr="00C66726">
        <w:rPr>
          <w:rFonts w:ascii="Times New Roman" w:hAnsi="Times New Roman"/>
          <w:i w:val="0"/>
          <w:iCs w:val="0"/>
          <w:color w:val="auto"/>
          <w:sz w:val="24"/>
          <w:szCs w:val="24"/>
        </w:rPr>
        <w:t xml:space="preserve">“l'effetto del comma 1-bis del citato articolo 32, introdotto dal Senato con il comma 54 dell'articolo 2 del decreto-legge in esame, è quello di differire, al 31 dicembre </w:t>
      </w:r>
      <w:smartTag w:uri="urn:schemas-microsoft-com:office:smarttags" w:element="metricconverter">
        <w:smartTagPr>
          <w:attr w:name="ProductID" w:val="2011, l"/>
        </w:smartTagPr>
        <w:r w:rsidRPr="00C66726">
          <w:rPr>
            <w:rFonts w:ascii="Times New Roman" w:hAnsi="Times New Roman"/>
            <w:i w:val="0"/>
            <w:iCs w:val="0"/>
            <w:color w:val="auto"/>
            <w:sz w:val="24"/>
            <w:szCs w:val="24"/>
          </w:rPr>
          <w:t>2011, l</w:t>
        </w:r>
      </w:smartTag>
      <w:r w:rsidRPr="00C66726">
        <w:rPr>
          <w:rFonts w:ascii="Times New Roman" w:hAnsi="Times New Roman"/>
          <w:i w:val="0"/>
          <w:iCs w:val="0"/>
          <w:color w:val="auto"/>
          <w:sz w:val="24"/>
          <w:szCs w:val="24"/>
        </w:rPr>
        <w:t>'efficacia delle disposizioni limitatamente alla fattispecie di cui all'articolo 6, primo comma, della legge 15 luglio 1966, n. 604; a ragione del differimento rimangono temporaneamente in vigore le norme in materia di impugnazione non richiamate da tale ultima disposizione citata”</w:t>
      </w:r>
      <w:r w:rsidRPr="00C66726">
        <w:rPr>
          <w:rFonts w:ascii="Times New Roman" w:hAnsi="Times New Roman"/>
          <w:i w:val="0"/>
          <w:color w:val="auto"/>
          <w:sz w:val="24"/>
          <w:szCs w:val="24"/>
        </w:rPr>
        <w:t>.</w:t>
      </w:r>
    </w:p>
    <w:p w:rsidR="00331D5C" w:rsidRPr="00C66726" w:rsidRDefault="00331D5C" w:rsidP="00331D5C">
      <w:pPr>
        <w:pStyle w:val="NormaleWeb"/>
        <w:spacing w:before="0" w:beforeAutospacing="0" w:after="0" w:afterAutospacing="0" w:line="360" w:lineRule="auto"/>
        <w:jc w:val="both"/>
        <w:rPr>
          <w:rFonts w:ascii="Times New Roman" w:hAnsi="Times New Roman"/>
          <w:i w:val="0"/>
          <w:color w:val="auto"/>
          <w:sz w:val="24"/>
          <w:szCs w:val="24"/>
        </w:rPr>
      </w:pPr>
      <w:r w:rsidRPr="00C66726">
        <w:rPr>
          <w:rFonts w:ascii="Times New Roman" w:hAnsi="Times New Roman"/>
          <w:i w:val="0"/>
          <w:color w:val="auto"/>
          <w:sz w:val="24"/>
          <w:szCs w:val="24"/>
        </w:rPr>
        <w:t>Nel caso di specie, va rilevato, in fatto, che la comunicazione del licenziamento per cui è causa, recante la data del 18.3.2011, risulta ricevuta dall'istante in data 25.3.2011, e cioè in epoca successiva all'entrata in vigore della legge n. 183 del 2010.</w:t>
      </w:r>
    </w:p>
    <w:p w:rsidR="00331D5C" w:rsidRPr="00C66726" w:rsidRDefault="00331D5C" w:rsidP="00331D5C">
      <w:pPr>
        <w:pStyle w:val="NormaleWeb"/>
        <w:spacing w:before="0" w:beforeAutospacing="0" w:after="0" w:afterAutospacing="0" w:line="360" w:lineRule="auto"/>
        <w:jc w:val="both"/>
        <w:rPr>
          <w:rFonts w:ascii="Times New Roman" w:hAnsi="Times New Roman"/>
          <w:i w:val="0"/>
          <w:color w:val="auto"/>
          <w:sz w:val="24"/>
          <w:szCs w:val="24"/>
        </w:rPr>
      </w:pPr>
      <w:r w:rsidRPr="00C66726">
        <w:rPr>
          <w:rFonts w:ascii="Times New Roman" w:hAnsi="Times New Roman"/>
          <w:i w:val="0"/>
          <w:color w:val="auto"/>
          <w:sz w:val="24"/>
          <w:szCs w:val="24"/>
        </w:rPr>
        <w:t>Il licenziamento è stato impugnato stragiudizialmente in data 27.4.2011; il deposito del presente ricorso introduttivo è intervenuto solo in data 21 settembre 2012, e cioè a distanza di oltre un anno sia dalla concreta impugnazione del licenziamento, sia – ove si accolga la più lata opzione interpretativa che, per esigenze di certezza dei rapporti, ritiene comunque di dover riconoscere al lavoratore un complessivo termine di 330 giorni (60 per l'impugnativa stragiudiziale + 270 per quella giudiziale) – dalla scadenza del termine di sessanta giorni per l'impugnativa del licenziamento, decorrente dal 25.3.2011.</w:t>
      </w:r>
    </w:p>
    <w:p w:rsidR="00331D5C" w:rsidRDefault="00331D5C" w:rsidP="00331D5C">
      <w:pPr>
        <w:shd w:val="clear" w:color="auto" w:fill="FFFFFF"/>
        <w:ind w:right="-82"/>
        <w:jc w:val="both"/>
        <w:rPr>
          <w:lang w:val="it-IT"/>
        </w:rPr>
      </w:pPr>
    </w:p>
    <w:p w:rsidR="00331D5C" w:rsidRPr="007B6B15" w:rsidRDefault="00331D5C" w:rsidP="00331D5C">
      <w:pPr>
        <w:shd w:val="clear" w:color="auto" w:fill="FFFFFF"/>
        <w:ind w:right="-82"/>
        <w:jc w:val="both"/>
        <w:rPr>
          <w:rStyle w:val="Enfasigrassetto"/>
          <w:b w:val="0"/>
          <w:sz w:val="22"/>
          <w:szCs w:val="22"/>
          <w:lang w:val="it-IT"/>
        </w:rPr>
      </w:pPr>
    </w:p>
    <w:p w:rsidR="00331D5C" w:rsidRPr="0090114F" w:rsidRDefault="00331D5C" w:rsidP="00331D5C">
      <w:pPr>
        <w:rPr>
          <w:lang w:val="it-IT"/>
        </w:rPr>
      </w:pPr>
    </w:p>
    <w:p w:rsidR="00331D5C" w:rsidRDefault="00331D5C" w:rsidP="00331D5C">
      <w:pPr>
        <w:shd w:val="clear" w:color="auto" w:fill="FFFFFF"/>
        <w:spacing w:line="360" w:lineRule="auto"/>
        <w:ind w:firstLine="540"/>
        <w:jc w:val="both"/>
        <w:rPr>
          <w:rStyle w:val="Enfasigrassetto"/>
          <w:b w:val="0"/>
          <w:lang w:val="it-IT"/>
        </w:rPr>
      </w:pPr>
    </w:p>
    <w:p w:rsidR="00331D5C" w:rsidRDefault="00331D5C" w:rsidP="00331D5C">
      <w:pPr>
        <w:shd w:val="clear" w:color="auto" w:fill="FFFFFF"/>
        <w:spacing w:line="360" w:lineRule="auto"/>
        <w:ind w:firstLine="540"/>
        <w:jc w:val="both"/>
        <w:rPr>
          <w:rStyle w:val="Enfasigrassetto"/>
          <w:b w:val="0"/>
          <w:lang w:val="it-IT"/>
        </w:rPr>
      </w:pPr>
    </w:p>
    <w:p w:rsidR="00331D5C" w:rsidRDefault="00331D5C" w:rsidP="00331D5C">
      <w:pPr>
        <w:shd w:val="clear" w:color="auto" w:fill="FFFFFF"/>
        <w:spacing w:line="360" w:lineRule="auto"/>
        <w:ind w:firstLine="540"/>
        <w:jc w:val="both"/>
        <w:rPr>
          <w:rStyle w:val="Enfasigrassetto"/>
          <w:b w:val="0"/>
          <w:lang w:val="it-IT"/>
        </w:rPr>
      </w:pPr>
      <w:r>
        <w:rPr>
          <w:rStyle w:val="Enfasigrassetto"/>
          <w:b w:val="0"/>
          <w:lang w:val="it-IT"/>
        </w:rPr>
        <w:t>L’IMPUGNAZIONE DEL LICENZIAMENTO DOPO IL “COLLEGATO LAVORO”</w:t>
      </w:r>
    </w:p>
    <w:p w:rsidR="00331D5C" w:rsidRDefault="00331D5C" w:rsidP="00331D5C">
      <w:pPr>
        <w:shd w:val="clear" w:color="auto" w:fill="FFFFFF"/>
        <w:spacing w:line="360" w:lineRule="auto"/>
        <w:ind w:firstLine="540"/>
        <w:jc w:val="both"/>
        <w:rPr>
          <w:rStyle w:val="Enfasigrassetto"/>
          <w:b w:val="0"/>
          <w:lang w:val="it-IT"/>
        </w:rPr>
      </w:pPr>
    </w:p>
    <w:p w:rsidR="00331D5C" w:rsidRDefault="00331D5C" w:rsidP="00331D5C">
      <w:pPr>
        <w:shd w:val="clear" w:color="auto" w:fill="FFFFFF"/>
        <w:spacing w:line="360" w:lineRule="auto"/>
        <w:ind w:firstLine="540"/>
        <w:jc w:val="both"/>
        <w:rPr>
          <w:rStyle w:val="Enfasigrassetto"/>
          <w:b w:val="0"/>
          <w:lang w:val="it-IT"/>
        </w:rPr>
      </w:pPr>
      <w:r>
        <w:rPr>
          <w:rStyle w:val="Enfasigrassetto"/>
          <w:b w:val="0"/>
          <w:lang w:val="it-IT"/>
        </w:rPr>
        <w:t xml:space="preserve">L’entrata in vigore della legge n. 183 del 2010, successivamente riformata dal c.d. decreto Milleproroghe (d.l. n. 225 del 2010, conv. in l. n. 10 del 2011) ha profondamente innovato la disciplina dell’impugnazione del licenziamento e dei relativi termini di decadenza, dando origine a numerose questioni interpretative e rendendo di fatto più ardua e incerta la tutela dei diritti del lavoratore, contrariamente al dichiarato scopo del legislatore </w:t>
      </w:r>
      <w:r w:rsidRPr="008A7F5C">
        <w:rPr>
          <w:rStyle w:val="Enfasigrassetto"/>
          <w:b w:val="0"/>
          <w:lang w:val="it-IT"/>
        </w:rPr>
        <w:t>di contrastare prassi dilatorie ed</w:t>
      </w:r>
      <w:r>
        <w:rPr>
          <w:rStyle w:val="Enfasigrassetto"/>
          <w:b w:val="0"/>
          <w:sz w:val="22"/>
          <w:szCs w:val="22"/>
          <w:lang w:val="it-IT"/>
        </w:rPr>
        <w:t xml:space="preserve"> </w:t>
      </w:r>
      <w:r>
        <w:rPr>
          <w:rStyle w:val="Enfasigrassetto"/>
          <w:b w:val="0"/>
          <w:lang w:val="it-IT"/>
        </w:rPr>
        <w:t>assicurare una celere definizione delle controversie</w:t>
      </w:r>
      <w:r w:rsidRPr="00E935EB">
        <w:rPr>
          <w:rStyle w:val="Enfasigrassetto"/>
          <w:b w:val="0"/>
          <w:lang w:val="it-IT"/>
        </w:rPr>
        <w:t xml:space="preserve"> </w:t>
      </w:r>
      <w:r>
        <w:rPr>
          <w:rStyle w:val="Enfasigrassetto"/>
          <w:b w:val="0"/>
          <w:lang w:val="it-IT"/>
        </w:rPr>
        <w:t>e, con essa, maggiore certezza nei rapporti giuridici.</w:t>
      </w:r>
    </w:p>
    <w:p w:rsidR="00331D5C" w:rsidRDefault="00331D5C" w:rsidP="00331D5C">
      <w:pPr>
        <w:shd w:val="clear" w:color="auto" w:fill="FFFFFF"/>
        <w:spacing w:line="360" w:lineRule="auto"/>
        <w:ind w:firstLine="540"/>
        <w:jc w:val="both"/>
        <w:rPr>
          <w:rStyle w:val="Enfasigrassetto"/>
          <w:b w:val="0"/>
          <w:lang w:val="it-IT"/>
        </w:rPr>
      </w:pPr>
      <w:r>
        <w:rPr>
          <w:rStyle w:val="Enfasigrassetto"/>
          <w:b w:val="0"/>
          <w:lang w:val="it-IT"/>
        </w:rPr>
        <w:t>Esigenze di chiarezza espositiva impongono, quindi, in via preliminare, una ricostruzione del quadro normativo di riferimento, con il precipuo intento di offrire una soluzione, più ragionevole possibile, ai problemi di coordinamento originati dalle novelle legislative sopra menzionate.</w:t>
      </w:r>
    </w:p>
    <w:p w:rsidR="00331D5C" w:rsidRDefault="00331D5C" w:rsidP="00331D5C">
      <w:pPr>
        <w:shd w:val="clear" w:color="auto" w:fill="FFFFFF"/>
        <w:spacing w:line="360" w:lineRule="auto"/>
        <w:ind w:firstLine="540"/>
        <w:jc w:val="both"/>
        <w:rPr>
          <w:lang w:val="it-IT"/>
        </w:rPr>
      </w:pPr>
      <w:r>
        <w:rPr>
          <w:rStyle w:val="Enfasigrassetto"/>
          <w:b w:val="0"/>
          <w:lang w:val="it-IT"/>
        </w:rPr>
        <w:t xml:space="preserve">Nella sua originaria formulazione, infatti, l’art. 6 della legge n. 604 del 1966 si limitava a fissare  a pena di decadenza un termine di sessanta giorni </w:t>
      </w:r>
      <w:r>
        <w:rPr>
          <w:lang w:val="it-IT"/>
        </w:rPr>
        <w:t xml:space="preserve">entro il quale impugnare il licenziamento </w:t>
      </w:r>
      <w:r w:rsidRPr="00FA1A04">
        <w:rPr>
          <w:lang w:val="it-IT"/>
        </w:rPr>
        <w:t>con qualsiasi atto scritto, anche extragiudiziale, idoneo a rendere nota la volontà del lavoratore anche attraverso l'intervento dell'organizzazione sindacale</w:t>
      </w:r>
      <w:r>
        <w:rPr>
          <w:lang w:val="it-IT"/>
        </w:rPr>
        <w:t xml:space="preserve"> (I comma)</w:t>
      </w:r>
      <w:r w:rsidRPr="00FA1A04">
        <w:rPr>
          <w:lang w:val="it-IT"/>
        </w:rPr>
        <w:t>.</w:t>
      </w:r>
      <w:r w:rsidRPr="00A27F67">
        <w:rPr>
          <w:rStyle w:val="Enfasigrassetto"/>
          <w:b w:val="0"/>
          <w:lang w:val="it-IT"/>
        </w:rPr>
        <w:t xml:space="preserve"> </w:t>
      </w:r>
      <w:r>
        <w:rPr>
          <w:rStyle w:val="Enfasigrassetto"/>
          <w:b w:val="0"/>
          <w:lang w:val="it-IT"/>
        </w:rPr>
        <w:t xml:space="preserve">Il suddetto termine, precisava il II comma, decorreva </w:t>
      </w:r>
      <w:r w:rsidRPr="00FA1A04">
        <w:rPr>
          <w:lang w:val="it-IT"/>
        </w:rPr>
        <w:t>dalla ricezione della comunicazione in forma scritta</w:t>
      </w:r>
      <w:r>
        <w:rPr>
          <w:lang w:val="it-IT"/>
        </w:rPr>
        <w:t xml:space="preserve"> del licenziamento stesso</w:t>
      </w:r>
      <w:r w:rsidRPr="00FA1A04">
        <w:rPr>
          <w:lang w:val="it-IT"/>
        </w:rPr>
        <w:t xml:space="preserve">, ovvero dalla comunicazione, anch'essa in forma scritta, </w:t>
      </w:r>
      <w:r>
        <w:rPr>
          <w:lang w:val="it-IT"/>
        </w:rPr>
        <w:t xml:space="preserve">dei motivi, ove non contestuale. </w:t>
      </w:r>
    </w:p>
    <w:p w:rsidR="00331D5C" w:rsidRDefault="00331D5C" w:rsidP="00331D5C">
      <w:pPr>
        <w:shd w:val="clear" w:color="auto" w:fill="FFFFFF"/>
        <w:spacing w:line="360" w:lineRule="auto"/>
        <w:ind w:firstLine="540"/>
        <w:jc w:val="both"/>
        <w:rPr>
          <w:lang w:val="it-IT"/>
        </w:rPr>
      </w:pPr>
      <w:r>
        <w:rPr>
          <w:lang w:val="it-IT"/>
        </w:rPr>
        <w:t>E’ opportuno precisare che la decadenza in oggetto ha natura sostanziale e non meramente  processuale, precludendo definitivamente la possibilità per il lavoratore di far valere in giudizio qualunque conseguenza giuridica possa scaturire dall’atto illegittimo da impugnare</w:t>
      </w:r>
      <w:r>
        <w:rPr>
          <w:rStyle w:val="Rimandonotaapidipagina"/>
          <w:lang w:val="it-IT"/>
        </w:rPr>
        <w:footnoteReference w:id="2"/>
      </w:r>
      <w:r>
        <w:rPr>
          <w:lang w:val="it-IT"/>
        </w:rPr>
        <w:t xml:space="preserve">. Tuttavia, la giurisprudenza ha fugato ogni dubbio di </w:t>
      </w:r>
      <w:r>
        <w:rPr>
          <w:lang w:val="it-IT"/>
        </w:rPr>
        <w:lastRenderedPageBreak/>
        <w:t>incostituzionalità emerso</w:t>
      </w:r>
      <w:r w:rsidRPr="0059719B">
        <w:rPr>
          <w:i/>
          <w:lang w:val="it-IT"/>
        </w:rPr>
        <w:t xml:space="preserve"> in riferimento agli artt. 3 e 24 Cost.</w:t>
      </w:r>
      <w:r>
        <w:rPr>
          <w:lang w:val="it-IT"/>
        </w:rPr>
        <w:t>, in quanto tale previsione, pur condizionando la tutela giurisdizionale dei diritti, si giustificava in virtù dell’esigenza di assicurare celerità nella definizione delle controversie di lavoro e finiva per imporre un adempimento che non rendeva eccessivamente oneroso per il lavoratore l’esercizio dell’azione</w:t>
      </w:r>
      <w:r>
        <w:rPr>
          <w:rStyle w:val="Rimandonotaapidipagina"/>
          <w:lang w:val="it-IT"/>
        </w:rPr>
        <w:footnoteReference w:id="3"/>
      </w:r>
      <w:r>
        <w:rPr>
          <w:lang w:val="it-IT"/>
        </w:rPr>
        <w:t xml:space="preserve">. </w:t>
      </w:r>
    </w:p>
    <w:p w:rsidR="00331D5C" w:rsidRDefault="00331D5C" w:rsidP="00331D5C">
      <w:pPr>
        <w:shd w:val="clear" w:color="auto" w:fill="FFFFFF"/>
        <w:spacing w:line="360" w:lineRule="auto"/>
        <w:ind w:firstLine="540"/>
        <w:jc w:val="both"/>
        <w:rPr>
          <w:lang w:val="it-IT"/>
        </w:rPr>
      </w:pPr>
      <w:r>
        <w:rPr>
          <w:rStyle w:val="Enfasigrassetto"/>
          <w:b w:val="0"/>
          <w:lang w:val="it-IT"/>
        </w:rPr>
        <w:t>In questo contesto si inserisce la nuova formulazione della norma ad opera della legge n. 183 del 2010. Il legislatore del Collegato Lavoro, con il preciso intento di evitare che la tardiva introduzione del giudizio da parte del lavoratore potesse rendere eccessivamente onerosa per il datore di lavoro l’eventuale soccombenza, ha, infatti, da una parte, innovato profondamente l’istituto dell’impugnazione dei licenziamenti introducendo un ulteriore termine entro il quale proporre l’impugnazione giudiziale e, dall’altra, esteso la nuova regolamentazione della decadenza sia a fattispecie di invalidità del licenziamento prima certamente escluse, sia ad ipotesi del tutto estranee al licenziamento e alquanto eterogenee.</w:t>
      </w:r>
      <w:r w:rsidRPr="00CA1191">
        <w:rPr>
          <w:lang w:val="it-IT"/>
        </w:rPr>
        <w:t xml:space="preserve"> </w:t>
      </w:r>
      <w:r>
        <w:rPr>
          <w:lang w:val="it-IT"/>
        </w:rPr>
        <w:t>Infatti, nonostante la rubrica dell’art. 32 sia dedicata esclusivamente ai contratti a tempo determinato, la norma si occupa di materie differenti che probabilmente avrebbero richiesto una trattazione separata: nuove regole decadenziali per l’impugnazione dei licenziamenti (estese ad altri istituti) e speciale disciplina sanzionatoria nel caso di conversione del contratto a termine.</w:t>
      </w:r>
    </w:p>
    <w:p w:rsidR="00331D5C" w:rsidRDefault="00331D5C" w:rsidP="00331D5C">
      <w:pPr>
        <w:shd w:val="clear" w:color="auto" w:fill="FFFFFF"/>
        <w:spacing w:line="360" w:lineRule="auto"/>
        <w:ind w:firstLine="540"/>
        <w:jc w:val="both"/>
        <w:rPr>
          <w:lang w:val="it-IT"/>
        </w:rPr>
      </w:pPr>
      <w:r>
        <w:rPr>
          <w:lang w:val="it-IT"/>
        </w:rPr>
        <w:t xml:space="preserve">In particolare, il I comma della disposizione da ultimo citata, nel mantenere ferma la già prevista impugnazione del licenziamento da effettuarsi con atto anche stragiudiziale entro 60 giorni dalla relativa comunicazione in forma scritta, prevede che tale impugnazione diviene inefficace se non è seguita entro i successivi 270 giorni (ora ridotti a </w:t>
      </w:r>
      <w:smartTag w:uri="urn:schemas-microsoft-com:office:smarttags" w:element="metricconverter">
        <w:smartTagPr>
          <w:attr w:name="ProductID" w:val="180 a"/>
        </w:smartTagPr>
        <w:r>
          <w:rPr>
            <w:lang w:val="it-IT"/>
          </w:rPr>
          <w:t>180 a</w:t>
        </w:r>
      </w:smartTag>
      <w:r>
        <w:rPr>
          <w:lang w:val="it-IT"/>
        </w:rPr>
        <w:t xml:space="preserve"> seguito della riforma “Fornero”) </w:t>
      </w:r>
      <w:r w:rsidRPr="00FA1A04">
        <w:rPr>
          <w:lang w:val="it-IT"/>
        </w:rPr>
        <w:t xml:space="preserve">dal deposito del ricorso nella cancelleria del tribunale in funzione di giudice del lavoro o dalla comunicazione alla controparte della richiesta di tentativo di conciliazione o arbitrato. </w:t>
      </w:r>
      <w:r>
        <w:rPr>
          <w:lang w:val="it-IT"/>
        </w:rPr>
        <w:t>Inoltre, in tale ultima ipotesi</w:t>
      </w:r>
      <w:r w:rsidRPr="00FA1A04">
        <w:rPr>
          <w:lang w:val="it-IT"/>
        </w:rPr>
        <w:t>, il ricorso al giudice deve essere depositato a pena di decadenza entro sessanta giorni dal rifiuto</w:t>
      </w:r>
      <w:r>
        <w:rPr>
          <w:lang w:val="it-IT"/>
        </w:rPr>
        <w:t xml:space="preserve"> della procedura conciliativa o arbitrale</w:t>
      </w:r>
      <w:r w:rsidRPr="00FA1A04">
        <w:rPr>
          <w:lang w:val="it-IT"/>
        </w:rPr>
        <w:t xml:space="preserve"> o dal mancato accordo.</w:t>
      </w:r>
      <w:r>
        <w:rPr>
          <w:lang w:val="it-IT"/>
        </w:rPr>
        <w:t xml:space="preserve">  </w:t>
      </w:r>
    </w:p>
    <w:p w:rsidR="00331D5C" w:rsidRPr="00A64350" w:rsidRDefault="00331D5C" w:rsidP="00331D5C">
      <w:pPr>
        <w:shd w:val="clear" w:color="auto" w:fill="FFFFFF"/>
        <w:spacing w:line="360" w:lineRule="auto"/>
        <w:ind w:firstLine="540"/>
        <w:jc w:val="both"/>
        <w:rPr>
          <w:lang w:val="it-IT"/>
        </w:rPr>
      </w:pPr>
      <w:r w:rsidRPr="00A64350">
        <w:rPr>
          <w:lang w:val="it-IT"/>
        </w:rPr>
        <w:lastRenderedPageBreak/>
        <w:t xml:space="preserve">Come è stato accuratamente rilevato, siffatta previsione, lungi dal limitarsi a modificare l’art. 6 della l. n. 604 del </w:t>
      </w:r>
      <w:smartTag w:uri="urn:schemas-microsoft-com:office:smarttags" w:element="metricconverter">
        <w:smartTagPr>
          <w:attr w:name="ProductID" w:val="1966, ha"/>
        </w:smartTagPr>
        <w:r w:rsidRPr="00A64350">
          <w:rPr>
            <w:lang w:val="it-IT"/>
          </w:rPr>
          <w:t>1966, ha</w:t>
        </w:r>
      </w:smartTag>
      <w:r w:rsidRPr="00A64350">
        <w:rPr>
          <w:lang w:val="it-IT"/>
        </w:rPr>
        <w:t xml:space="preserve"> di fatto creato una nuova fattispecie decadenziale, imperniata su una serie successiva di oneri di impugnazione strutturalmente concatenati tra loro</w:t>
      </w:r>
      <w:r>
        <w:rPr>
          <w:rStyle w:val="Rimandonotaapidipagina"/>
          <w:lang w:val="it-IT"/>
        </w:rPr>
        <w:footnoteReference w:id="4"/>
      </w:r>
      <w:r w:rsidRPr="00A64350">
        <w:rPr>
          <w:lang w:val="it-IT"/>
        </w:rPr>
        <w:t xml:space="preserve"> e da adempiere entro tempi ristretti e sicuramente più brevi dei cinque anni generalmente previsti per l’azione di annullamento.</w:t>
      </w:r>
    </w:p>
    <w:p w:rsidR="00331D5C" w:rsidRDefault="00331D5C" w:rsidP="00331D5C">
      <w:pPr>
        <w:shd w:val="clear" w:color="auto" w:fill="FFFFFF"/>
        <w:spacing w:line="360" w:lineRule="auto"/>
        <w:ind w:firstLine="540"/>
        <w:jc w:val="both"/>
        <w:rPr>
          <w:rStyle w:val="Enfasigrassetto"/>
          <w:b w:val="0"/>
          <w:lang w:val="it-IT"/>
        </w:rPr>
      </w:pPr>
      <w:r w:rsidRPr="00A64350">
        <w:rPr>
          <w:lang w:val="it-IT"/>
        </w:rPr>
        <w:t>Certamente, tale regime costituisce già una deroga alla disciplina dell’invalidità del negozio giuridico (applicabile agli atti unilaterali, quale il recesso da parte del datore di lavoro, in virtù dell’art. 1324 c.c.)</w:t>
      </w:r>
      <w:r w:rsidRPr="00A64350">
        <w:rPr>
          <w:rStyle w:val="Enfasigrassetto"/>
          <w:b w:val="0"/>
          <w:lang w:val="it-IT"/>
        </w:rPr>
        <w:t xml:space="preserve">, in quanto comprime, </w:t>
      </w:r>
      <w:r w:rsidRPr="00A64350">
        <w:rPr>
          <w:lang w:val="it-IT"/>
        </w:rPr>
        <w:t xml:space="preserve">nella scansione di plurimi termini di decadenza, il diritto di azione del lavoratore illegittimamente licenziato, </w:t>
      </w:r>
      <w:r w:rsidRPr="00A64350">
        <w:rPr>
          <w:rStyle w:val="Enfasigrassetto"/>
          <w:b w:val="0"/>
          <w:lang w:val="it-IT"/>
        </w:rPr>
        <w:t>al punto che taluno ha dubitato della sua legittimità costituzionale</w:t>
      </w:r>
      <w:r>
        <w:rPr>
          <w:rStyle w:val="Rimandonotaapidipagina"/>
          <w:bCs/>
          <w:lang w:val="it-IT"/>
        </w:rPr>
        <w:footnoteReference w:id="5"/>
      </w:r>
      <w:r w:rsidRPr="00A64350">
        <w:rPr>
          <w:rStyle w:val="Enfasigrassetto"/>
          <w:b w:val="0"/>
          <w:lang w:val="it-IT"/>
        </w:rPr>
        <w:t>.</w:t>
      </w:r>
      <w:r>
        <w:rPr>
          <w:rStyle w:val="Enfasigrassetto"/>
          <w:b w:val="0"/>
          <w:lang w:val="it-IT"/>
        </w:rPr>
        <w:t xml:space="preserve"> Altri, invece, ha ravvisato nella disposizione in oggetto </w:t>
      </w:r>
      <w:r w:rsidRPr="00FF5AAC">
        <w:rPr>
          <w:rStyle w:val="Enfasigrassetto"/>
          <w:b w:val="0"/>
          <w:i/>
          <w:lang w:val="it-IT"/>
        </w:rPr>
        <w:t>“una buona svolta per il diritto del lavoro”</w:t>
      </w:r>
      <w:r>
        <w:rPr>
          <w:rStyle w:val="Rimandonotaapidipagina"/>
          <w:bCs/>
          <w:lang w:val="it-IT"/>
        </w:rPr>
        <w:footnoteReference w:id="6"/>
      </w:r>
      <w:r>
        <w:rPr>
          <w:rStyle w:val="Enfasigrassetto"/>
          <w:b w:val="0"/>
          <w:lang w:val="it-IT"/>
        </w:rPr>
        <w:t>, in quanto volta a coniugare certezza del diritto, flessibilità delle regole ed effettività delle tutele, a coronamento di quel processo di modernizzazione del diritto del lavoro iniziato dalla c.d. Legge Biagi</w:t>
      </w:r>
      <w:r>
        <w:rPr>
          <w:rStyle w:val="Rimandonotaapidipagina"/>
          <w:bCs/>
          <w:lang w:val="it-IT"/>
        </w:rPr>
        <w:footnoteReference w:id="7"/>
      </w:r>
      <w:r>
        <w:rPr>
          <w:rStyle w:val="Enfasigrassetto"/>
          <w:b w:val="0"/>
          <w:lang w:val="it-IT"/>
        </w:rPr>
        <w:t>.</w:t>
      </w:r>
    </w:p>
    <w:p w:rsidR="00331D5C" w:rsidRDefault="00331D5C" w:rsidP="00331D5C">
      <w:pPr>
        <w:shd w:val="clear" w:color="auto" w:fill="FFFFFF"/>
        <w:spacing w:line="360" w:lineRule="auto"/>
        <w:ind w:firstLine="540"/>
        <w:jc w:val="both"/>
        <w:rPr>
          <w:rStyle w:val="Enfasigrassetto"/>
          <w:b w:val="0"/>
          <w:lang w:val="it-IT"/>
        </w:rPr>
      </w:pPr>
      <w:r>
        <w:rPr>
          <w:rStyle w:val="Enfasigrassetto"/>
          <w:b w:val="0"/>
          <w:lang w:val="it-IT"/>
        </w:rPr>
        <w:t xml:space="preserve">Un primo punto problematico riguarda la decorrenza del termine di 270 giorni: il tenore lessicale della norma, che collega strettamente il secondo termine decadenziale con l’impugnazione, porta a ritenere che il </w:t>
      </w:r>
      <w:r w:rsidRPr="00F90BD1">
        <w:rPr>
          <w:rStyle w:val="Enfasigrassetto"/>
          <w:b w:val="0"/>
          <w:i/>
          <w:lang w:val="it-IT"/>
        </w:rPr>
        <w:t>dies a quo</w:t>
      </w:r>
      <w:r>
        <w:rPr>
          <w:rStyle w:val="Enfasigrassetto"/>
          <w:b w:val="0"/>
          <w:lang w:val="it-IT"/>
        </w:rPr>
        <w:t xml:space="preserve"> sia da individuare nella data di effettiva impugnazione del licenziamento e non nel sessantunesimo giorno dal licenziamento stesso, né dal momento della sua comunicazione al lavoratore, includendovi anche il primo termine di 60 giorni</w:t>
      </w:r>
      <w:r>
        <w:rPr>
          <w:rStyle w:val="Rimandonotaapidipagina"/>
          <w:bCs/>
          <w:lang w:val="it-IT"/>
        </w:rPr>
        <w:footnoteReference w:id="8"/>
      </w:r>
      <w:r>
        <w:rPr>
          <w:rStyle w:val="Enfasigrassetto"/>
          <w:b w:val="0"/>
          <w:lang w:val="it-IT"/>
        </w:rPr>
        <w:t>.</w:t>
      </w:r>
    </w:p>
    <w:p w:rsidR="00331D5C" w:rsidRPr="00500C1F" w:rsidRDefault="00331D5C" w:rsidP="00331D5C">
      <w:pPr>
        <w:shd w:val="clear" w:color="auto" w:fill="FFFFFF"/>
        <w:spacing w:line="360" w:lineRule="auto"/>
        <w:ind w:firstLine="540"/>
        <w:jc w:val="both"/>
        <w:rPr>
          <w:rStyle w:val="Enfasigrassetto"/>
          <w:b w:val="0"/>
          <w:lang w:val="it-IT"/>
        </w:rPr>
      </w:pPr>
      <w:r>
        <w:rPr>
          <w:rStyle w:val="Enfasigrassetto"/>
          <w:b w:val="0"/>
          <w:lang w:val="it-IT"/>
        </w:rPr>
        <w:t xml:space="preserve">In ordine al regime processuale delle decadenze di cui si discute, va, inoltre, rammentato che, secondo consolidata giurisprudenza, è esclusa la rilevabilità </w:t>
      </w:r>
      <w:r>
        <w:rPr>
          <w:rStyle w:val="Enfasigrassetto"/>
          <w:b w:val="0"/>
          <w:lang w:val="it-IT"/>
        </w:rPr>
        <w:lastRenderedPageBreak/>
        <w:t>d’ufficio dal giudice, trattandosi di diritto disponibile, ma è necessaria un’eccezione (in senso stretto) che, nel rito del lavoro, deve essere proposta, dalla parte convenuta, nella memoria di costituzione, ai sensi dell’art. 416, comma 2, c.p.c. Quindi, in caso di mancato rispetto dei termini fissati per l’impugnazione del licenziamento resta affidata esclusivamente al datore di lavoro la scelta dell’operatività della decadenza</w:t>
      </w:r>
      <w:r>
        <w:rPr>
          <w:rStyle w:val="Rimandonotaapidipagina"/>
          <w:bCs/>
          <w:lang w:val="it-IT"/>
        </w:rPr>
        <w:footnoteReference w:id="9"/>
      </w:r>
      <w:r>
        <w:rPr>
          <w:rStyle w:val="Enfasigrassetto"/>
          <w:b w:val="0"/>
          <w:lang w:val="it-IT"/>
        </w:rPr>
        <w:t xml:space="preserve">.  </w:t>
      </w:r>
    </w:p>
    <w:p w:rsidR="00331D5C" w:rsidRDefault="00331D5C" w:rsidP="00331D5C">
      <w:pPr>
        <w:shd w:val="clear" w:color="auto" w:fill="FFFFFF"/>
        <w:spacing w:line="360" w:lineRule="auto"/>
        <w:ind w:firstLine="540"/>
        <w:jc w:val="both"/>
        <w:rPr>
          <w:rStyle w:val="Enfasigrassetto"/>
          <w:b w:val="0"/>
          <w:lang w:val="it-IT"/>
        </w:rPr>
      </w:pPr>
      <w:r>
        <w:rPr>
          <w:rStyle w:val="Enfasigrassetto"/>
          <w:b w:val="0"/>
          <w:lang w:val="it-IT"/>
        </w:rPr>
        <w:t xml:space="preserve">A rendere ancor più farraginoso e confuso il quadro normativo venutosi a creare è, di recente, intervenuto il c.d. decreto Milleproroghe (d. l. n. 225 del 2010, conv. in l. n. 10 del 2011), il cui art. 2, comma 54, aggiungendo un nuovo comma 1 bis all’art. 32 della l. n. 183 del 2010, prevede “in sede di prima applicazione” il differimento al 31 dicembre del 2011 dell’efficacia delle disposizioni di cui all’art. 6, primo comma, della legge n. 604 del 1966, come modificato dal primo comma dello stesso art. 32, relative al termine di sessanta giorni per l’impugnazione del licenziamento. </w:t>
      </w:r>
    </w:p>
    <w:p w:rsidR="00331D5C" w:rsidRDefault="00331D5C" w:rsidP="00331D5C">
      <w:pPr>
        <w:shd w:val="clear" w:color="auto" w:fill="FFFFFF"/>
        <w:spacing w:line="360" w:lineRule="auto"/>
        <w:ind w:firstLine="540"/>
        <w:jc w:val="both"/>
        <w:rPr>
          <w:lang w:val="it-IT"/>
        </w:rPr>
      </w:pPr>
      <w:r>
        <w:rPr>
          <w:lang w:val="it-IT"/>
        </w:rPr>
        <w:t xml:space="preserve">E’ di immediata evidenza che l’imprecisa </w:t>
      </w:r>
      <w:r w:rsidRPr="007C0491">
        <w:rPr>
          <w:lang w:val="it-IT"/>
        </w:rPr>
        <w:t xml:space="preserve">formulazione della </w:t>
      </w:r>
      <w:r>
        <w:rPr>
          <w:lang w:val="it-IT"/>
        </w:rPr>
        <w:t xml:space="preserve">predetta novella normativa, lungi dal centrare l’obiettivo che il legislatore si era inizialmente proposto, </w:t>
      </w:r>
      <w:r w:rsidRPr="007C0491">
        <w:rPr>
          <w:lang w:val="it-IT"/>
        </w:rPr>
        <w:t xml:space="preserve">quello cioè di evitare il proliferare del contenzioso </w:t>
      </w:r>
      <w:r>
        <w:rPr>
          <w:lang w:val="it-IT"/>
        </w:rPr>
        <w:t>lavoristico determinato dalla previsione di termini così stringenti, finisce</w:t>
      </w:r>
      <w:r w:rsidRPr="007C0491">
        <w:rPr>
          <w:lang w:val="it-IT"/>
        </w:rPr>
        <w:t xml:space="preserve"> </w:t>
      </w:r>
      <w:r>
        <w:rPr>
          <w:lang w:val="it-IT"/>
        </w:rPr>
        <w:t xml:space="preserve">per tradire </w:t>
      </w:r>
      <w:r w:rsidRPr="007C0491">
        <w:rPr>
          <w:lang w:val="it-IT"/>
        </w:rPr>
        <w:t xml:space="preserve">anche l’intento del collegato lavoro di limitare l’incertezza </w:t>
      </w:r>
      <w:r>
        <w:rPr>
          <w:lang w:val="it-IT"/>
        </w:rPr>
        <w:t>nelle controversie di lavoro.</w:t>
      </w:r>
    </w:p>
    <w:p w:rsidR="00331D5C" w:rsidRDefault="00331D5C" w:rsidP="00331D5C">
      <w:pPr>
        <w:shd w:val="clear" w:color="auto" w:fill="FFFFFF"/>
        <w:spacing w:line="360" w:lineRule="auto"/>
        <w:ind w:firstLine="540"/>
        <w:jc w:val="both"/>
        <w:rPr>
          <w:lang w:val="it-IT"/>
        </w:rPr>
      </w:pPr>
      <w:r>
        <w:rPr>
          <w:lang w:val="it-IT"/>
        </w:rPr>
        <w:t xml:space="preserve">La </w:t>
      </w:r>
      <w:r w:rsidRPr="007C0491">
        <w:rPr>
          <w:lang w:val="it-IT"/>
        </w:rPr>
        <w:t>mancata chiarezza dell’ultimo intervento normativo ha</w:t>
      </w:r>
      <w:r>
        <w:rPr>
          <w:lang w:val="it-IT"/>
        </w:rPr>
        <w:t>, infatti,</w:t>
      </w:r>
      <w:r w:rsidRPr="007C0491">
        <w:rPr>
          <w:lang w:val="it-IT"/>
        </w:rPr>
        <w:t xml:space="preserve"> comportato fondati dubbi interpretativi e conseguenti problematiche applicative</w:t>
      </w:r>
      <w:r w:rsidRPr="00EB6368">
        <w:rPr>
          <w:sz w:val="22"/>
          <w:szCs w:val="22"/>
          <w:lang w:val="it-IT"/>
        </w:rPr>
        <w:t xml:space="preserve"> </w:t>
      </w:r>
      <w:r w:rsidRPr="00EB6368">
        <w:rPr>
          <w:lang w:val="it-IT"/>
        </w:rPr>
        <w:t>in ordine non tanto all’opportunità quanto al significato delle modifiche introdotte</w:t>
      </w:r>
      <w:r>
        <w:rPr>
          <w:rStyle w:val="Rimandonotaapidipagina"/>
          <w:lang w:val="it-IT"/>
        </w:rPr>
        <w:footnoteReference w:id="10"/>
      </w:r>
      <w:r w:rsidRPr="007C0491">
        <w:rPr>
          <w:lang w:val="it-IT"/>
        </w:rPr>
        <w:t>.</w:t>
      </w:r>
      <w:r>
        <w:rPr>
          <w:lang w:val="it-IT"/>
        </w:rPr>
        <w:t xml:space="preserve"> Occorre, pertanto, individuare l’esatta portata delle norme da ultimo richiamate, chiarendo se il predetto differimento riguardi il solo termine di 60 giorni (di cui al I comma dell’originario art. </w:t>
      </w:r>
      <w:smartTag w:uri="urn:schemas-microsoft-com:office:smarttags" w:element="metricconverter">
        <w:smartTagPr>
          <w:attr w:name="ProductID" w:val="6 l"/>
        </w:smartTagPr>
        <w:r>
          <w:rPr>
            <w:lang w:val="it-IT"/>
          </w:rPr>
          <w:t>6 l</w:t>
        </w:r>
      </w:smartTag>
      <w:r>
        <w:rPr>
          <w:lang w:val="it-IT"/>
        </w:rPr>
        <w:t xml:space="preserve">. n. 604 del 1966) o comprenda anche il nuovo termine di 270 giorni. </w:t>
      </w:r>
    </w:p>
    <w:p w:rsidR="00331D5C" w:rsidRDefault="00331D5C" w:rsidP="00331D5C">
      <w:pPr>
        <w:shd w:val="clear" w:color="auto" w:fill="FFFFFF"/>
        <w:spacing w:line="360" w:lineRule="auto"/>
        <w:ind w:firstLine="540"/>
        <w:jc w:val="both"/>
        <w:rPr>
          <w:i/>
          <w:iCs/>
          <w:lang w:val="it-IT"/>
        </w:rPr>
      </w:pPr>
      <w:r>
        <w:rPr>
          <w:lang w:val="it-IT"/>
        </w:rPr>
        <w:t xml:space="preserve">Nella sentenza oggetto di commento, il Tribunale di Santa Maria Capua Vetere, chiamato a pronunciarsi in merito all’illegittimità di un licenziamento impugnato in </w:t>
      </w:r>
      <w:r>
        <w:rPr>
          <w:lang w:val="it-IT"/>
        </w:rPr>
        <w:lastRenderedPageBreak/>
        <w:t xml:space="preserve">via giudiziale ben oltre il previsto termine di 270 giorni </w:t>
      </w:r>
      <w:r w:rsidRPr="005527E0">
        <w:rPr>
          <w:lang w:val="it-IT"/>
        </w:rPr>
        <w:t>decorrenti dall’impugnazione stragiudiziale</w:t>
      </w:r>
      <w:r>
        <w:rPr>
          <w:lang w:val="it-IT"/>
        </w:rPr>
        <w:t xml:space="preserve">, ha optato per un’interpretazione strettamente letterale della norma in esame, avendo essa espressamente sospeso, per tutto il 2011, </w:t>
      </w:r>
      <w:r w:rsidRPr="00722E7F">
        <w:rPr>
          <w:lang w:val="it-IT"/>
        </w:rPr>
        <w:t>solamente il termine di 60 giorni previsto per l’impugnazione del licenziamento, non anche l’ulteriore termine di decadenza per l’avvio del giudizio</w:t>
      </w:r>
      <w:r w:rsidRPr="00717149">
        <w:rPr>
          <w:lang w:val="it-IT"/>
        </w:rPr>
        <w:t>.</w:t>
      </w:r>
      <w:r w:rsidRPr="00B41159">
        <w:rPr>
          <w:lang w:val="it-IT"/>
        </w:rPr>
        <w:t xml:space="preserve"> </w:t>
      </w:r>
      <w:r>
        <w:rPr>
          <w:lang w:val="it-IT"/>
        </w:rPr>
        <w:t xml:space="preserve">Conclusione, questa, confermata da una parte della dottrina e della giurisprudenza di merito che in diverse occasioni ha sottolineato che </w:t>
      </w:r>
      <w:r w:rsidRPr="00722E7F">
        <w:rPr>
          <w:lang w:val="it-IT"/>
        </w:rPr>
        <w:t xml:space="preserve">la </w:t>
      </w:r>
      <w:r w:rsidRPr="00722E7F">
        <w:rPr>
          <w:i/>
          <w:iCs/>
          <w:lang w:val="it-IT"/>
        </w:rPr>
        <w:t>ratio</w:t>
      </w:r>
      <w:r w:rsidRPr="00722E7F">
        <w:rPr>
          <w:lang w:val="it-IT"/>
        </w:rPr>
        <w:t xml:space="preserve"> del cosiddetto “Mille Proroghe” “</w:t>
      </w:r>
      <w:r w:rsidRPr="00722E7F">
        <w:rPr>
          <w:i/>
          <w:iCs/>
          <w:lang w:val="it-IT"/>
        </w:rPr>
        <w:t>consiste nell’accordare</w:t>
      </w:r>
      <w:r>
        <w:rPr>
          <w:i/>
          <w:iCs/>
          <w:lang w:val="it-IT"/>
        </w:rPr>
        <w:t xml:space="preserve"> tutela</w:t>
      </w:r>
      <w:r w:rsidRPr="00722E7F">
        <w:rPr>
          <w:i/>
          <w:iCs/>
          <w:lang w:val="it-IT"/>
        </w:rPr>
        <w:t xml:space="preserve">, attraverso una rimessione in termini rispetto al decorso del breve termine decadenziale  stabilito dalla legge per l’impugnazione extraprocessuale del licenziamento, </w:t>
      </w:r>
      <w:r>
        <w:rPr>
          <w:i/>
          <w:iCs/>
          <w:lang w:val="it-IT"/>
        </w:rPr>
        <w:t xml:space="preserve">a </w:t>
      </w:r>
      <w:r w:rsidRPr="00722E7F">
        <w:rPr>
          <w:i/>
          <w:iCs/>
          <w:lang w:val="it-IT"/>
        </w:rPr>
        <w:t>coloro che, per una ignoranza normativa ritenuta scusabile, abbiano fatto inutilmente decorrere il termine di 60 giorni (esteso a tutte le fattispecie di recesso invalido)</w:t>
      </w:r>
      <w:r>
        <w:rPr>
          <w:i/>
          <w:iCs/>
          <w:lang w:val="it-IT"/>
        </w:rPr>
        <w:t xml:space="preserve">; del tutto estranea al testo normativo è, invece, l’intenzione di </w:t>
      </w:r>
      <w:r w:rsidRPr="00722E7F">
        <w:rPr>
          <w:i/>
          <w:iCs/>
          <w:lang w:val="it-IT"/>
        </w:rPr>
        <w:t>prorogare ulteriormente il più lungo termine processuale a favore di chi, avendo già tempestivamente impugnato stragiudizialmente l’atto di recesso, era edotto sulle decadenze di legge, disponendo comunque di un congruo e ben maggiore termine decadenziale per far valere le proprie ragioni giuridiche presso l’autorità competente”</w:t>
      </w:r>
      <w:r>
        <w:rPr>
          <w:rStyle w:val="Rimandonotaapidipagina"/>
          <w:i/>
          <w:iCs/>
          <w:lang w:val="it-IT"/>
        </w:rPr>
        <w:footnoteReference w:id="11"/>
      </w:r>
      <w:r w:rsidRPr="00722E7F">
        <w:rPr>
          <w:i/>
          <w:iCs/>
          <w:lang w:val="it-IT"/>
        </w:rPr>
        <w:t>.</w:t>
      </w:r>
    </w:p>
    <w:p w:rsidR="00331D5C" w:rsidRDefault="00331D5C" w:rsidP="00331D5C">
      <w:pPr>
        <w:shd w:val="clear" w:color="auto" w:fill="FFFFFF"/>
        <w:spacing w:line="360" w:lineRule="auto"/>
        <w:ind w:firstLine="540"/>
        <w:jc w:val="both"/>
        <w:rPr>
          <w:lang w:val="it-IT"/>
        </w:rPr>
      </w:pPr>
      <w:r w:rsidRPr="002351BD">
        <w:rPr>
          <w:iCs/>
          <w:lang w:val="it-IT"/>
        </w:rPr>
        <w:t xml:space="preserve">In tale prospettiva, quindi, è la stessa formulazione letterale della normativa transitoria ad indurre a ritenere che </w:t>
      </w:r>
      <w:r w:rsidRPr="002351BD">
        <w:rPr>
          <w:lang w:val="it-IT"/>
        </w:rPr>
        <w:t xml:space="preserve">il differimento della produzione degli effetti sia circoscritto unicamente </w:t>
      </w:r>
      <w:r>
        <w:rPr>
          <w:lang w:val="it-IT"/>
        </w:rPr>
        <w:t xml:space="preserve">al termine di 60 giorni, </w:t>
      </w:r>
      <w:r w:rsidRPr="002351BD">
        <w:rPr>
          <w:lang w:val="it-IT"/>
        </w:rPr>
        <w:t>con la conseguenza che la nuova disciplina relativa alla sopravvenuta inefficacia dell’i</w:t>
      </w:r>
      <w:r>
        <w:rPr>
          <w:lang w:val="it-IT"/>
        </w:rPr>
        <w:t>mpugnazione stragiudiziale troverebbe</w:t>
      </w:r>
      <w:r w:rsidRPr="002351BD">
        <w:rPr>
          <w:lang w:val="it-IT"/>
        </w:rPr>
        <w:t xml:space="preserve"> immediata applicazione fin dal momento dell’entrata in vigore della legge n. 183 del 2010 e, perciò a decorrere dal 24 novembre 2010.</w:t>
      </w:r>
    </w:p>
    <w:p w:rsidR="00331D5C" w:rsidRDefault="00331D5C" w:rsidP="00331D5C">
      <w:pPr>
        <w:shd w:val="clear" w:color="auto" w:fill="FFFFFF"/>
        <w:spacing w:line="360" w:lineRule="auto"/>
        <w:ind w:firstLine="540"/>
        <w:jc w:val="both"/>
        <w:rPr>
          <w:lang w:val="it-IT"/>
        </w:rPr>
      </w:pPr>
      <w:r>
        <w:rPr>
          <w:lang w:val="it-IT"/>
        </w:rPr>
        <w:t>Tuttavia, il criterio letterale può considerarsi assorbente ed esauriente rispetto a tutti gli altri canoni interpretativi del testo normativo solo quando nella legge siano state utilizzate espressioni sufficientemente chiare, precise ed adeguate ad individuare il proponimento del legislatore, dovendosi, in caso contrario, ricorrere ad altri criteri</w:t>
      </w:r>
      <w:r>
        <w:rPr>
          <w:rStyle w:val="Rimandonotaapidipagina"/>
          <w:lang w:val="it-IT"/>
        </w:rPr>
        <w:footnoteReference w:id="12"/>
      </w:r>
      <w:r>
        <w:rPr>
          <w:lang w:val="it-IT"/>
        </w:rPr>
        <w:t>.</w:t>
      </w:r>
    </w:p>
    <w:p w:rsidR="00331D5C" w:rsidRDefault="00331D5C" w:rsidP="00331D5C">
      <w:pPr>
        <w:shd w:val="clear" w:color="auto" w:fill="FFFFFF"/>
        <w:spacing w:line="360" w:lineRule="auto"/>
        <w:ind w:firstLine="540"/>
        <w:jc w:val="both"/>
        <w:rPr>
          <w:lang w:val="it-IT"/>
        </w:rPr>
      </w:pPr>
      <w:r>
        <w:rPr>
          <w:lang w:val="it-IT"/>
        </w:rPr>
        <w:lastRenderedPageBreak/>
        <w:t>A ben vedere, nel caso in esame, un’interpretazione strettamente letterale priverebbe totalmente la norma di effettività. Infatti, come già rilevato, il</w:t>
      </w:r>
      <w:r w:rsidRPr="00631136">
        <w:rPr>
          <w:lang w:val="it-IT"/>
        </w:rPr>
        <w:t xml:space="preserve"> primo comma de</w:t>
      </w:r>
      <w:r>
        <w:rPr>
          <w:lang w:val="it-IT"/>
        </w:rPr>
        <w:t>ll’art. 6 novellato</w:t>
      </w:r>
      <w:r w:rsidRPr="00631136">
        <w:rPr>
          <w:lang w:val="it-IT"/>
        </w:rPr>
        <w:t xml:space="preserve"> non contiene in realtà alcuna novità, perché </w:t>
      </w:r>
      <w:r>
        <w:rPr>
          <w:lang w:val="it-IT"/>
        </w:rPr>
        <w:t>rappresenta soltanto una risistemazione ed un accorpamento dei primi due commi del testo originario. Sicché prescrivere il differimento dell’efficacia del solo termine di 60 giorni già previsto, implicherebbe che per tutto il 2011 continuerà ad applicarsi la vecchia formulazione, con l’effetto di rendere del tutto inutile l’innovazione legislativa in oggetto.</w:t>
      </w:r>
    </w:p>
    <w:p w:rsidR="00331D5C" w:rsidRPr="002351BD" w:rsidRDefault="00331D5C" w:rsidP="00331D5C">
      <w:pPr>
        <w:shd w:val="clear" w:color="auto" w:fill="FFFFFF"/>
        <w:spacing w:line="360" w:lineRule="auto"/>
        <w:ind w:firstLine="540"/>
        <w:jc w:val="both"/>
        <w:rPr>
          <w:lang w:val="it-IT"/>
        </w:rPr>
      </w:pPr>
      <w:r>
        <w:rPr>
          <w:lang w:val="it-IT"/>
        </w:rPr>
        <w:t xml:space="preserve">Al contrario, ragioni di carattere logico, prima ancora che giuridico, impongono di attribuire un qualche significato ad una norma che diversamente ne sarebbe priva. Più coerente, anche in relazione alla </w:t>
      </w:r>
      <w:r w:rsidRPr="00BC53B0">
        <w:rPr>
          <w:i/>
          <w:lang w:val="it-IT"/>
        </w:rPr>
        <w:t>voluntas</w:t>
      </w:r>
      <w:r>
        <w:rPr>
          <w:lang w:val="it-IT"/>
        </w:rPr>
        <w:t xml:space="preserve"> del legislatore oggettivata nella disposizione, appare, infatti, un’interpretazione sostanziale e sistematica, che riconosca che ad essere stata differita al 31/12/2011 è l’entrata in vigore dell’intera novella del I comma dell’art. 6 della legge n. 604 del 1966, per cui prima di tale data nessuna delle modifiche può essere ritenuta vigente</w:t>
      </w:r>
      <w:r w:rsidRPr="00312768">
        <w:rPr>
          <w:lang w:val="it-IT"/>
        </w:rPr>
        <w:t>.</w:t>
      </w:r>
      <w:r>
        <w:rPr>
          <w:lang w:val="it-IT"/>
        </w:rPr>
        <w:t xml:space="preserve"> </w:t>
      </w:r>
    </w:p>
    <w:p w:rsidR="00331D5C" w:rsidRDefault="00331D5C" w:rsidP="00331D5C">
      <w:pPr>
        <w:shd w:val="clear" w:color="auto" w:fill="FFFFFF"/>
        <w:spacing w:line="360" w:lineRule="auto"/>
        <w:ind w:firstLine="540"/>
        <w:jc w:val="both"/>
        <w:rPr>
          <w:lang w:val="it-IT"/>
        </w:rPr>
      </w:pPr>
      <w:r>
        <w:rPr>
          <w:lang w:val="it-IT"/>
        </w:rPr>
        <w:t xml:space="preserve">Si può, infatti, </w:t>
      </w:r>
      <w:r w:rsidRPr="002351BD">
        <w:rPr>
          <w:lang w:val="it-IT"/>
        </w:rPr>
        <w:t xml:space="preserve">ipotizzare un nesso inscindibile tra </w:t>
      </w:r>
      <w:r>
        <w:rPr>
          <w:lang w:val="it-IT"/>
        </w:rPr>
        <w:t xml:space="preserve">le due parti del testo normativo riformato, tale per cui </w:t>
      </w:r>
      <w:r w:rsidRPr="002351BD">
        <w:rPr>
          <w:lang w:val="it-IT"/>
        </w:rPr>
        <w:t>da</w:t>
      </w:r>
      <w:r>
        <w:rPr>
          <w:lang w:val="it-IT"/>
        </w:rPr>
        <w:t xml:space="preserve">lla temporanea inapplicabilità della prima </w:t>
      </w:r>
      <w:r w:rsidRPr="002351BD">
        <w:rPr>
          <w:lang w:val="it-IT"/>
        </w:rPr>
        <w:t>discende la tempo</w:t>
      </w:r>
      <w:r>
        <w:rPr>
          <w:lang w:val="it-IT"/>
        </w:rPr>
        <w:t>ranea inapplicabilità anche della seconda</w:t>
      </w:r>
      <w:r>
        <w:rPr>
          <w:rStyle w:val="Rimandonotaapidipagina"/>
          <w:lang w:val="it-IT"/>
        </w:rPr>
        <w:footnoteReference w:id="13"/>
      </w:r>
      <w:r>
        <w:rPr>
          <w:lang w:val="it-IT"/>
        </w:rPr>
        <w:t xml:space="preserve">. </w:t>
      </w:r>
    </w:p>
    <w:p w:rsidR="00331D5C" w:rsidRDefault="00331D5C" w:rsidP="00331D5C">
      <w:pPr>
        <w:shd w:val="clear" w:color="auto" w:fill="FFFFFF"/>
        <w:spacing w:line="360" w:lineRule="auto"/>
        <w:ind w:firstLine="540"/>
        <w:jc w:val="both"/>
        <w:rPr>
          <w:lang w:val="it-IT"/>
        </w:rPr>
      </w:pPr>
      <w:r>
        <w:rPr>
          <w:lang w:val="it-IT"/>
        </w:rPr>
        <w:t>D’altronde, è la legge stessa che impone all’interprete di scegliere tra più interpretazioni possibili quella che assicura una qualche efficacia.</w:t>
      </w:r>
      <w:r w:rsidRPr="002351BD">
        <w:rPr>
          <w:lang w:val="it-IT"/>
        </w:rPr>
        <w:t xml:space="preserve"> </w:t>
      </w:r>
    </w:p>
    <w:p w:rsidR="00331D5C" w:rsidRDefault="00331D5C" w:rsidP="00331D5C">
      <w:pPr>
        <w:shd w:val="clear" w:color="auto" w:fill="FFFFFF"/>
        <w:spacing w:line="360" w:lineRule="auto"/>
        <w:ind w:firstLine="540"/>
        <w:jc w:val="both"/>
        <w:rPr>
          <w:lang w:val="it-IT"/>
        </w:rPr>
      </w:pPr>
      <w:r>
        <w:rPr>
          <w:lang w:val="it-IT"/>
        </w:rPr>
        <w:t>In realtà, non si tratta di vera e propria contrapposizione tra due metodologie differenti di interpretazione, posto che è la stessa lettera della legge, intesa in senso logico, che induce a ritenere che la sospensione degli effetti si estenda anche al termine di 270 giorni, facendo riferimento al testo dell’art. 6 della legge n. 604 del 1966 come “novellato” ad opera dell’art. 32 del Collegato Lavoro.</w:t>
      </w:r>
      <w:r w:rsidRPr="00634385">
        <w:rPr>
          <w:lang w:val="it-IT"/>
        </w:rPr>
        <w:t xml:space="preserve"> </w:t>
      </w:r>
      <w:r>
        <w:rPr>
          <w:lang w:val="it-IT"/>
        </w:rPr>
        <w:t xml:space="preserve">A tale conclusione si perviene, per altro, grazie all’espressione utilizzata dal legislatore per introdurre la norma di cui al comma 1 </w:t>
      </w:r>
      <w:r w:rsidRPr="00465C00">
        <w:rPr>
          <w:i/>
          <w:lang w:val="it-IT"/>
        </w:rPr>
        <w:t>bis</w:t>
      </w:r>
      <w:r>
        <w:rPr>
          <w:lang w:val="it-IT"/>
        </w:rPr>
        <w:t xml:space="preserve"> del già richiamato art. 32 (“In sede di prima applicazione”), ascrivibile unicamente alla novità introdotta dalla l. n. 183 del 2010, </w:t>
      </w:r>
      <w:r>
        <w:rPr>
          <w:lang w:val="it-IT"/>
        </w:rPr>
        <w:lastRenderedPageBreak/>
        <w:t>posto che per il licenziamento il termine di sessanta giorni non costituisce regola di prima applicazione</w:t>
      </w:r>
      <w:r>
        <w:rPr>
          <w:rStyle w:val="Rimandonotaapidipagina"/>
          <w:lang w:val="it-IT"/>
        </w:rPr>
        <w:footnoteReference w:id="14"/>
      </w:r>
      <w:r>
        <w:rPr>
          <w:lang w:val="it-IT"/>
        </w:rPr>
        <w:t xml:space="preserve">. </w:t>
      </w:r>
    </w:p>
    <w:p w:rsidR="00331D5C" w:rsidRDefault="00331D5C" w:rsidP="00331D5C">
      <w:pPr>
        <w:shd w:val="clear" w:color="auto" w:fill="FFFFFF"/>
        <w:spacing w:line="360" w:lineRule="auto"/>
        <w:ind w:firstLine="540"/>
        <w:jc w:val="both"/>
        <w:rPr>
          <w:lang w:val="it-IT"/>
        </w:rPr>
      </w:pPr>
      <w:r w:rsidRPr="00CF2E2D">
        <w:rPr>
          <w:lang w:val="it-IT"/>
        </w:rPr>
        <w:t xml:space="preserve">Analoghi problemi interpretativi </w:t>
      </w:r>
      <w:r>
        <w:rPr>
          <w:lang w:val="it-IT"/>
        </w:rPr>
        <w:t xml:space="preserve">(suscettibili delle medesime soluzioni) </w:t>
      </w:r>
      <w:r w:rsidRPr="00CF2E2D">
        <w:rPr>
          <w:lang w:val="it-IT"/>
        </w:rPr>
        <w:t>sono sorti in relazione ai commi 2, 3 e 4 del predetto art. 32, che dispongono l’estensione del “nuovo” regime decadenziale</w:t>
      </w:r>
      <w:r>
        <w:rPr>
          <w:lang w:val="it-IT"/>
        </w:rPr>
        <w:t xml:space="preserve"> ad un complesso di situazioni</w:t>
      </w:r>
      <w:r w:rsidRPr="00CF2E2D">
        <w:rPr>
          <w:lang w:val="it-IT"/>
        </w:rPr>
        <w:t xml:space="preserve"> </w:t>
      </w:r>
      <w:r w:rsidRPr="005338F6">
        <w:rPr>
          <w:lang w:val="it-IT"/>
        </w:rPr>
        <w:t>“il cui furbo differimento potrebbe essere fonte di ingiusto lucro”</w:t>
      </w:r>
      <w:r>
        <w:rPr>
          <w:rStyle w:val="Rimandonotaapidipagina"/>
          <w:lang w:val="it-IT"/>
        </w:rPr>
        <w:footnoteReference w:id="15"/>
      </w:r>
      <w:r>
        <w:rPr>
          <w:lang w:val="it-IT"/>
        </w:rPr>
        <w:t xml:space="preserve">, </w:t>
      </w:r>
      <w:r w:rsidRPr="005338F6">
        <w:rPr>
          <w:lang w:val="it-IT"/>
        </w:rPr>
        <w:t>sinora soggette solo agli ordinari termini di prescrizione.</w:t>
      </w:r>
      <w:r w:rsidRPr="00843ACE">
        <w:rPr>
          <w:sz w:val="22"/>
          <w:szCs w:val="22"/>
          <w:lang w:val="it-IT"/>
        </w:rPr>
        <w:t xml:space="preserve"> </w:t>
      </w:r>
      <w:r w:rsidRPr="00EB5508">
        <w:rPr>
          <w:lang w:val="it-IT"/>
        </w:rPr>
        <w:t>In particolare, il secondo comma prevede l’applicazione dei termini di cui all’art. 6 modificato a tutti i casi di invalidità del licenziamento, con ciò comprendendovi, data la genericità ed ampiezza della nozione utilizzata, non solo il licenziamento ingiustificato, ma anche quello nullo a causa di matrimonio o perché intimato in violazione delle norme a tutela della maternità o per motivi discriminatori, nonché il licenziamento nullo per motivo illecito o in frode</w:t>
      </w:r>
      <w:r>
        <w:rPr>
          <w:lang w:val="it-IT"/>
        </w:rPr>
        <w:t xml:space="preserve">  </w:t>
      </w:r>
      <w:r w:rsidRPr="00EB5508">
        <w:rPr>
          <w:lang w:val="it-IT"/>
        </w:rPr>
        <w:t xml:space="preserve">alla legge o, ancora, quello per superamento del periodo di comporto o il licenziamento disciplinare viziato per mancato rispetto del procedimento di cui all’art. </w:t>
      </w:r>
      <w:smartTag w:uri="urn:schemas-microsoft-com:office:smarttags" w:element="metricconverter">
        <w:smartTagPr>
          <w:attr w:name="ProductID" w:val="7 St"/>
        </w:smartTagPr>
        <w:r w:rsidRPr="00EB5508">
          <w:rPr>
            <w:lang w:val="it-IT"/>
          </w:rPr>
          <w:t>7 St</w:t>
        </w:r>
      </w:smartTag>
      <w:r w:rsidRPr="00EB5508">
        <w:rPr>
          <w:lang w:val="it-IT"/>
        </w:rPr>
        <w:t>. Lav.</w:t>
      </w:r>
      <w:r>
        <w:rPr>
          <w:rStyle w:val="Rimandonotaapidipagina"/>
          <w:lang w:val="it-IT"/>
        </w:rPr>
        <w:footnoteReference w:id="16"/>
      </w:r>
    </w:p>
    <w:p w:rsidR="00331D5C" w:rsidRDefault="00331D5C" w:rsidP="00331D5C">
      <w:pPr>
        <w:shd w:val="clear" w:color="auto" w:fill="FFFFFF"/>
        <w:spacing w:line="360" w:lineRule="auto"/>
        <w:ind w:firstLine="540"/>
        <w:jc w:val="both"/>
        <w:rPr>
          <w:lang w:val="it-IT"/>
        </w:rPr>
      </w:pPr>
      <w:r>
        <w:rPr>
          <w:lang w:val="it-IT"/>
        </w:rPr>
        <w:t xml:space="preserve">Sembrano, invece, doversi condividere i dubbi circa </w:t>
      </w:r>
      <w:r w:rsidRPr="00EB5508">
        <w:rPr>
          <w:lang w:val="it-IT"/>
        </w:rPr>
        <w:t xml:space="preserve">l’operatività della predetta decadenza nell’ipotesi di licenziamento inefficace per mancata comunicazione per iscritto dei motivi richiesti dal lavoratore, ovvero perché intimato oralmente, mancando la comunicazione della forma scritta da cui, per espressa previsione del primo comma dell’art. 6, decorre il termine di 60 giorni. </w:t>
      </w:r>
      <w:r w:rsidRPr="009C4460">
        <w:rPr>
          <w:lang w:val="it-IT"/>
        </w:rPr>
        <w:t xml:space="preserve">In tal caso, pertanto, il lavoratore può agire per far valere tale inefficacia senza l’onere della previa impugnativa stragiudiziale del licenziamento stesso, </w:t>
      </w:r>
      <w:r w:rsidRPr="005338F6">
        <w:rPr>
          <w:lang w:val="it-IT"/>
        </w:rPr>
        <w:t>restando soggetto solamente al termine prescrizionale. Tale soluzione appare coerente con la consolidata ricostruzione giurisprudenziale che configura tale atto come recesso giuridicamente inesistente e, come tale, non incidente sulla continuità del rapporto di lavoro</w:t>
      </w:r>
      <w:r w:rsidRPr="00EB5508">
        <w:rPr>
          <w:rStyle w:val="Rimandonotaapidipagina"/>
        </w:rPr>
        <w:footnoteReference w:id="17"/>
      </w:r>
      <w:r w:rsidRPr="009C4460">
        <w:rPr>
          <w:lang w:val="it-IT"/>
        </w:rPr>
        <w:t xml:space="preserve">. </w:t>
      </w:r>
    </w:p>
    <w:p w:rsidR="00331D5C" w:rsidRDefault="00331D5C" w:rsidP="00331D5C">
      <w:pPr>
        <w:shd w:val="clear" w:color="auto" w:fill="FFFFFF"/>
        <w:spacing w:line="360" w:lineRule="auto"/>
        <w:ind w:firstLine="540"/>
        <w:jc w:val="both"/>
        <w:rPr>
          <w:lang w:val="it-IT"/>
        </w:rPr>
      </w:pPr>
      <w:r w:rsidRPr="005338F6">
        <w:rPr>
          <w:lang w:val="it-IT"/>
        </w:rPr>
        <w:lastRenderedPageBreak/>
        <w:t>E’, inoltre, sfuggita all’attenzione del legislatore la questione del licenziamento del dirigente che, quindi, pare debba continuare ad essere considerato escluso dal campo di applicazione dell’art. 6 della legge n. 604 del 1966, non essendo soggetto alla regola legale di giustificazione necessaria e per il quale solamente le fonti collettive pongono un obbligo di giustificatezza del licenziamento, la cui violazione comporta esclusivamente il pagamento non di un risarcimento, bensì di un’indennità c.d. supplementare. Né a sostegno di conclusioni diverse può utilmente invocarsi la previsione dell’art. 32, comma 2, che è finalizzato ad estendere l’onere di impugnazione ad ogni licenziamento a prescindere dalla tipologia di vizio che lo affligge e, quindi, attiene al profilo oggettivo dell’atto, non a quello dei suoi destinatari</w:t>
      </w:r>
      <w:r>
        <w:rPr>
          <w:rStyle w:val="Rimandonotaapidipagina"/>
          <w:lang w:val="it-IT"/>
        </w:rPr>
        <w:footnoteReference w:id="18"/>
      </w:r>
      <w:r>
        <w:rPr>
          <w:lang w:val="it-IT"/>
        </w:rPr>
        <w:t>.</w:t>
      </w:r>
      <w:r w:rsidRPr="005338F6">
        <w:rPr>
          <w:lang w:val="it-IT"/>
        </w:rPr>
        <w:t xml:space="preserve"> </w:t>
      </w:r>
    </w:p>
    <w:p w:rsidR="00331D5C" w:rsidRPr="005338F6" w:rsidRDefault="00331D5C" w:rsidP="00331D5C">
      <w:pPr>
        <w:shd w:val="clear" w:color="auto" w:fill="FFFFFF"/>
        <w:spacing w:line="360" w:lineRule="auto"/>
        <w:ind w:firstLine="540"/>
        <w:jc w:val="both"/>
        <w:rPr>
          <w:lang w:val="it-IT"/>
        </w:rPr>
      </w:pPr>
      <w:r w:rsidRPr="005338F6">
        <w:rPr>
          <w:lang w:val="it-IT"/>
        </w:rPr>
        <w:t>In termini in parte analoghi</w:t>
      </w:r>
      <w:r>
        <w:rPr>
          <w:lang w:val="it-IT"/>
        </w:rPr>
        <w:t xml:space="preserve">, l’art. 10 della legge n. 604 </w:t>
      </w:r>
      <w:r w:rsidRPr="005338F6">
        <w:rPr>
          <w:lang w:val="it-IT"/>
        </w:rPr>
        <w:t>del 1966 sottrae dall’ambito di operatività di tale disciplina i lavoratori assunti in prova sino ad un massimo di sei mesi dall’inizio del rapporto di lavoro; tuttavia, se il lavoratore deduca che il recesso è stato determinato da motivo illecito estraneo all’espletamento della prova o da ragioni discriminatorie, dovrà tempestivamente impugnare l’atto se non vorrà precludersi, in sede giudiziale, le domande collegate ai profili di illegittimità del licenziamento subito</w:t>
      </w:r>
      <w:r>
        <w:rPr>
          <w:rStyle w:val="Rimandonotaapidipagina"/>
          <w:lang w:val="it-IT"/>
        </w:rPr>
        <w:footnoteReference w:id="19"/>
      </w:r>
      <w:r>
        <w:rPr>
          <w:lang w:val="it-IT"/>
        </w:rPr>
        <w:t>.</w:t>
      </w:r>
      <w:r w:rsidRPr="005338F6">
        <w:rPr>
          <w:lang w:val="it-IT"/>
        </w:rPr>
        <w:t xml:space="preserve"> </w:t>
      </w:r>
    </w:p>
    <w:p w:rsidR="00331D5C" w:rsidRPr="00AB44B6" w:rsidRDefault="00331D5C" w:rsidP="00331D5C">
      <w:pPr>
        <w:shd w:val="clear" w:color="auto" w:fill="FFFFFF"/>
        <w:spacing w:line="360" w:lineRule="auto"/>
        <w:ind w:firstLine="540"/>
        <w:jc w:val="both"/>
        <w:rPr>
          <w:lang w:val="it-IT"/>
        </w:rPr>
      </w:pPr>
      <w:r w:rsidRPr="00AB44B6">
        <w:rPr>
          <w:lang w:val="it-IT"/>
        </w:rPr>
        <w:t>Parallelamente, i commi 3 e 4 dell’art. 32 della legge n. 183 del 2010 estendono la disciplina dei termini di decadenza ben oltre l’ambito dell’impugnazione del solo licenziamento a fattispecie eterogenee e specificamente elencate, tra cui</w:t>
      </w:r>
      <w:r w:rsidRPr="00AB44B6">
        <w:rPr>
          <w:color w:val="000000"/>
          <w:lang w:val="it-IT"/>
        </w:rPr>
        <w:t xml:space="preserve"> il recesso del committente nei rapporti di collaborazione coordinata e continuativa, anche a progetto, il trasferimento del lavoratore e, soprattutto, l’azione di nullità di un contratto di lavoro a termine (anche se già in corso di esecuzione o, persino, scaduto alla data di entrata in vigore del “Collegato Lavoro”) e quella volta a chiedere la </w:t>
      </w:r>
      <w:r w:rsidRPr="00AB44B6">
        <w:rPr>
          <w:color w:val="000000"/>
          <w:lang w:val="it-IT"/>
        </w:rPr>
        <w:lastRenderedPageBreak/>
        <w:t>costituzione o l'accertamento di un rapporto di lavoro in capo a un soggetto dive</w:t>
      </w:r>
      <w:r>
        <w:rPr>
          <w:color w:val="000000"/>
          <w:lang w:val="it-IT"/>
        </w:rPr>
        <w:t>rso dal titolare del contratto.</w:t>
      </w:r>
    </w:p>
    <w:p w:rsidR="00331D5C" w:rsidRDefault="00331D5C" w:rsidP="00331D5C">
      <w:pPr>
        <w:shd w:val="clear" w:color="auto" w:fill="FFFFFF"/>
        <w:spacing w:line="360" w:lineRule="auto"/>
        <w:ind w:firstLine="540"/>
        <w:jc w:val="both"/>
        <w:rPr>
          <w:lang w:val="it-IT"/>
        </w:rPr>
      </w:pPr>
      <w:r>
        <w:rPr>
          <w:lang w:val="it-IT"/>
        </w:rPr>
        <w:t xml:space="preserve">Orbene, è evidente che il presupposto per l’operatività delle norme da ultimo richiamate è costituito dall’entrata in vigore delle modifiche apportate all’art. 6 della legge n. 604 del 1966 da parte dell’art. 32 della legge n. 183 del 2010. Ma è proprio l’efficacia di tali modifiche ad essere stata differita al 31 dicembre 2011 ad opera del Decreto Milleproroghe, sicché, in assenza di una base normativa, non può imporsi alle parti un onere di impugnativa che prima delle predette innovazioni legislative non esisteva nemmeno. </w:t>
      </w:r>
    </w:p>
    <w:p w:rsidR="00331D5C" w:rsidRDefault="00331D5C" w:rsidP="00331D5C">
      <w:pPr>
        <w:shd w:val="clear" w:color="auto" w:fill="FFFFFF"/>
        <w:spacing w:line="360" w:lineRule="auto"/>
        <w:ind w:firstLine="540"/>
        <w:jc w:val="both"/>
        <w:rPr>
          <w:lang w:val="it-IT"/>
        </w:rPr>
      </w:pPr>
      <w:r>
        <w:rPr>
          <w:lang w:val="it-IT"/>
        </w:rPr>
        <w:t xml:space="preserve">I commi dell’art. 32 del Collegato Lavoro costutuiscono, infatti, un </w:t>
      </w:r>
      <w:r w:rsidRPr="00CB124F">
        <w:rPr>
          <w:i/>
          <w:lang w:val="it-IT"/>
        </w:rPr>
        <w:t>unicum</w:t>
      </w:r>
      <w:r>
        <w:rPr>
          <w:lang w:val="it-IT"/>
        </w:rPr>
        <w:t xml:space="preserve"> che ha come fulcro centrale la modifica dell’intero regime di impugnazione, l’efficacia della quale è stata, però, temporaneamente sospesa. Le disposizioni ora menzionate sono, cioè, strettamente legate, per cui se si ritiene che il predetto differimento valga non solo per il termine di decadenza di 60 giorni, già previsto, ma anche per i successivi 270 giorni il cui rispetto è imposto a pena di inefficacia dell’impugnazione stessa, occorre ipotizzare che esso coinvolga anche tutte quelle fattispecie (diverse dal licenziamento) prima escluse dall’ambito di applicazione della legge n. 604 del 1966, per le quali nel corso del 2011 continuerà ad applicarsi la precedente disciplina</w:t>
      </w:r>
      <w:r>
        <w:rPr>
          <w:rStyle w:val="Rimandonotaapidipagina"/>
          <w:lang w:val="it-IT"/>
        </w:rPr>
        <w:footnoteReference w:id="20"/>
      </w:r>
      <w:r>
        <w:rPr>
          <w:lang w:val="it-IT"/>
        </w:rPr>
        <w:t>.</w:t>
      </w:r>
    </w:p>
    <w:p w:rsidR="00331D5C" w:rsidRDefault="00331D5C" w:rsidP="00331D5C">
      <w:pPr>
        <w:shd w:val="clear" w:color="auto" w:fill="FFFFFF"/>
        <w:spacing w:line="360" w:lineRule="auto"/>
        <w:ind w:firstLine="540"/>
        <w:jc w:val="both"/>
        <w:rPr>
          <w:lang w:val="it-IT"/>
        </w:rPr>
      </w:pPr>
      <w:r>
        <w:rPr>
          <w:lang w:val="it-IT"/>
        </w:rPr>
        <w:t xml:space="preserve">In base a ragioni logiche e sistematiche, quindi, è giocoforza ritenere che per l’intero corso della sospensione le nuove disposizioni sono da considerarsi </w:t>
      </w:r>
      <w:r w:rsidRPr="00E823A1">
        <w:rPr>
          <w:i/>
          <w:lang w:val="it-IT"/>
        </w:rPr>
        <w:t>tamquam non essent</w:t>
      </w:r>
      <w:r>
        <w:rPr>
          <w:lang w:val="it-IT"/>
        </w:rPr>
        <w:t xml:space="preserve"> e il rinvio della loro efficacia non può che coinvolgere l’intero testo normativo di cui all’art. 32 del Collegato Lavoro. </w:t>
      </w:r>
    </w:p>
    <w:p w:rsidR="00331D5C" w:rsidRDefault="00331D5C" w:rsidP="00331D5C">
      <w:pPr>
        <w:shd w:val="clear" w:color="auto" w:fill="FFFFFF"/>
        <w:spacing w:line="360" w:lineRule="auto"/>
        <w:ind w:firstLine="540"/>
        <w:jc w:val="both"/>
        <w:rPr>
          <w:lang w:val="it-IT"/>
        </w:rPr>
      </w:pPr>
      <w:r>
        <w:rPr>
          <w:lang w:val="it-IT"/>
        </w:rPr>
        <w:t xml:space="preserve">In conclusione, si può affermare che il carattere enigmatico </w:t>
      </w:r>
      <w:r w:rsidRPr="00631136">
        <w:rPr>
          <w:lang w:val="it-IT"/>
        </w:rPr>
        <w:t>e</w:t>
      </w:r>
      <w:r>
        <w:rPr>
          <w:lang w:val="it-IT"/>
        </w:rPr>
        <w:t xml:space="preserve"> di non agevole interpretazione del comma 1 </w:t>
      </w:r>
      <w:r w:rsidRPr="00A550AF">
        <w:rPr>
          <w:i/>
          <w:lang w:val="it-IT"/>
        </w:rPr>
        <w:t>bis</w:t>
      </w:r>
      <w:r w:rsidRPr="00631136">
        <w:rPr>
          <w:lang w:val="it-IT"/>
        </w:rPr>
        <w:t xml:space="preserve"> </w:t>
      </w:r>
      <w:r>
        <w:rPr>
          <w:lang w:val="it-IT"/>
        </w:rPr>
        <w:t xml:space="preserve">inserito dal decreto Milleproroghe nell’art. 32 della l. n. 183 del </w:t>
      </w:r>
      <w:smartTag w:uri="urn:schemas-microsoft-com:office:smarttags" w:element="metricconverter">
        <w:smartTagPr>
          <w:attr w:name="ProductID" w:val="2010 ha"/>
        </w:smartTagPr>
        <w:r>
          <w:rPr>
            <w:lang w:val="it-IT"/>
          </w:rPr>
          <w:t>2010 ha</w:t>
        </w:r>
      </w:smartTag>
      <w:r>
        <w:rPr>
          <w:lang w:val="it-IT"/>
        </w:rPr>
        <w:t xml:space="preserve"> dato luogo a numerose altre questioni interpretative </w:t>
      </w:r>
      <w:r w:rsidRPr="00477C61">
        <w:rPr>
          <w:lang w:val="it-IT"/>
        </w:rPr>
        <w:t xml:space="preserve">alle quali è opportuno accennare per ragioni di completezza in questa sede. Rileva, in primo luogo, la questione relativa alla legittimità e al significato della previsione che </w:t>
      </w:r>
      <w:r w:rsidRPr="00477C61">
        <w:rPr>
          <w:lang w:val="it-IT"/>
        </w:rPr>
        <w:lastRenderedPageBreak/>
        <w:t>estende il regime decadenziale ai contratti a termine già scaduti al momento dell’entrata in vigore del Collegato Lavoro. Trattasi, chiaramente, di norma retroattiva, per la cui operatività costituisce, però, presupposto ineludibile l’entrata in vigore delle modifiche apportate all’art. 6 della legge n. 604 del 1966 da parte dell’art. 32 della legge n. 183 del 2010; ma se, come ho già avuto modo di sottolineare, l’efficacia di tali modifiche è stata temporalmente sospesa fino al 31 dicembre del 2011, ancora una volta è giocoforza ritenere che non sia possibile estendere un onere d’impugnazione, stragiudiziale o giudiziale, che al tempo in cui il rapporto è cessato per l’apparente operatività del termine illegittimamente apposto non era nemmeno prevedibile</w:t>
      </w:r>
      <w:r>
        <w:rPr>
          <w:rStyle w:val="Rimandonotaapidipagina"/>
          <w:lang w:val="it-IT"/>
        </w:rPr>
        <w:footnoteReference w:id="21"/>
      </w:r>
      <w:r>
        <w:rPr>
          <w:lang w:val="it-IT"/>
        </w:rPr>
        <w:t>.</w:t>
      </w:r>
      <w:r w:rsidRPr="00477C61">
        <w:rPr>
          <w:lang w:val="it-IT"/>
        </w:rPr>
        <w:t xml:space="preserve"> </w:t>
      </w:r>
    </w:p>
    <w:p w:rsidR="00331D5C" w:rsidRDefault="00331D5C" w:rsidP="00331D5C">
      <w:pPr>
        <w:shd w:val="clear" w:color="auto" w:fill="FFFFFF"/>
        <w:spacing w:line="360" w:lineRule="auto"/>
        <w:ind w:firstLine="540"/>
        <w:jc w:val="both"/>
        <w:rPr>
          <w:lang w:val="it-IT"/>
        </w:rPr>
      </w:pPr>
      <w:r w:rsidRPr="00477C61">
        <w:rPr>
          <w:lang w:val="it-IT"/>
        </w:rPr>
        <w:t xml:space="preserve">In termini in parte diversi si pone la problematica attinente alla </w:t>
      </w:r>
      <w:r w:rsidRPr="00477C61">
        <w:rPr>
          <w:i/>
          <w:lang w:val="it-IT"/>
        </w:rPr>
        <w:t>vacatio legis</w:t>
      </w:r>
      <w:r w:rsidRPr="00477C61">
        <w:rPr>
          <w:lang w:val="it-IT"/>
        </w:rPr>
        <w:t xml:space="preserve"> determinatasi tra la data di entrata in vigore della legge n. 183 del 2010 (24 ottobre 2010) e la data di pubblicazione del Milleproroghe (27 febbraio 2011). Anche in questa ipotesi, a parere della scrivente, appare preferibile la tesi della retroattività della disposizione da ultimo citata, non ostandovi né il principio di generale irretroattività della legge, che non dispone che per l’avvenire, al quale si può derogare sulla base di criteri ragionevoli, né la difficoltà di ipotizzare il differimento di termini già scaduti; nel caso di specie, infatti, si otterrebbe quale unico effetto una sostanziale rimessione in termini di quanti fossero </w:t>
      </w:r>
      <w:r w:rsidRPr="00477C61">
        <w:rPr>
          <w:i/>
          <w:lang w:val="it-IT"/>
        </w:rPr>
        <w:t>medio tempore</w:t>
      </w:r>
      <w:r w:rsidRPr="00477C61">
        <w:rPr>
          <w:lang w:val="it-IT"/>
        </w:rPr>
        <w:t xml:space="preserve"> decaduti e, quindi, un ampliamento delle possibilità di agire in giudizio in una prospettiva di “</w:t>
      </w:r>
      <w:r w:rsidRPr="00477C61">
        <w:rPr>
          <w:i/>
          <w:lang w:val="it-IT"/>
        </w:rPr>
        <w:t>favor lavoratoris</w:t>
      </w:r>
      <w:r w:rsidRPr="00477C61">
        <w:rPr>
          <w:lang w:val="it-IT"/>
        </w:rPr>
        <w:t>” e non una lesione o limitazione dei suoi diritti soggettivi. D’altra parte, una siffatta interpretazione consente di attribuire un qualche rilievo all’</w:t>
      </w:r>
      <w:r w:rsidRPr="00477C61">
        <w:rPr>
          <w:i/>
          <w:lang w:val="it-IT"/>
        </w:rPr>
        <w:t>incipit</w:t>
      </w:r>
      <w:r w:rsidRPr="00477C61">
        <w:rPr>
          <w:lang w:val="it-IT"/>
        </w:rPr>
        <w:t xml:space="preserve"> “in sede di prima applicazione” che, diversamente, non avrebbe senso alcuno</w:t>
      </w:r>
      <w:r>
        <w:rPr>
          <w:rStyle w:val="Rimandonotaapidipagina"/>
          <w:lang w:val="it-IT"/>
        </w:rPr>
        <w:footnoteReference w:id="22"/>
      </w:r>
      <w:r w:rsidRPr="00477C61">
        <w:rPr>
          <w:lang w:val="it-IT"/>
        </w:rPr>
        <w:t>.</w:t>
      </w:r>
    </w:p>
    <w:p w:rsidR="00331D5C" w:rsidRPr="005F59D9" w:rsidRDefault="00331D5C" w:rsidP="00331D5C">
      <w:pPr>
        <w:shd w:val="clear" w:color="auto" w:fill="FFFFFF"/>
        <w:spacing w:line="360" w:lineRule="auto"/>
        <w:ind w:firstLine="540"/>
        <w:jc w:val="both"/>
        <w:rPr>
          <w:lang w:val="it-IT"/>
        </w:rPr>
      </w:pPr>
      <w:r w:rsidRPr="00477C61">
        <w:rPr>
          <w:lang w:val="it-IT"/>
        </w:rPr>
        <w:t xml:space="preserve">Il presente lavoro, pertanto, senza volere approfondire in modo troppo dettagliato le problematiche sottese alle disposizioni legislative in commento, si propone di suggerire un’interpretazione alternativa di un testo normativo </w:t>
      </w:r>
      <w:r w:rsidRPr="00477C61">
        <w:rPr>
          <w:lang w:val="it-IT"/>
        </w:rPr>
        <w:lastRenderedPageBreak/>
        <w:t xml:space="preserve">probabilmente formulato con una tecnica imprecisa, chiaro esempio della poca attenzione prestata dal nostro legislatore nella redazione delle leggi. </w:t>
      </w:r>
    </w:p>
    <w:p w:rsidR="00331D5C" w:rsidRPr="002B3DA5" w:rsidRDefault="00331D5C" w:rsidP="00331D5C">
      <w:pPr>
        <w:spacing w:before="100" w:beforeAutospacing="1" w:after="100" w:afterAutospacing="1"/>
        <w:jc w:val="both"/>
        <w:rPr>
          <w:lang w:val="it-IT"/>
        </w:rPr>
      </w:pPr>
    </w:p>
    <w:p w:rsidR="00886D37" w:rsidRPr="00331D5C" w:rsidRDefault="00886D37">
      <w:pPr>
        <w:rPr>
          <w:lang w:val="it-IT"/>
        </w:rPr>
      </w:pPr>
    </w:p>
    <w:sectPr w:rsidR="00886D37" w:rsidRPr="00331D5C" w:rsidSect="00331D5C">
      <w:pgSz w:w="11906" w:h="16838"/>
      <w:pgMar w:top="1701" w:right="1701" w:bottom="1701" w:left="192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37EA" w:rsidRDefault="00FA37EA" w:rsidP="00331D5C">
      <w:r>
        <w:separator/>
      </w:r>
    </w:p>
  </w:endnote>
  <w:endnote w:type="continuationSeparator" w:id="1">
    <w:p w:rsidR="00FA37EA" w:rsidRDefault="00FA37EA" w:rsidP="00331D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37EA" w:rsidRDefault="00FA37EA" w:rsidP="00331D5C">
      <w:r>
        <w:separator/>
      </w:r>
    </w:p>
  </w:footnote>
  <w:footnote w:type="continuationSeparator" w:id="1">
    <w:p w:rsidR="00FA37EA" w:rsidRDefault="00FA37EA" w:rsidP="00331D5C">
      <w:r>
        <w:continuationSeparator/>
      </w:r>
    </w:p>
  </w:footnote>
  <w:footnote w:id="2">
    <w:p w:rsidR="00331D5C" w:rsidRPr="00B70D87" w:rsidRDefault="00331D5C" w:rsidP="00331D5C">
      <w:pPr>
        <w:shd w:val="clear" w:color="auto" w:fill="FFFFFF"/>
        <w:ind w:right="-82" w:firstLine="540"/>
        <w:jc w:val="both"/>
        <w:rPr>
          <w:color w:val="000000"/>
          <w:sz w:val="20"/>
          <w:szCs w:val="20"/>
          <w:lang w:val="it-IT"/>
        </w:rPr>
      </w:pPr>
      <w:r w:rsidRPr="00B70D87">
        <w:rPr>
          <w:rStyle w:val="Rimandonotaapidipagina"/>
          <w:sz w:val="20"/>
          <w:szCs w:val="20"/>
        </w:rPr>
        <w:footnoteRef/>
      </w:r>
      <w:r w:rsidRPr="00B70D87">
        <w:rPr>
          <w:sz w:val="20"/>
          <w:szCs w:val="20"/>
          <w:lang w:val="it-IT"/>
        </w:rPr>
        <w:t xml:space="preserve"> Cfr. </w:t>
      </w:r>
      <w:r w:rsidRPr="00B70D87">
        <w:rPr>
          <w:smallCaps/>
          <w:sz w:val="20"/>
          <w:szCs w:val="20"/>
          <w:lang w:val="it-IT"/>
        </w:rPr>
        <w:t>G. Pellacani</w:t>
      </w:r>
      <w:r w:rsidRPr="00B70D87">
        <w:rPr>
          <w:sz w:val="20"/>
          <w:szCs w:val="20"/>
          <w:lang w:val="it-IT"/>
        </w:rPr>
        <w:t xml:space="preserve">, </w:t>
      </w:r>
      <w:r w:rsidRPr="00B70D87">
        <w:rPr>
          <w:i/>
          <w:sz w:val="20"/>
          <w:szCs w:val="20"/>
          <w:lang w:val="it-IT"/>
        </w:rPr>
        <w:t>Il Cosiddetto “collegato lavoro” e la disciplina dei licenziamenti</w:t>
      </w:r>
      <w:r w:rsidRPr="00B70D87">
        <w:rPr>
          <w:sz w:val="20"/>
          <w:szCs w:val="20"/>
          <w:lang w:val="it-IT"/>
        </w:rPr>
        <w:t xml:space="preserve">, </w:t>
      </w:r>
      <w:r>
        <w:rPr>
          <w:sz w:val="20"/>
          <w:szCs w:val="20"/>
          <w:lang w:val="it-IT"/>
        </w:rPr>
        <w:t xml:space="preserve">in </w:t>
      </w:r>
      <w:r w:rsidRPr="00B70D87">
        <w:rPr>
          <w:i/>
          <w:color w:val="000000"/>
          <w:sz w:val="20"/>
          <w:szCs w:val="20"/>
          <w:lang w:val="it-IT"/>
        </w:rPr>
        <w:t>Riv. It. Dir. Lav.</w:t>
      </w:r>
      <w:r w:rsidRPr="00B70D87">
        <w:rPr>
          <w:color w:val="000000"/>
          <w:sz w:val="20"/>
          <w:szCs w:val="20"/>
          <w:lang w:val="it-IT"/>
        </w:rPr>
        <w:t xml:space="preserve">, 2010, I, pag. </w:t>
      </w:r>
      <w:smartTag w:uri="urn:schemas-microsoft-com:office:smarttags" w:element="metricconverter">
        <w:smartTagPr>
          <w:attr w:name="ProductID" w:val="249. In"/>
        </w:smartTagPr>
        <w:r w:rsidRPr="00B70D87">
          <w:rPr>
            <w:color w:val="000000"/>
            <w:sz w:val="20"/>
            <w:szCs w:val="20"/>
            <w:lang w:val="it-IT"/>
          </w:rPr>
          <w:t xml:space="preserve">249. </w:t>
        </w:r>
        <w:r w:rsidRPr="00B70D87">
          <w:rPr>
            <w:sz w:val="20"/>
            <w:szCs w:val="20"/>
            <w:lang w:val="it-IT"/>
          </w:rPr>
          <w:t>In</w:t>
        </w:r>
      </w:smartTag>
      <w:r w:rsidRPr="00B70D87">
        <w:rPr>
          <w:sz w:val="20"/>
          <w:szCs w:val="20"/>
          <w:lang w:val="it-IT"/>
        </w:rPr>
        <w:t xml:space="preserve"> tal senso anche la giurisprudenza più recente, secondo cui il verificarsi della decadenza non solo impedisce l’applicazione della specifica disciplina in materia di licenziamento, ma preclude, in generale, </w:t>
      </w:r>
      <w:r w:rsidRPr="00B70D87">
        <w:rPr>
          <w:color w:val="000000"/>
          <w:sz w:val="20"/>
          <w:szCs w:val="20"/>
          <w:lang w:val="it-IT"/>
        </w:rPr>
        <w:t xml:space="preserve">l'accertamento giudiziale dell'illegittimità del recesso e la tutela risarcitoria di diritto comune riconosciuta dall’art. 1218 c.c., venendone a mancare il necessario presupposto, cioè l'inadempimento del datore di lavoro (Cass. 5 febbraio 2010, n. 2676; Cass. 11 giugno 2009, n. </w:t>
      </w:r>
      <w:smartTag w:uri="urn:schemas-microsoft-com:office:smarttags" w:element="metricconverter">
        <w:smartTagPr>
          <w:attr w:name="ProductID" w:val="13580, in"/>
        </w:smartTagPr>
        <w:r w:rsidRPr="00B70D87">
          <w:rPr>
            <w:color w:val="000000"/>
            <w:sz w:val="20"/>
            <w:szCs w:val="20"/>
            <w:lang w:val="it-IT"/>
          </w:rPr>
          <w:t>13580, in</w:t>
        </w:r>
      </w:smartTag>
      <w:r w:rsidRPr="00B70D87">
        <w:rPr>
          <w:color w:val="000000"/>
          <w:sz w:val="20"/>
          <w:szCs w:val="20"/>
          <w:lang w:val="it-IT"/>
        </w:rPr>
        <w:t xml:space="preserve"> </w:t>
      </w:r>
      <w:r w:rsidRPr="00B70D87">
        <w:rPr>
          <w:i/>
          <w:color w:val="000000"/>
          <w:sz w:val="20"/>
          <w:szCs w:val="20"/>
          <w:lang w:val="it-IT"/>
        </w:rPr>
        <w:t>Guida al Dir.</w:t>
      </w:r>
      <w:r w:rsidRPr="00B70D87">
        <w:rPr>
          <w:color w:val="000000"/>
          <w:sz w:val="20"/>
          <w:szCs w:val="20"/>
          <w:lang w:val="it-IT"/>
        </w:rPr>
        <w:t xml:space="preserve">, 2009, n. 30, pag. 91; Cass. 14 maggio 2007, n. </w:t>
      </w:r>
      <w:smartTag w:uri="urn:schemas-microsoft-com:office:smarttags" w:element="metricconverter">
        <w:smartTagPr>
          <w:attr w:name="ProductID" w:val="11035, in"/>
        </w:smartTagPr>
        <w:r w:rsidRPr="00B70D87">
          <w:rPr>
            <w:color w:val="000000"/>
            <w:sz w:val="20"/>
            <w:szCs w:val="20"/>
            <w:lang w:val="it-IT"/>
          </w:rPr>
          <w:t>11035, in</w:t>
        </w:r>
      </w:smartTag>
      <w:r w:rsidRPr="00B70D87">
        <w:rPr>
          <w:color w:val="000000"/>
          <w:sz w:val="20"/>
          <w:szCs w:val="20"/>
          <w:lang w:val="it-IT"/>
        </w:rPr>
        <w:t xml:space="preserve"> </w:t>
      </w:r>
      <w:r w:rsidRPr="00B70D87">
        <w:rPr>
          <w:i/>
          <w:color w:val="000000"/>
          <w:sz w:val="20"/>
          <w:szCs w:val="20"/>
          <w:lang w:val="it-IT"/>
        </w:rPr>
        <w:t>Il Lav. nella Giur.</w:t>
      </w:r>
      <w:r w:rsidRPr="00B70D87">
        <w:rPr>
          <w:color w:val="000000"/>
          <w:sz w:val="20"/>
          <w:szCs w:val="20"/>
          <w:lang w:val="it-IT"/>
        </w:rPr>
        <w:t xml:space="preserve">, 2007, 879, con nota di Muratorio; Cass. 21 agosto 2006, n. </w:t>
      </w:r>
      <w:smartTag w:uri="urn:schemas-microsoft-com:office:smarttags" w:element="metricconverter">
        <w:smartTagPr>
          <w:attr w:name="ProductID" w:val="18216, in"/>
        </w:smartTagPr>
        <w:r w:rsidRPr="00B70D87">
          <w:rPr>
            <w:color w:val="000000"/>
            <w:sz w:val="20"/>
            <w:szCs w:val="20"/>
            <w:lang w:val="it-IT"/>
          </w:rPr>
          <w:t>18216, in</w:t>
        </w:r>
      </w:smartTag>
      <w:r w:rsidRPr="00B70D87">
        <w:rPr>
          <w:color w:val="000000"/>
          <w:sz w:val="20"/>
          <w:szCs w:val="20"/>
          <w:lang w:val="it-IT"/>
        </w:rPr>
        <w:t xml:space="preserve"> </w:t>
      </w:r>
      <w:r w:rsidRPr="00B70D87">
        <w:rPr>
          <w:i/>
          <w:color w:val="000000"/>
          <w:sz w:val="20"/>
          <w:szCs w:val="20"/>
          <w:lang w:val="it-IT"/>
        </w:rPr>
        <w:t>Mass. Giust. Civ.</w:t>
      </w:r>
      <w:r w:rsidRPr="00B70D87">
        <w:rPr>
          <w:color w:val="000000"/>
          <w:sz w:val="20"/>
          <w:szCs w:val="20"/>
          <w:lang w:val="it-IT"/>
        </w:rPr>
        <w:t xml:space="preserve">, 2006, 7-8). Al lavoratore residua soltanto un’azione risarcitoria per fatti ulteriori rispetto al mero licenziamento, in relazione a modalità di recesso tali da determinare di per sé un danno alla salute psicofisica del lavoratore. Secondo un diverso indirizzo sarebbe comunque esperibile l’azione risarcitoria di diritto comune; cfr. Cass. 12 ottobre 2006, n. </w:t>
      </w:r>
      <w:smartTag w:uri="urn:schemas-microsoft-com:office:smarttags" w:element="metricconverter">
        <w:smartTagPr>
          <w:attr w:name="ProductID" w:val="21833, in"/>
        </w:smartTagPr>
        <w:r w:rsidRPr="00B70D87">
          <w:rPr>
            <w:color w:val="000000"/>
            <w:sz w:val="20"/>
            <w:szCs w:val="20"/>
            <w:lang w:val="it-IT"/>
          </w:rPr>
          <w:t>21833, in</w:t>
        </w:r>
      </w:smartTag>
      <w:r w:rsidRPr="00B70D87">
        <w:rPr>
          <w:color w:val="000000"/>
          <w:sz w:val="20"/>
          <w:szCs w:val="20"/>
          <w:lang w:val="it-IT"/>
        </w:rPr>
        <w:t xml:space="preserve"> </w:t>
      </w:r>
      <w:r w:rsidRPr="00B70D87">
        <w:rPr>
          <w:i/>
          <w:color w:val="000000"/>
          <w:sz w:val="20"/>
          <w:szCs w:val="20"/>
          <w:lang w:val="it-IT"/>
        </w:rPr>
        <w:t>Riv. It. Dir. Lav.</w:t>
      </w:r>
      <w:r w:rsidRPr="00B70D87">
        <w:rPr>
          <w:color w:val="000000"/>
          <w:sz w:val="20"/>
          <w:szCs w:val="20"/>
          <w:lang w:val="it-IT"/>
        </w:rPr>
        <w:t>, 2007, II, 954, con nota di Diamanti.</w:t>
      </w:r>
    </w:p>
  </w:footnote>
  <w:footnote w:id="3">
    <w:p w:rsidR="00331D5C" w:rsidRPr="00B70D87" w:rsidRDefault="00331D5C" w:rsidP="00331D5C">
      <w:pPr>
        <w:shd w:val="clear" w:color="auto" w:fill="FFFFFF"/>
        <w:ind w:right="-82" w:firstLine="540"/>
        <w:jc w:val="both"/>
        <w:rPr>
          <w:sz w:val="20"/>
          <w:szCs w:val="20"/>
          <w:lang w:val="it-IT"/>
        </w:rPr>
      </w:pPr>
      <w:r w:rsidRPr="00B70D87">
        <w:rPr>
          <w:rStyle w:val="Rimandonotaapidipagina"/>
          <w:sz w:val="20"/>
          <w:szCs w:val="20"/>
        </w:rPr>
        <w:footnoteRef/>
      </w:r>
      <w:r w:rsidRPr="00B70D87">
        <w:rPr>
          <w:sz w:val="20"/>
          <w:szCs w:val="20"/>
          <w:lang w:val="it-IT"/>
        </w:rPr>
        <w:t xml:space="preserve"> Cfr.,</w:t>
      </w:r>
      <w:r w:rsidRPr="00B70D87">
        <w:rPr>
          <w:i/>
          <w:sz w:val="20"/>
          <w:szCs w:val="20"/>
          <w:lang w:val="it-IT"/>
        </w:rPr>
        <w:t xml:space="preserve"> ex multis</w:t>
      </w:r>
      <w:r w:rsidRPr="00B70D87">
        <w:rPr>
          <w:sz w:val="20"/>
          <w:szCs w:val="20"/>
          <w:lang w:val="it-IT"/>
        </w:rPr>
        <w:t xml:space="preserve">, 29 gennaio 1987, n. </w:t>
      </w:r>
      <w:smartTag w:uri="urn:schemas-microsoft-com:office:smarttags" w:element="metricconverter">
        <w:smartTagPr>
          <w:attr w:name="ProductID" w:val="855, in"/>
        </w:smartTagPr>
        <w:r w:rsidRPr="00B70D87">
          <w:rPr>
            <w:sz w:val="20"/>
            <w:szCs w:val="20"/>
            <w:lang w:val="it-IT"/>
          </w:rPr>
          <w:t>855, in</w:t>
        </w:r>
      </w:smartTag>
      <w:r w:rsidRPr="00B70D87">
        <w:rPr>
          <w:sz w:val="20"/>
          <w:szCs w:val="20"/>
          <w:lang w:val="it-IT"/>
        </w:rPr>
        <w:t xml:space="preserve"> </w:t>
      </w:r>
      <w:r w:rsidRPr="00B70D87">
        <w:rPr>
          <w:i/>
          <w:sz w:val="20"/>
          <w:szCs w:val="20"/>
          <w:lang w:val="it-IT"/>
        </w:rPr>
        <w:t>Giur. it.</w:t>
      </w:r>
      <w:r w:rsidRPr="00B70D87">
        <w:rPr>
          <w:sz w:val="20"/>
          <w:szCs w:val="20"/>
          <w:lang w:val="it-IT"/>
        </w:rPr>
        <w:t>, 1988, I, 1, 1032 e segg.</w:t>
      </w:r>
    </w:p>
  </w:footnote>
  <w:footnote w:id="4">
    <w:p w:rsidR="00331D5C" w:rsidRPr="00B70D87" w:rsidRDefault="00331D5C" w:rsidP="00331D5C">
      <w:pPr>
        <w:pStyle w:val="Testonotaapidipagina"/>
        <w:ind w:firstLine="540"/>
        <w:jc w:val="both"/>
        <w:rPr>
          <w:lang w:val="it-IT"/>
        </w:rPr>
      </w:pPr>
      <w:r w:rsidRPr="00B70D87">
        <w:rPr>
          <w:rStyle w:val="Rimandonotaapidipagina"/>
        </w:rPr>
        <w:footnoteRef/>
      </w:r>
      <w:r w:rsidRPr="00B70D87">
        <w:rPr>
          <w:lang w:val="it-IT"/>
        </w:rPr>
        <w:t xml:space="preserve"> Cfr. </w:t>
      </w:r>
      <w:r w:rsidRPr="00B70D87">
        <w:rPr>
          <w:smallCaps/>
          <w:lang w:val="it-IT"/>
        </w:rPr>
        <w:t>L. Cavallaro</w:t>
      </w:r>
      <w:r w:rsidRPr="00B70D87">
        <w:rPr>
          <w:lang w:val="it-IT"/>
        </w:rPr>
        <w:t xml:space="preserve">, </w:t>
      </w:r>
      <w:r w:rsidRPr="00B70D87">
        <w:rPr>
          <w:i/>
          <w:lang w:val="it-IT"/>
        </w:rPr>
        <w:t xml:space="preserve">L’art. </w:t>
      </w:r>
      <w:smartTag w:uri="urn:schemas-microsoft-com:office:smarttags" w:element="metricconverter">
        <w:smartTagPr>
          <w:attr w:name="ProductID" w:val="32 l"/>
        </w:smartTagPr>
        <w:r w:rsidRPr="00B70D87">
          <w:rPr>
            <w:i/>
            <w:lang w:val="it-IT"/>
          </w:rPr>
          <w:t>32 l</w:t>
        </w:r>
      </w:smartTag>
      <w:r w:rsidRPr="00B70D87">
        <w:rPr>
          <w:i/>
          <w:lang w:val="it-IT"/>
        </w:rPr>
        <w:t xml:space="preserve">. n. 183/2010 dopo il “Milleproroghe”, </w:t>
      </w:r>
      <w:r w:rsidRPr="00B70D87">
        <w:rPr>
          <w:lang w:val="it-IT"/>
        </w:rPr>
        <w:t xml:space="preserve">in </w:t>
      </w:r>
      <w:r w:rsidRPr="00B70D87">
        <w:rPr>
          <w:i/>
          <w:lang w:val="it-IT"/>
        </w:rPr>
        <w:t>Working Papers C.S.D.L.E. “Massimo D’Antona”. IT</w:t>
      </w:r>
      <w:r w:rsidRPr="00B70D87">
        <w:rPr>
          <w:lang w:val="it-IT"/>
        </w:rPr>
        <w:t xml:space="preserve"> – 169/2013, pag. 3.</w:t>
      </w:r>
    </w:p>
  </w:footnote>
  <w:footnote w:id="5">
    <w:p w:rsidR="00331D5C" w:rsidRPr="00B70D87" w:rsidRDefault="00331D5C" w:rsidP="00331D5C">
      <w:pPr>
        <w:shd w:val="clear" w:color="auto" w:fill="FFFFFF"/>
        <w:ind w:right="-82" w:firstLine="540"/>
        <w:jc w:val="both"/>
        <w:rPr>
          <w:i/>
          <w:sz w:val="20"/>
          <w:szCs w:val="20"/>
          <w:lang w:val="it-IT"/>
        </w:rPr>
      </w:pPr>
      <w:r w:rsidRPr="00B70D87">
        <w:rPr>
          <w:rStyle w:val="Rimandonotaapidipagina"/>
          <w:sz w:val="20"/>
          <w:szCs w:val="20"/>
        </w:rPr>
        <w:footnoteRef/>
      </w:r>
      <w:r w:rsidRPr="00B70D87">
        <w:rPr>
          <w:sz w:val="20"/>
          <w:szCs w:val="20"/>
          <w:lang w:val="it-IT"/>
        </w:rPr>
        <w:t xml:space="preserve"> Si veda </w:t>
      </w:r>
      <w:r w:rsidRPr="00B70D87">
        <w:rPr>
          <w:smallCaps/>
          <w:sz w:val="20"/>
          <w:szCs w:val="20"/>
          <w:lang w:val="it-IT"/>
        </w:rPr>
        <w:t>G. Amoroso</w:t>
      </w:r>
      <w:r w:rsidRPr="00B70D87">
        <w:rPr>
          <w:sz w:val="20"/>
          <w:szCs w:val="20"/>
          <w:lang w:val="it-IT"/>
        </w:rPr>
        <w:t xml:space="preserve">, </w:t>
      </w:r>
      <w:r w:rsidRPr="00B70D87">
        <w:rPr>
          <w:i/>
          <w:sz w:val="20"/>
          <w:szCs w:val="20"/>
          <w:lang w:val="it-IT"/>
        </w:rPr>
        <w:t>Impugnazioni e decadenze nel Collegato Lavoro. Il nuovo regime delle impugnazioni e delle decadenze</w:t>
      </w:r>
      <w:r w:rsidRPr="00B70D87">
        <w:rPr>
          <w:sz w:val="20"/>
          <w:szCs w:val="20"/>
          <w:lang w:val="it-IT"/>
        </w:rPr>
        <w:t xml:space="preserve">, in AA.VV., </w:t>
      </w:r>
      <w:r w:rsidRPr="00B70D87">
        <w:rPr>
          <w:i/>
          <w:sz w:val="20"/>
          <w:szCs w:val="20"/>
          <w:lang w:val="it-IT"/>
        </w:rPr>
        <w:t>Il libro dell’anno del diritto</w:t>
      </w:r>
      <w:r w:rsidRPr="00B70D87">
        <w:rPr>
          <w:sz w:val="20"/>
          <w:szCs w:val="20"/>
          <w:lang w:val="it-IT"/>
        </w:rPr>
        <w:t xml:space="preserve">, a cura di </w:t>
      </w:r>
      <w:r w:rsidRPr="00B70D87">
        <w:rPr>
          <w:smallCaps/>
          <w:sz w:val="20"/>
          <w:szCs w:val="20"/>
          <w:lang w:val="it-IT"/>
        </w:rPr>
        <w:t>R. Garofoli</w:t>
      </w:r>
      <w:r w:rsidRPr="00B70D87">
        <w:rPr>
          <w:sz w:val="20"/>
          <w:szCs w:val="20"/>
          <w:lang w:val="it-IT"/>
        </w:rPr>
        <w:t xml:space="preserve"> e </w:t>
      </w:r>
      <w:r w:rsidRPr="00B70D87">
        <w:rPr>
          <w:smallCaps/>
          <w:sz w:val="20"/>
          <w:szCs w:val="20"/>
          <w:lang w:val="it-IT"/>
        </w:rPr>
        <w:t>T. Treu</w:t>
      </w:r>
      <w:r w:rsidRPr="00B70D87">
        <w:rPr>
          <w:sz w:val="20"/>
          <w:szCs w:val="20"/>
          <w:lang w:val="it-IT"/>
        </w:rPr>
        <w:t>, 2012 e in www.enciclopediatreccani.it.</w:t>
      </w:r>
    </w:p>
  </w:footnote>
  <w:footnote w:id="6">
    <w:p w:rsidR="00331D5C" w:rsidRPr="00B70D87" w:rsidRDefault="00331D5C" w:rsidP="00331D5C">
      <w:pPr>
        <w:pStyle w:val="Testonotaapidipagina"/>
        <w:ind w:firstLine="540"/>
        <w:jc w:val="both"/>
        <w:rPr>
          <w:lang w:val="it-IT"/>
        </w:rPr>
      </w:pPr>
      <w:r w:rsidRPr="00B70D87">
        <w:rPr>
          <w:rStyle w:val="Rimandonotaapidipagina"/>
        </w:rPr>
        <w:footnoteRef/>
      </w:r>
      <w:r w:rsidRPr="00B70D87">
        <w:rPr>
          <w:lang w:val="it-IT"/>
        </w:rPr>
        <w:t xml:space="preserve"> Cfr. </w:t>
      </w:r>
      <w:r w:rsidRPr="00B70D87">
        <w:rPr>
          <w:smallCaps/>
          <w:lang w:val="it-IT"/>
        </w:rPr>
        <w:t>A. Vallebona</w:t>
      </w:r>
      <w:r w:rsidRPr="00B70D87">
        <w:rPr>
          <w:lang w:val="it-IT"/>
        </w:rPr>
        <w:t xml:space="preserve">, </w:t>
      </w:r>
      <w:r w:rsidRPr="00B70D87">
        <w:rPr>
          <w:i/>
          <w:lang w:val="it-IT"/>
        </w:rPr>
        <w:t>Una buona svolta del diritto del lavoro: la legge n. 183 del 2010</w:t>
      </w:r>
      <w:r w:rsidRPr="00B70D87">
        <w:rPr>
          <w:lang w:val="it-IT"/>
        </w:rPr>
        <w:t xml:space="preserve">,  in </w:t>
      </w:r>
      <w:r w:rsidRPr="00B70D87">
        <w:rPr>
          <w:i/>
          <w:lang w:val="it-IT"/>
        </w:rPr>
        <w:t>Bollettino ADAPT</w:t>
      </w:r>
      <w:r w:rsidRPr="00B70D87">
        <w:rPr>
          <w:lang w:val="it-IT"/>
        </w:rPr>
        <w:t xml:space="preserve">, 2010, n. 12 e in </w:t>
      </w:r>
      <w:r w:rsidRPr="00B70D87">
        <w:rPr>
          <w:i/>
          <w:lang w:val="it-IT"/>
        </w:rPr>
        <w:t>Mass. Giur. Lav.</w:t>
      </w:r>
      <w:r w:rsidRPr="00B70D87">
        <w:rPr>
          <w:lang w:val="it-IT"/>
        </w:rPr>
        <w:t>, 2010, n. 4, pag. 210 e segg.</w:t>
      </w:r>
    </w:p>
  </w:footnote>
  <w:footnote w:id="7">
    <w:p w:rsidR="00331D5C" w:rsidRPr="00B70D87" w:rsidRDefault="00331D5C" w:rsidP="00331D5C">
      <w:pPr>
        <w:pStyle w:val="Testonotaapidipagina"/>
        <w:ind w:firstLine="540"/>
        <w:jc w:val="both"/>
        <w:rPr>
          <w:lang w:val="it-IT"/>
        </w:rPr>
      </w:pPr>
      <w:r w:rsidRPr="00B70D87">
        <w:rPr>
          <w:rStyle w:val="Rimandonotaapidipagina"/>
        </w:rPr>
        <w:footnoteRef/>
      </w:r>
      <w:r w:rsidRPr="00B70D87">
        <w:rPr>
          <w:lang w:val="it-IT"/>
        </w:rPr>
        <w:t xml:space="preserve"> Così </w:t>
      </w:r>
      <w:r w:rsidRPr="00B70D87">
        <w:rPr>
          <w:smallCaps/>
          <w:lang w:val="it-IT"/>
        </w:rPr>
        <w:t>M. Tiraboschi</w:t>
      </w:r>
      <w:r w:rsidRPr="00B70D87">
        <w:rPr>
          <w:lang w:val="it-IT"/>
        </w:rPr>
        <w:t xml:space="preserve">, </w:t>
      </w:r>
      <w:r w:rsidRPr="00B70D87">
        <w:rPr>
          <w:i/>
          <w:lang w:val="it-IT"/>
        </w:rPr>
        <w:t>Dalla Legge Biagi al Collegato Lavoro. Il significato di un intervento di riforma della giustizia del lavoro</w:t>
      </w:r>
      <w:r w:rsidRPr="00B70D87">
        <w:rPr>
          <w:lang w:val="it-IT"/>
        </w:rPr>
        <w:t xml:space="preserve">, in </w:t>
      </w:r>
      <w:r w:rsidRPr="00B70D87">
        <w:rPr>
          <w:i/>
          <w:lang w:val="it-IT"/>
        </w:rPr>
        <w:t>Bollettino ADAPT</w:t>
      </w:r>
      <w:r w:rsidRPr="00B70D87">
        <w:rPr>
          <w:lang w:val="it-IT"/>
        </w:rPr>
        <w:t>, 2010, 34, 1.</w:t>
      </w:r>
    </w:p>
  </w:footnote>
  <w:footnote w:id="8">
    <w:p w:rsidR="00331D5C" w:rsidRPr="00B70D87" w:rsidRDefault="00331D5C" w:rsidP="00331D5C">
      <w:pPr>
        <w:pStyle w:val="Testonotaapidipagina"/>
        <w:ind w:firstLine="540"/>
        <w:jc w:val="both"/>
        <w:rPr>
          <w:lang w:val="it-IT"/>
        </w:rPr>
      </w:pPr>
      <w:r w:rsidRPr="00B70D87">
        <w:rPr>
          <w:rStyle w:val="Rimandonotaapidipagina"/>
        </w:rPr>
        <w:footnoteRef/>
      </w:r>
      <w:r w:rsidRPr="00B70D87">
        <w:rPr>
          <w:lang w:val="it-IT"/>
        </w:rPr>
        <w:t xml:space="preserve"> Si veda in tal senso,  </w:t>
      </w:r>
      <w:r w:rsidRPr="00B70D87">
        <w:rPr>
          <w:smallCaps/>
          <w:color w:val="000000"/>
          <w:lang w:val="it-IT"/>
        </w:rPr>
        <w:t>E. Boghetich</w:t>
      </w:r>
      <w:r w:rsidRPr="00B70D87">
        <w:rPr>
          <w:color w:val="000000"/>
          <w:lang w:val="it-IT"/>
        </w:rPr>
        <w:t xml:space="preserve">, </w:t>
      </w:r>
      <w:r w:rsidRPr="00B70D87">
        <w:rPr>
          <w:i/>
          <w:color w:val="000000"/>
          <w:lang w:val="it-IT"/>
        </w:rPr>
        <w:t>Tutele dei diritti del lavoratore e nuovi termini di decadenza</w:t>
      </w:r>
      <w:r w:rsidRPr="00B70D87">
        <w:rPr>
          <w:color w:val="000000"/>
          <w:lang w:val="it-IT"/>
        </w:rPr>
        <w:t xml:space="preserve">, in </w:t>
      </w:r>
      <w:r w:rsidRPr="00B70D87">
        <w:rPr>
          <w:i/>
          <w:color w:val="000000"/>
          <w:lang w:val="it-IT"/>
        </w:rPr>
        <w:t>Arg. Dir. Lav.</w:t>
      </w:r>
      <w:r w:rsidRPr="00B70D87">
        <w:rPr>
          <w:color w:val="000000"/>
          <w:lang w:val="it-IT"/>
        </w:rPr>
        <w:t xml:space="preserve">, 2011, 1, pag. </w:t>
      </w:r>
      <w:smartTag w:uri="urn:schemas-microsoft-com:office:smarttags" w:element="metricconverter">
        <w:smartTagPr>
          <w:attr w:name="ProductID" w:val="73, F"/>
        </w:smartTagPr>
        <w:r w:rsidRPr="00B70D87">
          <w:rPr>
            <w:color w:val="000000"/>
            <w:lang w:val="it-IT"/>
          </w:rPr>
          <w:t xml:space="preserve">73, </w:t>
        </w:r>
        <w:r w:rsidRPr="00B70D87">
          <w:rPr>
            <w:smallCaps/>
            <w:lang w:val="it-IT"/>
          </w:rPr>
          <w:t>F</w:t>
        </w:r>
      </w:smartTag>
      <w:r w:rsidRPr="00B70D87">
        <w:rPr>
          <w:smallCaps/>
          <w:lang w:val="it-IT"/>
        </w:rPr>
        <w:t>. Aiello</w:t>
      </w:r>
      <w:r w:rsidRPr="00B70D87">
        <w:rPr>
          <w:lang w:val="it-IT"/>
        </w:rPr>
        <w:t xml:space="preserve">, </w:t>
      </w:r>
      <w:r w:rsidRPr="00B70D87">
        <w:rPr>
          <w:i/>
          <w:lang w:val="it-IT"/>
        </w:rPr>
        <w:t xml:space="preserve">Impugnazione del licenziamento e regime delle </w:t>
      </w:r>
      <w:r w:rsidRPr="00B70D87">
        <w:rPr>
          <w:lang w:val="it-IT"/>
        </w:rPr>
        <w:t xml:space="preserve">decadenze, in </w:t>
      </w:r>
      <w:r w:rsidRPr="00B70D87">
        <w:rPr>
          <w:i/>
          <w:lang w:val="it-IT"/>
        </w:rPr>
        <w:t>Il Lav. nella Giur.</w:t>
      </w:r>
      <w:r w:rsidRPr="00B70D87">
        <w:rPr>
          <w:lang w:val="it-IT"/>
        </w:rPr>
        <w:t xml:space="preserve">, 2012, 4, pag. 347 e </w:t>
      </w:r>
      <w:r w:rsidRPr="00B70D87">
        <w:rPr>
          <w:smallCaps/>
          <w:lang w:val="it-IT"/>
        </w:rPr>
        <w:t>A. Sartori</w:t>
      </w:r>
      <w:r w:rsidRPr="00B70D87">
        <w:rPr>
          <w:lang w:val="it-IT"/>
        </w:rPr>
        <w:t xml:space="preserve">, </w:t>
      </w:r>
      <w:r w:rsidRPr="00B70D87">
        <w:rPr>
          <w:i/>
          <w:lang w:val="it-IT"/>
        </w:rPr>
        <w:t>Il c.d. collegato lavoro: regime delle decadenze, sanzioni per i contratti a termine, disposizioni sul mercato del lavoro, deleghe vecchie e nuove</w:t>
      </w:r>
      <w:r w:rsidRPr="00B70D87">
        <w:rPr>
          <w:lang w:val="it-IT"/>
        </w:rPr>
        <w:t xml:space="preserve">, in </w:t>
      </w:r>
      <w:r w:rsidRPr="00B70D87">
        <w:rPr>
          <w:i/>
          <w:lang w:val="it-IT"/>
        </w:rPr>
        <w:t>Riv. It. Dir. Lav.</w:t>
      </w:r>
      <w:r w:rsidRPr="00B70D87">
        <w:rPr>
          <w:lang w:val="it-IT"/>
        </w:rPr>
        <w:t xml:space="preserve">, 2011, III, pagg. 31-32. Contrariamente, </w:t>
      </w:r>
      <w:r w:rsidRPr="00B70D87">
        <w:rPr>
          <w:smallCaps/>
          <w:lang w:val="it-IT"/>
        </w:rPr>
        <w:t>G. Pellacani</w:t>
      </w:r>
      <w:r w:rsidRPr="00B70D87">
        <w:rPr>
          <w:lang w:val="it-IT"/>
        </w:rPr>
        <w:t xml:space="preserve">, </w:t>
      </w:r>
      <w:r w:rsidRPr="00B70D87">
        <w:rPr>
          <w:i/>
          <w:lang w:val="it-IT"/>
        </w:rPr>
        <w:t>Il Cosiddetto “collegato lavoro” e la disciplina dei licenziamenti</w:t>
      </w:r>
      <w:r w:rsidRPr="00B70D87">
        <w:rPr>
          <w:lang w:val="it-IT"/>
        </w:rPr>
        <w:t>, cit.,</w:t>
      </w:r>
      <w:r w:rsidRPr="00B70D87">
        <w:rPr>
          <w:color w:val="000000"/>
          <w:lang w:val="it-IT"/>
        </w:rPr>
        <w:t xml:space="preserve"> pag. 251-252, secondo il quale sarebbe preferibile la soluzione che fa decorrere il termine di 270 giorni dalla scadenza di quello precedente e non dall’impugnazione del licenziamento, perché altrimenti ne risulterebbe penalizzato il lavoratore che si sia premurato di impugnare tempestivamente.</w:t>
      </w:r>
    </w:p>
  </w:footnote>
  <w:footnote w:id="9">
    <w:p w:rsidR="00331D5C" w:rsidRPr="00B70D87" w:rsidRDefault="00331D5C" w:rsidP="00331D5C">
      <w:pPr>
        <w:pStyle w:val="Testonotaapidipagina"/>
        <w:ind w:firstLine="540"/>
        <w:jc w:val="both"/>
        <w:rPr>
          <w:lang w:val="it-IT"/>
        </w:rPr>
      </w:pPr>
      <w:r w:rsidRPr="00B70D87">
        <w:rPr>
          <w:rStyle w:val="Rimandonotaapidipagina"/>
        </w:rPr>
        <w:footnoteRef/>
      </w:r>
      <w:r w:rsidRPr="00B70D87">
        <w:rPr>
          <w:lang w:val="it-IT"/>
        </w:rPr>
        <w:t xml:space="preserve"> Cfr. Cass., sez. lav., 23 settembre 2011, n. 19406; Cass., sez. lav., 29 luglio 2002, n. </w:t>
      </w:r>
      <w:smartTag w:uri="urn:schemas-microsoft-com:office:smarttags" w:element="metricconverter">
        <w:smartTagPr>
          <w:attr w:name="ProductID" w:val="11180, in"/>
        </w:smartTagPr>
        <w:r w:rsidRPr="00B70D87">
          <w:rPr>
            <w:lang w:val="it-IT"/>
          </w:rPr>
          <w:t>11180</w:t>
        </w:r>
        <w:r>
          <w:rPr>
            <w:lang w:val="it-IT"/>
          </w:rPr>
          <w:t>, in</w:t>
        </w:r>
      </w:smartTag>
      <w:r>
        <w:rPr>
          <w:lang w:val="it-IT"/>
        </w:rPr>
        <w:t xml:space="preserve"> </w:t>
      </w:r>
      <w:r w:rsidRPr="00B70D87">
        <w:rPr>
          <w:i/>
          <w:lang w:val="it-IT"/>
        </w:rPr>
        <w:t>Mass. Giur. Lav.</w:t>
      </w:r>
      <w:r>
        <w:rPr>
          <w:lang w:val="it-IT"/>
        </w:rPr>
        <w:t xml:space="preserve">, 2003, I, pag. 286, con nota di </w:t>
      </w:r>
      <w:r w:rsidRPr="003B6269">
        <w:rPr>
          <w:smallCaps/>
          <w:lang w:val="it-IT"/>
        </w:rPr>
        <w:t>C. Cecchella</w:t>
      </w:r>
      <w:r>
        <w:rPr>
          <w:lang w:val="it-IT"/>
        </w:rPr>
        <w:t xml:space="preserve"> e in </w:t>
      </w:r>
      <w:r w:rsidRPr="003B6269">
        <w:rPr>
          <w:i/>
          <w:lang w:val="it-IT"/>
        </w:rPr>
        <w:t>Giust. Civ.</w:t>
      </w:r>
      <w:r>
        <w:rPr>
          <w:lang w:val="it-IT"/>
        </w:rPr>
        <w:t xml:space="preserve">, 2003, VI, pag. 1295, con nota di </w:t>
      </w:r>
      <w:r w:rsidRPr="003B6269">
        <w:rPr>
          <w:smallCaps/>
          <w:lang w:val="it-IT"/>
        </w:rPr>
        <w:t>P. Albi</w:t>
      </w:r>
      <w:r w:rsidRPr="00B70D87">
        <w:rPr>
          <w:lang w:val="it-IT"/>
        </w:rPr>
        <w:t xml:space="preserve">; Cass., 2 febbraio 1991, n. 1035; Cass., 2 dicembre 1988, n. </w:t>
      </w:r>
      <w:smartTag w:uri="urn:schemas-microsoft-com:office:smarttags" w:element="metricconverter">
        <w:smartTagPr>
          <w:attr w:name="ProductID" w:val="6546, in"/>
        </w:smartTagPr>
        <w:r w:rsidRPr="00B70D87">
          <w:rPr>
            <w:lang w:val="it-IT"/>
          </w:rPr>
          <w:t>6546</w:t>
        </w:r>
        <w:r>
          <w:rPr>
            <w:lang w:val="it-IT"/>
          </w:rPr>
          <w:t>, in</w:t>
        </w:r>
      </w:smartTag>
      <w:r>
        <w:rPr>
          <w:lang w:val="it-IT"/>
        </w:rPr>
        <w:t xml:space="preserve"> </w:t>
      </w:r>
      <w:r w:rsidRPr="00B70D87">
        <w:rPr>
          <w:i/>
          <w:lang w:val="it-IT"/>
        </w:rPr>
        <w:t>Mass. Giur. Lav.</w:t>
      </w:r>
      <w:r>
        <w:rPr>
          <w:lang w:val="it-IT"/>
        </w:rPr>
        <w:t>, 1989 e 1990, pag. 64</w:t>
      </w:r>
      <w:r w:rsidRPr="00B70D87">
        <w:rPr>
          <w:lang w:val="it-IT"/>
        </w:rPr>
        <w:t xml:space="preserve">; Cass., 10 dicembre 1983, n. </w:t>
      </w:r>
      <w:smartTag w:uri="urn:schemas-microsoft-com:office:smarttags" w:element="metricconverter">
        <w:smartTagPr>
          <w:attr w:name="ProductID" w:val="7313, in"/>
        </w:smartTagPr>
        <w:r w:rsidRPr="00B70D87">
          <w:rPr>
            <w:lang w:val="it-IT"/>
          </w:rPr>
          <w:t>7313</w:t>
        </w:r>
        <w:r>
          <w:rPr>
            <w:lang w:val="it-IT"/>
          </w:rPr>
          <w:t>, in</w:t>
        </w:r>
      </w:smartTag>
      <w:r w:rsidRPr="003B6269">
        <w:rPr>
          <w:i/>
          <w:lang w:val="it-IT"/>
        </w:rPr>
        <w:t xml:space="preserve"> </w:t>
      </w:r>
      <w:r w:rsidRPr="00B70D87">
        <w:rPr>
          <w:i/>
          <w:lang w:val="it-IT"/>
        </w:rPr>
        <w:t>Mass. Giur. Lav.</w:t>
      </w:r>
      <w:r>
        <w:rPr>
          <w:lang w:val="it-IT"/>
        </w:rPr>
        <w:t>, 1984, I, pag. 91 e in</w:t>
      </w:r>
      <w:r w:rsidRPr="003B6269">
        <w:rPr>
          <w:i/>
          <w:lang w:val="it-IT"/>
        </w:rPr>
        <w:t xml:space="preserve"> </w:t>
      </w:r>
      <w:r w:rsidRPr="00B70D87">
        <w:rPr>
          <w:i/>
          <w:lang w:val="it-IT"/>
        </w:rPr>
        <w:t>Mass. Giur. Lav.</w:t>
      </w:r>
      <w:r>
        <w:rPr>
          <w:lang w:val="it-IT"/>
        </w:rPr>
        <w:t>, VII, pag. 395</w:t>
      </w:r>
      <w:r w:rsidRPr="00B70D87">
        <w:rPr>
          <w:lang w:val="it-IT"/>
        </w:rPr>
        <w:t xml:space="preserve">. Si veda anche </w:t>
      </w:r>
      <w:r w:rsidRPr="00B70D87">
        <w:rPr>
          <w:smallCaps/>
          <w:color w:val="000000"/>
          <w:lang w:val="it-IT"/>
        </w:rPr>
        <w:t>E. Boghetich</w:t>
      </w:r>
      <w:r w:rsidRPr="00B70D87">
        <w:rPr>
          <w:color w:val="000000"/>
          <w:lang w:val="it-IT"/>
        </w:rPr>
        <w:t xml:space="preserve">, </w:t>
      </w:r>
      <w:r w:rsidRPr="00B70D87">
        <w:rPr>
          <w:i/>
          <w:color w:val="000000"/>
          <w:lang w:val="it-IT"/>
        </w:rPr>
        <w:t>Tutele dei diritti del lavoratore e nuovi termini di decadenza</w:t>
      </w:r>
      <w:r w:rsidRPr="00B70D87">
        <w:rPr>
          <w:color w:val="000000"/>
          <w:lang w:val="it-IT"/>
        </w:rPr>
        <w:t>, cit., pag. 75.</w:t>
      </w:r>
    </w:p>
  </w:footnote>
  <w:footnote w:id="10">
    <w:p w:rsidR="00331D5C" w:rsidRPr="00B70D87" w:rsidRDefault="00331D5C" w:rsidP="00331D5C">
      <w:pPr>
        <w:pStyle w:val="Testonotaapidipagina"/>
        <w:ind w:firstLine="540"/>
        <w:jc w:val="both"/>
        <w:rPr>
          <w:lang w:val="it-IT"/>
        </w:rPr>
      </w:pPr>
      <w:r w:rsidRPr="00B70D87">
        <w:rPr>
          <w:rStyle w:val="Rimandonotaapidipagina"/>
        </w:rPr>
        <w:footnoteRef/>
      </w:r>
      <w:r w:rsidRPr="00B70D87">
        <w:rPr>
          <w:lang w:val="it-IT"/>
        </w:rPr>
        <w:t xml:space="preserve"> In tal senso, </w:t>
      </w:r>
      <w:r w:rsidRPr="00B70D87">
        <w:rPr>
          <w:smallCaps/>
          <w:lang w:val="it-IT"/>
        </w:rPr>
        <w:t>S. Canali De Rossi</w:t>
      </w:r>
      <w:r w:rsidRPr="00B70D87">
        <w:rPr>
          <w:lang w:val="it-IT"/>
        </w:rPr>
        <w:t xml:space="preserve">, </w:t>
      </w:r>
      <w:r w:rsidRPr="00B70D87">
        <w:rPr>
          <w:i/>
          <w:lang w:val="it-IT"/>
        </w:rPr>
        <w:t>Impugnativa di licenziamento e lavoro a tempo determinato</w:t>
      </w:r>
      <w:r w:rsidRPr="00B70D87">
        <w:rPr>
          <w:lang w:val="it-IT"/>
        </w:rPr>
        <w:t>, in</w:t>
      </w:r>
      <w:r w:rsidRPr="00B70D87">
        <w:rPr>
          <w:i/>
          <w:lang w:val="it-IT"/>
        </w:rPr>
        <w:t xml:space="preserve"> Dir. prat. Lav.</w:t>
      </w:r>
      <w:r w:rsidRPr="00B70D87">
        <w:rPr>
          <w:lang w:val="it-IT"/>
        </w:rPr>
        <w:t xml:space="preserve">, 2011, 16, pag. 968, secondo cui, </w:t>
      </w:r>
      <w:r w:rsidRPr="00B70D87">
        <w:rPr>
          <w:i/>
          <w:lang w:val="it-IT"/>
        </w:rPr>
        <w:t>“in ragione dell’ambiguità dello stesso testo di legge”</w:t>
      </w:r>
      <w:r w:rsidRPr="00B70D87">
        <w:rPr>
          <w:lang w:val="it-IT"/>
        </w:rPr>
        <w:t>, non si riesce a comprendere “</w:t>
      </w:r>
      <w:r w:rsidRPr="00B70D87">
        <w:rPr>
          <w:i/>
          <w:lang w:val="it-IT"/>
        </w:rPr>
        <w:t xml:space="preserve">cosa il Legislatore abbia effettivamente inteso dire”. </w:t>
      </w:r>
      <w:r w:rsidRPr="00B70D87">
        <w:rPr>
          <w:lang w:val="it-IT"/>
        </w:rPr>
        <w:t xml:space="preserve">Si veda anche </w:t>
      </w:r>
      <w:r w:rsidRPr="00B70D87">
        <w:rPr>
          <w:smallCaps/>
          <w:lang w:val="it-IT"/>
        </w:rPr>
        <w:t>N. Petracca</w:t>
      </w:r>
      <w:r w:rsidRPr="00B70D87">
        <w:rPr>
          <w:i/>
          <w:lang w:val="it-IT"/>
        </w:rPr>
        <w:t>, Impugnazione dei licenziamenti: prorogati i termini del Collegato</w:t>
      </w:r>
      <w:r w:rsidRPr="00B70D87">
        <w:rPr>
          <w:lang w:val="it-IT"/>
        </w:rPr>
        <w:t xml:space="preserve">, in </w:t>
      </w:r>
      <w:r w:rsidRPr="00B70D87">
        <w:rPr>
          <w:i/>
          <w:lang w:val="it-IT"/>
        </w:rPr>
        <w:t>Guida Lav</w:t>
      </w:r>
      <w:r w:rsidRPr="00B70D87">
        <w:rPr>
          <w:lang w:val="it-IT"/>
        </w:rPr>
        <w:t>., 2011, 11, pag. 12.</w:t>
      </w:r>
    </w:p>
  </w:footnote>
  <w:footnote w:id="11">
    <w:p w:rsidR="00331D5C" w:rsidRPr="00B70D87" w:rsidRDefault="00331D5C" w:rsidP="00331D5C">
      <w:pPr>
        <w:shd w:val="clear" w:color="auto" w:fill="FFFFFF"/>
        <w:ind w:right="-82" w:firstLine="540"/>
        <w:jc w:val="both"/>
        <w:rPr>
          <w:i/>
          <w:iCs/>
          <w:sz w:val="20"/>
          <w:szCs w:val="20"/>
          <w:lang w:val="it-IT"/>
        </w:rPr>
      </w:pPr>
      <w:r w:rsidRPr="00B70D87">
        <w:rPr>
          <w:rStyle w:val="Rimandonotaapidipagina"/>
          <w:sz w:val="20"/>
          <w:szCs w:val="20"/>
        </w:rPr>
        <w:footnoteRef/>
      </w:r>
      <w:r w:rsidRPr="00B70D87">
        <w:rPr>
          <w:sz w:val="20"/>
          <w:szCs w:val="20"/>
          <w:lang w:val="it-IT"/>
        </w:rPr>
        <w:t xml:space="preserve"> Si veda, </w:t>
      </w:r>
      <w:r w:rsidRPr="00B70D87">
        <w:rPr>
          <w:i/>
          <w:sz w:val="20"/>
          <w:szCs w:val="20"/>
          <w:lang w:val="it-IT"/>
        </w:rPr>
        <w:t>ex multis</w:t>
      </w:r>
      <w:r w:rsidRPr="00B70D87">
        <w:rPr>
          <w:sz w:val="20"/>
          <w:szCs w:val="20"/>
          <w:lang w:val="it-IT"/>
        </w:rPr>
        <w:t>, Trib. Milano</w:t>
      </w:r>
      <w:r w:rsidRPr="00B70D87">
        <w:rPr>
          <w:color w:val="000000"/>
          <w:sz w:val="20"/>
          <w:szCs w:val="20"/>
          <w:lang w:val="it-IT"/>
        </w:rPr>
        <w:t xml:space="preserve"> 4 marzo 2013, inedita. In dottrina, </w:t>
      </w:r>
      <w:r w:rsidRPr="00B70D87">
        <w:rPr>
          <w:smallCaps/>
          <w:sz w:val="20"/>
          <w:szCs w:val="20"/>
          <w:lang w:val="it-IT"/>
        </w:rPr>
        <w:t>F. Aiello</w:t>
      </w:r>
      <w:r w:rsidRPr="00B70D87">
        <w:rPr>
          <w:sz w:val="20"/>
          <w:szCs w:val="20"/>
          <w:lang w:val="it-IT"/>
        </w:rPr>
        <w:t xml:space="preserve">, </w:t>
      </w:r>
      <w:r w:rsidRPr="00B70D87">
        <w:rPr>
          <w:i/>
          <w:sz w:val="20"/>
          <w:szCs w:val="20"/>
          <w:lang w:val="it-IT"/>
        </w:rPr>
        <w:t xml:space="preserve">Impugnazione del licenziamento e regime delle </w:t>
      </w:r>
      <w:r w:rsidRPr="00B70D87">
        <w:rPr>
          <w:sz w:val="20"/>
          <w:szCs w:val="20"/>
          <w:lang w:val="it-IT"/>
        </w:rPr>
        <w:t xml:space="preserve">decadenze, cit., pag. 352 e segg. Si veda anche </w:t>
      </w:r>
      <w:r w:rsidRPr="00B70D87">
        <w:rPr>
          <w:smallCaps/>
          <w:sz w:val="20"/>
          <w:szCs w:val="20"/>
          <w:lang w:val="it-IT"/>
        </w:rPr>
        <w:t>L. Cavallaro</w:t>
      </w:r>
      <w:r w:rsidRPr="00B70D87">
        <w:rPr>
          <w:sz w:val="20"/>
          <w:szCs w:val="20"/>
          <w:lang w:val="it-IT"/>
        </w:rPr>
        <w:t>, Relazione presentata all’incontro di studi in ricordo di Cesare Diani “</w:t>
      </w:r>
      <w:r w:rsidRPr="00B70D87">
        <w:rPr>
          <w:i/>
          <w:sz w:val="20"/>
          <w:szCs w:val="20"/>
          <w:lang w:val="it-IT"/>
        </w:rPr>
        <w:t xml:space="preserve">Giustizia del lavoro e legge n. 183 del </w:t>
      </w:r>
      <w:smartTag w:uri="urn:schemas-microsoft-com:office:smarttags" w:element="metricconverter">
        <w:smartTagPr>
          <w:attr w:name="ProductID" w:val="2010”"/>
        </w:smartTagPr>
        <w:r w:rsidRPr="00B70D87">
          <w:rPr>
            <w:i/>
            <w:sz w:val="20"/>
            <w:szCs w:val="20"/>
            <w:lang w:val="it-IT"/>
          </w:rPr>
          <w:t>2010</w:t>
        </w:r>
        <w:r w:rsidRPr="00B70D87">
          <w:rPr>
            <w:sz w:val="20"/>
            <w:szCs w:val="20"/>
            <w:lang w:val="it-IT"/>
          </w:rPr>
          <w:t>”</w:t>
        </w:r>
      </w:smartTag>
      <w:r w:rsidRPr="00B70D87">
        <w:rPr>
          <w:sz w:val="20"/>
          <w:szCs w:val="20"/>
          <w:lang w:val="it-IT"/>
        </w:rPr>
        <w:t>, Napoli, 4 marzo 2011</w:t>
      </w:r>
      <w:r w:rsidRPr="00B70D87">
        <w:rPr>
          <w:color w:val="000000"/>
          <w:sz w:val="20"/>
          <w:szCs w:val="20"/>
          <w:lang w:val="it-IT"/>
        </w:rPr>
        <w:t>.</w:t>
      </w:r>
    </w:p>
  </w:footnote>
  <w:footnote w:id="12">
    <w:p w:rsidR="00331D5C" w:rsidRPr="00B70D87" w:rsidRDefault="00331D5C" w:rsidP="00331D5C">
      <w:pPr>
        <w:pStyle w:val="Testonotaapidipagina"/>
        <w:ind w:firstLine="540"/>
        <w:jc w:val="both"/>
        <w:rPr>
          <w:lang w:val="it-IT"/>
        </w:rPr>
      </w:pPr>
      <w:r w:rsidRPr="00B70D87">
        <w:rPr>
          <w:rStyle w:val="Rimandonotaapidipagina"/>
        </w:rPr>
        <w:footnoteRef/>
      </w:r>
      <w:r w:rsidRPr="00B70D87">
        <w:rPr>
          <w:lang w:val="it-IT"/>
        </w:rPr>
        <w:t xml:space="preserve"> Sul punto cfr. Cass. 17 novembre 1993, n. 11359.</w:t>
      </w:r>
    </w:p>
  </w:footnote>
  <w:footnote w:id="13">
    <w:p w:rsidR="00331D5C" w:rsidRPr="00B70D87" w:rsidRDefault="00331D5C" w:rsidP="00331D5C">
      <w:pPr>
        <w:pStyle w:val="Testonotaapidipagina"/>
        <w:ind w:firstLine="540"/>
        <w:jc w:val="both"/>
        <w:rPr>
          <w:lang w:val="it-IT"/>
        </w:rPr>
      </w:pPr>
      <w:r w:rsidRPr="00B70D87">
        <w:rPr>
          <w:rStyle w:val="Rimandonotaapidipagina"/>
        </w:rPr>
        <w:footnoteRef/>
      </w:r>
      <w:r w:rsidRPr="00B70D87">
        <w:rPr>
          <w:lang w:val="it-IT"/>
        </w:rPr>
        <w:t xml:space="preserve"> Si veda G. Amoroso, </w:t>
      </w:r>
      <w:r w:rsidRPr="00B70D87">
        <w:rPr>
          <w:i/>
          <w:lang w:val="it-IT"/>
        </w:rPr>
        <w:t>Impugnazioni e decadenze nel Collegato Lavoro. Il nuovo regime delle impugnazioni e delle decadenze</w:t>
      </w:r>
      <w:r w:rsidRPr="00B70D87">
        <w:rPr>
          <w:lang w:val="it-IT"/>
        </w:rPr>
        <w:t>, cit.</w:t>
      </w:r>
    </w:p>
  </w:footnote>
  <w:footnote w:id="14">
    <w:p w:rsidR="00331D5C" w:rsidRPr="00B70D87" w:rsidRDefault="00331D5C" w:rsidP="00331D5C">
      <w:pPr>
        <w:pStyle w:val="Testonotaapidipagina"/>
        <w:ind w:firstLine="540"/>
        <w:jc w:val="both"/>
        <w:rPr>
          <w:lang w:val="it-IT"/>
        </w:rPr>
      </w:pPr>
      <w:r w:rsidRPr="00B70D87">
        <w:rPr>
          <w:rStyle w:val="Rimandonotaapidipagina"/>
        </w:rPr>
        <w:footnoteRef/>
      </w:r>
      <w:r w:rsidRPr="00B70D87">
        <w:rPr>
          <w:lang w:val="it-IT"/>
        </w:rPr>
        <w:t xml:space="preserve"> In tal senso, si veda </w:t>
      </w:r>
      <w:r w:rsidRPr="00B70D87">
        <w:rPr>
          <w:smallCaps/>
          <w:lang w:val="it-IT"/>
        </w:rPr>
        <w:t>F. Bonfrate</w:t>
      </w:r>
      <w:r w:rsidRPr="00B70D87">
        <w:rPr>
          <w:lang w:val="it-IT"/>
        </w:rPr>
        <w:t xml:space="preserve">, </w:t>
      </w:r>
      <w:r w:rsidRPr="00B70D87">
        <w:rPr>
          <w:i/>
          <w:lang w:val="it-IT"/>
        </w:rPr>
        <w:t xml:space="preserve">Contrasti giurisprudenziali in ordine al differimento del termine decadenziale introdotto dalla l. n. 10/2011 in materia di impugnazione dei contratti flessibili, </w:t>
      </w:r>
      <w:r w:rsidRPr="00B70D87">
        <w:rPr>
          <w:lang w:val="it-IT"/>
        </w:rPr>
        <w:t>in</w:t>
      </w:r>
      <w:r w:rsidRPr="00B70D87">
        <w:rPr>
          <w:i/>
          <w:lang w:val="it-IT"/>
        </w:rPr>
        <w:t xml:space="preserve"> Riv. It. Dir. Lav</w:t>
      </w:r>
      <w:r w:rsidRPr="00B70D87">
        <w:rPr>
          <w:lang w:val="it-IT"/>
        </w:rPr>
        <w:t>, 2012, II, pag. 22 e segg.)</w:t>
      </w:r>
    </w:p>
  </w:footnote>
  <w:footnote w:id="15">
    <w:p w:rsidR="00331D5C" w:rsidRPr="00B70D87" w:rsidRDefault="00331D5C" w:rsidP="00331D5C">
      <w:pPr>
        <w:pStyle w:val="Testonotaapidipagina"/>
        <w:ind w:firstLine="540"/>
        <w:jc w:val="both"/>
        <w:rPr>
          <w:lang w:val="it-IT"/>
        </w:rPr>
      </w:pPr>
      <w:r w:rsidRPr="00B70D87">
        <w:rPr>
          <w:rStyle w:val="Rimandonotaapidipagina"/>
        </w:rPr>
        <w:footnoteRef/>
      </w:r>
      <w:r w:rsidRPr="00B70D87">
        <w:rPr>
          <w:lang w:val="it-IT"/>
        </w:rPr>
        <w:t xml:space="preserve"> Cfr. </w:t>
      </w:r>
      <w:r w:rsidRPr="00B70D87">
        <w:rPr>
          <w:smallCaps/>
          <w:lang w:val="it-IT"/>
        </w:rPr>
        <w:t>A. Vallebona</w:t>
      </w:r>
      <w:r w:rsidRPr="00B70D87">
        <w:rPr>
          <w:lang w:val="it-IT"/>
        </w:rPr>
        <w:t xml:space="preserve">, </w:t>
      </w:r>
      <w:r w:rsidRPr="00B70D87">
        <w:rPr>
          <w:i/>
          <w:lang w:val="it-IT"/>
        </w:rPr>
        <w:t>Una buona svolta del diritto del lavoro: la legge n. 183 del 2010</w:t>
      </w:r>
      <w:r w:rsidRPr="00B70D87">
        <w:rPr>
          <w:lang w:val="it-IT"/>
        </w:rPr>
        <w:t>,  cit., pag. 210 e segg.</w:t>
      </w:r>
    </w:p>
  </w:footnote>
  <w:footnote w:id="16">
    <w:p w:rsidR="00331D5C" w:rsidRPr="00B70D87" w:rsidRDefault="00331D5C" w:rsidP="00331D5C">
      <w:pPr>
        <w:shd w:val="clear" w:color="auto" w:fill="FFFFFF"/>
        <w:ind w:firstLine="540"/>
        <w:jc w:val="both"/>
        <w:rPr>
          <w:color w:val="000000"/>
          <w:sz w:val="20"/>
          <w:szCs w:val="20"/>
          <w:lang w:val="it-IT"/>
        </w:rPr>
      </w:pPr>
      <w:r w:rsidRPr="00B70D87">
        <w:rPr>
          <w:rStyle w:val="Rimandonotaapidipagina"/>
          <w:sz w:val="20"/>
          <w:szCs w:val="20"/>
        </w:rPr>
        <w:footnoteRef/>
      </w:r>
      <w:r w:rsidRPr="00B70D87">
        <w:rPr>
          <w:sz w:val="20"/>
          <w:szCs w:val="20"/>
          <w:lang w:val="it-IT"/>
        </w:rPr>
        <w:t xml:space="preserve"> Si veda, anche, Trib. Milano, 4 marzo 2013</w:t>
      </w:r>
      <w:r w:rsidRPr="00B70D87">
        <w:rPr>
          <w:color w:val="000000"/>
          <w:sz w:val="20"/>
          <w:szCs w:val="20"/>
          <w:lang w:val="it-IT"/>
        </w:rPr>
        <w:t>, cit.</w:t>
      </w:r>
    </w:p>
  </w:footnote>
  <w:footnote w:id="17">
    <w:p w:rsidR="00331D5C" w:rsidRPr="00B70D87" w:rsidRDefault="00331D5C" w:rsidP="00331D5C">
      <w:pPr>
        <w:shd w:val="clear" w:color="auto" w:fill="FFFFFF"/>
        <w:ind w:right="-82" w:firstLine="540"/>
        <w:jc w:val="both"/>
        <w:rPr>
          <w:sz w:val="20"/>
          <w:szCs w:val="20"/>
          <w:lang w:val="it-IT"/>
        </w:rPr>
      </w:pPr>
      <w:r w:rsidRPr="00B70D87">
        <w:rPr>
          <w:rStyle w:val="Rimandonotaapidipagina"/>
          <w:sz w:val="20"/>
          <w:szCs w:val="20"/>
        </w:rPr>
        <w:footnoteRef/>
      </w:r>
      <w:r w:rsidRPr="00B70D87">
        <w:rPr>
          <w:sz w:val="20"/>
          <w:szCs w:val="20"/>
          <w:lang w:val="it-IT"/>
        </w:rPr>
        <w:t xml:space="preserve"> Si veda, </w:t>
      </w:r>
      <w:r w:rsidRPr="00B70D87">
        <w:rPr>
          <w:i/>
          <w:sz w:val="20"/>
          <w:szCs w:val="20"/>
          <w:lang w:val="it-IT"/>
        </w:rPr>
        <w:t>ex multis</w:t>
      </w:r>
      <w:r w:rsidRPr="00B70D87">
        <w:rPr>
          <w:sz w:val="20"/>
          <w:szCs w:val="20"/>
          <w:lang w:val="it-IT"/>
        </w:rPr>
        <w:t xml:space="preserve">, Cass. S.U. 18 ottobre 1982, n. </w:t>
      </w:r>
      <w:smartTag w:uri="urn:schemas-microsoft-com:office:smarttags" w:element="metricconverter">
        <w:smartTagPr>
          <w:attr w:name="ProductID" w:val="5394, in"/>
        </w:smartTagPr>
        <w:r w:rsidRPr="00B70D87">
          <w:rPr>
            <w:sz w:val="20"/>
            <w:szCs w:val="20"/>
            <w:lang w:val="it-IT"/>
          </w:rPr>
          <w:t>5394, in</w:t>
        </w:r>
      </w:smartTag>
      <w:r w:rsidRPr="00B70D87">
        <w:rPr>
          <w:sz w:val="20"/>
          <w:szCs w:val="20"/>
          <w:lang w:val="it-IT"/>
        </w:rPr>
        <w:t xml:space="preserve"> </w:t>
      </w:r>
      <w:r w:rsidRPr="00B70D87">
        <w:rPr>
          <w:i/>
          <w:sz w:val="20"/>
          <w:szCs w:val="20"/>
          <w:lang w:val="it-IT"/>
        </w:rPr>
        <w:t>Giust. Civ.</w:t>
      </w:r>
      <w:r w:rsidRPr="00B70D87">
        <w:rPr>
          <w:sz w:val="20"/>
          <w:szCs w:val="20"/>
          <w:lang w:val="it-IT"/>
        </w:rPr>
        <w:t xml:space="preserve">, 1983, I, pag. 869; Cass. 24 giugno 1997, n. </w:t>
      </w:r>
      <w:smartTag w:uri="urn:schemas-microsoft-com:office:smarttags" w:element="metricconverter">
        <w:smartTagPr>
          <w:attr w:name="ProductID" w:val="5611, in"/>
        </w:smartTagPr>
        <w:r w:rsidRPr="00B70D87">
          <w:rPr>
            <w:sz w:val="20"/>
            <w:szCs w:val="20"/>
            <w:lang w:val="it-IT"/>
          </w:rPr>
          <w:t>5611, in</w:t>
        </w:r>
      </w:smartTag>
      <w:r w:rsidRPr="00B70D87">
        <w:rPr>
          <w:sz w:val="20"/>
          <w:szCs w:val="20"/>
          <w:lang w:val="it-IT"/>
        </w:rPr>
        <w:t xml:space="preserve"> </w:t>
      </w:r>
      <w:r w:rsidRPr="00B70D87">
        <w:rPr>
          <w:i/>
          <w:sz w:val="20"/>
          <w:szCs w:val="20"/>
          <w:lang w:val="it-IT"/>
        </w:rPr>
        <w:t>Not. Giur. Lav.</w:t>
      </w:r>
      <w:r w:rsidRPr="00B70D87">
        <w:rPr>
          <w:sz w:val="20"/>
          <w:szCs w:val="20"/>
          <w:lang w:val="it-IT"/>
        </w:rPr>
        <w:t xml:space="preserve">, 1997, pag. 527; Cass. 18 maggio 2006, n. </w:t>
      </w:r>
      <w:smartTag w:uri="urn:schemas-microsoft-com:office:smarttags" w:element="metricconverter">
        <w:smartTagPr>
          <w:attr w:name="ProductID" w:val="11670, in"/>
        </w:smartTagPr>
        <w:r w:rsidRPr="00B70D87">
          <w:rPr>
            <w:sz w:val="20"/>
            <w:szCs w:val="20"/>
            <w:lang w:val="it-IT"/>
          </w:rPr>
          <w:t>11670</w:t>
        </w:r>
        <w:r>
          <w:rPr>
            <w:sz w:val="20"/>
            <w:szCs w:val="20"/>
            <w:lang w:val="it-IT"/>
          </w:rPr>
          <w:t>, in</w:t>
        </w:r>
      </w:smartTag>
      <w:r>
        <w:rPr>
          <w:sz w:val="20"/>
          <w:szCs w:val="20"/>
          <w:lang w:val="it-IT"/>
        </w:rPr>
        <w:t xml:space="preserve"> </w:t>
      </w:r>
      <w:r w:rsidRPr="00D906FE">
        <w:rPr>
          <w:i/>
          <w:sz w:val="20"/>
          <w:szCs w:val="20"/>
          <w:lang w:val="it-IT"/>
        </w:rPr>
        <w:t>Guida al Lav.</w:t>
      </w:r>
      <w:r>
        <w:rPr>
          <w:sz w:val="20"/>
          <w:szCs w:val="20"/>
          <w:lang w:val="it-IT"/>
        </w:rPr>
        <w:t xml:space="preserve">, 2006, 35, pag. 33, con nota di </w:t>
      </w:r>
      <w:r w:rsidRPr="00D906FE">
        <w:rPr>
          <w:smallCaps/>
          <w:sz w:val="20"/>
          <w:szCs w:val="20"/>
          <w:lang w:val="it-IT"/>
        </w:rPr>
        <w:t>E. Cafiero</w:t>
      </w:r>
      <w:r>
        <w:rPr>
          <w:sz w:val="20"/>
          <w:szCs w:val="20"/>
          <w:lang w:val="it-IT"/>
        </w:rPr>
        <w:t xml:space="preserve"> e in </w:t>
      </w:r>
      <w:r w:rsidRPr="00D906FE">
        <w:rPr>
          <w:i/>
          <w:sz w:val="20"/>
          <w:szCs w:val="20"/>
          <w:lang w:val="it-IT"/>
        </w:rPr>
        <w:t>Riv. crit. dir. lav.</w:t>
      </w:r>
      <w:r>
        <w:rPr>
          <w:sz w:val="20"/>
          <w:szCs w:val="20"/>
          <w:lang w:val="it-IT"/>
        </w:rPr>
        <w:t>, 2006, III, pag. 936</w:t>
      </w:r>
      <w:r w:rsidRPr="00B70D87">
        <w:rPr>
          <w:sz w:val="20"/>
          <w:szCs w:val="20"/>
          <w:lang w:val="it-IT"/>
        </w:rPr>
        <w:t xml:space="preserve">; Cass. 17 marzo 2009, n. </w:t>
      </w:r>
      <w:smartTag w:uri="urn:schemas-microsoft-com:office:smarttags" w:element="metricconverter">
        <w:smartTagPr>
          <w:attr w:name="ProductID" w:val="6447. In"/>
        </w:smartTagPr>
        <w:r w:rsidRPr="00B70D87">
          <w:rPr>
            <w:sz w:val="20"/>
            <w:szCs w:val="20"/>
            <w:lang w:val="it-IT"/>
          </w:rPr>
          <w:t>6447. In</w:t>
        </w:r>
      </w:smartTag>
      <w:r w:rsidRPr="00B70D87">
        <w:rPr>
          <w:sz w:val="20"/>
          <w:szCs w:val="20"/>
          <w:lang w:val="it-IT"/>
        </w:rPr>
        <w:t xml:space="preserve"> dottrina,</w:t>
      </w:r>
      <w:r w:rsidRPr="00B70D87">
        <w:rPr>
          <w:color w:val="000000"/>
          <w:sz w:val="20"/>
          <w:szCs w:val="20"/>
          <w:lang w:val="it-IT"/>
        </w:rPr>
        <w:t xml:space="preserve"> </w:t>
      </w:r>
      <w:r w:rsidRPr="00B70D87">
        <w:rPr>
          <w:smallCaps/>
          <w:color w:val="000000"/>
          <w:sz w:val="20"/>
          <w:szCs w:val="20"/>
          <w:lang w:val="it-IT"/>
        </w:rPr>
        <w:t>E. Gragnoli</w:t>
      </w:r>
      <w:r w:rsidRPr="00B70D87">
        <w:rPr>
          <w:color w:val="000000"/>
          <w:sz w:val="20"/>
          <w:szCs w:val="20"/>
          <w:lang w:val="it-IT"/>
        </w:rPr>
        <w:t xml:space="preserve">, </w:t>
      </w:r>
      <w:r w:rsidRPr="00B70D87">
        <w:rPr>
          <w:i/>
          <w:color w:val="000000"/>
          <w:sz w:val="20"/>
          <w:szCs w:val="20"/>
          <w:lang w:val="it-IT"/>
        </w:rPr>
        <w:t>Nuovi profili dell’impugnazione del licenziamento</w:t>
      </w:r>
      <w:r w:rsidRPr="00B70D87">
        <w:rPr>
          <w:color w:val="000000"/>
          <w:sz w:val="20"/>
          <w:szCs w:val="20"/>
          <w:lang w:val="it-IT"/>
        </w:rPr>
        <w:t xml:space="preserve">, in </w:t>
      </w:r>
      <w:r w:rsidRPr="00B70D87">
        <w:rPr>
          <w:i/>
          <w:color w:val="000000"/>
          <w:sz w:val="20"/>
          <w:szCs w:val="20"/>
          <w:lang w:val="it-IT"/>
        </w:rPr>
        <w:t>Arg. Dir. Lav.</w:t>
      </w:r>
      <w:r w:rsidRPr="00B70D87">
        <w:rPr>
          <w:color w:val="000000"/>
          <w:sz w:val="20"/>
          <w:szCs w:val="20"/>
          <w:lang w:val="it-IT"/>
        </w:rPr>
        <w:t>, 2011, 1, pag. 50 e segg.</w:t>
      </w:r>
      <w:r w:rsidRPr="00B70D87">
        <w:rPr>
          <w:sz w:val="20"/>
          <w:szCs w:val="20"/>
          <w:lang w:val="it-IT"/>
        </w:rPr>
        <w:t xml:space="preserve"> Contrariamente, Trib. Milano, 4 marzo 2013, cit., nella quale si afferma che la decadenza riguarda tutte le ipotesi di vizio giuridico: nullità per ragioni di forma e di sostanza (motivo illecito), annullabilità, inefficacia, illegittimità.</w:t>
      </w:r>
    </w:p>
  </w:footnote>
  <w:footnote w:id="18">
    <w:p w:rsidR="00331D5C" w:rsidRPr="00B70D87" w:rsidRDefault="00331D5C" w:rsidP="00331D5C">
      <w:pPr>
        <w:pStyle w:val="Testonotaapidipagina"/>
        <w:ind w:firstLine="540"/>
        <w:jc w:val="both"/>
        <w:rPr>
          <w:lang w:val="it-IT"/>
        </w:rPr>
      </w:pPr>
      <w:r w:rsidRPr="00B70D87">
        <w:rPr>
          <w:rStyle w:val="Rimandonotaapidipagina"/>
        </w:rPr>
        <w:footnoteRef/>
      </w:r>
      <w:r w:rsidRPr="00B70D87">
        <w:rPr>
          <w:lang w:val="it-IT"/>
        </w:rPr>
        <w:t xml:space="preserve"> Cfr. </w:t>
      </w:r>
      <w:r w:rsidRPr="00B70D87">
        <w:rPr>
          <w:smallCaps/>
          <w:lang w:val="it-IT"/>
        </w:rPr>
        <w:t>G. Pellacani</w:t>
      </w:r>
      <w:r w:rsidRPr="00B70D87">
        <w:rPr>
          <w:lang w:val="it-IT"/>
        </w:rPr>
        <w:t xml:space="preserve">, </w:t>
      </w:r>
      <w:r w:rsidRPr="00B70D87">
        <w:rPr>
          <w:i/>
          <w:lang w:val="it-IT"/>
        </w:rPr>
        <w:t>Il Cosiddetto “collegato lavoro” e la disciplina dei licenziamenti</w:t>
      </w:r>
      <w:r w:rsidRPr="00B70D87">
        <w:rPr>
          <w:lang w:val="it-IT"/>
        </w:rPr>
        <w:t>, cit.</w:t>
      </w:r>
      <w:r w:rsidRPr="00B70D87">
        <w:rPr>
          <w:color w:val="000000"/>
          <w:lang w:val="it-IT"/>
        </w:rPr>
        <w:t xml:space="preserve">, pag. 260; nello stesso senso, </w:t>
      </w:r>
      <w:r w:rsidRPr="00B70D87">
        <w:rPr>
          <w:smallCaps/>
          <w:color w:val="000000"/>
          <w:lang w:val="it-IT"/>
        </w:rPr>
        <w:t>E. Boghetich</w:t>
      </w:r>
      <w:r w:rsidRPr="00B70D87">
        <w:rPr>
          <w:color w:val="000000"/>
          <w:lang w:val="it-IT"/>
        </w:rPr>
        <w:t xml:space="preserve">, </w:t>
      </w:r>
      <w:r w:rsidRPr="00B70D87">
        <w:rPr>
          <w:i/>
          <w:color w:val="000000"/>
          <w:lang w:val="it-IT"/>
        </w:rPr>
        <w:t>Tutele dei diritti del lavoratore e nuovi termini di decadenza</w:t>
      </w:r>
      <w:r w:rsidRPr="00B70D87">
        <w:rPr>
          <w:color w:val="000000"/>
          <w:lang w:val="it-IT"/>
        </w:rPr>
        <w:t xml:space="preserve">, cit., pag. 76 e </w:t>
      </w:r>
      <w:r w:rsidRPr="00B70D87">
        <w:rPr>
          <w:smallCaps/>
          <w:color w:val="000000"/>
          <w:lang w:val="it-IT"/>
        </w:rPr>
        <w:t>E. Gragnoli</w:t>
      </w:r>
      <w:r w:rsidRPr="00B70D87">
        <w:rPr>
          <w:color w:val="000000"/>
          <w:lang w:val="it-IT"/>
        </w:rPr>
        <w:t xml:space="preserve">, </w:t>
      </w:r>
      <w:r w:rsidRPr="00B70D87">
        <w:rPr>
          <w:i/>
          <w:color w:val="000000"/>
          <w:lang w:val="it-IT"/>
        </w:rPr>
        <w:t>Nuovi profili dell’impugnazione del licenziamento</w:t>
      </w:r>
      <w:r w:rsidRPr="00B70D87">
        <w:rPr>
          <w:color w:val="000000"/>
          <w:lang w:val="it-IT"/>
        </w:rPr>
        <w:t>, cit., pag. 50</w:t>
      </w:r>
      <w:r w:rsidRPr="00B70D87">
        <w:rPr>
          <w:lang w:val="it-IT"/>
        </w:rPr>
        <w:t>.</w:t>
      </w:r>
    </w:p>
  </w:footnote>
  <w:footnote w:id="19">
    <w:p w:rsidR="00331D5C" w:rsidRPr="00B70D87" w:rsidRDefault="00331D5C" w:rsidP="00331D5C">
      <w:pPr>
        <w:pStyle w:val="Testonotaapidipagina"/>
        <w:ind w:firstLine="540"/>
        <w:jc w:val="both"/>
        <w:rPr>
          <w:lang w:val="it-IT"/>
        </w:rPr>
      </w:pPr>
      <w:r w:rsidRPr="00B70D87">
        <w:rPr>
          <w:rStyle w:val="Rimandonotaapidipagina"/>
        </w:rPr>
        <w:footnoteRef/>
      </w:r>
      <w:r w:rsidRPr="00B70D87">
        <w:rPr>
          <w:lang w:val="it-IT"/>
        </w:rPr>
        <w:t xml:space="preserve"> Si veda </w:t>
      </w:r>
      <w:r w:rsidRPr="00B70D87">
        <w:rPr>
          <w:smallCaps/>
          <w:color w:val="000000"/>
          <w:lang w:val="it-IT"/>
        </w:rPr>
        <w:t>E. Boghetich</w:t>
      </w:r>
      <w:r w:rsidRPr="00B70D87">
        <w:rPr>
          <w:color w:val="000000"/>
          <w:lang w:val="it-IT"/>
        </w:rPr>
        <w:t xml:space="preserve">, </w:t>
      </w:r>
      <w:r w:rsidRPr="00B70D87">
        <w:rPr>
          <w:i/>
          <w:color w:val="000000"/>
          <w:lang w:val="it-IT"/>
        </w:rPr>
        <w:t>Tutele dei diritti del lavoratore e nuovi termini di decadenza</w:t>
      </w:r>
      <w:r w:rsidRPr="00B70D87">
        <w:rPr>
          <w:color w:val="000000"/>
          <w:lang w:val="it-IT"/>
        </w:rPr>
        <w:t xml:space="preserve">, cit., pag. 76-77; </w:t>
      </w:r>
      <w:r w:rsidRPr="00B70D87">
        <w:rPr>
          <w:lang w:val="it-IT"/>
        </w:rPr>
        <w:t>Si veda, tuttavia, Trib. Milano, 4 marzo 2013</w:t>
      </w:r>
      <w:r w:rsidRPr="00B70D87">
        <w:rPr>
          <w:color w:val="000000"/>
          <w:lang w:val="it-IT"/>
        </w:rPr>
        <w:t xml:space="preserve">, cit., secondo cui, </w:t>
      </w:r>
      <w:r w:rsidRPr="00B70D87">
        <w:rPr>
          <w:lang w:val="it-IT"/>
        </w:rPr>
        <w:t xml:space="preserve">vista l’ampiezza della locuzione normativa (che fa riferimento al licenziamento “invalido”) l’onere di impugnazione riguarda anche il licenziamento intimato nell’ambito del periodo di prova, sia quando viene lamentata la nullità </w:t>
      </w:r>
      <w:r w:rsidRPr="00B70D87">
        <w:rPr>
          <w:i/>
          <w:iCs/>
          <w:lang w:val="it-IT"/>
        </w:rPr>
        <w:t>ab imis</w:t>
      </w:r>
      <w:r w:rsidRPr="00B70D87">
        <w:rPr>
          <w:lang w:val="it-IT"/>
        </w:rPr>
        <w:t xml:space="preserve"> del patto di prova, sia quando il lavoratore ne denuncia l’asserita discriminatorietà.</w:t>
      </w:r>
    </w:p>
  </w:footnote>
  <w:footnote w:id="20">
    <w:p w:rsidR="00331D5C" w:rsidRPr="00B70D87" w:rsidRDefault="00331D5C" w:rsidP="00331D5C">
      <w:pPr>
        <w:shd w:val="clear" w:color="auto" w:fill="FFFFFF"/>
        <w:ind w:right="-82" w:firstLine="540"/>
        <w:jc w:val="both"/>
        <w:rPr>
          <w:sz w:val="20"/>
          <w:szCs w:val="20"/>
          <w:lang w:val="it-IT"/>
        </w:rPr>
      </w:pPr>
      <w:r w:rsidRPr="00B70D87">
        <w:rPr>
          <w:rStyle w:val="Rimandonotaapidipagina"/>
          <w:sz w:val="20"/>
          <w:szCs w:val="20"/>
        </w:rPr>
        <w:footnoteRef/>
      </w:r>
      <w:r w:rsidRPr="00B70D87">
        <w:rPr>
          <w:sz w:val="20"/>
          <w:szCs w:val="20"/>
          <w:lang w:val="it-IT"/>
        </w:rPr>
        <w:t xml:space="preserve"> In merito, </w:t>
      </w:r>
      <w:r w:rsidRPr="00B70D87">
        <w:rPr>
          <w:smallCaps/>
          <w:sz w:val="20"/>
          <w:szCs w:val="20"/>
          <w:lang w:val="it-IT"/>
        </w:rPr>
        <w:t>L. Cavallaro</w:t>
      </w:r>
      <w:r w:rsidRPr="00B70D87">
        <w:rPr>
          <w:sz w:val="20"/>
          <w:szCs w:val="20"/>
          <w:lang w:val="it-IT"/>
        </w:rPr>
        <w:t xml:space="preserve">, </w:t>
      </w:r>
      <w:r w:rsidRPr="00B70D87">
        <w:rPr>
          <w:i/>
          <w:sz w:val="20"/>
          <w:szCs w:val="20"/>
          <w:lang w:val="it-IT"/>
        </w:rPr>
        <w:t xml:space="preserve">L’art. </w:t>
      </w:r>
      <w:smartTag w:uri="urn:schemas-microsoft-com:office:smarttags" w:element="metricconverter">
        <w:smartTagPr>
          <w:attr w:name="ProductID" w:val="32 l"/>
        </w:smartTagPr>
        <w:r w:rsidRPr="00B70D87">
          <w:rPr>
            <w:i/>
            <w:sz w:val="20"/>
            <w:szCs w:val="20"/>
            <w:lang w:val="it-IT"/>
          </w:rPr>
          <w:t>32 l</w:t>
        </w:r>
      </w:smartTag>
      <w:r w:rsidRPr="00B70D87">
        <w:rPr>
          <w:i/>
          <w:sz w:val="20"/>
          <w:szCs w:val="20"/>
          <w:lang w:val="it-IT"/>
        </w:rPr>
        <w:t>. n. 183/2010 dopo il “Milleproroghe”</w:t>
      </w:r>
      <w:r w:rsidRPr="00B70D87">
        <w:rPr>
          <w:sz w:val="20"/>
          <w:szCs w:val="20"/>
          <w:lang w:val="it-IT"/>
        </w:rPr>
        <w:t xml:space="preserve">, in </w:t>
      </w:r>
      <w:r w:rsidRPr="00B70D87">
        <w:rPr>
          <w:i/>
          <w:sz w:val="20"/>
          <w:szCs w:val="20"/>
          <w:lang w:val="it-IT"/>
        </w:rPr>
        <w:t>WP C.S.D.L.E. “Massimo D’Antona”. IT</w:t>
      </w:r>
      <w:r w:rsidRPr="00B70D87">
        <w:rPr>
          <w:sz w:val="20"/>
          <w:szCs w:val="20"/>
          <w:lang w:val="it-IT"/>
        </w:rPr>
        <w:t xml:space="preserve">, cit., pagg. 7 e 8; In senso analogo, </w:t>
      </w:r>
      <w:r w:rsidRPr="00B70D87">
        <w:rPr>
          <w:smallCaps/>
          <w:sz w:val="20"/>
          <w:szCs w:val="20"/>
          <w:lang w:val="it-IT"/>
        </w:rPr>
        <w:t>F. Aiello</w:t>
      </w:r>
      <w:r w:rsidRPr="00B70D87">
        <w:rPr>
          <w:sz w:val="20"/>
          <w:szCs w:val="20"/>
          <w:lang w:val="it-IT"/>
        </w:rPr>
        <w:t xml:space="preserve">, </w:t>
      </w:r>
      <w:r w:rsidRPr="00B70D87">
        <w:rPr>
          <w:i/>
          <w:sz w:val="20"/>
          <w:szCs w:val="20"/>
          <w:lang w:val="it-IT"/>
        </w:rPr>
        <w:t>Impugnazione del licenziamento e regime delle decadenze</w:t>
      </w:r>
      <w:r w:rsidRPr="00B70D87">
        <w:rPr>
          <w:sz w:val="20"/>
          <w:szCs w:val="20"/>
          <w:lang w:val="it-IT"/>
        </w:rPr>
        <w:t>, in I</w:t>
      </w:r>
      <w:r w:rsidRPr="00B70D87">
        <w:rPr>
          <w:i/>
          <w:sz w:val="20"/>
          <w:szCs w:val="20"/>
          <w:lang w:val="it-IT"/>
        </w:rPr>
        <w:t>l Lav. nella Giur.</w:t>
      </w:r>
      <w:r w:rsidRPr="00B70D87">
        <w:rPr>
          <w:sz w:val="20"/>
          <w:szCs w:val="20"/>
          <w:lang w:val="it-IT"/>
        </w:rPr>
        <w:t xml:space="preserve">, 2012, 4, pag. 351. Nella giurisprudenza di merito, si veda Trib. Milano, sent. 4 luglio 2011, n. </w:t>
      </w:r>
      <w:smartTag w:uri="urn:schemas-microsoft-com:office:smarttags" w:element="metricconverter">
        <w:smartTagPr>
          <w:attr w:name="ProductID" w:val="3402, in"/>
        </w:smartTagPr>
        <w:r w:rsidRPr="00B70D87">
          <w:rPr>
            <w:sz w:val="20"/>
            <w:szCs w:val="20"/>
            <w:lang w:val="it-IT"/>
          </w:rPr>
          <w:t>3402, in</w:t>
        </w:r>
      </w:smartTag>
      <w:r w:rsidRPr="00B70D87">
        <w:rPr>
          <w:sz w:val="20"/>
          <w:szCs w:val="20"/>
          <w:lang w:val="it-IT"/>
        </w:rPr>
        <w:t xml:space="preserve"> </w:t>
      </w:r>
      <w:r w:rsidRPr="00B70D87">
        <w:rPr>
          <w:i/>
          <w:sz w:val="20"/>
          <w:szCs w:val="20"/>
          <w:lang w:val="it-IT"/>
        </w:rPr>
        <w:t>Guida lav.</w:t>
      </w:r>
      <w:r w:rsidRPr="00B70D87">
        <w:rPr>
          <w:sz w:val="20"/>
          <w:szCs w:val="20"/>
          <w:lang w:val="it-IT"/>
        </w:rPr>
        <w:t xml:space="preserve">, 2011, 42, pag. 15. Contrariamente, </w:t>
      </w:r>
      <w:r w:rsidRPr="00B70D87">
        <w:rPr>
          <w:smallCaps/>
          <w:sz w:val="20"/>
          <w:szCs w:val="20"/>
          <w:lang w:val="it-IT"/>
        </w:rPr>
        <w:t>S. Canali De Rossi</w:t>
      </w:r>
      <w:r w:rsidRPr="00B70D87">
        <w:rPr>
          <w:sz w:val="20"/>
          <w:szCs w:val="20"/>
          <w:lang w:val="it-IT"/>
        </w:rPr>
        <w:t xml:space="preserve">, </w:t>
      </w:r>
      <w:r w:rsidRPr="00B70D87">
        <w:rPr>
          <w:i/>
          <w:sz w:val="20"/>
          <w:szCs w:val="20"/>
          <w:lang w:val="it-IT"/>
        </w:rPr>
        <w:t>Impugnativa di licenziamento e lavoro a tempo determinato,</w:t>
      </w:r>
      <w:r w:rsidRPr="00B70D87">
        <w:rPr>
          <w:sz w:val="20"/>
          <w:szCs w:val="20"/>
          <w:lang w:val="it-IT"/>
        </w:rPr>
        <w:t xml:space="preserve"> cit., pag. 968 e segg. In giurisprudenza, Trib. Milano, sent. 29 settembre 2011, n. </w:t>
      </w:r>
      <w:smartTag w:uri="urn:schemas-microsoft-com:office:smarttags" w:element="metricconverter">
        <w:smartTagPr>
          <w:attr w:name="ProductID" w:val="4404, in"/>
        </w:smartTagPr>
        <w:r w:rsidRPr="00B70D87">
          <w:rPr>
            <w:sz w:val="20"/>
            <w:szCs w:val="20"/>
            <w:lang w:val="it-IT"/>
          </w:rPr>
          <w:t>4404, in</w:t>
        </w:r>
      </w:smartTag>
      <w:r w:rsidRPr="00B70D87">
        <w:rPr>
          <w:sz w:val="20"/>
          <w:szCs w:val="20"/>
          <w:lang w:val="it-IT"/>
        </w:rPr>
        <w:t xml:space="preserve"> </w:t>
      </w:r>
      <w:r w:rsidRPr="00B70D87">
        <w:rPr>
          <w:i/>
          <w:sz w:val="20"/>
          <w:szCs w:val="20"/>
          <w:lang w:val="it-IT"/>
        </w:rPr>
        <w:t>Guida Lav.</w:t>
      </w:r>
      <w:r w:rsidRPr="00B70D87">
        <w:rPr>
          <w:sz w:val="20"/>
          <w:szCs w:val="20"/>
          <w:lang w:val="it-IT"/>
        </w:rPr>
        <w:t xml:space="preserve">, 2011, 42, pag. 15 e Trib. </w:t>
      </w:r>
      <w:smartTag w:uri="urn:schemas-microsoft-com:office:smarttags" w:element="PersonName">
        <w:smartTagPr>
          <w:attr w:name="ProductID" w:val="La Spezia"/>
        </w:smartTagPr>
        <w:r w:rsidRPr="00B70D87">
          <w:rPr>
            <w:sz w:val="20"/>
            <w:szCs w:val="20"/>
            <w:lang w:val="it-IT"/>
          </w:rPr>
          <w:t>La Spezia</w:t>
        </w:r>
      </w:smartTag>
      <w:r w:rsidRPr="00B70D87">
        <w:rPr>
          <w:sz w:val="20"/>
          <w:szCs w:val="20"/>
          <w:lang w:val="it-IT"/>
        </w:rPr>
        <w:t xml:space="preserve">, ord. 22 settembre </w:t>
      </w:r>
      <w:smartTag w:uri="urn:schemas-microsoft-com:office:smarttags" w:element="metricconverter">
        <w:smartTagPr>
          <w:attr w:name="ProductID" w:val="2011, in"/>
        </w:smartTagPr>
        <w:r w:rsidRPr="00B70D87">
          <w:rPr>
            <w:sz w:val="20"/>
            <w:szCs w:val="20"/>
            <w:lang w:val="it-IT"/>
          </w:rPr>
          <w:t>2011, in</w:t>
        </w:r>
      </w:smartTag>
      <w:r w:rsidRPr="00B70D87">
        <w:rPr>
          <w:sz w:val="20"/>
          <w:szCs w:val="20"/>
          <w:lang w:val="it-IT"/>
        </w:rPr>
        <w:t xml:space="preserve"> </w:t>
      </w:r>
      <w:r w:rsidRPr="00B70D87">
        <w:rPr>
          <w:i/>
          <w:sz w:val="20"/>
          <w:szCs w:val="20"/>
          <w:lang w:val="it-IT"/>
        </w:rPr>
        <w:t>Il Lav. nella Giur.</w:t>
      </w:r>
      <w:r w:rsidRPr="00B70D87">
        <w:rPr>
          <w:sz w:val="20"/>
          <w:szCs w:val="20"/>
          <w:lang w:val="it-IT"/>
        </w:rPr>
        <w:t xml:space="preserve">, 2011, pag. 1167. Si veda anche </w:t>
      </w:r>
      <w:r w:rsidRPr="00B70D87">
        <w:rPr>
          <w:smallCaps/>
          <w:sz w:val="20"/>
          <w:szCs w:val="20"/>
          <w:lang w:val="it-IT"/>
        </w:rPr>
        <w:t>M. R. Gheido</w:t>
      </w:r>
      <w:r w:rsidRPr="00B70D87">
        <w:rPr>
          <w:sz w:val="20"/>
          <w:szCs w:val="20"/>
          <w:lang w:val="it-IT"/>
        </w:rPr>
        <w:t xml:space="preserve"> e </w:t>
      </w:r>
      <w:r w:rsidRPr="00B70D87">
        <w:rPr>
          <w:smallCaps/>
          <w:sz w:val="20"/>
          <w:szCs w:val="20"/>
          <w:lang w:val="it-IT"/>
        </w:rPr>
        <w:t>A. Casotti</w:t>
      </w:r>
      <w:r w:rsidRPr="00B70D87">
        <w:rPr>
          <w:sz w:val="20"/>
          <w:szCs w:val="20"/>
          <w:lang w:val="it-IT"/>
        </w:rPr>
        <w:t xml:space="preserve">, </w:t>
      </w:r>
      <w:r w:rsidRPr="00B70D87">
        <w:rPr>
          <w:i/>
          <w:sz w:val="20"/>
          <w:szCs w:val="20"/>
          <w:lang w:val="it-IT"/>
        </w:rPr>
        <w:t>Milleproroghe: conversione in legge</w:t>
      </w:r>
      <w:r w:rsidRPr="00B70D87">
        <w:rPr>
          <w:sz w:val="20"/>
          <w:szCs w:val="20"/>
          <w:lang w:val="it-IT"/>
        </w:rPr>
        <w:t xml:space="preserve">, in </w:t>
      </w:r>
      <w:r w:rsidRPr="00B70D87">
        <w:rPr>
          <w:i/>
          <w:sz w:val="20"/>
          <w:szCs w:val="20"/>
          <w:lang w:val="it-IT"/>
        </w:rPr>
        <w:t>Dir. prat. Lav.</w:t>
      </w:r>
      <w:r w:rsidRPr="00B70D87">
        <w:rPr>
          <w:sz w:val="20"/>
          <w:szCs w:val="20"/>
          <w:lang w:val="it-IT"/>
        </w:rPr>
        <w:t>, 2011, 11, pag. 620.</w:t>
      </w:r>
    </w:p>
  </w:footnote>
  <w:footnote w:id="21">
    <w:p w:rsidR="00331D5C" w:rsidRPr="00B70D87" w:rsidRDefault="00331D5C" w:rsidP="00331D5C">
      <w:pPr>
        <w:pStyle w:val="Testonotaapidipagina"/>
        <w:ind w:firstLine="540"/>
        <w:jc w:val="both"/>
        <w:rPr>
          <w:lang w:val="it-IT"/>
        </w:rPr>
      </w:pPr>
      <w:r w:rsidRPr="00B70D87">
        <w:rPr>
          <w:rStyle w:val="Rimandonotaapidipagina"/>
        </w:rPr>
        <w:footnoteRef/>
      </w:r>
      <w:r w:rsidRPr="00B70D87">
        <w:rPr>
          <w:lang w:val="it-IT"/>
        </w:rPr>
        <w:t xml:space="preserve"> Cfr., nello stesso senso, </w:t>
      </w:r>
      <w:r w:rsidRPr="00B70D87">
        <w:rPr>
          <w:smallCaps/>
          <w:lang w:val="it-IT"/>
        </w:rPr>
        <w:t>L. Cavallaro</w:t>
      </w:r>
      <w:r w:rsidRPr="00B70D87">
        <w:rPr>
          <w:lang w:val="it-IT"/>
        </w:rPr>
        <w:t xml:space="preserve">, </w:t>
      </w:r>
      <w:r w:rsidRPr="00B70D87">
        <w:rPr>
          <w:i/>
          <w:lang w:val="it-IT"/>
        </w:rPr>
        <w:t xml:space="preserve">L’art. </w:t>
      </w:r>
      <w:smartTag w:uri="urn:schemas-microsoft-com:office:smarttags" w:element="metricconverter">
        <w:smartTagPr>
          <w:attr w:name="ProductID" w:val="32 l"/>
        </w:smartTagPr>
        <w:r w:rsidRPr="00B70D87">
          <w:rPr>
            <w:i/>
            <w:lang w:val="it-IT"/>
          </w:rPr>
          <w:t>32 l</w:t>
        </w:r>
      </w:smartTag>
      <w:r w:rsidRPr="00B70D87">
        <w:rPr>
          <w:i/>
          <w:lang w:val="it-IT"/>
        </w:rPr>
        <w:t xml:space="preserve">. n. 183/2010 dopo il “Milleproroghe”, </w:t>
      </w:r>
      <w:r w:rsidRPr="00B70D87">
        <w:rPr>
          <w:lang w:val="it-IT"/>
        </w:rPr>
        <w:t xml:space="preserve">in </w:t>
      </w:r>
      <w:r w:rsidRPr="00B70D87">
        <w:rPr>
          <w:i/>
          <w:lang w:val="it-IT"/>
        </w:rPr>
        <w:t>WP C.S.D.L.E. “Massimo D’Antona”. IT</w:t>
      </w:r>
      <w:r w:rsidRPr="00B70D87">
        <w:rPr>
          <w:lang w:val="it-IT"/>
        </w:rPr>
        <w:t xml:space="preserve">, cit., pagg. 4 e segg. Per maggiori approfondimenti, si veda </w:t>
      </w:r>
      <w:r w:rsidRPr="00B70D87">
        <w:rPr>
          <w:smallCaps/>
          <w:lang w:val="it-IT"/>
        </w:rPr>
        <w:t>G. Mimmo</w:t>
      </w:r>
      <w:r w:rsidRPr="00B70D87">
        <w:rPr>
          <w:lang w:val="it-IT"/>
        </w:rPr>
        <w:t xml:space="preserve">, </w:t>
      </w:r>
      <w:r w:rsidRPr="00B70D87">
        <w:rPr>
          <w:i/>
          <w:lang w:val="it-IT"/>
        </w:rPr>
        <w:t>Decadenza e regime sanzionatorio: come il “collegato lavoro” ha modificato la disciplina del contratto a termine</w:t>
      </w:r>
      <w:r w:rsidRPr="00B70D87">
        <w:rPr>
          <w:lang w:val="it-IT"/>
        </w:rPr>
        <w:t xml:space="preserve">, in </w:t>
      </w:r>
      <w:r w:rsidRPr="00B70D87">
        <w:rPr>
          <w:i/>
          <w:lang w:val="it-IT"/>
        </w:rPr>
        <w:t>Arg. Dir. Lav.</w:t>
      </w:r>
      <w:r w:rsidRPr="00B70D87">
        <w:rPr>
          <w:lang w:val="it-IT"/>
        </w:rPr>
        <w:t xml:space="preserve">, 2011, 1, pag. 87 e segg. e </w:t>
      </w:r>
      <w:r w:rsidRPr="00B70D87">
        <w:rPr>
          <w:smallCaps/>
          <w:lang w:val="it-IT"/>
        </w:rPr>
        <w:t>A. Sartori</w:t>
      </w:r>
      <w:r w:rsidRPr="00B70D87">
        <w:rPr>
          <w:lang w:val="it-IT"/>
        </w:rPr>
        <w:t xml:space="preserve">, </w:t>
      </w:r>
      <w:r w:rsidRPr="00B70D87">
        <w:rPr>
          <w:i/>
          <w:lang w:val="it-IT"/>
        </w:rPr>
        <w:t>Il c.d. collegato lavoro: regime delle decadenze, sanzioni per i contratti a termine, disposizioni sul mercato del lavoro, deleghe vecchie e nuove</w:t>
      </w:r>
      <w:r w:rsidRPr="00B70D87">
        <w:rPr>
          <w:lang w:val="it-IT"/>
        </w:rPr>
        <w:t>, cit., pagg. 35-38.</w:t>
      </w:r>
    </w:p>
  </w:footnote>
  <w:footnote w:id="22">
    <w:p w:rsidR="00331D5C" w:rsidRPr="00B70D87" w:rsidRDefault="00331D5C" w:rsidP="00331D5C">
      <w:pPr>
        <w:pStyle w:val="Testonotaapidipagina"/>
        <w:ind w:firstLine="540"/>
        <w:jc w:val="both"/>
        <w:rPr>
          <w:lang w:val="it-IT"/>
        </w:rPr>
      </w:pPr>
      <w:r w:rsidRPr="00B70D87">
        <w:rPr>
          <w:rStyle w:val="Rimandonotaapidipagina"/>
        </w:rPr>
        <w:footnoteRef/>
      </w:r>
      <w:r w:rsidRPr="00331D5C">
        <w:rPr>
          <w:lang w:val="it-IT"/>
        </w:rPr>
        <w:t xml:space="preserve"> </w:t>
      </w:r>
      <w:r w:rsidRPr="00B70D87">
        <w:rPr>
          <w:lang w:val="it-IT"/>
        </w:rPr>
        <w:t xml:space="preserve">In tal senso, Trib. Milano, sent. 4 luglio 2011, n. 3402, cit.; contrariamente, Trib. </w:t>
      </w:r>
      <w:smartTag w:uri="urn:schemas-microsoft-com:office:smarttags" w:element="PersonName">
        <w:smartTagPr>
          <w:attr w:name="ProductID" w:val="La Spezia"/>
        </w:smartTagPr>
        <w:r w:rsidRPr="00B70D87">
          <w:rPr>
            <w:lang w:val="it-IT"/>
          </w:rPr>
          <w:t>La Spezia</w:t>
        </w:r>
      </w:smartTag>
      <w:r w:rsidRPr="00B70D87">
        <w:rPr>
          <w:lang w:val="it-IT"/>
        </w:rPr>
        <w:t>, ord. 22 settembre 2011, cit.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hyphenationZone w:val="283"/>
  <w:characterSpacingControl w:val="doNotCompress"/>
  <w:footnotePr>
    <w:footnote w:id="0"/>
    <w:footnote w:id="1"/>
  </w:footnotePr>
  <w:endnotePr>
    <w:endnote w:id="0"/>
    <w:endnote w:id="1"/>
  </w:endnotePr>
  <w:compat/>
  <w:rsids>
    <w:rsidRoot w:val="00331D5C"/>
    <w:rsid w:val="00331D5C"/>
    <w:rsid w:val="00886D37"/>
    <w:rsid w:val="00FA37E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31D5C"/>
    <w:pPr>
      <w:spacing w:after="0" w:line="240" w:lineRule="auto"/>
    </w:pPr>
    <w:rPr>
      <w:rFonts w:ascii="Times New Roman" w:eastAsia="Times New Roman" w:hAnsi="Times New Roman" w:cs="Times New Roman"/>
      <w:sz w:val="24"/>
      <w:szCs w:val="24"/>
      <w:lang w:val="es-ES"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qFormat/>
    <w:rsid w:val="00331D5C"/>
    <w:rPr>
      <w:b/>
      <w:bCs/>
    </w:rPr>
  </w:style>
  <w:style w:type="paragraph" w:styleId="Testonotaapidipagina">
    <w:name w:val="footnote text"/>
    <w:basedOn w:val="Normale"/>
    <w:link w:val="TestonotaapidipaginaCarattere"/>
    <w:semiHidden/>
    <w:rsid w:val="00331D5C"/>
    <w:rPr>
      <w:sz w:val="20"/>
      <w:szCs w:val="20"/>
    </w:rPr>
  </w:style>
  <w:style w:type="character" w:customStyle="1" w:styleId="TestonotaapidipaginaCarattere">
    <w:name w:val="Testo nota a piè di pagina Carattere"/>
    <w:basedOn w:val="Carpredefinitoparagrafo"/>
    <w:link w:val="Testonotaapidipagina"/>
    <w:semiHidden/>
    <w:rsid w:val="00331D5C"/>
    <w:rPr>
      <w:rFonts w:ascii="Times New Roman" w:eastAsia="Times New Roman" w:hAnsi="Times New Roman" w:cs="Times New Roman"/>
      <w:sz w:val="20"/>
      <w:szCs w:val="20"/>
      <w:lang w:val="es-ES" w:eastAsia="it-IT"/>
    </w:rPr>
  </w:style>
  <w:style w:type="character" w:styleId="Rimandonotaapidipagina">
    <w:name w:val="footnote reference"/>
    <w:basedOn w:val="Carpredefinitoparagrafo"/>
    <w:semiHidden/>
    <w:rsid w:val="00331D5C"/>
    <w:rPr>
      <w:vertAlign w:val="superscript"/>
    </w:rPr>
  </w:style>
  <w:style w:type="paragraph" w:styleId="NormaleWeb">
    <w:name w:val="Normal (Web)"/>
    <w:basedOn w:val="Normale"/>
    <w:rsid w:val="00331D5C"/>
    <w:pPr>
      <w:spacing w:before="100" w:beforeAutospacing="1" w:after="100" w:afterAutospacing="1" w:line="200" w:lineRule="atLeast"/>
    </w:pPr>
    <w:rPr>
      <w:rFonts w:ascii="Georgia" w:hAnsi="Georgia"/>
      <w:i/>
      <w:iCs/>
      <w:color w:val="666666"/>
      <w:sz w:val="15"/>
      <w:szCs w:val="15"/>
      <w:lang w:val="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4502</Words>
  <Characters>25666</Characters>
  <Application>Microsoft Office Word</Application>
  <DocSecurity>0</DocSecurity>
  <Lines>213</Lines>
  <Paragraphs>60</Paragraphs>
  <ScaleCrop>false</ScaleCrop>
  <Company/>
  <LinksUpToDate>false</LinksUpToDate>
  <CharactersWithSpaces>30108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2014-01-22T21:45:00Z</dcterms:created>
  <dcterms:modified xsi:type="dcterms:W3CDTF">2014-01-22T21:49:00Z</dcterms:modified>
</cp:coreProperties>
</file>