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Override PartName="/word/document.xml" ContentType="application/vnd.openxmlformats-officedocument.wordprocessingml.document.main+xml"/>
  <Override PartName="/word/_rels/document.xml.rels" ContentType="application/vnd.openxmlformats-package.relationships+xml"/>
  <Override PartName="/word/media/image1.png" ContentType="image/png"/>
  <Override PartName="/word/media/image5.png" ContentType="image/png"/>
  <Override PartName="/word/media/image16.png" ContentType="image/png"/>
  <Override PartName="/word/media/image24.png" ContentType="image/png"/>
  <Override PartName="/word/media/image9.png" ContentType="image/png"/>
  <Override PartName="/word/media/image10.png" ContentType="image/png"/>
  <Override PartName="/word/media/image13.jpeg" ContentType="image/jpeg"/>
  <Override PartName="/word/media/image11.jpeg" ContentType="image/jpeg"/>
  <Override PartName="/word/media/image12.jpeg" ContentType="image/jpeg"/>
  <Override PartName="/word/media/image19.png" ContentType="image/png"/>
  <Override PartName="/word/media/image21.png" ContentType="image/png"/>
  <Override PartName="/word/media/image6.png" ContentType="image/png"/>
  <Override PartName="/word/media/image14.jpeg" ContentType="image/jpeg"/>
  <Override PartName="/word/media/image20.jpeg" ContentType="image/jpeg"/>
  <Override PartName="/word/media/image4.jpeg" ContentType="image/jpeg"/>
  <Override PartName="/word/media/image17.jpeg" ContentType="image/jpeg"/>
  <Override PartName="/word/media/image2.jpeg" ContentType="image/jpeg"/>
  <Override PartName="/word/media/image7.jpeg" ContentType="image/jpeg"/>
  <Override PartName="/word/media/image15.png" ContentType="image/png"/>
  <Override PartName="/word/media/image18.jpeg" ContentType="image/jpeg"/>
  <Override PartName="/word/media/image3.jpeg" ContentType="image/jpeg"/>
  <Override PartName="/word/media/image25.png" ContentType="image/png"/>
  <Override PartName="/word/media/image8.png" ContentType="image/png"/>
  <Override PartName="/word/media/image23.png" ContentType="image/png"/>
  <Override PartName="/word/media/image22.png" ContentType="image/png"/>
  <Override PartName="/word/media/image26.jpeg" ContentType="image/jpeg"/>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embeddings/oleObject1.bin" ContentType="application/vnd.openxmlformats-officedocument.oleObject"/>
  <Override PartName="/word/embeddings/oleObject2.bin" ContentType="application/vnd.openxmlformats-officedocument.oleObject"/>
  <Override PartName="/word/fontTable.xml" ContentType="application/vnd.openxmlformats-officedocument.wordprocessingml.fontTabl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extBody"/>
        <w:spacing w:lineRule="auto" w:line="360"/>
        <w:jc w:val="center"/>
        <w:rPr>
          <w:b/>
          <w:b/>
          <w:lang w:val="en-GB"/>
        </w:rPr>
      </w:pPr>
      <w:r>
        <w:rPr>
          <w:rFonts w:ascii="AdvGulliv" w:hAnsi="AdvGulliv"/>
          <w:b/>
          <w:sz w:val="26"/>
          <w:lang w:val="en-GB"/>
        </w:rPr>
        <w:t>Liquid structure of a water-based, hydrophobic and natural deep eutectic solvent: The case of thymol-water. A Molecular Dynamics study</w:t>
      </w:r>
      <w:r>
        <w:rPr>
          <w:b/>
          <w:lang w:val="en-GB"/>
        </w:rPr>
        <w:t>.</w:t>
      </w:r>
    </w:p>
    <w:p>
      <w:pPr>
        <w:pStyle w:val="Normal"/>
        <w:spacing w:lineRule="auto" w:line="360"/>
        <w:jc w:val="center"/>
        <w:rPr>
          <w:lang w:val="en-GB"/>
        </w:rPr>
      </w:pPr>
      <w:r>
        <w:rPr>
          <w:lang w:val="en-GB"/>
        </w:rPr>
      </w:r>
    </w:p>
    <w:p>
      <w:pPr>
        <w:pStyle w:val="Normal"/>
        <w:spacing w:lineRule="auto" w:line="360"/>
        <w:jc w:val="center"/>
        <w:rPr>
          <w:vertAlign w:val="superscript"/>
          <w:lang w:val="en-GB"/>
        </w:rPr>
      </w:pPr>
      <w:r>
        <w:rPr>
          <w:lang w:val="en-GB"/>
        </w:rPr>
        <w:t>Alessandro Triolo</w:t>
      </w:r>
      <w:r>
        <w:rPr>
          <w:vertAlign w:val="superscript"/>
          <w:lang w:val="en-GB"/>
        </w:rPr>
        <w:t>1,*</w:t>
      </w:r>
      <w:r>
        <w:rPr>
          <w:lang w:val="en-GB"/>
        </w:rPr>
        <w:t>, Fabrizio Lo Celso</w:t>
      </w:r>
      <w:r>
        <w:rPr>
          <w:vertAlign w:val="superscript"/>
          <w:lang w:val="en-GB"/>
        </w:rPr>
        <w:t>1,2</w:t>
      </w:r>
      <w:r>
        <w:rPr>
          <w:lang w:val="en-GB"/>
        </w:rPr>
        <w:t xml:space="preserve"> and Olga Russina</w:t>
      </w:r>
      <w:r>
        <w:rPr>
          <w:vertAlign w:val="superscript"/>
          <w:lang w:val="en-GB"/>
        </w:rPr>
        <w:t>1,3,*</w:t>
      </w:r>
    </w:p>
    <w:p>
      <w:pPr>
        <w:pStyle w:val="Normal"/>
        <w:spacing w:lineRule="auto" w:line="360"/>
        <w:jc w:val="center"/>
        <w:rPr>
          <w:vertAlign w:val="superscript"/>
          <w:lang w:val="en-GB"/>
        </w:rPr>
      </w:pPr>
      <w:r>
        <w:rPr>
          <w:vertAlign w:val="superscript"/>
          <w:lang w:val="en-GB"/>
        </w:rPr>
      </w:r>
    </w:p>
    <w:p>
      <w:pPr>
        <w:pStyle w:val="BCAuthorAddress"/>
        <w:spacing w:lineRule="auto" w:line="360"/>
        <w:rPr>
          <w:lang w:val="it-IT"/>
        </w:rPr>
      </w:pPr>
      <w:r>
        <w:rPr>
          <w:vertAlign w:val="superscript"/>
          <w:lang w:val="it-IT"/>
        </w:rPr>
        <w:t xml:space="preserve">1 </w:t>
      </w:r>
      <w:r>
        <w:rPr>
          <w:lang w:val="it-IT"/>
        </w:rPr>
        <w:t>Istituto Struttura della Materia (ISM), Consiglio Nazionale delle Ricerche (CNR), Rome, Italy</w:t>
      </w:r>
    </w:p>
    <w:p>
      <w:pPr>
        <w:pStyle w:val="Normal"/>
        <w:spacing w:lineRule="auto" w:line="360"/>
        <w:jc w:val="center"/>
        <w:rPr/>
      </w:pPr>
      <w:r>
        <w:rPr>
          <w:vertAlign w:val="superscript"/>
        </w:rPr>
        <w:t xml:space="preserve">2 </w:t>
      </w:r>
      <w:r>
        <w:rPr/>
        <w:t>Department of Physics and Chemistry, University of Palermo, Palermo, Italy</w:t>
      </w:r>
    </w:p>
    <w:p>
      <w:pPr>
        <w:pStyle w:val="Normal"/>
        <w:spacing w:lineRule="auto" w:line="360"/>
        <w:jc w:val="center"/>
        <w:rPr/>
      </w:pPr>
      <w:r>
        <w:rPr>
          <w:vertAlign w:val="superscript"/>
        </w:rPr>
        <w:t xml:space="preserve">3 </w:t>
      </w:r>
      <w:r>
        <w:rPr/>
        <w:t>Department of Chemistry, University of Rome Sapienza, Rome, Italy</w:t>
      </w:r>
    </w:p>
    <w:p>
      <w:pPr>
        <w:pStyle w:val="Normal"/>
        <w:spacing w:lineRule="auto" w:line="360"/>
        <w:jc w:val="center"/>
        <w:rPr/>
      </w:pPr>
      <w:r>
        <w:rPr/>
      </w:r>
    </w:p>
    <w:p>
      <w:pPr>
        <w:pStyle w:val="Normal"/>
        <w:spacing w:lineRule="auto" w:line="360"/>
        <w:jc w:val="center"/>
        <w:rPr>
          <w:lang w:val="en-GB"/>
        </w:rPr>
      </w:pPr>
      <w:r>
        <w:rPr>
          <w:vertAlign w:val="superscript"/>
          <w:lang w:val="en-GB"/>
        </w:rPr>
        <w:t xml:space="preserve">* </w:t>
      </w:r>
      <w:r>
        <w:rPr>
          <w:lang w:val="en-GB"/>
        </w:rPr>
        <w:t>Corresponding Authors: A.T. (</w:t>
      </w:r>
      <w:hyperlink r:id="rId2">
        <w:r>
          <w:rPr>
            <w:rStyle w:val="InternetLink"/>
            <w:lang w:val="en-GB"/>
          </w:rPr>
          <w:t>alessandro.triolo@cnr.it</w:t>
        </w:r>
      </w:hyperlink>
      <w:r>
        <w:rPr>
          <w:lang w:val="en-GB"/>
        </w:rPr>
        <w:t>); O.R. (</w:t>
      </w:r>
      <w:hyperlink r:id="rId3">
        <w:r>
          <w:rPr>
            <w:rStyle w:val="InternetLink"/>
            <w:lang w:val="en-GB"/>
          </w:rPr>
          <w:t>olga.russina@uniroma1.it</w:t>
        </w:r>
      </w:hyperlink>
      <w:r>
        <w:rPr>
          <w:lang w:val="en-GB"/>
        </w:rPr>
        <w:t>)</w:t>
      </w:r>
    </w:p>
    <w:p>
      <w:pPr>
        <w:pStyle w:val="Normal"/>
        <w:spacing w:lineRule="auto" w:line="360"/>
        <w:jc w:val="center"/>
        <w:rPr>
          <w:lang w:val="en-GB"/>
        </w:rPr>
      </w:pPr>
      <w:r>
        <w:rPr>
          <w:lang w:val="en-GB"/>
        </w:rPr>
      </w:r>
    </w:p>
    <w:p>
      <w:pPr>
        <w:pStyle w:val="Normal"/>
        <w:spacing w:lineRule="auto" w:line="360"/>
        <w:jc w:val="center"/>
        <w:rPr>
          <w:lang w:val="en-GB"/>
        </w:rPr>
      </w:pPr>
      <w:r>
        <w:rPr>
          <w:lang w:val="en-GB"/>
        </w:rPr>
      </w:r>
    </w:p>
    <w:p>
      <w:pPr>
        <w:pStyle w:val="Normal"/>
        <w:spacing w:lineRule="auto" w:line="480"/>
        <w:jc w:val="center"/>
        <w:rPr/>
      </w:pPr>
      <w:r>
        <w:rPr/>
      </w:r>
    </w:p>
    <w:p>
      <w:pPr>
        <w:pStyle w:val="Normal"/>
        <w:spacing w:lineRule="auto" w:line="480"/>
        <w:jc w:val="center"/>
        <w:rPr/>
      </w:pPr>
      <w:r>
        <w:rPr/>
      </w:r>
    </w:p>
    <w:p>
      <w:pPr>
        <w:pStyle w:val="Normal"/>
        <w:spacing w:lineRule="auto" w:line="360"/>
        <w:jc w:val="center"/>
        <w:rPr>
          <w:lang w:val="en-GB"/>
        </w:rPr>
      </w:pPr>
      <w:r>
        <w:rPr>
          <w:lang w:val="en-GB"/>
        </w:rPr>
      </w:r>
    </w:p>
    <w:p>
      <w:pPr>
        <w:pStyle w:val="Normal"/>
        <w:spacing w:lineRule="auto" w:line="360"/>
        <w:jc w:val="center"/>
        <w:rPr>
          <w:lang w:val="en-GB"/>
        </w:rPr>
      </w:pPr>
      <w:r>
        <w:rPr>
          <w:lang w:val="en-GB"/>
        </w:rPr>
      </w:r>
    </w:p>
    <w:p>
      <w:pPr>
        <w:pStyle w:val="Normal"/>
        <w:spacing w:lineRule="auto" w:line="360"/>
        <w:rPr>
          <w:lang w:val="en-GB"/>
        </w:rPr>
      </w:pPr>
      <w:r>
        <w:rPr>
          <w:lang w:val="en-GB"/>
        </w:rPr>
      </w:r>
    </w:p>
    <w:p>
      <w:pPr>
        <w:pStyle w:val="Normal"/>
        <w:rPr>
          <w:b/>
          <w:b/>
          <w:lang w:val="en-GB"/>
        </w:rPr>
      </w:pPr>
      <w:r>
        <w:rPr>
          <w:b/>
          <w:lang w:val="en-GB"/>
        </w:rPr>
      </w:r>
      <w:r>
        <w:br w:type="page"/>
      </w:r>
    </w:p>
    <w:p>
      <w:pPr>
        <w:pStyle w:val="Normal"/>
        <w:rPr>
          <w:lang w:val="en-GB"/>
        </w:rPr>
      </w:pPr>
      <w:r>
        <w:rPr>
          <w:b/>
          <w:lang w:val="en-GB"/>
        </w:rPr>
        <w:t>Abstract</w:t>
      </w:r>
      <w:r>
        <w:rPr>
          <w:lang w:val="en-GB"/>
        </w:rPr>
        <w:t>.</w:t>
      </w:r>
    </w:p>
    <w:p>
      <w:pPr>
        <w:pStyle w:val="Normal"/>
        <w:spacing w:lineRule="auto" w:line="360"/>
        <w:rPr>
          <w:lang w:val="en-GB"/>
        </w:rPr>
      </w:pPr>
      <w:r>
        <w:rPr>
          <w:lang w:val="en-GB"/>
        </w:rPr>
      </w:r>
    </w:p>
    <w:p>
      <w:pPr>
        <w:pStyle w:val="Normal"/>
        <w:spacing w:lineRule="auto" w:line="360"/>
        <w:rPr>
          <w:lang w:val="en-GB"/>
        </w:rPr>
      </w:pPr>
      <w:r>
        <w:rPr>
          <w:lang w:val="en-GB"/>
        </w:rPr>
        <w:t>The structural organization of the first example of a water-based, type V, hydrophobic, natural deep eutectic solvent (DES) is investigated in this work, exploiting the synergy of X-ray scattering and computational techniques. The stoichiometric mixture of thymol:water (4.8:1) has been recently reported to behave as a DES, with a melting point at -6 °C, well below the one foreseen for the ideal liquid mixture. Our study provides an atomistic insight into the structural correlations in this system, highlighting the major role played by hydrogen bonding (HB) correlations in affecting morphology as well as the solid-liquid equilibrium. Thymol engages HB-mediated interactions with both thymol and water molecules: evidences of conventional HB interactions involving the hydroxyl group are found, together with indications of π···H-O hydrogen bonding correlations with both thymol and water. Overall, in the mixture, thymol is involved in a larger number of HB interactions than in its neat liquid state. Such a strong interference of water into thymol structural organization strongly hinders the development of HB-mediated thymol hexamers that is the structural leitmotif in crystalline thymol. On the other hand, only 30% of the present water molecule can engage into correlations with at least another water molecule, thus preventing the formation of an extended HB network among water molecules that would result incompatible with the otherwise hydrophobic environment. Evidences of mesoscopic organization are observed experimentally and confirmed by simulations: these are related to the clustering of thymol hydroxyl groups with water molecules, leading to the formation on polar nano-pools embedded into the apolar matrix. This new solvent extends the range of water based, type V, hydrophobic DES, and represents an additional contribuition to the development of sustainable technologies, with appealing properties.</w:t>
      </w:r>
    </w:p>
    <w:p>
      <w:pPr>
        <w:pStyle w:val="Normal"/>
        <w:spacing w:lineRule="auto" w:line="360"/>
        <w:rPr>
          <w:lang w:val="en-GB"/>
        </w:rPr>
      </w:pPr>
      <w:r>
        <w:rPr>
          <w:lang w:val="en-GB"/>
        </w:rPr>
      </w:r>
    </w:p>
    <w:p>
      <w:pPr>
        <w:pStyle w:val="Normal"/>
        <w:spacing w:lineRule="auto" w:line="360"/>
        <w:rPr>
          <w:lang w:val="en-GB"/>
        </w:rPr>
      </w:pPr>
      <w:r>
        <w:rPr>
          <w:lang w:val="en-GB"/>
        </w:rPr>
        <w:t>Keywords: hydrogen bonding; hydrophobic; X-ray Scattering; Molecular Dynamics; mesoscopic; sustainable</w:t>
      </w:r>
    </w:p>
    <w:p>
      <w:pPr>
        <w:pStyle w:val="Normal"/>
        <w:spacing w:lineRule="auto" w:line="360"/>
        <w:rPr>
          <w:lang w:val="en-GB"/>
        </w:rPr>
      </w:pPr>
      <w:r>
        <w:rPr>
          <w:lang w:val="en-GB"/>
        </w:rPr>
      </w:r>
    </w:p>
    <w:p>
      <w:pPr>
        <w:pStyle w:val="Normal"/>
        <w:rPr>
          <w:lang w:val="en-GB"/>
        </w:rPr>
      </w:pPr>
      <w:r>
        <w:rPr>
          <w:lang w:val="en-GB"/>
        </w:rPr>
      </w:r>
      <w:r>
        <w:br w:type="page"/>
      </w:r>
    </w:p>
    <w:p>
      <w:pPr>
        <w:pStyle w:val="Normal"/>
        <w:spacing w:lineRule="auto" w:line="360"/>
        <w:rPr>
          <w:lang w:val="en-GB"/>
        </w:rPr>
      </w:pPr>
      <w:r>
        <w:rPr>
          <w:b/>
          <w:lang w:val="en-GB"/>
        </w:rPr>
        <w:t>1. Introduction</w:t>
      </w:r>
      <w:r>
        <w:rPr>
          <w:lang w:val="en-GB"/>
        </w:rPr>
        <w:t>.</w:t>
      </w:r>
    </w:p>
    <w:p>
      <w:pPr>
        <w:pStyle w:val="Normal"/>
        <w:spacing w:lineRule="auto" w:line="360"/>
        <w:rPr>
          <w:lang w:val="en-GB"/>
        </w:rPr>
      </w:pPr>
      <w:r>
        <w:rPr>
          <w:lang w:val="en-GB"/>
        </w:rPr>
        <w:t xml:space="preserve">Type V Deep Eutectic Solvents (DES) </w:t>
      </w:r>
      <w:r>
        <w:fldChar w:fldCharType="begin"/>
      </w:r>
      <w:r>
        <w:rPr>
          <w:lang w:val="en-GB"/>
        </w:rPr>
        <w:instrText xml:space="preserve">ADDIN CSL_CITATION {"citationItems":[{"id":"ITEM-1","itemData":{"DOI":"10.1039/c9cc04846d","ISSN":"1364548X","PMID":"31393483","abstract":"Mixtures of non-ionic compounds have been reported as DES but most are just ideal mixtures. In the thymol-menthol system, an abnormal strong interaction was identified stemming from the acidity difference of the phenolic and aliphatic hydroxyl groups. This type of interaction is found to be the key to prepare non-ionic DES, that may be classified as type V.","author":[{"dropping-particle":"","family":"Abranches","given":"Dinis O.","non-dropping-particle":"","parse-names":false,"suffix":""},{"dropping-particle":"","family":"Martins","given":"Mónia A.R.","non-dropping-particle":"","parse-names":false,"suffix":""},{"dropping-particle":"","family":"Silva","given":"Liliana P.","non-dropping-particle":"","parse-names":false,"suffix":""},{"dropping-particle":"","family":"Schaeffer","given":"Nicolas","non-dropping-particle":"","parse-names":false,"suffix":""},{"dropping-particle":"","family":"Pinho","given":"Simão P.","non-dropping-particle":"","parse-names":false,"suffix":""},{"dropping-particle":"","family":"Coutinho","given":"João A.P.","non-dropping-particle":"","parse-names":false,"suffix":""}],"container-title":"Chemical Communications","id":"ITEM-1","issue":"69","issued":{"date-parts":[["2019"]]},"page":"10253-10256","title":"Phenolic hydrogen bond donors in the formation of non-ionic deep eutectic solvents: The quest for type v des","type":"article-journal","volume":"55"},"uris":["http://www.mendeley.com/documents/?uuid=9f55cfee-f60d-4792-be52-e9d67e005177"]},{"id":"ITEM-2","itemData":{"DOI":"10.1016/j.cogsc.2022.100612","ISSN":"24522236","abstract":"Type V deep eutectic solvents are a novel class of sustainable solvents. They are prepared by physically mixing solid, non-ionic components and are characterized by strong negative deviations from thermodynamic ideality. This work provides guidelines for the rational design of these solvents and reviews some of their recent applications. Emphasis is given on the choice of hydrogen bond donors and acceptors to achieve the necessary liquid phase non-ideality, namely on the use of pairs of molecules with high polarity asymmetry, and stresses the importance of assessing their solid–liquid phase diagrams. Polymorphism and cocrystal formation are also briefly addressed, together with predictive methodologies that have been developed to estimate their properties.","author":[{"dropping-particle":"","family":"Abranches","given":"Dinis O.","non-dropping-particle":"","parse-names":false,"suffix":""},{"dropping-particle":"","family":"Coutinho","given":"João A.P.","non-dropping-particle":"","parse-names":false,"suffix":""}],"container-title":"Current Opinion in Green and Sustainable Chemistry","id":"ITEM-2","issued":{"date-parts":[["2022"]]},"page":"100612","publisher":"Elsevier B.V.","title":"Type V deep eutectic solvents: Design and applications","type":"article-journal","volume":"35"},"uris":["http://www.mendeley.com/documents/?uuid=e93a4c42-020f-43ba-a7d0-fc76ea2099cc"]}],"mendeley":{"formattedCitation":"[1,2]","plainTextFormattedCitation":"[1,2]","previouslyFormattedCitation":"[1,2]"},"properties":{"noteIndex":0},"schema":"https://github.com/citation-style-language/schema/raw/master/csl-citation.json"}</w:instrText>
      </w:r>
      <w:r>
        <w:rPr>
          <w:lang w:val="en-GB"/>
        </w:rPr>
      </w:r>
      <w:r>
        <w:rPr>
          <w:lang w:val="en-GB"/>
        </w:rPr>
        <w:fldChar w:fldCharType="separate"/>
      </w:r>
      <w:r>
        <w:rPr>
          <w:lang w:val="en-GB"/>
        </w:rPr>
        <w:t>[1,2]</w:t>
      </w:r>
      <w:r>
        <w:rPr>
          <w:lang w:val="en-GB"/>
        </w:rPr>
      </w:r>
      <w:r>
        <w:rPr>
          <w:lang w:val="en-GB"/>
        </w:rPr>
        <w:fldChar w:fldCharType="end"/>
      </w:r>
      <w:r>
        <w:rPr>
          <w:lang w:val="en-GB"/>
        </w:rPr>
        <w:t xml:space="preserve"> have been recently proposed as a further class of DES</w:t>
      </w:r>
      <w:r>
        <w:fldChar w:fldCharType="begin"/>
      </w:r>
      <w:r>
        <w:rPr>
          <w:lang w:val="en-GB"/>
        </w:rPr>
        <w:instrText xml:space="preserve">ADDIN CSL_CITATION {"citationItems":[{"id":"ITEM-1","itemData":{"author":[{"dropping-particle":"","family":"Smith","given":"Emma L","non-dropping-particle":"","parse-names":false,"suffix":""},{"dropping-particle":"","family":"Abbott","given":"Andrew P","non-dropping-particle":"","parse-names":false,"suffix":""},{"dropping-particle":"","family":"Ryder","given":"Karl S","non-dropping-particle":"","parse-names":false,"suffix":""}],"id":"ITEM-1","issued":{"date-parts":[["2014"]]},"title":"Deep Eutectic Solvents ( DESs ) and Their Applications","type":"article-journal"},"uris":["http://www.mendeley.com/documents/?uuid=c54c2646-bbf2-4f24-b685-f3642dbc4b1a"]},{"id":"ITEM-2","itemData":{"DOI":"10.1007/s10953-018-0793-1","ISSN":"00959782","abstract":"A stricter definition of a deep eutectic solvent (DES) is urgent, so that it may become a sound basis for further developments in this field. This communication aims at contributing to deepening the understanding of eutectic and deep eutectic mixtures concerning their definition, thermodynamic nature and modelling. The glut of literature on DES applications should be followed by a similar effort to address the fundamental questions on their nature. This hopefully would contribute to correct some widespread misconceptions, and help to establish a stringent definition of what a DES is. DES are eutectic mixtures for which the eutectic point temperature should be lower to that of an ideal liquid mixture. To identify and characterize them, their phase diagrams should be known, in order to compare the real temperature depression to that predicted if ideality is assumed, and to define composition ranges for which they are in the liquid state at operating temperatures. It is also shown that hydrogen bonding between the DES components should not be used to define or characterize a DES, since this would describe many ideal mixtures. The future of deep eutectic solvents is quite promising, and we expect that this work will contribute to the efficient design and selection of the best DES for a given application, and to model properties and phase equilibria without which the process design is impractical.","author":[{"dropping-particle":"","family":"Martins","given":"Mónia A.R.","non-dropping-particle":"","parse-names":false,"suffix":""},{"dropping-particle":"","family":"Pinho","given":"Simão P.","non-dropping-particle":"","parse-names":false,"suffix":""},{"dropping-particle":"","family":"Coutinho","given":"João A.P.","non-dropping-particle":"","parse-names":false,"suffix":""}],"container-title":"Journal of Solution Chemistry","id":"ITEM-2","issue":"7","issued":{"date-parts":[["2019"]]},"page":"962-982","publisher":"Springer US","title":"Insights into the Nature of Eutectic and Deep Eutectic Mixtures","type":"article-journal","volume":"48"},"uris":["http://www.mendeley.com/documents/?uuid=3c837c44-190c-4c74-aea3-010c2464726b"]},{"id":"ITEM-3","itemData":{"DOI":"10.1021/acs.chemrev.0c00385","ISSN":"15206890","PMID":"33315380","abstract":"Deep eutectic solvents (DESs) are an emerging class of mixtures characterized by significant depressions in melting points compared to those of the neat constituent components. These materials are promising for applications as inexpensive \"designer\"solvents exhibiting a host of tunable physicochemical properties. A detailed review of the current literature reveals the lack of predictive understanding of the microscopic mechanisms that govern the structure-property relationships in this class of solvents. Complex hydrogen bonding is postulated as the root cause of their melting point depressions and physicochemical properties; to understand these hydrogen bonded networks, it is imperative to study these systems as dynamic entities using both simulations and experiments. This review emphasizes recent research efforts in order to elucidate the next steps needed to develop a fundamental framework needed for a deeper understanding of DESs. It covers recent developments in DES research, frames outstanding scientific questions, and identifies promising research thrusts aligned with the advancement of the field toward predictive models and fundamental understanding of these solvents.","author":[{"dropping-particle":"","family":"Hansen","given":"Benworth B.","non-dropping-particle":"","parse-names":false,"suffix":""},{"dropping-particle":"","family":"Spittle","given":"Stephanie","non-dropping-particle":"","parse-names":false,"suffix":""},{"dropping-particle":"","family":"Chen","given":"Brian","non-dropping-particle":"","parse-names":false,"suffix":""},{"dropping-particle":"","family":"Poe","given":"Derrick","non-dropping-particle":"","parse-names":false,"suffix":""},{"dropping-particle":"","family":"Zhang","given":"Yong","non-dropping-particle":"","parse-names":false,"suffix":""},{"dropping-particle":"","family":"Klein","given":"Jeffrey M.","non-dropping-particle":"","parse-names":false,"suffix":""},{"dropping-particle":"","family":"Horton","given":"Alexandre","non-dropping-particle":"","parse-names":false,"suffix":""},{"dropping-particle":"","family":"Adhikari","given":"Laxmi","non-dropping-particle":"","parse-names":false,"suffix":""},{"dropping-particle":"","family":"Zelovich","given":"Tamar","non-dropping-particle":"","parse-names":false,"suffix":""},{"dropping-particle":"","family":"Doherty","given":"Brian W.","non-dropping-particle":"","parse-names":false,"suffix":""},{"dropping-particle":"","family":"Gurkan","given":"Burcu","non-dropping-particle":"","parse-names":false,"suffix":""},{"dropping-particle":"","family":"Maginn","given":"Edward J.","non-dropping-particle":"","parse-names":false,"suffix":""},{"dropping-particle":"","family":"Ragauskas","given":"Arthur","non-dropping-particle":"","parse-names":false,"suffix":""},{"dropping-particle":"","family":"Dadmun","given":"Mark","non-dropping-particle":"","parse-names":false,"suffix":""},{"dropping-particle":"","family":"Zawodzinski","given":"Thomas A.","non-dropping-particle":"","parse-names":false,"suffix":""},{"dropping-particle":"","family":"Baker","given":"Gary A.","non-dropping-particle":"","parse-names":false,"suffix":""},{"dropping-particle":"","family":"Tuckerman","given":"Mark E.","non-dropping-particle":"","parse-names":false,"suffix":""},{"dropping-particle":"","family":"Savinell","given":"Robert F.","non-dropping-particle":"","parse-names":false,"suffix":""},{"dropping-particle":"","family":"Sangoro","given":"Joshua R.","non-dropping-particle":"","parse-names":false,"suffix":""}],"container-title":"Chemical Reviews","id":"ITEM-3","issue":"3","issued":{"date-parts":[["2021"]]},"page":"1232-1285","title":"Deep Eutectic Solvents: A Review of Fundamentals and Applications","type":"article-journal","volume":"121"},"uris":["http://www.mendeley.com/documents/?uuid=d92630f5-c096-411d-91d0-c42ea44d583d"]}],"mendeley":{"formattedCitation":"[3–5]","plainTextFormattedCitation":"[3–5]","previouslyFormattedCitation":"[3–5]"},"properties":{"noteIndex":0},"schema":"https://github.com/citation-style-language/schema/raw/master/csl-citation.json"}</w:instrText>
      </w:r>
      <w:r>
        <w:rPr>
          <w:lang w:val="en-GB"/>
        </w:rPr>
      </w:r>
      <w:r>
        <w:rPr>
          <w:lang w:val="en-GB"/>
        </w:rPr>
        <w:fldChar w:fldCharType="separate"/>
      </w:r>
      <w:r>
        <w:rPr>
          <w:lang w:val="en-GB"/>
        </w:rPr>
        <w:t>[3–5]</w:t>
      </w:r>
      <w:r>
        <w:rPr>
          <w:lang w:val="en-GB"/>
        </w:rPr>
      </w:r>
      <w:r>
        <w:rPr>
          <w:lang w:val="en-GB"/>
        </w:rPr>
        <w:fldChar w:fldCharType="end"/>
      </w:r>
      <w:r>
        <w:rPr>
          <w:lang w:val="en-GB"/>
        </w:rPr>
        <w:t xml:space="preserve">. DES are composed by the combination of two or more components, whose eutectic mixture is characterised by a melting point lower that of an ideal liquid mixture. Of course, the nature of interactions between components will strongly affect the formation of the DES, as dispersive and electrostatic interactions, hydrogen-bonding (HB) correlations and, last but not least, entropic terms will determine the overall thermodynamic behaviour of the mixture and the depth of the eutectic melting point </w:t>
      </w:r>
      <w:r>
        <w:fldChar w:fldCharType="begin"/>
      </w:r>
      <w:r>
        <w:rPr>
          <w:lang w:val="en-GB"/>
        </w:rPr>
        <w:instrText xml:space="preserve">ADDIN CSL_CITATION {"citationItems":[{"id":"ITEM-1","itemData":{"DOI":"10.1007/s10953-018-0793-1","ISSN":"00959782","abstract":"A stricter definition of a deep eutectic solvent (DES) is urgent, so that it may become a sound basis for further developments in this field. This communication aims at contributing to deepening the understanding of eutectic and deep eutectic mixtures concerning their definition, thermodynamic nature and modelling. The glut of literature on DES applications should be followed by a similar effort to address the fundamental questions on their nature. This hopefully would contribute to correct some widespread misconceptions, and help to establish a stringent definition of what a DES is. DES are eutectic mixtures for which the eutectic point temperature should be lower to that of an ideal liquid mixture. To identify and characterize them, their phase diagrams should be known, in order to compare the real temperature depression to that predicted if ideality is assumed, and to define composition ranges for which they are in the liquid state at operating temperatures. It is also shown that hydrogen bonding between the DES components should not be used to define or characterize a DES, since this would describe many ideal mixtures. The future of deep eutectic solvents is quite promising, and we expect that this work will contribute to the efficient design and selection of the best DES for a given application, and to model properties and phase equilibria without which the process design is impractical.","author":[{"dropping-particle":"","family":"Martins","given":"Mónia A.R.","non-dropping-particle":"","parse-names":false,"suffix":""},{"dropping-particle":"","family":"Pinho","given":"Simão P.","non-dropping-particle":"","parse-names":false,"suffix":""},{"dropping-particle":"","family":"Coutinho","given":"João A.P.","non-dropping-particle":"","parse-names":false,"suffix":""}],"container-title":"Journal of Solution Chemistry","id":"ITEM-1","issue":"7","issued":{"date-parts":[["2019"]]},"page":"962-982","publisher":"Springer US","title":"Insights into the Nature of Eutectic and Deep Eutectic Mixtures","type":"article-journal","volume":"48"},"uris":["http://www.mendeley.com/documents/?uuid=3c837c44-190c-4c74-aea3-010c2464726b"]},{"id":"ITEM-2","itemData":{"DOI":"10.1039/c8cc05815f","ISSN":"1364548X","PMID":"30417900","abstract":"Deep eutectic solvents (DESs) have been considered as a new class of green solvents with tunable physical properties based on the selective combination of their individual components. As the liquid window of a DES identifies the range of feasible applications, it is essential to determine, quantify, and predict their phase behavior. Phase diagrams were measured for systems consisting of tetrapentylammonium bromide and erythritol or succinic acid. Regular solution theory is applied to quantitatively describe the liquid window of DESs. The succinic acid mixture shows a larger deviation from ideal behavior, caused by the stronger hydrogen bond forming acid groups. The interaction parameter between the two DES components in regular solution theory could be determined directly from the eutectic temperature of the mixture and this enables quantification of the degree of non-ideality of DESs.","author":[{"dropping-particle":"","family":"Kollau","given":"Laura J.B.M.","non-dropping-particle":"","parse-names":false,"suffix":""},{"dropping-particle":"","family":"Vis","given":"Mark","non-dropping-particle":"","parse-names":false,"suffix":""},{"dropping-particle":"","family":"Bruinhorst","given":"Adriaan","non-dropping-particle":"Van Den","parse-names":false,"suffix":""},{"dropping-particle":"","family":"Esteves","given":"A. Catarina C.","non-dropping-particle":"","parse-names":false,"suffix":""},{"dropping-particle":"","family":"Tuinier","given":"Remco","non-dropping-particle":"","parse-names":false,"suffix":""}],"container-title":"Chemical Communications","id":"ITEM-2","issue":"95","issued":{"date-parts":[["2018"]]},"page":"13351-13354","publisher":"Royal Society of Chemistry","title":"Quantification of the liquid window of deep eutectic solvents","type":"article-journal","volume":"54"},"uris":["http://www.mendeley.com/documents/?uuid=09821612-5044-433e-bb9a-8010199b7598"]},{"id":"ITEM-3","itemData":{"DOI":"10.1016/j.cogsc.2022.100659","ISBN":"0000000253390","ISSN":"24522236","author":[{"dropping-particle":"van den","family":"Bruinhorst","given":"Adriaan","non-dropping-particle":"","parse-names":false,"suffix":""},{"dropping-particle":"","family":"Gomes","given":"Margarida Costa","non-dropping-particle":"","parse-names":false,"suffix":""}],"container-title":"Current Opinion in Green and Sustainable Chemistry","id":"ITEM-3","issued":{"date-parts":[["2022","8"]]},"page":"100659","publisher":"Elsevier B.V.","title":"Is there depth to eutectic solvents?","type":"article-journal"},"uris":["http://www.mendeley.com/documents/?uuid=cfd5de00-b591-45e4-b959-aa3c3e805411"]}],"mendeley":{"formattedCitation":"[4,6,7]","plainTextFormattedCitation":"[4,6,7]","previouslyFormattedCitation":"[4,6,7]"},"properties":{"noteIndex":0},"schema":"https://github.com/citation-style-language/schema/raw/master/csl-citation.json"}</w:instrText>
      </w:r>
      <w:r>
        <w:rPr>
          <w:lang w:val="en-GB"/>
        </w:rPr>
      </w:r>
      <w:r>
        <w:rPr>
          <w:lang w:val="en-GB"/>
        </w:rPr>
        <w:fldChar w:fldCharType="separate"/>
      </w:r>
      <w:r>
        <w:rPr>
          <w:lang w:val="en-GB"/>
        </w:rPr>
        <w:t>[4,6,7]</w:t>
      </w:r>
      <w:r>
        <w:rPr>
          <w:lang w:val="en-GB"/>
        </w:rPr>
      </w:r>
      <w:r>
        <w:rPr>
          <w:lang w:val="en-GB"/>
        </w:rPr>
        <w:fldChar w:fldCharType="end"/>
      </w:r>
      <w:r>
        <w:rPr>
          <w:lang w:val="en-GB"/>
        </w:rPr>
        <w:t xml:space="preserve">. Since their original discovery, different classes of DES have been classified, according to the nature of their components. The first three classes are composed by a salt (e.g. those formed by ammonium, phosphonium, or sulfonium cations and a halide anion, the most common salt being choline chloride) and a complexing agent, such as metal halides in anhydrous (type I) or hydrated (type II) form, or a neutral hydrogen bonding donor species (such as amides or alcohols) (type III). Type IV DES involve metal salts mixed with a neutral HB donor (e.g. urea). Type V DES are prepared using non-ionic components and, as such, they show limited viscosity and wide tunability of hydrophilicity. Among them, menthol-thymol mixtures received great attention and careful studies revealed the importance of HB in strongly influencing the overall interaction balance in these mixtures, with a specific role played by the non-negligible positive character of hydroxyl groups in phenolic compounds (e.g. phenol and thymol) in enhancing the hetero-molecular HB interactions. Recently great attention has also been paid to hydrophobic DES, which were originally proposed in 2015. </w:t>
      </w:r>
      <w:r>
        <w:fldChar w:fldCharType="begin"/>
      </w:r>
      <w:r>
        <w:rPr>
          <w:lang w:val="en-GB"/>
        </w:rPr>
        <w:instrText xml:space="preserve">ADDIN CSL_CITATION {"citationItems":[{"id":"ITEM-1","itemData":{"DOI":"10.1039/c5gc01451d","ISSN":"14639270","abstract":"Hydrophobic deep eutectic solvents (DESs) are presented for the first time. They consist of decanoic acid and various quaternary ammonium salts. The effect of the alkyl chains on the hydrophobicity and the equilibrium of the two-phase DES-water system were investigated. These new DESs were successfully evaluated for the recovery of volatile fatty acids from diluted aqueous solutions.","author":[{"dropping-particle":"","family":"Osch","given":"Dannie J.G.P.","non-dropping-particle":"Van","parse-names":false,"suffix":""},{"dropping-particle":"","family":"Zubeir","given":"Lawien F.","non-dropping-particle":"","parse-names":false,"suffix":""},{"dropping-particle":"","family":"Bruinhorst","given":"Adriaan","non-dropping-particle":"Van Den","parse-names":false,"suffix":""},{"dropping-particle":"","family":"Rocha","given":"Marisa A.A.","non-dropping-particle":"","parse-names":false,"suffix":""},{"dropping-particle":"","family":"Kroon","given":"Maaike C.","non-dropping-particle":"","parse-names":false,"suffix":""}],"container-title":"Green Chemistry","id":"ITEM-1","issue":"9","issued":{"date-parts":[["2015","7","16"]]},"page":"4518-4521","publisher":"Royal Society of Chemistry","title":"Hydrophobic deep eutectic solvents as water-immiscible extractants","type":"article-journal","volume":"17"},"uris":["http://www.mendeley.com/documents/?uuid=f5f25c1c-5237-3b5a-9b79-09d1e0bb4676"]},{"id":"ITEM-2","itemData":{"DOI":"10.1021/acssuschemeng.8b03520","ISSN":"21680485","abstract":"Deep eutectic solvents (DESs) based on terpenes are identified and characterized. 507 combinations of solid components are tested, which results in the identification of 17 new hydrophobic DESs. Four criteria are introduced to assess the sustainability of these hydrophobic DESs from a chemical engineering point of view. These criteria include a viscosity smaller than 100 mPa·s, a density difference between DES and water of at least 50 kg·m-3 upon mixing of the DES and water, low transfer of the DES to the water phase and minor to no pH change. The results show that five new hydrophobic DESs based on natural components satisfy these criteria; thymol and coumarin (2:1), thymol and menthol (1:1), thymol and coumarin (1:1), thymol and menthol (1:2) and 1-tetradecanol and menthol (1:2), and thus are promising DESs. These new DESs can be considered as natural deep eutectic solvents, which have the potential to be environmentally friendly. A selected group of the hydrophobic DESs were used for the extraction of riboflavin from water. They all show higher removal of riboflavin in comparison to decanoic acid:tetraoctylammonium bromide (2:1). The highest extraction efficiency of riboflavin from water, 81.1%, was achieved with the hydrophobic DES DecA:Lid (2:1).","author":[{"dropping-particle":"","family":"Osch","given":"Dannie J.G.P.","non-dropping-particle":"Van","parse-names":false,"suffix":""},{"dropping-particle":"","family":"Dietz","given":"Carin H.J.T.","non-dropping-particle":"","parse-names":false,"suffix":""},{"dropping-particle":"","family":"Spronsen","given":"Jaap","non-dropping-particle":"Van","parse-names":false,"suffix":""},{"dropping-particle":"","family":"Kroon","given":"Maaike C.","non-dropping-particle":"","parse-names":false,"suffix":""},{"dropping-particle":"","family":"Gallucci","given":"Fausto","non-dropping-particle":"","parse-names":false,"suffix":""},{"dropping-particle":"","family":"Sint Annaland","given":"Martin","non-dropping-particle":"Van","parse-names":false,"suffix":""},{"dropping-particle":"","family":"Tuinier","given":"Remco","non-dropping-particle":"","parse-names":false,"suffix":""}],"container-title":"ACS Sustainable Chemistry and Engineering","id":"ITEM-2","issue":"3","issued":{"date-parts":[["2019","2","4"]]},"page":"2933-2942","publisher":"American Chemical Society","title":"A Search for Natural Hydrophobic Deep Eutectic Solvents Based on Natural Components","type":"article-journal","volume":"7"},"uris":["http://www.mendeley.com/documents/?uuid=a4bb8ef5-f553-4df2-92c8-c1740a7c6232"]},{"id":"ITEM-3","itemData":{"DOI":"10.1021/acssuschemeng.0c00559","ISSN":"21680485","abstract":"Hydrophobic deep eutectic solvents (DESs) are a new generation of water immiscible solvents that have been presented in the literature for the first time in 2015. These solvents have been used for many applications. Here, an overview is given regarding hydrophobic DESs with their physicochemical properties, applications, and the challenges and limitations that the field currently is experiencing. First, a general introduction and an introduction to hydrophobic DESs are presented to explain more about DESs, their origin, and hydrophobic ones. Here, also, an overview of all the hydrophobic DESs presented in the literature is given. After the introduction, physicochemical properties such as density, viscosity, melting point, degradation temperature, volatilities, and solvatochromic properties are discussed. It is continued with the discussion of 21 different applications of hydrophobic DESs. In general, applications related to liquid-liquid extractions, liquid-liquid microextractions, formation of two and three phase systems, removal of components from leaves, gas-liquid extractions, formation of hydrogels, membrane formation, centrifugal partition chromatography, formation of a ferrofluid, coating, photoluminescence, and dye-sensitized solar cells, and catalysis have been investigated. Finally, challenges and limitations of hydrophobic DESs are discussed.","author":[{"dropping-particle":"","family":"Osch","given":"Dannie J.G.P.","non-dropping-particle":"Van","parse-names":false,"suffix":""},{"dropping-particle":"","family":"Dietz","given":"Carin H.J.T.","non-dropping-particle":"","parse-names":false,"suffix":""},{"dropping-particle":"","family":"Warrag","given":"Samah E.E.","non-dropping-particle":"","parse-names":false,"suffix":""},{"dropping-particle":"","family":"Kroon","given":"Maaike C.","non-dropping-particle":"","parse-names":false,"suffix":""}],"container-title":"ACS Sustainable Chemistry and Engineering","id":"ITEM-3","issue":"29","issued":{"date-parts":[["2020","7","27"]]},"page":"10591-10612","publisher":"American Chemical Society","title":"The Curious Case of Hydrophobic Deep Eutectic Solvents: A Story on the Discovery, Design, and Applications","type":"article-journal","volume":"8"},"uris":["http://www.mendeley.com/documents/?uuid=05346d05-64c1-4b03-afdf-8f7a94bcfbc7"]},{"id":"ITEM-4","itemData":{"DOI":"10.1002/cssc.201900147","ISSN":"1864564X","PMID":"30811105","abstract":"Deep eutectic solvents (DESs) consist of a mixture of two or more solid components, which gives rise to a lower melting point compared to the starting materials. Until recently only hydrophilic DESs were available, and despite their revolutionary role in the alternative-solvents field, important issues in chemistry, and chemical engineering (such as water-related problems and the replacement of toxic volatile organic compounds) could not be tackled. Hydrophobic (deep)—here in parenthesis due to the different depths of the eutectic melting points—eutectic solvents are a subclass of DESs where both components are hydrophobic. The low toxicity, high biodegradability, and straightforward preparation without further purification steps of naturally occurring low-cost compounds are among the key advantages. Although research on hydrophobic DESs is scarce (the first report was only published in 2015), some interesting features and applications have been reported and deserve to be evaluated and comparisons established. This Minireview is divided into two parts: The first part provides a brief general introduction to DESs and the second part discusses the nomenclature using solid–liquid phase diagram analysis, chemical stability, thermophysical properties comparison, and finally the most important emerging fields of application.","author":[{"dropping-particle":"","family":"Florindo","given":"Catarina","non-dropping-particle":"","parse-names":false,"suffix":""},{"dropping-particle":"","family":"Branco","given":"Luís C.","non-dropping-particle":"","parse-names":false,"suffix":""},{"dropping-particle":"","family":"Marrucho","given":"Isabel M.","non-dropping-particle":"","parse-names":false,"suffix":""}],"container-title":"ChemSusChem","id":"ITEM-4","issue":"8","issued":{"date-parts":[["2019","4","23"]]},"page":"1549-1559","publisher":"Wiley-VCH Verlag","title":"Quest for Green-Solvent Design: From Hydrophilic to Hydrophobic (Deep) Eutectic Solvents","type":"article","volume":"12"},"uris":["http://www.mendeley.com/documents/?uuid=5964b3e6-da97-4126-a901-5562cb0e1e4b"]},{"id":"ITEM-5","itemData":{"DOI":"10.1021/acssuschemeng.5b00532","ISSN":"21680485","abstract":"Inspired by one of the major problems in the pharmaceutical industry, we advantageously used the formation of eutectic mixtures to synthesize new solvents. The aim of this work is to identify low viscosity, cheap, biodegradable and hydrophobic eutectic solvents from natural resources. Consequently, novel eutectic mixtures based on DL-menthol and naturally occurring acids, namely pyruvic acid, acetic acid, L-lactic acid, and lauric acid, were synthesized and are here reported for the first time. The obtained DLmenthol-based eutectic mixtures were analyzed using NMR and FTIR spectroscopy in order to check their structures and purities and to confirm the interaction of the two compounds leading to the eutectic formation. Important solvent thermophysical properties, such as density and viscosity, of the prepared eutectic solvents with different water contents (dried and watersaturated) were measured. Finally, taking advantage of their hydrophobic character, namely the formation of two phases with water at room temperature, four different biomolecules, caffeine, tryptophan, isophthalic acid, and vanillin, were extracted and the extraction efficiencies of the prepared eutectic solvents compared.","author":[{"dropping-particle":"","family":"Ribeiro","given":"Bernardo D.","non-dropping-particle":"","parse-names":false,"suffix":""},{"dropping-particle":"","family":"Florindo","given":"Catarina","non-dropping-particle":"","parse-names":false,"suffix":""},{"dropping-particle":"","family":"Iff","given":"Lucas C.","non-dropping-particle":"","parse-names":false,"suffix":""},{"dropping-particle":"","family":"Coelho","given":"Maria A.Z.","non-dropping-particle":"","parse-names":false,"suffix":""},{"dropping-particle":"","family":"Marrucho","given":"Isabel M.","non-dropping-particle":"","parse-names":false,"suffix":""}],"container-title":"ACS Sustainable Chemistry and Engineering","id":"ITEM-5","issue":"10","issued":{"date-parts":[["2015"]]},"page":"2469-2477","title":"Menthol-based eutectic mixtures: Hydrophobic low viscosity solvents","type":"article-journal","volume":"3"},"uris":["http://www.mendeley.com/documents/?uuid=995866cf-de3b-4fd8-91b5-b326c1688a84"]}],"mendeley":{"formattedCitation":"[8–12]","plainTextFormattedCitation":"[8–12]","previouslyFormattedCitation":"[8–12]"},"properties":{"noteIndex":0},"schema":"https://github.com/citation-style-language/schema/raw/master/csl-citation.json"}</w:instrText>
      </w:r>
      <w:r>
        <w:rPr>
          <w:lang w:val="en-GB"/>
        </w:rPr>
      </w:r>
      <w:r>
        <w:rPr>
          <w:lang w:val="en-GB"/>
        </w:rPr>
        <w:fldChar w:fldCharType="separate"/>
      </w:r>
      <w:r>
        <w:rPr>
          <w:lang w:val="en-GB"/>
        </w:rPr>
        <w:t>[8–12]</w:t>
      </w:r>
      <w:r>
        <w:rPr>
          <w:lang w:val="en-GB"/>
        </w:rPr>
      </w:r>
      <w:r>
        <w:rPr>
          <w:lang w:val="en-GB"/>
        </w:rPr>
        <w:fldChar w:fldCharType="end"/>
      </w:r>
      <w:r>
        <w:rPr>
          <w:lang w:val="en-GB"/>
        </w:rPr>
        <w:t xml:space="preserve"> Their impact is expected to be large, considering that they extend the conventional range of applications of hydrophilic DES to the realm of liquid-liquid or gas-liquid (micro-)extraction, catalysis, etc. It is interesting to note that despite the suggestion inspired by the term “hydrophobic”, a hydrophobic DES can indeed be prepared using compounds, such as acetic or lactic acids</w:t>
      </w:r>
      <w:r>
        <w:fldChar w:fldCharType="begin"/>
      </w:r>
      <w:r>
        <w:rPr>
          <w:lang w:val="en-GB"/>
        </w:rPr>
        <w:instrText xml:space="preserve">ADDIN CSL_CITATION {"citationItems":[{"id":"ITEM-1","itemData":{"DOI":"10.1021/acssuschemeng.5b00532","ISSN":"21680485","abstract":"Inspired by one of the major problems in the pharmaceutical industry, we advantageously used the formation of eutectic mixtures to synthesize new solvents. The aim of this work is to identify low viscosity, cheap, biodegradable and hydrophobic eutectic solvents from natural resources. Consequently, novel eutectic mixtures based on DL-menthol and naturally occurring acids, namely pyruvic acid, acetic acid, L-lactic acid, and lauric acid, were synthesized and are here reported for the first time. The obtained DLmenthol-based eutectic mixtures were analyzed using NMR and FTIR spectroscopy in order to check their structures and purities and to confirm the interaction of the two compounds leading to the eutectic formation. Important solvent thermophysical properties, such as density and viscosity, of the prepared eutectic solvents with different water contents (dried and watersaturated) were measured. Finally, taking advantage of their hydrophobic character, namely the formation of two phases with water at room temperature, four different biomolecules, caffeine, tryptophan, isophthalic acid, and vanillin, were extracted and the extraction efficiencies of the prepared eutectic solvents compared.","author":[{"dropping-particle":"","family":"Ribeiro","given":"Bernardo D.","non-dropping-particle":"","parse-names":false,"suffix":""},{"dropping-particle":"","family":"Florindo","given":"Catarina","non-dropping-particle":"","parse-names":false,"suffix":""},{"dropping-particle":"","family":"Iff","given":"Lucas C.","non-dropping-particle":"","parse-names":false,"suffix":""},{"dropping-particle":"","family":"Coelho","given":"Maria A.Z.","non-dropping-particle":"","parse-names":false,"suffix":""},{"dropping-particle":"","family":"Marrucho","given":"Isabel M.","non-dropping-particle":"","parse-names":false,"suffix":""}],"container-title":"ACS Sustainable Chemistry and Engineering","id":"ITEM-1","issue":"10","issued":{"date-parts":[["2015"]]},"page":"2469-2477","title":"Menthol-based eutectic mixtures: Hydrophobic low viscosity solvents","type":"article-journal","volume":"3"},"uris":["http://www.mendeley.com/documents/?uuid=995866cf-de3b-4fd8-91b5-b326c1688a84"]}],"mendeley":{"formattedCitation":"[12]","plainTextFormattedCitation":"[12]","previouslyFormattedCitation":"[12]"},"properties":{"noteIndex":0},"schema":"https://github.com/citation-style-language/schema/raw/master/csl-citation.json"}</w:instrText>
      </w:r>
      <w:r>
        <w:rPr>
          <w:lang w:val="en-GB"/>
        </w:rPr>
      </w:r>
      <w:r>
        <w:rPr>
          <w:lang w:val="en-GB"/>
        </w:rPr>
        <w:fldChar w:fldCharType="separate"/>
      </w:r>
      <w:r>
        <w:rPr>
          <w:lang w:val="en-GB"/>
        </w:rPr>
        <w:t>[12]</w:t>
      </w:r>
      <w:r>
        <w:rPr>
          <w:lang w:val="en-GB"/>
        </w:rPr>
      </w:r>
      <w:r>
        <w:rPr>
          <w:lang w:val="en-GB"/>
        </w:rPr>
        <w:fldChar w:fldCharType="end"/>
      </w:r>
      <w:r>
        <w:rPr>
          <w:lang w:val="en-GB"/>
        </w:rPr>
        <w:t>, which show non negligible solubility in water.</w:t>
      </w:r>
      <w:r>
        <w:fldChar w:fldCharType="begin"/>
      </w:r>
      <w:r>
        <w:rPr>
          <w:lang w:val="en-GB"/>
        </w:rPr>
        <w:instrText xml:space="preserve">ADDIN CSL_CITATION {"citationItems":[{"id":"ITEM-1","itemData":{"DOI":"10.1021/acssuschemeng.0c00559","ISSN":"21680485","abstract":"Hydrophobic deep eutectic solvents (DESs) are a new generation of water immiscible solvents that have been presented in the literature for the first time in 2015. These solvents have been used for many applications. Here, an overview is given regarding hydrophobic DESs with their physicochemical properties, applications, and the challenges and limitations that the field currently is experiencing. First, a general introduction and an introduction to hydrophobic DESs are presented to explain more about DESs, their origin, and hydrophobic ones. Here, also, an overview of all the hydrophobic DESs presented in the literature is given. After the introduction, physicochemical properties such as density, viscosity, melting point, degradation temperature, volatilities, and solvatochromic properties are discussed. It is continued with the discussion of 21 different applications of hydrophobic DESs. In general, applications related to liquid-liquid extractions, liquid-liquid microextractions, formation of two and three phase systems, removal of components from leaves, gas-liquid extractions, formation of hydrogels, membrane formation, centrifugal partition chromatography, formation of a ferrofluid, coating, photoluminescence, and dye-sensitized solar cells, and catalysis have been investigated. Finally, challenges and limitations of hydrophobic DESs are discussed.","author":[{"dropping-particle":"","family":"Osch","given":"Dannie J.G.P.","non-dropping-particle":"Van","parse-names":false,"suffix":""},{"dropping-particle":"","family":"Dietz","given":"Carin H.J.T.","non-dropping-particle":"","parse-names":false,"suffix":""},{"dropping-particle":"","family":"Warrag","given":"Samah E.E.","non-dropping-particle":"","parse-names":false,"suffix":""},{"dropping-particle":"","family":"Kroon","given":"Maaike C.","non-dropping-particle":"","parse-names":false,"suffix":""}],"container-title":"ACS Sustainable Chemistry and Engineering","id":"ITEM-1","issue":"29","issued":{"date-parts":[["2020","7","27"]]},"page":"10591-10612","publisher":"American Chemical Society","title":"The Curious Case of Hydrophobic Deep Eutectic Solvents: A Story on the Discovery, Design, and Applications","type":"article-journal","volume":"8"},"uris":["http://www.mendeley.com/documents/?uuid=05346d05-64c1-4b03-afdf-8f7a94bcfbc7"]}],"mendeley":{"formattedCitation":"[10]","plainTextFormattedCitation":"[10]","previouslyFormattedCitation":"[10]"},"properties":{"noteIndex":0},"schema":"https://github.com/citation-style-language/schema/raw/master/csl-citation.json"}</w:instrText>
      </w:r>
      <w:r>
        <w:rPr>
          <w:lang w:val="en-GB"/>
        </w:rPr>
      </w:r>
      <w:r>
        <w:rPr>
          <w:lang w:val="en-GB"/>
        </w:rPr>
        <w:fldChar w:fldCharType="separate"/>
      </w:r>
      <w:r>
        <w:rPr>
          <w:lang w:val="en-GB"/>
        </w:rPr>
        <w:t>[10]</w:t>
      </w:r>
      <w:r>
        <w:rPr>
          <w:lang w:val="en-GB"/>
        </w:rPr>
      </w:r>
      <w:r>
        <w:rPr>
          <w:lang w:val="en-GB"/>
        </w:rPr>
        <w:fldChar w:fldCharType="end"/>
      </w:r>
    </w:p>
    <w:p>
      <w:pPr>
        <w:pStyle w:val="Normal"/>
        <w:spacing w:lineRule="auto" w:line="360"/>
        <w:rPr>
          <w:lang w:val="en-GB"/>
        </w:rPr>
      </w:pPr>
      <w:r>
        <w:rPr>
          <w:lang w:val="en-GB"/>
        </w:rPr>
        <w:t>Recently, in the kaleidoscopic spectrum of existing DES, it has been highlighted the existence of an hydrophilic type IV DES, where the role of HB donor is played by water, which then represents no longer an impurity or a deliberately added compound to influence chemical physical properties of a DES, but it is rather a mere component of the DES. The melting point of the 1:4 mixture of choline chloride and water could not be detected in different studies and accordingly this system has been proposed as a DES.</w:t>
      </w:r>
      <w:r>
        <w:fldChar w:fldCharType="begin"/>
      </w:r>
      <w:r>
        <w:rPr>
          <w:lang w:val="en-GB"/>
        </w:rPr>
        <w:instrText xml:space="preserve">ADDIN CSL_CITATION {"citationItems":[{"id":"ITEM-1","itemData":{"DOI":"10.1021/acs.jpcb.0c01919","ISSN":"15205207","PMID":"32298108","abstract":"Deep eutectic solvents (DESs) resulting from the right combination between a hydrogen-bond donor (HBD) and a hydrogen-bond acceptor (HBA) are becoming quite popular in number of applications. More recently, natural DESs (NADESs) containing sugars, natural organic acids, and amino acids as HBDs and ChCl as HBA have received great attention because of their further environmental sustainability as compared to regular DESs. Within this context, mixing water in controlled amounts has been widely accepted as a simple and practical way of altering DES chemical and thermodynamic properties, with viscosity and conductivity experiencing the most significant changes. However, the number of papers describing eutectic mixtures with water as the only HBD is scarce and basically none has been done in fundamental terms. Herein, we investigated mixtures composed of water as the only HBD and ChCl as the HBA using differential scanning calorimetry (DSC) as well as 1H nuclear magnetic resonance (NMR) and Brillouin spectroscopies. We found the aqueous dilution of ChCl/2H2O with a ChCl/2H2O content of ca. 80 wt % was an eutectic. Interestingly, this mixture could be considered a NADES according to its eutectic distance (ΔTme), in range to eutectics obtained in aqueous dilutions of salt hydrates.","author":[{"dropping-particle":"","family":"Zhang","given":"Huan","non-dropping-particle":"","parse-names":false,"suffix":""},{"dropping-particle":"","family":"Ferrer","given":"M. Luisa","non-dropping-particle":"","parse-names":false,"suffix":""},{"dropping-particle":"","family":"Roldán-Ruiz","given":"María J.","non-dropping-particle":"","parse-names":false,"suffix":""},{"dropping-particle":"","family":"Jiménez-Riobóo","given":"Rafael J.","non-dropping-particle":"","parse-names":false,"suffix":""},{"dropping-particle":"","family":"Gutiérrez","given":"María C.","non-dropping-particle":"","parse-names":false,"suffix":""},{"dropping-particle":"","family":"Monte","given":"Francisco","non-dropping-particle":"Del","parse-names":false,"suffix":""}],"container-title":"Journal of Physical Chemistry B","id":"ITEM-1","issue":"19","issued":{"date-parts":[["2020"]]},"page":"4002-4009","title":"Brillouin Spectroscopy as a Suitable Technique for the Determination of the Eutectic Composition in Mixtures of Choline Chloride and Water","type":"article-journal","volume":"124"},"uris":["http://www.mendeley.com/documents/?uuid=7acc25ed-b2f6-44ef-bb06-b76310bbc242"]},{"id":"ITEM-2","itemData":{"DOI":"10.1016/j.molliq.2022.118520","ISSN":"01677322","abstract":"In this study, experimental and computed IR and Raman spectroscopic techniques helped to prove how water as a sole hydrogen bond donor (HBD) participates to form a deep eutectic solvent. Interactions among the components and contributions of the water and chloride have been successfully illustrated by quantum chemical (QC) and radial distribution function (RDF) calculations. These studies suggested that the spontaneous intercalation of water molecules with choline chloride (ChCl) helps to attain the stable cluster structure, where Cl- works as a bridge among the Ch+ and water molecules. Hydrogen bonds played major roles to form the water-based DESs. Solubilities of the studied drug molecules were found to be 1.3 to 6.7 times higher in the solvents than their solubilities in water. Cell viability assay of the WDES1 (1:3 ChCl:H2O) compared to dimethyl sulfoxide (DMSO) against HEK293 cell line proved that the solvent is applicable to the biological system. The RDF analysis from MD simulation suggest the spontaneous intercalation of water molecule in Choline Chloride structure disrupted the ordered structure as well as the Cl-, working as bridge in between Ch+ and water.","author":[{"dropping-particle":"","family":"Sajjadur Rahman","given":"Md","non-dropping-particle":"","parse-names":false,"suffix":""},{"dropping-particle":"","family":"Kyeremateng","given":"Jennifer","non-dropping-particle":"","parse-names":false,"suffix":""},{"dropping-particle":"","family":"Saha","given":"Mousumi","non-dropping-particle":"","parse-names":false,"suffix":""},{"dropping-particle":"","family":"Asare","given":"Sampson","non-dropping-particle":"","parse-names":false,"suffix":""},{"dropping-particle":"","family":"Uddin","given":"Nizam","non-dropping-particle":"","parse-names":false,"suffix":""},{"dropping-particle":"","family":"Halim","given":"Mohammad A.","non-dropping-particle":"","parse-names":false,"suffix":""},{"dropping-particle":"","family":"Raynie","given":"Douglas E.","non-dropping-particle":"","parse-names":false,"suffix":""}],"container-title":"Journal of Molecular Liquids","id":"ITEM-2","issued":{"date-parts":[["2022"]]},"page":"118520","publisher":"Elsevier B.V.","title":"Evaluation of the experimental and computed properties of choline chloride-water formulated deep eutectic solvents","type":"article-journal","volume":"350"},"uris":["http://www.mendeley.com/documents/?uuid=5298015c-4c61-417c-b4a4-a292ca7f3887"]},{"id":"ITEM-3","itemData":{"DOI":"10.1016/j.molliq.2020.114779","ISSN":"01677322","abstract":"High viscosity of a deep eutectic solvent (DES) is one of the biggest challenges to their commercial use. In this study, two novel water-based low-viscosity DESs were formulated and could be easily applicable in many areas of research and industry, such as pharmaceuticals, waste management, and biorefinery. To formulate the DESs, water was used as a sole hydrogen bond donor, while the hydrogen bond acceptor was choline chloride. Melting points of 1:3 and 1:4 choline chloride: H2O were found to be significantly low, −79.21 and − 79.25 °C, respectively. TGA showed the stability of the DES over a wide temperature range. For example, in the TGA thermogram of 1:3 ChCl: H2O, was found to be crystalline up to 148.64 °C and the onset point was 193.75 °C. The solvent selectivity triangle from Kamlet-Taft parameters proved that the DESs possess similar solvatochromic properties to ionic liquids. Therefore, solvatochromism helped to understand the solvation of the DESs. A simple analytical method was developed employing ion chromatography and atomic absorption spectroscopy to investigate the solubility of sodium halides, alkali chlorides, and cobalt chloride in the studied DESs. Solubility trends of the metal halides in both DESs were NaCl &gt; NaBr &gt; NaI &gt; NaF for sodium halides and LiCl &gt; NaCl &gt; KCl for alkali metal chlorides. Among all the studied metal halides, solubilities of the CoCl2 and LiCl were the highest. These findings indicate that the formulated DESs could be a good metal extraction media for the recycling process of spent Li-ion battery.","author":[{"dropping-particle":"","family":"Rahman","given":"Md Sajjadur","non-dropping-particle":"","parse-names":false,"suffix":""},{"dropping-particle":"","family":"Raynie","given":"Douglas E.","non-dropping-particle":"","parse-names":false,"suffix":""}],"container-title":"Journal of Molecular Liquids","id":"ITEM-3","issued":{"date-parts":[["2021"]]},"page":"114779","publisher":"Elsevier B.V.","title":"Thermal behavior, solvatochromic parameters, and metal halide solvation of the novel water-based deep eutectic solvents","type":"article-journal","volume":"324"},"uris":["http://www.mendeley.com/documents/?uuid=b318eeea-6c85-48a1-a76b-3084fe5e92a9"]},{"id":"ITEM-4","itemData":{"DOI":"10.1016/j.molliq.2021.115750","ISSN":"01677322","abstract":"The liquid structure of a representative of the first water-in-salt (WiS) Natural Deep Eutectic Solvents (NADES), hereinafter indicated as aquoline, a mixture of choline chloride (ChCl) and water with molar ratio 1:3.33, is explored at ambient conditions. Using Molecular Dynamics (MD) simulation tools, we extract structural information at atomistic level on the nature of inter-correlations between the different moieties. Despite being a very fluid liquid, with much lower viscosity than other common ChCl-based DES, aquoline turns out to be very structured. Computed X-ray and neutron weighted scattering patterns (the latter also on selectively deuterated mixtures) highlight the existence of mesoscopic organization that is rationalised in terms of choline vs. water/chloride structural alternation. The study shows that choline cations are highly coordinating the surrounding environment: strong hydrogen bonding mediated correlations between the hydroxyl group and water or chloride are detected. In addition, the ammonium group drives the formation of a complex solvating environment, with water, chloride and hydroxyl moieties approaching it, between the hindering methyl groups. Strong hydrogen-bonding interactions between water molecules and between water and anions are detected and, while water cannot create a bulk water-like environment around itself, its network with neighbour water or anions develops long chains across the bulk phase. This is a first study that will be extended based on complementary experimental work as a function of water content and temperature/pressure, to explore structural and dynamic properties of this class of materials.","author":[{"dropping-particle":"","family":"Triolo","given":"Alessandro","non-dropping-particle":"","parse-names":false,"suffix":""},{"dropping-particle":"","family":"Celso","given":"Fabrizio","non-dropping-particle":"Lo","parse-names":false,"suffix":""},{"dropping-particle":"","family":"Brehm","given":"Martin","non-dropping-particle":"","parse-names":false,"suffix":""},{"dropping-particle":"","family":"Lisio","given":"Valerio","non-dropping-particle":"Di","parse-names":false,"suffix":""},{"dropping-particle":"","family":"Russina","given":"Olga","non-dropping-particle":"","parse-names":false,"suffix":""}],"container-title":"Journal of Molecular Liquids","id":"ITEM-4","issued":{"date-parts":[["2021"]]},"page":"115750","publisher":"Elsevier B.V","title":"Liquid structure of a choline chloride-water natural deep eutectic solvent: A molecular dynamics characterization","type":"article-journal","volume":"331"},"uris":["http://www.mendeley.com/documents/?uuid=b1dda3f4-79d4-4207-a0c5-56e18aba8b43"]},{"id":"ITEM-5","itemData":{"DOI":"10.1039/D2CP00377E","ISSN":"1463-9076","abstract":"A comprehensive evaluation of the thermal behavior and heat capacities of ChCl and ChCl + H 2 O and the SLE of ChCl + H 2 O is performed. A new structural model that includes small amounts of water in the ChCl crystal structure is proposed.","author":[{"dropping-particle":"","family":"Lobo Ferreira","given":"Ana I. M. C.","non-dropping-particle":"","parse-names":false,"suffix":""},{"dropping-particle":"","family":"Vilas-Boas","given":"Sérgio M.","non-dropping-particle":"","parse-names":false,"suffix":""},{"dropping-particle":"","family":"Silva","given":"Rodrigo M. A.","non-dropping-particle":"","parse-names":false,"suffix":""},{"dropping-particle":"","family":"Martins","given":"Mónia A. R.","non-dropping-particle":"","parse-names":false,"suffix":""},{"dropping-particle":"","family":"Abranches","given":"Dinis. O.","non-dropping-particle":"","parse-names":false,"suffix":""},{"dropping-particle":"","family":"Soares-Santos","given":"Paula C. R.","non-dropping-particle":"","parse-names":false,"suffix":""},{"dropping-particle":"","family":"Almeida Paz","given":"Filipe A.","non-dropping-particle":"","parse-names":false,"suffix":""},{"dropping-particle":"","family":"Ferreira","given":"Olga","non-dropping-particle":"","parse-names":false,"suffix":""},{"dropping-particle":"","family":"Pinho","given":"Simão P.","non-dropping-particle":"","parse-names":false,"suffix":""},{"dropping-particle":"","family":"Santos","given":"Luís M. N. B. F.","non-dropping-particle":"","parse-names":false,"suffix":""},{"dropping-particle":"","family":"Coutinho","given":"João A. P.","non-dropping-particle":"","parse-names":false,"suffix":""}],"container-title":"Physical Chemistry Chemical Physics","id":"ITEM-5","issue":"24","issued":{"date-parts":[["2022"]]},"page":"14886-14897","title":"Extensive characterization of choline chloride and its solid–liquid equilibrium with water","type":"article-journal","volume":"24"},"uris":["http://www.mendeley.com/documents/?uuid=82f75dc8-5b15-42b7-b90b-b591d7f2f4f6"]}],"mendeley":{"formattedCitation":"[13–17]","plainTextFormattedCitation":"[13–17]","previouslyFormattedCitation":"[13–17]"},"properties":{"noteIndex":0},"schema":"https://github.com/citation-style-language/schema/raw/master/csl-citation.json"}</w:instrText>
      </w:r>
      <w:r>
        <w:rPr>
          <w:lang w:val="en-GB"/>
        </w:rPr>
      </w:r>
      <w:r>
        <w:rPr>
          <w:lang w:val="en-GB"/>
        </w:rPr>
        <w:fldChar w:fldCharType="separate"/>
      </w:r>
      <w:r>
        <w:rPr>
          <w:lang w:val="en-GB"/>
        </w:rPr>
        <w:t>[13–17]</w:t>
      </w:r>
      <w:r>
        <w:rPr>
          <w:lang w:val="en-GB"/>
        </w:rPr>
      </w:r>
      <w:r>
        <w:rPr>
          <w:lang w:val="en-GB"/>
        </w:rPr>
        <w:fldChar w:fldCharType="end"/>
      </w:r>
      <w:r>
        <w:rPr>
          <w:lang w:val="en-GB"/>
        </w:rPr>
        <w:t xml:space="preserve"> Such studies paved the way to a potentially new class of Natural DES, where one of the component is water, thus further reducing the environmental impact of DES exploitation. These characterizations are also very important in the framework of rationalising and, potentially, optimising, properties of hydrated DES: as mentioned water can often either an impurity or a deliberate addition to a conventional DES. The role of water as an additive to DES has been recently explored in several studies (e.g. </w:t>
      </w:r>
      <w:r>
        <w:fldChar w:fldCharType="begin"/>
      </w:r>
      <w:r>
        <w:rPr>
          <w:lang w:val="en-GB"/>
        </w:rPr>
        <w:instrText xml:space="preserve">ADDIN CSL_CITATION {"citationItems":[{"id":"ITEM-1","itemData":{"DOI":"10.1002/anie.201702486","ISSN":"15213773","PMID":"28480595","abstract":"The nanostructure of a series of choline chloride/urea/water deep eutectic solvent mixtures was characterized across a wide hydration range by neutron total scattering and empirical potential structure refinement (EPSR). As the structure is significantly altered, even at low hydration levels, reporting the DES water content is important. However, the DES nanostructure is retained to a remarkably high level of water (ca. 42 wt % H2O) because of solvophobic sequestration of water into nanostructured domains around cholinium cations. At 51 wt %/83 mol % H2O, this segregation becomes unfavorable, and the DES structure is disrupted; instead, water–water and DES–water interactions dominate. At and above this hydration level, the DES–water mixture is best described as an aqueous solution of DES components.","author":[{"dropping-particle":"","family":"Hammond","given":"Oliver S.","non-dropping-particle":"","parse-names":false,"suffix":""},{"dropping-particle":"","family":"Bowron","given":"Daniel T.","non-dropping-particle":"","parse-names":false,"suffix":""},{"dropping-particle":"","family":"Edler","given":"Karen J.","non-dropping-particle":"","parse-names":false,"suffix":""}],"container-title":"Angewandte Chemie - International Edition","id":"ITEM-1","issue":"33","issued":{"date-parts":[["2017"]]},"page":"9782-9785","title":"The Effect of Water upon Deep Eutectic Solvent Nanostructure: An Unusual Transition from Ionic Mixture to Aqueous Solution","type":"article-journal","volume":"56"},"uris":["http://www.mendeley.com/documents/?uuid=d1d9ab49-d0a2-4cb3-a79b-95e47acc278e"]},{"id":"ITEM-2","itemData":{"DOI":"10.1039/c8cs00325d","ISSN":"14604744","abstract":"Ionic liquids (ILs) and deep eutectic solvents (DESs) have been suggested as eco-friendly alternatives to organic solvents. A trace amount of water is often unavoidable as impurity, and water is also added on purpose to reduce their problematically high viscosity and lower their high price. Understanding the distinct effects of water on the properties of ILs/DESs is highly important. In this review, we collect published experimental and theoretical results for IL/DES-H2O systems at varied water concentrations and analyze them. Results from mechanistic studies, thermodynamic modelling and advanced experiments are collected and critically discussed. Six commonly studied IL/DES-H2O systems were selected to map experimental observations onto microscopic results obtained in mechanistic studies. A great variety of distinct contours of the excess properties can be observed over the entire compositional range, indicating that the properties of IL/DES-H2O systems are highly unpredictable. Mechanistic studies clearly demonstrate that the added H2O rapidly changes the heterogeneous 3D structures of pure ILs/DESs, leading to very different properties and behaviour. There are similarities between aqueous electrolytes and IL/DES solutions but the bulky and asymmetric organic cations in ILs/DESs do not conform to the standard salt dissolution and hydration concepts. Thermodynamic modelling previously assumes ILs/DESs to be either a neutral ion-pair or completely dissociated ions, neglecting specific ion hydration effects. A new conceptual framework is suggested for thermodynamic modelling of IL/DES-H2O binary systems to enable new technologies for their practical applications.","author":[{"dropping-particle":"","family":"Ma","given":"Chunyan","non-dropping-particle":"","parse-names":false,"suffix":""},{"dropping-particle":"","family":"Laaksonen","given":"Aatto","non-dropping-particle":"","parse-names":false,"suffix":""},{"dropping-particle":"","family":"Liu","given":"Chang","non-dropping-particle":"","parse-names":false,"suffix":""},{"dropping-particle":"","family":"Lu","given":"Xiaohua","non-dropping-particle":"","parse-names":false,"suffix":""},{"dropping-particle":"","family":"Ji","given":"Xiaoyan","non-dropping-particle":"","parse-names":false,"suffix":""}],"container-title":"Chemical Society Reviews","id":"ITEM-2","issue":"23","issued":{"date-parts":[["2018"]]},"page":"8685-8720","publisher":"Royal Society of Chemistry","title":"The peculiar effect of water on ionic liquids and deep eutectic solvents","type":"article-journal","volume":"47"},"uris":["http://www.mendeley.com/documents/?uuid=d4298b85-cfe0-4e9a-8c22-ccd455304e59"]},{"id":"ITEM-3","itemData":{"DOI":"10.1016/j.molliq.2019.111028","ISSN":"01677322","abstract":"The search for green solvents that can replace harsh organic solvents and relatively toxic ionic liquids (ILs) has led to the discovery of deep eutectic solvents (DES). DES are now rapidly emerging in numerous applications owing to their green character, biodegradability, tuneability, low cost and simple preparation, compared to other solvents. The possibility that natural DES might play a role as an alternative media to water in living organisms pushed the researchers to investigate their use as solvents for the poorly water soluble macromolecules. However, the addition of water in most of their applications must be controlled to maintain DES' supramolecular structure and properties. This review presents the impact of water on DES, used as solvents for the biological macromolecules mainly phospholipids, proteins, nucleic acids and polysaccharides. The effect of water on the DES' supramolecular network and its physico-chemical properties is discussed and the applications of DES as solvents for the biological macromolecules, in the absence and presence of water, are highlighted.","author":[{"dropping-particle":"","family":"Achkar","given":"Tracy","non-dropping-particle":"El","parse-names":false,"suffix":""},{"dropping-particle":"","family":"Fourmentin","given":"Sophie","non-dropping-particle":"","parse-names":false,"suffix":""},{"dropping-particle":"","family":"Greige-Gerges","given":"Hélène","non-dropping-particle":"","parse-names":false,"suffix":""}],"container-title":"Journal of Molecular Liquids","id":"ITEM-3","issued":{"date-parts":[["2019"]]},"page":"111028","publisher":"Elsevier B.V","title":"Deep eutectic solvents: An overview on their interactions with water and biochemical compounds","type":"article-journal","volume":"288"},"uris":["http://www.mendeley.com/documents/?uuid=b2c51030-abb7-4756-84a2-5d3c0520c09f"]},{"id":"ITEM-4","itemData":{"DOI":"10.1021/acssuschemeng.9b05096","ISSN":"21680485","abstract":"Deep eutectic solvents (DESs) are lately expanding their use to more demanding applications upon aqueous dilution thanks to the preservation of the most appealing properties of the original DESs while overcoming some of their most important drawbacks limiting their performance, like viscosity. Both experimental and theoretical works have studied this dilution regime, the so-called \"water-in-DES\" system, at near-to stoichiometric amounts to the original DES. Herein, we rather studied the high-dilution range of the \"water-in-DES\" system looking for enhanced performance because of the interesting properties (a further drop of viscosity) and cost (water is cheap) that it offers. In particular, we found that, in the \"water-in-DES\" system of a ternary DES composed of resorcinol, urea and choline chloride (e.g., RUChClnW, where n represents mol of water per mole of ternary DES), the tetrahedral structure of water was distorted as a consequence of its incorporation, as an additional hydrogen bond donor or hydrogen bond acceptor, into the hydrogen bond complexes formed among the original DES components. DSC confirmed the formation of a new eutectic, with a melting point below that of its respective components, the original ternary DES and water. This depression in the melting point was also observed in the same regime of reline and malicine aqueous dilutions, thus suggesting the universality of this simple procedure (i.e., water addition to reach the high-dilution range of the \"water-in-DES\" system) to obtain deeper eutectics eventually providing enhanced performances and lower cost.","author":[{"dropping-particle":"","family":"López-Salas","given":"Nieves","non-dropping-particle":"","parse-names":false,"suffix":""},{"dropping-particle":"","family":"Vicent-Luna","given":"José Manuel","non-dropping-particle":"","parse-names":false,"suffix":""},{"dropping-particle":"","family":"Imberti","given":"Silvia","non-dropping-particle":"","parse-names":false,"suffix":""},{"dropping-particle":"","family":"Posada","given":"Elena","non-dropping-particle":"","parse-names":false,"suffix":""},{"dropping-particle":"","family":"Roldán","given":"María Jesús","non-dropping-particle":"","parse-names":false,"suffix":""},{"dropping-particle":"","family":"Anta","given":"Juan A.","non-dropping-particle":"","parse-names":false,"suffix":""},{"dropping-particle":"","family":"Balestra","given":"Salvador R.G.","non-dropping-particle":"","parse-names":false,"suffix":""},{"dropping-particle":"","family":"Madero Castro","given":"Rafael M.","non-dropping-particle":"","parse-names":false,"suffix":""},{"dropping-particle":"","family":"Calero","given":"Sofia","non-dropping-particle":"","parse-names":false,"suffix":""},{"dropping-particle":"","family":"Jiménez-Riobóo","given":"Rafael J.","non-dropping-particle":"","parse-names":false,"suffix":""},{"dropping-particle":"","family":"Gutiérrez","given":"María Concepción","non-dropping-particle":"","parse-names":false,"suffix":""},{"dropping-particle":"","family":"Ferrer","given":"María Luisa","non-dropping-particle":"","parse-names":false,"suffix":""},{"dropping-particle":"","family":"Monte","given":"Francisco","non-dropping-particle":"Del","parse-names":false,"suffix":""}],"container-title":"ACS Sustainable Chemistry and Engineering","id":"ITEM-4","issue":"21","issued":{"date-parts":[["2019"]]},"page":"17565-17573","title":"Looking at the \"water-in-Deep-Eutectic-Solvent\" System: A Dilution Range for High Performance Eutectics","type":"article-journal","volume":"7"},"uris":["http://www.mendeley.com/documents/?uuid=a92e314e-8b22-4606-b208-4b22e93c2ba4"]},{"id":"ITEM-5","itemData":{"DOI":"10.1021/acs.jpcb.0c04844","ISSN":"15205207","PMID":"32790407","abstract":"Ab initio molecular dynamics simulations at elevated temperature are carried out to investigate the microscopic structure of liquid mixtures (deep eutectic solvents) composed of 1:1 and 1:2 choline chloride:ethylene glycol ([Ch]Cl:EG) and 1:2:1 choline chloride:ethylene glycol:water ([Ch]Cl:EG:water). In the present study, we aim to understand the composition effect on the choline chloride:ethylene glycol deep eutectic solvent and whether there is a specific composition in these solvents with marked special behavior at the microscopic level. The role of hydrogen bonds between all components was investigated through distribution functions. The structures are governed by the balance of hydrogen bond networks and the different populations of the EG molecule conformations. In the water-containing system, water competes for association with the anion. Also, the charge distribution analysis, which is consistent with structural analysis, indicates that the results are not impacted by changing composition. In addition, the charge transfer observed between ions, EG, and water molecules appears to be significant.","author":[{"dropping-particle":"","family":"Alizadeh","given":"Vahideh","non-dropping-particle":"","parse-names":false,"suffix":""},{"dropping-particle":"","family":"Malberg","given":"Friedrich","non-dropping-particle":"","parse-names":false,"suffix":""},{"dropping-particle":"","family":"Pádua","given":"Agílio A.H.","non-dropping-particle":"","parse-names":false,"suffix":""},{"dropping-particle":"","family":"Kirchner","given":"Barbara","non-dropping-particle":"","parse-names":false,"suffix":""}],"container-title":"Journal of Physical Chemistry B","id":"ITEM-5","issue":"34","issued":{"date-parts":[["2020"]]},"page":"7433-7443","title":"Are There Magic Compositions in Deep Eutectic Solvents? Effects of Composition and Water Content in Choline Chloride/Ethylene Glycol from Ab Initio Molecular Dynamics","type":"article-journal","volume":"124"},"uris":["http://www.mendeley.com/documents/?uuid=a508a97f-a5e7-4986-9d4e-75a57f9bf83c"]},{"id":"ITEM-6","itemData":{"DOI":"10.1021/acssuschemeng.1c03811","ISSN":"21680485","abstract":"Unlike the archetypal deep eutectic solvent (DES) choline chloride:urea (ChCl:U), fundamental knowledge of the intermolecular network in choline acetate (ChOAc) DESs and how they change upon dilution is still missing. Here we jointly use UV resonance Raman (UVRR) and NMR spectroscopy to comparatively explore how the strength and distribution of hydrogen bonding and the solvation of the components are modified in ChOAc:U and ChCl:U with increasing hydration. Overall, Raman and NMR data indicate that ChOAc:U is continuously affected by hydration and, even at low water concentrations, undergoes a breakage of DES-DES interactions, with rapid solvation of the urea portion and full exchange of mobile protons. On the contrary, ChCl:U seems to maintain its structure as small interplays gradually occur between urea in the DES and the surrounding water molecules. The combined approach provides a multifaceted consistent description of the systems, outlining the crucial role of the anion in driving the structure and dynamics of the materials and then yielding valuable data toward the exploitation of DESs as tunable systems.","author":[{"dropping-particle":"","family":"Pietro","given":"Maria Enrica","non-dropping-particle":"Di","parse-names":false,"suffix":""},{"dropping-particle":"","family":"Tortora","given":"Mariagrazia","non-dropping-particle":"","parse-names":false,"suffix":""},{"dropping-particle":"","family":"Bottari","given":"Cettina","non-dropping-particle":"","parse-names":false,"suffix":""},{"dropping-particle":"","family":"Colombo Dugoni","given":"Greta","non-dropping-particle":"","parse-names":false,"suffix":""},{"dropping-particle":"","family":"Pivato","given":"Roberto Vittorio","non-dropping-particle":"","parse-names":false,"suffix":""},{"dropping-particle":"","family":"Rossi","given":"Barbara","non-dropping-particle":"","parse-names":false,"suffix":""},{"dropping-particle":"","family":"Paolantoni","given":"Marco","non-dropping-particle":"","parse-names":false,"suffix":""},{"dropping-particle":"","family":"Mele","given":"Andrea","non-dropping-particle":"","parse-names":false,"suffix":""}],"container-title":"ACS Sustainable Chemistry and Engineering","id":"ITEM-6","issued":{"date-parts":[["2021"]]},"title":"In Competition for Water: Hydrated Choline Chloride:Urea vs Choline Acetate:Urea Deep Eutectic Solvents","type":"article-journal"},"uris":["http://www.mendeley.com/documents/?uuid=b28a34fb-ac3e-47bb-a21e-170de829622f"]},{"id":"ITEM-7","itemData":{"DOI":"10.1016/j.molliq.2021.117717","ISSN":"01677322","abstract":"The effect of water on the properties and nanostructuring of the prototypical choline chloride: ethylene glycol deep eutectic solvent is studied using a combined experimental and theoretical approach. The reported results showed large hydrophilic character of the solvent, which is based on the ability of water molecules to be hydrogen bonded to the different components of the eutectic in a efficient way. The effect of water on the studied fluid is largely dependent on the concentration range but the properties of the eutectic solvent can be maintained up to reasonably large water content. Therefore, the water content in these solvents may be used for tuning and controlling their properties but maintaining properties and features.","author":[{"dropping-particle":"","family":"Rozas","given":"Sara","non-dropping-particle":"","parse-names":false,"suffix":""},{"dropping-particle":"","family":"Benito","given":"Cristina","non-dropping-particle":"","parse-names":false,"suffix":""},{"dropping-particle":"","family":"Alcalde","given":"Rafael","non-dropping-particle":"","parse-names":false,"suffix":""},{"dropping-particle":"","family":"Atilhan","given":"Mert","non-dropping-particle":"","parse-names":false,"suffix":""},{"dropping-particle":"","family":"Aparicio","given":"Santiago","non-dropping-particle":"","parse-names":false,"suffix":""}],"container-title":"Journal of Molecular Liquids","id":"ITEM-7","issued":{"date-parts":[["2021"]]},"page":"117717","publisher":"The Authors","title":"Insights on the water effect on deep eutectic solvents properties and structuring: The archetypical case of choline chloride + ethylene glycol","type":"article-journal","volume":"344"},"uris":["http://www.mendeley.com/documents/?uuid=a503ae73-8dcb-4833-8e40-0320925dc7f6"]},{"id":"ITEM-8","itemData":{"DOI":"10.1016/j.molliq.2019.111301","ISSN":"01677322","abstract":"In the present study the effect of water on the physicochemical properties and on the structural features of three deep eutectic solvents (DESs) were evaluated. The DESs are formed by choline chloride (ChCl) and glycols with a different number of oxyethylene units: diethylene glycol (DEG), triethylene glycol (TEG) and poly(ethylene glycol) 200 (PEG 200). From the dilution effect on the physicochemical properties of DESs it has emerged that even a small amount of water could increase fluidity, conductivity and polarity of the DESs. The effect of water addition on the nanostructural changes of DESs was also investigated by FTIR and NMR spectroscopies. The results clearly demonstrated that there are strong interactions between the two components of the DES and dilution with water caused the interactions weaken gradually up to 50% (w/w) water added, but with the supramolecular structures to some extent preserved. Subsequent water additions led to the disappearance of such interactions until they disappeared completely at around 75% (w/w). Moreover, NMR studies showed that the H-bonding interactions between ChCl and DEG are less strong than those between ChCl and both TEG and PEG 200, indicating that the number of oxyethylene units may be important. The changes observed in the physicochemical properties and on the nanostructural features of the mixtures can lead to the realization of liquid designed for tailored applications.","author":[{"dropping-particle":"","family":"Gabriele","given":"Francesco","non-dropping-particle":"","parse-names":false,"suffix":""},{"dropping-particle":"","family":"Chiarini","given":"M.","non-dropping-particle":"","parse-names":false,"suffix":""},{"dropping-particle":"","family":"Germani","given":"Raimondo","non-dropping-particle":"","parse-names":false,"suffix":""},{"dropping-particle":"","family":"Tiecco","given":"Matteo","non-dropping-particle":"","parse-names":false,"suffix":""},{"dropping-particle":"","family":"Spreti","given":"Nicoletta","non-dropping-particle":"","parse-names":false,"suffix":""}],"container-title":"Journal of Molecular Liquids","id":"ITEM-8","issued":{"date-parts":[["2019"]]},"page":"111301","publisher":"Elsevier B.V.","title":"Effect of water addition on choline chloride/glycol deep eutectic solvents: Characterization of their structural and physicochemical properties","type":"article-journal","volume":"291"},"uris":["http://www.mendeley.com/documents/?uuid=c2cddf1e-d052-46d2-bef9-b540c2a6f492"]},{"id":"ITEM-9","itemData":{"DOI":"10.1021/acs.jpcb.0c11147","ISSN":"15205207","PMID":"33826328","abstract":"We report a study of cooperativity in the transition from a nonaqueous deep eutectic solvent (DES) to an aqueous solution. In some systems, a nonequilibrium region prevails at low water contents, while cooperativity is always observed at high water contents. Catechol-based mixtures exhibit a Hill constant (nH) of ∼3 and an overall ΔG° of ca.-3-5 kJ/mol for the transition from DES to aqueous solution. In contrast, o-phenylenediamine-based mixtures exhibit a shift from nH = 0 at low water contents to nH ∼12 at high water contents with an overall ΔG° of ca.-13-15 kJ/mol. To the best of our knowledge, this is the first evidence for a shift from nonequilibrium to cooperative binding in a transition from nonaqueous to aqueous solutions.","author":[{"dropping-particle":"","family":"Booth","given":"Haley M.","non-dropping-particle":"","parse-names":false,"suffix":""},{"dropping-particle":"","family":"Moran","given":"Dylan D.","non-dropping-particle":"","parse-names":false,"suffix":""},{"dropping-particle":"","family":"Gonzalez","given":"Janet","non-dropping-particle":"","parse-names":false,"suffix":""},{"dropping-particle":"","family":"Luna-Uribe","given":"Jesus","non-dropping-particle":"","parse-names":false,"suffix":""},{"dropping-particle":"","family":"Goeltz","given":"John C.","non-dropping-particle":"","parse-names":false,"suffix":""}],"container-title":"Journal of Physical Chemistry B","id":"ITEM-9","issue":"15","issued":{"date-parts":[["2021"]]},"page":"3850-3854","title":"Cooperative Demolition: Water's Disruption of Structures in Deep Eutectic Solvents","type":"article-journal","volume":"125"},"uris":["http://www.mendeley.com/documents/?uuid=277f1789-2fc4-4dc1-a16c-885e3546029a"]}],"mendeley":{"formattedCitation":"[18–26]","plainTextFormattedCitation":"[18–26]","previouslyFormattedCitation":"[18–26]"},"properties":{"noteIndex":0},"schema":"https://github.com/citation-style-language/schema/raw/master/csl-citation.json"}</w:instrText>
      </w:r>
      <w:r>
        <w:rPr>
          <w:lang w:val="en-GB"/>
        </w:rPr>
      </w:r>
      <w:r>
        <w:rPr>
          <w:lang w:val="en-GB"/>
        </w:rPr>
        <w:fldChar w:fldCharType="separate"/>
      </w:r>
      <w:r>
        <w:rPr>
          <w:lang w:val="en-GB"/>
        </w:rPr>
        <w:t>[18–26]</w:t>
      </w:r>
      <w:r>
        <w:rPr>
          <w:lang w:val="en-GB"/>
        </w:rPr>
      </w:r>
      <w:r>
        <w:rPr>
          <w:lang w:val="en-GB"/>
        </w:rPr>
        <w:fldChar w:fldCharType="end"/>
      </w:r>
      <w:r>
        <w:rPr>
          <w:lang w:val="en-GB"/>
        </w:rPr>
        <w:t>) and its effects as a viscosity dampener and even structure disruptive have been reported.</w:t>
      </w:r>
    </w:p>
    <w:p>
      <w:pPr>
        <w:pStyle w:val="Normal"/>
        <w:spacing w:lineRule="auto" w:line="360"/>
        <w:rPr>
          <w:lang w:val="en-GB"/>
        </w:rPr>
      </w:pPr>
      <w:r>
        <w:rPr>
          <w:lang w:val="en-GB"/>
        </w:rPr>
        <w:t>Even more recently, the first example of a water-based, hydrophobic, natural, type V DES has been proposed by Tiecco and coworkers, who showed that thymol-water mixtures at a 4.8:1 ratio are liquid and show a melting point of ca. -6 °C, much below the foreseen ideal mixture melting point.</w:t>
      </w:r>
      <w:r>
        <w:fldChar w:fldCharType="begin"/>
      </w:r>
      <w:r>
        <w:rPr>
          <w:lang w:val="en-GB"/>
        </w:rPr>
        <w:instrText xml:space="preserve">ADDIN CSL_CITATION {"citationItems":[{"id":"ITEM-1","itemData":{"DOI":"10.1016/j.molliq.2022.120043","ISSN":"01677322","author":[{"dropping-particle":"","family":"Tiecco","given":"Matteo","non-dropping-particle":"","parse-names":false,"suffix":""},{"dropping-particle":"","family":"Grillo","given":"Antonio","non-dropping-particle":"","parse-names":false,"suffix":""},{"dropping-particle":"","family":"Mosconi","given":"Edoardo","non-dropping-particle":"","parse-names":false,"suffix":""},{"dropping-particle":"","family":"Kaiser","given":"Waldemar","non-dropping-particle":"","parse-names":false,"suffix":""},{"dropping-particle":"","family":"Giacco","given":"Tiziana","non-dropping-particle":"Del","parse-names":false,"suffix":""},{"dropping-particle":"","family":"Germani","given":"Raimondo","non-dropping-particle":"","parse-names":false,"suffix":""},{"dropping-particle":"","family":"Giacco","given":"Del","non-dropping-particle":"","parse-names":false,"suffix":""},{"dropping-particle":"","family":"Germani","given":"Raimondo","non-dropping-particle":"","parse-names":false,"suffix":""}],"container-title":"Journal of Molecular Liquids","id":"ITEM-1","issued":{"date-parts":[["2022","10"]]},"page":"120043","publisher":"Elsevier B.V.","title":"Advances in the development of novel green liquids: thymol/water, thymol/urea and thymol/phenylacetic acid as innovative hydrophobic natural deep eutectic solvents","type":"article-journal","volume":"364"},"uris":["http://www.mendeley.com/documents/?uuid=20dfdf7b-3955-4465-94e5-6bd77545d652"]}],"mendeley":{"formattedCitation":"[27]","plainTextFormattedCitation":"[27]","previouslyFormattedCitation":"[27]"},"properties":{"noteIndex":0},"schema":"https://github.com/citation-style-language/schema/raw/master/csl-citation.json"}</w:instrText>
      </w:r>
      <w:r>
        <w:rPr>
          <w:lang w:val="en-GB"/>
        </w:rPr>
      </w:r>
      <w:r>
        <w:rPr>
          <w:lang w:val="en-GB"/>
        </w:rPr>
        <w:fldChar w:fldCharType="separate"/>
      </w:r>
      <w:r>
        <w:rPr>
          <w:lang w:val="en-GB"/>
        </w:rPr>
        <w:t>[27]</w:t>
      </w:r>
      <w:r>
        <w:rPr>
          <w:lang w:val="en-GB"/>
        </w:rPr>
      </w:r>
      <w:r>
        <w:rPr>
          <w:lang w:val="en-GB"/>
        </w:rPr>
        <w:fldChar w:fldCharType="end"/>
      </w:r>
      <w:r>
        <w:rPr>
          <w:lang w:val="en-GB"/>
        </w:rPr>
        <w:t xml:space="preserve"> This system (hereinafter indicated as the thymol-water mixture), when put in contact with water leads to a biphasic mixture, where the DES floats, having a density below the water one. This DES shows appealing phenol extraction properties and its structural features are the focus of the present study, where, using computational techniques, validated by experimental data, we aim at accessing details in the structural organization of this thymol-water mixture at atomistic level.</w:t>
      </w:r>
    </w:p>
    <w:p>
      <w:pPr>
        <w:pStyle w:val="Normal"/>
        <w:rPr>
          <w:b/>
          <w:b/>
          <w:lang w:val="en-GB"/>
        </w:rPr>
      </w:pPr>
      <w:r>
        <w:rPr>
          <w:b/>
          <w:lang w:val="en-GB"/>
        </w:rPr>
      </w:r>
      <w:r>
        <w:br w:type="page"/>
      </w:r>
    </w:p>
    <w:p>
      <w:pPr>
        <w:pStyle w:val="Normal"/>
        <w:spacing w:lineRule="auto" w:line="360"/>
        <w:rPr>
          <w:b/>
          <w:b/>
          <w:lang w:val="en-GB"/>
        </w:rPr>
      </w:pPr>
      <w:r>
        <w:rPr>
          <w:b/>
          <w:lang w:val="en-GB"/>
        </w:rPr>
        <w:t>2. Material and methods</w:t>
      </w:r>
    </w:p>
    <w:p>
      <w:pPr>
        <w:pStyle w:val="Normal"/>
        <w:spacing w:lineRule="auto" w:line="360"/>
        <w:rPr>
          <w:lang w:val="en-GB"/>
        </w:rPr>
      </w:pPr>
      <w:r>
        <w:rPr>
          <w:b/>
          <w:lang w:val="en-GB"/>
        </w:rPr>
        <w:tab/>
        <w:t>2.1 Experimental</w:t>
      </w:r>
    </w:p>
    <w:p>
      <w:pPr>
        <w:pStyle w:val="Normal"/>
        <w:spacing w:lineRule="auto" w:line="360"/>
        <w:rPr>
          <w:lang w:val="en-GB"/>
        </w:rPr>
      </w:pPr>
      <w:r>
        <w:rPr>
          <w:b/>
          <w:lang w:val="en-GB"/>
        </w:rPr>
        <w:tab/>
        <w:tab/>
        <w:t>2.1.1 Chemical samples and preparation.</w:t>
      </w:r>
      <w:r>
        <w:br w:type="page"/>
      </w:r>
    </w:p>
    <w:p>
      <w:pPr>
        <w:pStyle w:val="Normal"/>
        <w:spacing w:lineRule="auto" w:line="360"/>
        <w:rPr>
          <w:lang w:val="en-GB"/>
        </w:rPr>
      </w:pPr>
      <w:r>
        <mc:AlternateContent>
          <mc:Choice Requires="wps">
            <w:drawing>
              <wp:anchor behindDoc="0" distT="0" distB="0" distL="111125" distR="111125" simplePos="0" locked="0" layoutInCell="0" allowOverlap="1" relativeHeight="30" wp14:anchorId="3B954045">
                <wp:simplePos x="0" y="0"/>
                <wp:positionH relativeFrom="column">
                  <wp:posOffset>0</wp:posOffset>
                </wp:positionH>
                <wp:positionV relativeFrom="paragraph">
                  <wp:posOffset>327025</wp:posOffset>
                </wp:positionV>
                <wp:extent cx="1828800" cy="5912485"/>
                <wp:effectExtent l="3175" t="3810" r="3175" b="2540"/>
                <wp:wrapSquare wrapText="bothSides"/>
                <wp:docPr id="1" name="Casella di testo 14"/>
                <a:graphic xmlns:a="http://schemas.openxmlformats.org/drawingml/2006/main">
                  <a:graphicData uri="http://schemas.microsoft.com/office/word/2010/wordprocessingShape">
                    <wps:wsp>
                      <wps:cNvSpPr/>
                      <wps:spPr>
                        <a:xfrm>
                          <a:off x="0" y="0"/>
                          <a:ext cx="1828800" cy="5912640"/>
                        </a:xfrm>
                        <a:prstGeom prst="rect">
                          <a:avLst/>
                        </a:prstGeom>
                        <a:noFill/>
                        <a:ln w="6350">
                          <a:solidFill>
                            <a:srgbClr val="000000"/>
                          </a:solidFill>
                          <a:round/>
                        </a:ln>
                      </wps:spPr>
                      <wps:style>
                        <a:lnRef idx="0"/>
                        <a:fillRef idx="0"/>
                        <a:effectRef idx="0"/>
                        <a:fontRef idx="minor"/>
                      </wps:style>
                      <wps:txbx>
                        <w:txbxContent>
                          <w:p>
                            <w:pPr>
                              <w:pStyle w:val="FrameContents"/>
                              <w:spacing w:lineRule="auto" w:line="360" w:before="0" w:after="160"/>
                              <w:rPr>
                                <w:lang w:val="en-GB"/>
                              </w:rPr>
                            </w:pPr>
                            <w:r>
                              <w:rPr/>
                              <w:drawing>
                                <wp:inline distT="0" distB="0" distL="0" distR="0">
                                  <wp:extent cx="6120765" cy="3719195"/>
                                  <wp:effectExtent l="0" t="0" r="0" b="0"/>
                                  <wp:docPr id="3" name="Immagine 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11" descr=""/>
                                          <pic:cNvPicPr>
                                            <a:picLocks noChangeAspect="1" noChangeArrowheads="1"/>
                                          </pic:cNvPicPr>
                                        </pic:nvPicPr>
                                        <pic:blipFill>
                                          <a:blip r:embed="rId4"/>
                                          <a:stretch>
                                            <a:fillRect/>
                                          </a:stretch>
                                        </pic:blipFill>
                                        <pic:spPr bwMode="auto">
                                          <a:xfrm>
                                            <a:off x="0" y="0"/>
                                            <a:ext cx="6120765" cy="3719195"/>
                                          </a:xfrm>
                                          <a:prstGeom prst="rect">
                                            <a:avLst/>
                                          </a:prstGeom>
                                        </pic:spPr>
                                      </pic:pic>
                                    </a:graphicData>
                                  </a:graphic>
                                </wp:inline>
                              </w:drawing>
                            </w:r>
                            <w:r>
                              <w:rPr>
                                <w:lang w:val="en-GB"/>
                              </w:rPr>
                              <w:t>Scheme 1. Schematic representation of the structure of thymol, with indication of atomic  indexes, as well as the  explanation of virtual site #3, representing the ring center.</w:t>
                            </w:r>
                          </w:p>
                        </w:txbxContent>
                      </wps:txbx>
                      <wps:bodyPr anchor="t">
                        <a:prstTxWarp prst="textNoShape"/>
                        <a:spAutoFit/>
                      </wps:bodyPr>
                    </wps:wsp>
                  </a:graphicData>
                </a:graphic>
              </wp:anchor>
            </w:drawing>
          </mc:Choice>
          <mc:Fallback>
            <w:pict>
              <v:rect id="shape_0" ID="Casella di testo 14" path="m0,0l-2147483645,0l-2147483645,-2147483646l0,-2147483646xe" stroked="t" o:allowincell="f" style="position:absolute;margin-left:0pt;margin-top:25.75pt;width:143.95pt;height:465.5pt;mso-wrap-style:none;v-text-anchor:top" wp14:anchorId="3B954045">
                <v:fill o:detectmouseclick="t" on="false"/>
                <v:stroke color="black" weight="6480" joinstyle="round" endcap="flat"/>
                <v:textbox>
                  <w:txbxContent>
                    <w:p>
                      <w:pPr>
                        <w:pStyle w:val="FrameContents"/>
                        <w:spacing w:lineRule="auto" w:line="360" w:before="0" w:after="160"/>
                        <w:rPr>
                          <w:lang w:val="en-GB"/>
                        </w:rPr>
                      </w:pPr>
                      <w:r>
                        <w:rPr/>
                        <w:drawing>
                          <wp:inline distT="0" distB="0" distL="0" distR="0">
                            <wp:extent cx="6120765" cy="3719195"/>
                            <wp:effectExtent l="0" t="0" r="0" b="0"/>
                            <wp:docPr id="4" name="Immagine 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11" descr=""/>
                                    <pic:cNvPicPr>
                                      <a:picLocks noChangeAspect="1" noChangeArrowheads="1"/>
                                    </pic:cNvPicPr>
                                  </pic:nvPicPr>
                                  <pic:blipFill>
                                    <a:blip r:embed="rId5"/>
                                    <a:stretch>
                                      <a:fillRect/>
                                    </a:stretch>
                                  </pic:blipFill>
                                  <pic:spPr bwMode="auto">
                                    <a:xfrm>
                                      <a:off x="0" y="0"/>
                                      <a:ext cx="6120765" cy="3719195"/>
                                    </a:xfrm>
                                    <a:prstGeom prst="rect">
                                      <a:avLst/>
                                    </a:prstGeom>
                                  </pic:spPr>
                                </pic:pic>
                              </a:graphicData>
                            </a:graphic>
                          </wp:inline>
                        </w:drawing>
                      </w:r>
                      <w:r>
                        <w:rPr>
                          <w:lang w:val="en-GB"/>
                        </w:rPr>
                        <w:t>Scheme 1. Schematic representation of the structure of thymol, with indication of atomic  indexes, as well as the  explanation of virtual site #3, representing the ring center.</w:t>
                      </w:r>
                    </w:p>
                  </w:txbxContent>
                </v:textbox>
                <w10:wrap type="square"/>
              </v:rect>
            </w:pict>
          </mc:Fallback>
        </mc:AlternateContent>
      </w:r>
      <w:r>
        <w:rPr>
          <w:lang w:val="en-GB"/>
        </w:rPr>
        <w:t>Thymol (</w:t>
      </w:r>
      <w:r>
        <w:rPr>
          <w:b/>
          <w:lang w:val="en-GB"/>
        </w:rPr>
        <w:t>Scheme 1</w:t>
      </w:r>
      <w:r>
        <w:rPr>
          <w:lang w:val="en-GB"/>
        </w:rPr>
        <w:t>) was a TCI product with purity &gt;99%; water was milliQ water. Chemicals were used without additional preliminary treatment. Following indications by Tiecco et al.,</w:t>
      </w:r>
      <w:r>
        <w:fldChar w:fldCharType="begin"/>
      </w:r>
      <w:r>
        <w:rPr>
          <w:lang w:val="en-GB"/>
        </w:rPr>
        <w:instrText xml:space="preserve">ADDIN CSL_CITATION {"citationItems":[{"id":"ITEM-1","itemData":{"DOI":"10.1016/j.molliq.2022.120043","ISSN":"01677322","author":[{"dropping-particle":"","family":"Tiecco","given":"Matteo","non-dropping-particle":"","parse-names":false,"suffix":""},{"dropping-particle":"","family":"Grillo","given":"Antonio","non-dropping-particle":"","parse-names":false,"suffix":""},{"dropping-particle":"","family":"Mosconi","given":"Edoardo","non-dropping-particle":"","parse-names":false,"suffix":""},{"dropping-particle":"","family":"Kaiser","given":"Waldemar","non-dropping-particle":"","parse-names":false,"suffix":""},{"dropping-particle":"","family":"Giacco","given":"Tiziana","non-dropping-particle":"Del","parse-names":false,"suffix":""},{"dropping-particle":"","family":"Germani","given":"Raimondo","non-dropping-particle":"","parse-names":false,"suffix":""},{"dropping-particle":"","family":"Giacco","given":"Del","non-dropping-particle":"","parse-names":false,"suffix":""},{"dropping-particle":"","family":"Germani","given":"Raimondo","non-dropping-particle":"","parse-names":false,"suffix":""}],"container-title":"Journal of Molecular Liquids","id":"ITEM-1","issued":{"date-parts":[["2022","10"]]},"page":"120043","publisher":"Elsevier B.V.","title":"Advances in the development of novel green liquids: thymol/water, thymol/urea and thymol/phenylacetic acid as innovative hydrophobic natural deep eutectic solvents","type":"article-journal","volume":"364"},"uris":["http://www.mendeley.com/documents/?uuid=20dfdf7b-3955-4465-94e5-6bd77545d652"]}],"mendeley":{"formattedCitation":"[27]","plainTextFormattedCitation":"[27]","previouslyFormattedCitation":"[27]"},"properties":{"noteIndex":0},"schema":"https://github.com/citation-style-language/schema/raw/master/csl-citation.json"}</w:instrText>
      </w:r>
      <w:r>
        <w:rPr>
          <w:lang w:val="en-GB"/>
        </w:rPr>
      </w:r>
      <w:r>
        <w:rPr>
          <w:lang w:val="en-GB"/>
        </w:rPr>
        <w:fldChar w:fldCharType="separate"/>
      </w:r>
      <w:r>
        <w:rPr>
          <w:lang w:val="en-GB"/>
        </w:rPr>
        <w:t>[27]</w:t>
      </w:r>
      <w:r>
        <w:rPr>
          <w:lang w:val="en-GB"/>
        </w:rPr>
      </w:r>
      <w:r>
        <w:rPr>
          <w:lang w:val="en-GB"/>
        </w:rPr>
        <w:fldChar w:fldCharType="end"/>
      </w:r>
      <w:r>
        <w:rPr>
          <w:lang w:val="en-GB"/>
        </w:rPr>
        <w:t xml:space="preserve"> an excess of water was added to thymol; upon heating at ca. 80°C, an upper phase separated and was extracted from the flask, corresponding to a molar ratio thymol:water 4.8:1. </w:t>
      </w:r>
      <w:r>
        <w:fldChar w:fldCharType="begin"/>
      </w:r>
      <w:r>
        <w:rPr>
          <w:lang w:val="en-GB"/>
        </w:rPr>
        <w:instrText xml:space="preserve">ADDIN CSL_CITATION {"citationItems":[{"id":"ITEM-1","itemData":{"DOI":"10.1016/j.molliq.2022.120043","ISSN":"01677322","author":[{"dropping-particle":"","family":"Tiecco","given":"Matteo","non-dropping-particle":"","parse-names":false,"suffix":""},{"dropping-particle":"","family":"Grillo","given":"Antonio","non-dropping-particle":"","parse-names":false,"suffix":""},{"dropping-particle":"","family":"Mosconi","given":"Edoardo","non-dropping-particle":"","parse-names":false,"suffix":""},{"dropping-particle":"","family":"Kaiser","given":"Waldemar","non-dropping-particle":"","parse-names":false,"suffix":""},{"dropping-particle":"","family":"Giacco","given":"Tiziana","non-dropping-particle":"Del","parse-names":false,"suffix":""},{"dropping-particle":"","family":"Germani","given":"Raimondo","non-dropping-particle":"","parse-names":false,"suffix":""},{"dropping-particle":"","family":"Giacco","given":"Del","non-dropping-particle":"","parse-names":false,"suffix":""},{"dropping-particle":"","family":"Germani","given":"Raimondo","non-dropping-particle":"","parse-names":false,"suffix":""}],"container-title":"Journal of Molecular Liquids","id":"ITEM-1","issued":{"date-parts":[["2022","10"]]},"page":"120043","publisher":"Elsevier B.V.","title":"Advances in the development of novel green liquids: thymol/water, thymol/urea and thymol/phenylacetic acid as innovative hydrophobic natural deep eutectic solvents","type":"article-journal","volume":"364"},"uris":["http://www.mendeley.com/documents/?uuid=20dfdf7b-3955-4465-94e5-6bd77545d652"]}],"mendeley":{"formattedCitation":"[27]","plainTextFormattedCitation":"[27]","previouslyFormattedCitation":"[27]"},"properties":{"noteIndex":0},"schema":"https://github.com/citation-style-language/schema/raw/master/csl-citation.json"}</w:instrText>
      </w:r>
      <w:r>
        <w:rPr>
          <w:lang w:val="en-GB"/>
        </w:rPr>
      </w:r>
      <w:r>
        <w:rPr>
          <w:lang w:val="en-GB"/>
        </w:rPr>
        <w:fldChar w:fldCharType="separate"/>
      </w:r>
      <w:r>
        <w:rPr>
          <w:lang w:val="en-GB"/>
        </w:rPr>
        <w:t>[27]</w:t>
      </w:r>
      <w:r>
        <w:rPr>
          <w:lang w:val="en-GB"/>
        </w:rPr>
      </w:r>
      <w:r>
        <w:rPr>
          <w:lang w:val="en-GB"/>
        </w:rPr>
        <w:fldChar w:fldCharType="end"/>
      </w:r>
    </w:p>
    <w:p>
      <w:pPr>
        <w:pStyle w:val="Normal"/>
        <w:spacing w:lineRule="auto" w:line="360"/>
        <w:rPr>
          <w:lang w:val="en-GB"/>
        </w:rPr>
      </w:pPr>
      <w:r>
        <w:rPr>
          <w:lang w:val="en-GB"/>
        </w:rPr>
      </w:r>
    </w:p>
    <w:p>
      <w:pPr>
        <w:pStyle w:val="Normal"/>
        <w:spacing w:lineRule="auto" w:line="360"/>
        <w:ind w:left="708" w:firstLine="708"/>
        <w:rPr>
          <w:b/>
          <w:b/>
          <w:lang w:val="en-GB"/>
        </w:rPr>
      </w:pPr>
      <w:r>
        <w:rPr>
          <w:b/>
          <w:lang w:val="en-GB"/>
        </w:rPr>
        <w:t>2.1.2. Wide Angle X-ray scattering.</w:t>
      </w:r>
    </w:p>
    <w:p>
      <w:pPr>
        <w:pStyle w:val="Normal"/>
        <w:spacing w:lineRule="auto" w:line="360"/>
        <w:jc w:val="both"/>
        <w:rPr>
          <w:lang w:val="en-GB"/>
        </w:rPr>
      </w:pPr>
      <w:r>
        <w:rPr>
          <w:lang w:val="en-GB"/>
        </w:rPr>
        <w:t>Wide Angle X-ray Scattering (WAXS) data for the thymol-water mixture were collected at room temperature using the non-commercial Energy Dispersive X-ray Diffractometer (EDXD) built in the Department of Chemistry, Rome University “Sapienza” (Italian Pat. Appl. no. 1126484 - 23 June 1993, Caminiti et al.)  White Bremsstrahlung radiation emitted by a tungsten tube (50 kV, 40 mA) was used. The scattering variable Q (transferred momentum) is given by: Q (Å</w:t>
      </w:r>
      <w:r>
        <w:rPr>
          <w:vertAlign w:val="superscript"/>
          <w:lang w:val="en-GB"/>
        </w:rPr>
        <w:t>-1</w:t>
      </w:r>
      <w:r>
        <w:rPr>
          <w:lang w:val="en-GB"/>
        </w:rPr>
        <w:t>)=4π/λ</w:t>
      </w:r>
      <w:r>
        <w:rPr>
          <w:vertAlign w:val="subscript"/>
          <w:lang w:val="en-GB"/>
        </w:rPr>
        <w:t>i</w:t>
      </w:r>
      <w:r>
        <w:rPr>
          <w:lang w:val="en-GB"/>
        </w:rPr>
        <w:t xml:space="preserve"> sinθ = E</w:t>
      </w:r>
      <w:r>
        <w:rPr>
          <w:vertAlign w:val="subscript"/>
          <w:lang w:val="en-GB"/>
        </w:rPr>
        <w:t>i</w:t>
      </w:r>
      <w:r>
        <w:rPr>
          <w:lang w:val="en-GB"/>
        </w:rPr>
        <w:t xml:space="preserve"> sinθ, where Ei is the beam component energy (in keV) and θ is the scattering angle.  Using a white beam, data were collected at different θ values (namely: 1</w:t>
      </w:r>
      <w:r>
        <w:rPr>
          <w:rFonts w:cs="Calibri" w:cstheme="minorHAnsi"/>
          <w:lang w:val="en-GB"/>
        </w:rPr>
        <w:t>°</w:t>
      </w:r>
      <w:r>
        <w:rPr>
          <w:lang w:val="en-GB"/>
        </w:rPr>
        <w:t>, 3</w:t>
      </w:r>
      <w:r>
        <w:rPr>
          <w:rFonts w:cs="Calibri" w:cstheme="minorHAnsi"/>
          <w:lang w:val="en-GB"/>
        </w:rPr>
        <w:t>°</w:t>
      </w:r>
      <w:r>
        <w:rPr>
          <w:lang w:val="en-GB"/>
        </w:rPr>
        <w:t>, 8</w:t>
      </w:r>
      <w:r>
        <w:rPr>
          <w:rFonts w:cs="Calibri" w:cstheme="minorHAnsi"/>
          <w:lang w:val="en-GB"/>
        </w:rPr>
        <w:t>°</w:t>
      </w:r>
      <w:r>
        <w:rPr>
          <w:lang w:val="en-GB"/>
        </w:rPr>
        <w:t xml:space="preserve"> and 22</w:t>
      </w:r>
      <w:r>
        <w:rPr>
          <w:rFonts w:cs="Calibri" w:cstheme="minorHAnsi"/>
          <w:lang w:val="en-GB"/>
        </w:rPr>
        <w:t>°) with an energy sensitive, high purity, solid state Ge detector. Data</w:t>
      </w:r>
      <w:r>
        <w:rPr>
          <w:lang w:val="en-GB"/>
        </w:rPr>
        <w:t xml:space="preserve"> were corrected for absorption and background and white beam scattering using in house developed software</w:t>
      </w:r>
      <w:r>
        <w:fldChar w:fldCharType="begin"/>
      </w:r>
      <w:r>
        <w:rPr>
          <w:lang w:val="en-GB"/>
        </w:rPr>
        <w:instrText xml:space="preserve">ADDIN CSL_CITATION {"citationItems":[{"id":"ITEM-1","itemData":{"DOI":"10.1080/014423599229965","ISSN":"1366591X","abstract":"A new energy-dispersive X-ray diffraction (EDXD) method to study the kinetics of the phase transitions (PTs) is reviewed. It enables one to follow the evolution of systems undergoing structural transformations in real time. It is based on a novel approach to PTs and provides several advantages with respect to the conventional techniques used for the same purpose. A detailed treatment of the theory is accomplished to demonstrate the consistency and reliability of this method. Despite the initial complexity of the subject that involves the interactions between X-ray and matter, just very simple measurements are required. Furthermore, the data processing is trivial and the relevant information on the PTs can be straightforwardly obtained from the X-ray spectra. The applications of the EDXD-PT method to the systems studied until now, namely polymeric, biological and mineralogical samples, are finally reported. © 1999, Taylor &amp; Francis Group, LLC. All rights reserved.","author":[{"dropping-particle":"","family":"Caminiti","given":"Ruggero","non-dropping-particle":"","parse-names":false,"suffix":""},{"dropping-particle":"","family":"Albertini","given":"Valerio Rossi","non-dropping-particle":"","parse-names":false,"suffix":""}],"container-title":"International Reviews in Physical Chemistry","id":"ITEM-1","issue":"2","issued":{"date-parts":[["1999","4"]]},"page":"263-299","title":"The kinetics of phase transitions observed by energy-dispersive x-ray diffraction","type":"article-journal","volume":"18"},"uris":["http://www.mendeley.com/documents/?uuid=1e6b723a-31c9-4297-a533-7b0a3572ce0a"]},{"id":"ITEM-2","itemData":{"DOI":"10.1021/jp306982e","author":[{"dropping-particle":"","family":"Macchiagodena","given":"Marina","non-dropping-particle":"","parse-names":false,"suffix":""},{"dropping-particle":"","family":"Ramondo","given":"Fabio","non-dropping-particle":"","parse-names":false,"suffix":""},{"dropping-particle":"","family":"Triolo","given":"Alessandro","non-dropping-particle":"","parse-names":false,"suffix":""},{"dropping-particle":"","family":"Gontrani","given":"Lorenzo","non-dropping-particle":"","parse-names":false,"suffix":""},{"dropping-particle":"","family":"Caminiti","given":"Ruggero","non-dropping-particle":"","parse-names":false,"suffix":""}],"container-title":"JOURNAL OF PHYSICAL CHEMISTRY B","id":"ITEM-2","issue":"45","issued":{"date-parts":[["2012"]]},"page":"13448-13458","title":"Liquid Structure of 1-Ethyl-3-methylimidazolium Alkyl Sulfates by X-ray Scattering and Molecular Dynamics","type":"article-journal","volume":"116"},"uris":["http://www.mendeley.com/documents/?uuid=71d444df-9864-48cf-b044-c9db9490d257"]}],"mendeley":{"formattedCitation":"[28,29]","plainTextFormattedCitation":"[28,29]","previouslyFormattedCitation":"[28,29]"},"properties":{"noteIndex":0},"schema":"https://github.com/citation-style-language/schema/raw/master/csl-citation.json"}</w:instrText>
      </w:r>
      <w:r>
        <w:rPr>
          <w:lang w:val="en-GB"/>
        </w:rPr>
      </w:r>
      <w:r>
        <w:rPr>
          <w:lang w:val="en-GB"/>
        </w:rPr>
        <w:fldChar w:fldCharType="separate"/>
      </w:r>
      <w:r>
        <w:rPr>
          <w:lang w:val="en-GB"/>
        </w:rPr>
        <w:t>[28,29]</w:t>
      </w:r>
      <w:r>
        <w:rPr>
          <w:lang w:val="en-GB"/>
        </w:rPr>
      </w:r>
      <w:r>
        <w:rPr>
          <w:lang w:val="en-GB"/>
        </w:rPr>
        <w:fldChar w:fldCharType="end"/>
      </w:r>
      <w:r>
        <w:rPr>
          <w:lang w:val="en-GB"/>
        </w:rPr>
        <w:t xml:space="preserve"> and eventually were merged to yield the total static structure factor, I(Q): </w:t>
      </w:r>
    </w:p>
    <w:p>
      <w:pPr>
        <w:pStyle w:val="Normal"/>
        <w:spacing w:lineRule="auto" w:line="360"/>
        <w:jc w:val="center"/>
        <w:rPr>
          <w:lang w:val="en-GB"/>
        </w:rPr>
      </w:pPr>
      <w:r>
        <w:rPr/>
      </w:r>
      <m:oMathPara xmlns:m="http://schemas.openxmlformats.org/officeDocument/2006/math">
        <m:oMathParaPr>
          <m:jc m:val="center"/>
        </m:oMathParaPr>
        <m:oMath>
          <m:r>
            <w:rPr>
              <w:rFonts w:ascii="Cambria Math" w:hAnsi="Cambria Math"/>
            </w:rPr>
            <m:t xml:space="preserve">I</m:t>
          </m:r>
          <m:d>
            <m:dPr>
              <m:begChr m:val="("/>
              <m:endChr m:val=")"/>
            </m:dPr>
            <m:e>
              <m:r>
                <w:rPr>
                  <w:rFonts w:ascii="Cambria Math" w:hAnsi="Cambria Math"/>
                </w:rPr>
                <m:t xml:space="preserve">Q</m:t>
              </m:r>
            </m:e>
          </m:d>
          <m:r>
            <w:rPr>
              <w:rFonts w:ascii="Cambria Math" w:hAnsi="Cambria Math"/>
            </w:rPr>
            <m:t xml:space="preserve">=</m:t>
          </m:r>
          <m:sSub>
            <m:e>
              <m:r>
                <w:rPr>
                  <w:rFonts w:ascii="Cambria Math" w:hAnsi="Cambria Math"/>
                </w:rPr>
                <m:t xml:space="preserve">I</m:t>
              </m:r>
            </m:e>
            <m:sub>
              <m:r>
                <w:rPr>
                  <w:rFonts w:ascii="Cambria Math" w:hAnsi="Cambria Math"/>
                </w:rPr>
                <m:t xml:space="preserve">e</m:t>
              </m:r>
              <m:r>
                <w:rPr>
                  <w:rFonts w:ascii="Cambria Math" w:hAnsi="Cambria Math"/>
                </w:rPr>
                <m:t xml:space="preserve">.</m:t>
              </m:r>
              <m:r>
                <w:rPr>
                  <w:rFonts w:ascii="Cambria Math" w:hAnsi="Cambria Math"/>
                </w:rPr>
                <m:t xml:space="preserve">u</m:t>
              </m:r>
              <m:r>
                <w:rPr>
                  <w:rFonts w:ascii="Cambria Math" w:hAnsi="Cambria Math"/>
                </w:rPr>
                <m:t xml:space="preserve">.</m:t>
              </m:r>
            </m:sub>
          </m:sSub>
          <m:d>
            <m:dPr>
              <m:begChr m:val="("/>
              <m:endChr m:val=")"/>
            </m:dPr>
            <m:e>
              <m:r>
                <w:rPr>
                  <w:rFonts w:ascii="Cambria Math" w:hAnsi="Cambria Math"/>
                </w:rPr>
                <m:t xml:space="preserve">Q</m:t>
              </m:r>
            </m:e>
          </m:d>
          <m:r>
            <w:rPr>
              <w:rFonts w:ascii="Cambria Math" w:hAnsi="Cambria Math"/>
            </w:rPr>
            <m:t xml:space="preserve">−</m:t>
          </m:r>
          <m:nary>
            <m:naryPr>
              <m:chr m:val="∑"/>
            </m:naryPr>
            <m:sub>
              <m:r>
                <w:rPr>
                  <w:rFonts w:ascii="Cambria Math" w:hAnsi="Cambria Math"/>
                </w:rPr>
                <m:t xml:space="preserve">i</m:t>
              </m:r>
              <m:r>
                <w:rPr>
                  <w:rFonts w:ascii="Cambria Math" w:hAnsi="Cambria Math"/>
                </w:rPr>
                <m:t xml:space="preserve">=</m:t>
              </m:r>
              <m:r>
                <w:rPr>
                  <w:rFonts w:ascii="Cambria Math" w:hAnsi="Cambria Math"/>
                </w:rPr>
                <m:t xml:space="preserve">1</m:t>
              </m:r>
            </m:sub>
            <m:sup>
              <m:r>
                <w:rPr>
                  <w:rFonts w:ascii="Cambria Math" w:hAnsi="Cambria Math"/>
                </w:rPr>
                <m:t xml:space="preserve">n</m:t>
              </m:r>
            </m:sup>
            <m:e>
              <m:sSub>
                <m:e>
                  <m:r>
                    <w:rPr>
                      <w:rFonts w:ascii="Cambria Math" w:hAnsi="Cambria Math"/>
                    </w:rPr>
                    <m:t xml:space="preserve">x</m:t>
                  </m:r>
                </m:e>
                <m:sub>
                  <m:r>
                    <w:rPr>
                      <w:rFonts w:ascii="Cambria Math" w:hAnsi="Cambria Math"/>
                    </w:rPr>
                    <m:t xml:space="preserve">i</m:t>
                  </m:r>
                </m:sub>
              </m:sSub>
              <m:sSup>
                <m:e>
                  <m:sSub>
                    <m:e>
                      <m:r>
                        <w:rPr>
                          <w:rFonts w:ascii="Cambria Math" w:hAnsi="Cambria Math"/>
                        </w:rPr>
                        <m:t xml:space="preserve">f</m:t>
                      </m:r>
                    </m:e>
                    <m:sub>
                      <m:r>
                        <w:rPr>
                          <w:rFonts w:ascii="Cambria Math" w:hAnsi="Cambria Math"/>
                        </w:rPr>
                        <m:t xml:space="preserve">i</m:t>
                      </m:r>
                    </m:sub>
                  </m:sSub>
                  <m:d>
                    <m:dPr>
                      <m:begChr m:val="("/>
                      <m:endChr m:val=")"/>
                    </m:dPr>
                    <m:e>
                      <m:r>
                        <w:rPr>
                          <w:rFonts w:ascii="Cambria Math" w:hAnsi="Cambria Math"/>
                        </w:rPr>
                        <m:t xml:space="preserve">Q</m:t>
                      </m:r>
                    </m:e>
                  </m:d>
                </m:e>
                <m:sup>
                  <m:r>
                    <w:rPr>
                      <w:rFonts w:ascii="Cambria Math" w:hAnsi="Cambria Math"/>
                    </w:rPr>
                    <m:t xml:space="preserve">2</m:t>
                  </m:r>
                </m:sup>
              </m:sSup>
            </m:e>
          </m:nary>
        </m:oMath>
      </m:oMathPara>
    </w:p>
    <w:p>
      <w:pPr>
        <w:pStyle w:val="Normal"/>
        <w:spacing w:lineRule="auto" w:line="360"/>
        <w:jc w:val="both"/>
        <w:rPr>
          <w:lang w:val="en-GB"/>
        </w:rPr>
      </w:pPr>
      <w:r>
        <w:rPr>
          <w:lang w:val="en-GB"/>
        </w:rPr>
      </w:r>
    </w:p>
    <w:p>
      <w:pPr>
        <w:pStyle w:val="Normal"/>
        <w:spacing w:lineRule="auto" w:line="360"/>
        <w:jc w:val="both"/>
        <w:rPr>
          <w:lang w:val="en-GB"/>
        </w:rPr>
      </w:pPr>
      <w:r>
        <w:rPr>
          <w:lang w:val="en-GB"/>
        </w:rPr>
        <w:t xml:space="preserve"> </w:t>
      </w:r>
      <w:r>
        <w:rPr>
          <w:lang w:val="en-GB"/>
        </w:rPr>
        <w:t xml:space="preserve">where </w:t>
      </w:r>
      <w:r>
        <w:rPr>
          <w:i/>
          <w:iCs/>
          <w:lang w:val="en-GB"/>
        </w:rPr>
        <w:t>f</w:t>
      </w:r>
      <w:r>
        <w:rPr>
          <w:i/>
          <w:iCs/>
          <w:vertAlign w:val="subscript"/>
          <w:lang w:val="en-GB"/>
        </w:rPr>
        <w:t>i</w:t>
      </w:r>
      <w:r>
        <w:rPr>
          <w:i/>
          <w:iCs/>
          <w:lang w:val="en-GB"/>
        </w:rPr>
        <w:t>(Q)</w:t>
      </w:r>
      <w:r>
        <w:rPr>
          <w:lang w:val="en-GB"/>
        </w:rPr>
        <w:t xml:space="preserve"> are the interpolated atomic scattering factors, x</w:t>
      </w:r>
      <w:r>
        <w:rPr>
          <w:vertAlign w:val="subscript"/>
          <w:lang w:val="en-GB"/>
        </w:rPr>
        <w:t>i</w:t>
      </w:r>
      <w:r>
        <w:rPr>
          <w:lang w:val="en-GB"/>
        </w:rPr>
        <w:t xml:space="preserve"> are the number concentrations of i-type atoms in the stoichiometric unit, and I</w:t>
      </w:r>
      <w:r>
        <w:rPr>
          <w:vertAlign w:val="subscript"/>
          <w:lang w:val="en-GB"/>
        </w:rPr>
        <w:t>eu</w:t>
      </w:r>
      <w:r>
        <w:rPr>
          <w:lang w:val="en-GB"/>
        </w:rPr>
        <w:t>(Q) is the observed intensity in electron units. The latter quantity has been used to confront with Molecular Dynamics computed I(Q). The sample was contained in a quartz capillary of 2 mm diameter and kept at ambient temperature during the measurements.</w:t>
      </w:r>
    </w:p>
    <w:p>
      <w:pPr>
        <w:pStyle w:val="Normal"/>
        <w:spacing w:lineRule="auto" w:line="360"/>
        <w:rPr>
          <w:lang w:val="en-GB"/>
        </w:rPr>
      </w:pPr>
      <w:r>
        <w:rPr>
          <w:lang w:val="en-GB"/>
        </w:rPr>
      </w:r>
    </w:p>
    <w:p>
      <w:pPr>
        <w:pStyle w:val="Normal"/>
        <w:spacing w:lineRule="auto" w:line="360"/>
        <w:rPr>
          <w:b/>
          <w:b/>
          <w:lang w:val="en-GB"/>
        </w:rPr>
      </w:pPr>
      <w:r>
        <w:rPr>
          <w:b/>
          <w:lang w:val="en-GB"/>
        </w:rPr>
        <w:tab/>
        <w:tab/>
        <w:t xml:space="preserve">2.1.3. Small Angle X-ray Scattering </w:t>
      </w:r>
    </w:p>
    <w:p>
      <w:pPr>
        <w:pStyle w:val="Normal"/>
        <w:spacing w:lineRule="auto" w:line="360"/>
        <w:rPr>
          <w:lang w:val="en-GB"/>
        </w:rPr>
      </w:pPr>
      <w:r>
        <w:rPr>
          <w:lang w:val="en-GB"/>
        </w:rPr>
        <w:t>Small Angle X-ray Scattering (SAXS) measurements were performed at the SAXS-Lab Sapienza with a Xeuss 2.0 Q-Xoom system (Xenocs SA, Sassenage, France), equipped with a micro-focus Genix 3D X-ray source (λ = 0.1542 nm), a two-dimensional Pilatus3 R 300K detector which can be placed at variable distance from the sample. Calibration of the scattering vector Q range, where Q=(4π sinθ)/λ, 2θ being the scattering angle, was performed using a silver behenate standard.</w:t>
      </w:r>
    </w:p>
    <w:p>
      <w:pPr>
        <w:pStyle w:val="Normal"/>
        <w:spacing w:lineRule="auto" w:line="360"/>
        <w:rPr>
          <w:lang w:val="en-GB"/>
        </w:rPr>
      </w:pPr>
      <w:r>
        <w:rPr>
          <w:lang w:val="en-GB"/>
        </w:rPr>
        <w:t>Measurements with different sample-detector distances were performed so that the overall explored Q region was 0.03 &lt; Q &lt; 3.3 Å</w:t>
      </w:r>
      <w:r>
        <w:rPr>
          <w:vertAlign w:val="superscript"/>
          <w:lang w:val="en-GB"/>
        </w:rPr>
        <w:t>–1</w:t>
      </w:r>
      <w:r>
        <w:rPr>
          <w:lang w:val="en-GB"/>
        </w:rPr>
        <w:t>. The samples were loaded into a disposable quartz capillary with nominal thickness 1.0 mm and sealed with hot glue before placing them in the instrument sample chamber at reduced pressure (</w:t>
      </w:r>
      <w:r>
        <w:rPr>
          <w:rFonts w:cs="Cambria Math" w:ascii="Cambria Math" w:hAnsi="Cambria Math"/>
          <w:lang w:val="en-GB"/>
        </w:rPr>
        <w:t>∼</w:t>
      </w:r>
      <w:r>
        <w:rPr>
          <w:lang w:val="en-GB"/>
        </w:rPr>
        <w:t>0.2 mbar). The beam size was defined through the two-pinhole collimation system equipped with scatterless slits to be 0.25 mm x 0.25 mm.</w:t>
      </w:r>
    </w:p>
    <w:p>
      <w:pPr>
        <w:pStyle w:val="Normal"/>
        <w:spacing w:lineRule="auto" w:line="360"/>
        <w:rPr>
          <w:lang w:val="en-GB"/>
        </w:rPr>
      </w:pPr>
      <w:r>
        <w:rPr>
          <w:lang w:val="en-GB"/>
        </w:rPr>
        <w:t>The two-dimensional scattering patterns were subtracted for the dark counting, and then masked, azimuthally averaged and normalized for transmitted beam intensity, exposure time and subtended solid angle per pixel, by using the FoxTrot software developed at SOLEIL. The one-dimensional S(Q) vs. Q profiles were then subtracted for the capillary contribution.</w:t>
      </w:r>
    </w:p>
    <w:p>
      <w:pPr>
        <w:pStyle w:val="Normal"/>
        <w:spacing w:lineRule="auto" w:line="360"/>
        <w:rPr>
          <w:lang w:val="en-GB"/>
        </w:rPr>
      </w:pPr>
      <w:r>
        <w:rPr>
          <w:lang w:val="en-GB"/>
        </w:rPr>
        <w:t>The measurements were conducted at ambient temperature (ca. 20°C) and the sample maintained liquid and homogeneous during the whole length of the experiment.</w:t>
      </w:r>
    </w:p>
    <w:p>
      <w:pPr>
        <w:pStyle w:val="Normal"/>
        <w:spacing w:lineRule="auto" w:line="360"/>
        <w:rPr>
          <w:lang w:val="en-GB"/>
        </w:rPr>
      </w:pPr>
      <w:r>
        <w:rPr>
          <w:lang w:val="en-GB"/>
        </w:rPr>
      </w:r>
    </w:p>
    <w:p>
      <w:pPr>
        <w:pStyle w:val="Normal"/>
        <w:spacing w:lineRule="auto" w:line="360"/>
        <w:rPr>
          <w:b/>
          <w:b/>
          <w:lang w:val="en-GB"/>
        </w:rPr>
      </w:pPr>
      <w:r>
        <w:rPr>
          <w:b/>
          <w:lang w:val="en-GB"/>
        </w:rPr>
        <w:t>2.2. Computational methods.</w:t>
      </w:r>
    </w:p>
    <w:p>
      <w:pPr>
        <w:pStyle w:val="Normal"/>
        <w:spacing w:lineRule="auto" w:line="360"/>
        <w:rPr>
          <w:lang w:val="en-GB"/>
        </w:rPr>
      </w:pPr>
      <w:r>
        <w:rPr>
          <w:b/>
          <w:lang w:val="en-GB"/>
        </w:rPr>
        <w:tab/>
        <w:tab/>
        <w:t>2.2.1. Molecular Dynamics simulations.</w:t>
      </w:r>
    </w:p>
    <w:p>
      <w:pPr>
        <w:pStyle w:val="Normal"/>
        <w:spacing w:lineRule="auto" w:line="360"/>
        <w:rPr>
          <w:szCs w:val="24"/>
          <w:lang w:val="en-GB"/>
        </w:rPr>
      </w:pPr>
      <w:r>
        <w:rPr>
          <w:szCs w:val="24"/>
          <w:lang w:val="en-GB"/>
        </w:rPr>
        <w:t xml:space="preserve">Molecular dynamic simulations were performed using the GROMACS 5.1.1 package </w:t>
      </w:r>
      <w:r>
        <w:fldChar w:fldCharType="begin"/>
      </w:r>
      <w:r>
        <w:rPr>
          <w:szCs w:val="24"/>
          <w:lang w:val="en-GB"/>
        </w:rPr>
        <w:instrText xml:space="preserve">ADDIN CSL_CITATION {"citationItems":[{"id":"ITEM-1","itemData":{"DOI":"10.1021/ct700301q","ISBN":"1549-9618","ISSN":"1549-9618","PMID":"26620784","abstract":"Molecular simulation is an extremely useful, but computationally very expensive tool for studies of chemical and biomolecular systems. Here, we present a new implementation of our molecular simulation toolkit GROMACS which now both achieves extremely high performance on single processors from algorithmic optimizations and hand-coded routines and simultaneously scales very well on parallel machines. The code encompasses a minimal-communication domain decomposition algorithm, full dynamic load balancing, a state-of-the-art parallel constraint solver, and efficient virtual site algorithms that allow removal of hydrogen atom degrees of freedom to enable integration time steps up to 5 fs for atomistic simulations also in parallel. To improve the scaling properties of the common particle mesh Ewald electrostatics algorithms, we have in addition used a Multiple-Program, Multiple-Data approach, with separate node domains responsible for direct and reciprocal space interactions. Not only does this combination of a...","author":[{"dropping-particle":"","family":"Hess","given":"Berk","non-dropping-particle":"","parse-names":false,"suffix":""},{"dropping-particle":"","family":"Kutzner","given":"Carsten","non-dropping-particle":"","parse-names":false,"suffix":""},{"dropping-particle":"","family":"Spoel","given":"David","non-dropping-particle":"van der","parse-names":false,"suffix":""},{"dropping-particle":"","family":"Lindahl","given":"Erik","non-dropping-particle":"","parse-names":false,"suffix":""}],"container-title":"Journal of Chemical Theory and Computation","id":"ITEM-1","issue":"3","issued":{"date-parts":[["2008","3","2"]]},"page":"435-447","title":"GROMACS 4: Algorithms for Highly Efficient, Load-Balanced, and Scalable Molecular Simulation","type":"article-journal","volume":"4"},"uris":["http://www.mendeley.com/documents/?uuid=208b2c86-02ee-48f8-b515-c344fc767de6"]},{"id":"ITEM-2","itemData":{"DOI":"10.1002/jcc.20291","ISSN":"0192-8651","author":[{"dropping-particle":"","family":"Spoel","given":"David","non-dropping-particle":"Van Der","parse-names":false,"suffix":""},{"dropping-particle":"","family":"Lindahl","given":"Erik","non-dropping-particle":"","parse-names":false,"suffix":""},{"dropping-particle":"","family":"Hess","given":"Berk","non-dropping-particle":"","parse-names":false,"suffix":""},{"dropping-particle":"","family":"Groenhof","given":"Gerrit","non-dropping-particle":"","parse-names":false,"suffix":""},{"dropping-particle":"","family":"Mark","given":"Alan E.","non-dropping-particle":"","parse-names":false,"suffix":""},{"dropping-particle":"","family":"Berendsen","given":"Herman J. C.","non-dropping-particle":"","parse-names":false,"suffix":""}],"container-title":"Journal of Computational Chemistry","id":"ITEM-2","issue":"16","issued":{"date-parts":[["2005","12"]]},"page":"1701-1718","title":"GROMACS: Fast, flexible, and free","type":"article-journal","volume":"26"},"uris":["http://www.mendeley.com/documents/?uuid=0177ce29-8781-49d0-b4d1-092798133368"]}],"mendeley":{"formattedCitation":"[30,31]","plainTextFormattedCitation":"[30,31]","previouslyFormattedCitation":"[30,31]"},"properties":{"noteIndex":0},"schema":"https://github.com/citation-style-language/schema/raw/master/csl-citation.json"}</w:instrText>
      </w:r>
      <w:r>
        <w:rPr>
          <w:szCs w:val="24"/>
          <w:lang w:val="en-GB"/>
        </w:rPr>
      </w:r>
      <w:r>
        <w:rPr>
          <w:szCs w:val="24"/>
          <w:lang w:val="en-GB"/>
        </w:rPr>
        <w:fldChar w:fldCharType="separate"/>
      </w:r>
      <w:r>
        <w:rPr>
          <w:szCs w:val="24"/>
          <w:lang w:val="en-GB"/>
        </w:rPr>
      </w:r>
      <w:r>
        <w:rPr>
          <w:lang w:val="en-GB"/>
        </w:rPr>
        <w:t>[30,31]</w:t>
      </w:r>
      <w:r>
        <w:rPr>
          <w:szCs w:val="24"/>
          <w:lang w:val="en-GB"/>
        </w:rPr>
      </w:r>
      <w:r>
        <w:rPr>
          <w:szCs w:val="24"/>
          <w:lang w:val="en-GB"/>
        </w:rPr>
        <w:fldChar w:fldCharType="end"/>
      </w:r>
      <w:r>
        <w:rPr>
          <w:szCs w:val="24"/>
          <w:lang w:val="en-GB"/>
        </w:rPr>
        <w:t xml:space="preserve"> . Bonded and non-bonded parameters for the two systems, </w:t>
      </w:r>
      <w:r>
        <w:rPr>
          <w:lang w:val="en-GB"/>
        </w:rPr>
        <w:t>pure thymol and its mixture with water were described using an all-atoms potential OPLS-AA force field</w:t>
      </w:r>
      <w:r>
        <w:rPr>
          <w:szCs w:val="24"/>
          <w:lang w:val="en-GB"/>
        </w:rPr>
        <w:t xml:space="preserve"> </w:t>
      </w:r>
      <w:r>
        <w:fldChar w:fldCharType="begin"/>
      </w:r>
      <w:r>
        <w:rPr>
          <w:szCs w:val="24"/>
          <w:lang w:val="en-GB"/>
        </w:rPr>
        <w:instrText xml:space="preserve">ADDIN CSL_CITATION {"citationItems":[{"id":"ITEM-1","itemData":{"DOI":"10.1021/ja9621760","ISSN":"0002-7863","author":[{"dropping-particle":"","family":"Jorgensen","given":"William L","non-dropping-particle":"","parse-names":false,"suffix":""},{"dropping-particle":"","family":"Maxwell","given":"David S","non-dropping-particle":"","parse-names":false,"suffix":""},{"dropping-particle":"","family":"Tirado-Rives","given":"Julian","non-dropping-particle":"","parse-names":false,"suffix":""}],"container-title":"Journal of the American Chemical Society","id":"ITEM-1","issue":"45","issued":{"date-parts":[["1996","1"]]},"page":"11225-11236","title":"Development and Testing of the OPLS All-Atom Force Field on Conformational Energetics and Properties of Organic Liquids","type":"article-journal","volume":"118"},"uris":["http://www.mendeley.com/documents/?uuid=4aec715d-c068-4f25-8474-b208779b8c3d"]}],"mendeley":{"formattedCitation":"[32]","plainTextFormattedCitation":"[32]","previouslyFormattedCitation":"[32]"},"properties":{"noteIndex":0},"schema":"https://github.com/citation-style-language/schema/raw/master/csl-citation.json"}</w:instrText>
      </w:r>
      <w:r>
        <w:rPr>
          <w:szCs w:val="24"/>
          <w:lang w:val="en-GB"/>
        </w:rPr>
      </w:r>
      <w:r>
        <w:rPr>
          <w:szCs w:val="24"/>
          <w:lang w:val="en-GB"/>
        </w:rPr>
        <w:fldChar w:fldCharType="separate"/>
      </w:r>
      <w:r>
        <w:rPr>
          <w:szCs w:val="24"/>
          <w:lang w:val="en-GB"/>
        </w:rPr>
        <w:t>[32]</w:t>
      </w:r>
      <w:r>
        <w:rPr>
          <w:szCs w:val="24"/>
          <w:lang w:val="en-GB"/>
        </w:rPr>
      </w:r>
      <w:r>
        <w:rPr>
          <w:szCs w:val="24"/>
          <w:lang w:val="en-GB"/>
        </w:rPr>
        <w:fldChar w:fldCharType="end"/>
      </w:r>
      <w:r>
        <w:rPr>
          <w:szCs w:val="24"/>
          <w:lang w:val="en-GB"/>
        </w:rPr>
        <w:t xml:space="preserve">. The simulations were performed using a cubic box  containing 1000  molecules for the case of neat thymol and </w:t>
      </w:r>
      <w:r>
        <w:rPr>
          <w:lang w:val="en-GB"/>
        </w:rPr>
        <w:t>2400 thymol  and 500 water molecules were considered the case of the thymol-water mixture (with molar ratio 4.8:1)</w:t>
      </w:r>
      <w:r>
        <w:rPr>
          <w:szCs w:val="24"/>
          <w:lang w:val="en-GB"/>
        </w:rPr>
        <w:t xml:space="preserve">; periodic boundary conditions were applied. </w:t>
      </w:r>
      <w:r>
        <w:rPr>
          <w:lang w:val="en-GB"/>
        </w:rPr>
        <w:t>Force field parameter files were created by LipParGen webserver</w:t>
      </w:r>
      <w:r>
        <w:fldChar w:fldCharType="begin"/>
      </w:r>
      <w:r>
        <w:rPr>
          <w:lang w:val="en-GB"/>
        </w:rPr>
        <w:instrText xml:space="preserve">ADDIN CSL_CITATION {"citationItems":[{"id":"ITEM-1","itemData":{"DOI":"10.1073/pnas.0408037102","ISSN":"0027-8424","PMID":"15870211","abstract":"An overview is provided on the development and status of potential energy functions that are used in atomic-level statistical mechanics and molecular dynamics simulations of water and of organic and biomolecular systems. Some topics that are considered are the form of force fields, their parameterization and performance, simulations of organic liquids, computation of free energies of hydration, universal extension for organic molecules, and choice of atomic charges. The discussion of water models covers some history, performance issues, and special topics such as nuclear quantum effects.","author":[{"dropping-particle":"","family":"Jorgensen","given":"William L","non-dropping-particle":"","parse-names":false,"suffix":""},{"dropping-particle":"","family":"Tirado-Rives","given":"Julian","non-dropping-particle":"","parse-names":false,"suffix":""}],"container-title":"Proceedings of the National Academy of Sciences","id":"ITEM-1","issue":"19","issued":{"date-parts":[["2005","5","10"]]},"page":"6665-6670","title":"Potential energy functions for atomic-level simulations of water and organic and biomolecular systems","type":"article-journal","volume":"102"},"uris":["http://www.mendeley.com/documents/?uuid=55e857a2-aa93-45cc-b839-f41bdb93d723"]},{"id":"ITEM-2","itemData":{"DOI":"10.1093/nar/gkx312","ISSN":"13624962","abstract":"The accurate calculation of protein/nucleic acid-ligand interactions or condensed phase properties by force field-based methods require a precise description of the energetics of intermolecular interactions. Despite the progress made in force fields, small molecule parameterization remains an open problem due to the magnitude of the chemical space; the most critical issue is the estimation of a balanced set of atomic charges with the ability to reproduce experimental properties. The LigParGen web server provides an intuitive interface for generating OPLS-AA/1.14∗CM1A(-LBCC) force field parameters for organic ligands, in the formats of commonly used molecular dynamics and Monte Carlo simulation packages. This server has high value for researchers interested in studying any phenomena based on intermolecular interactions with ligands via molecular mechanics simulations. It is free and open to all at jorgensenresearch.com/ligpargen, and has no login requirements.","author":[{"dropping-particle":"","family":"Dodda","given":"Leela S.","non-dropping-particle":"","parse-names":false,"suffix":""},{"dropping-particle":"","family":"Vaca","given":"Israel Cabeza","non-dropping-particle":"De","parse-names":false,"suffix":""},{"dropping-particle":"","family":"Tirado-Rives","given":"Julian","non-dropping-particle":"","parse-names":false,"suffix":""},{"dropping-particle":"","family":"Jorgensen","given":"William L.","non-dropping-particle":"","parse-names":false,"suffix":""}],"container-title":"Nucleic Acids Research","id":"ITEM-2","issue":"W1","issued":{"date-parts":[["2017"]]},"page":"W331-W336","title":"LigParGen web server: An automatic OPLS-AA parameter generator for organic ligands","type":"article-journal","volume":"45"},"uris":["http://www.mendeley.com/documents/?uuid=ab4d38d3-65bc-4b79-be21-d8edd0798d57"]},{"id":"ITEM-3","itemData":{"DOI":"10.1021/acs.jpcb.7b00272","ISSN":"15205207","PMID":"28224794","abstract":"The quality of the 1.14∗CM1A and 1.20∗CM5 charge models was evaluated for calculations of free energies of hydration. For a set of 426 neutral molecules, 1.14∗CM1A and 1.20∗CM5 yield MADs of 1.26 and 1.21 kcal/mol, respectively. The 1.14∗CM1A charges, which can be readily obtained for large systems, exhibit large deviations only for a subset of functional groups. The results for these cases were systematically improved using localized bond-charge corrections (LBCC) by which offsetting adjustments are made to the partial charges for atoms in specified bond types. Only 19 LBCCs were needed to yield 1.14∗CM1A-LBCC charges that reduce the errors for the 426 ΔGhyd values to only 0.61 kcal/mol. The modified charge method was also tested in computation of heats of vaporization and densities for pure organic liquids, yielding average errors of 1.40 kcal/mol and 0.024 g/cm3, similar to those for 1.14∗CM1A.","author":[{"dropping-particle":"","family":"Dodda","given":"Leela S.","non-dropping-particle":"","parse-names":false,"suffix":""},{"dropping-particle":"","family":"Vilseck","given":"Jonah Z.","non-dropping-particle":"","parse-names":false,"suffix":""},{"dropping-particle":"","family":"Tirado-Rives","given":"Julian","non-dropping-particle":"","parse-names":false,"suffix":""},{"dropping-particle":"","family":"Jorgensen","given":"William L.","non-dropping-particle":"","parse-names":false,"suffix":""}],"container-title":"Journal of Physical Chemistry B","id":"ITEM-3","issue":"15","issued":{"date-parts":[["2017"]]},"page":"3864-3870","title":"1.14∗CM1A-LBCC: Localized Bond-Charge Corrected CM1A Charges for Condensed-Phase Simulations","type":"article-journal","volume":"121"},"uris":["http://www.mendeley.com/documents/?uuid=1642cc8d-19c6-407b-8052-7218f4eb666d"]}],"mendeley":{"formattedCitation":"[33–35]","plainTextFormattedCitation":"[33–35]","previouslyFormattedCitation":"[33–35]"},"properties":{"noteIndex":0},"schema":"https://github.com/citation-style-language/schema/raw/master/csl-citation.json"}</w:instrText>
      </w:r>
      <w:r>
        <w:rPr>
          <w:lang w:val="en-GB"/>
        </w:rPr>
      </w:r>
      <w:r>
        <w:rPr>
          <w:lang w:val="en-GB"/>
        </w:rPr>
        <w:fldChar w:fldCharType="separate"/>
      </w:r>
      <w:r>
        <w:rPr>
          <w:lang w:val="en-GB"/>
        </w:rPr>
        <w:t>[33–35]</w:t>
      </w:r>
      <w:r>
        <w:rPr>
          <w:lang w:val="en-GB"/>
        </w:rPr>
      </w:r>
      <w:r>
        <w:rPr>
          <w:lang w:val="en-GB"/>
        </w:rPr>
        <w:fldChar w:fldCharType="end"/>
      </w:r>
      <w:r>
        <w:rPr>
          <w:szCs w:val="24"/>
          <w:lang w:val="en-GB"/>
        </w:rPr>
        <w:t xml:space="preserve">; initial configurations were created by Packmol software </w:t>
      </w:r>
      <w:r>
        <w:fldChar w:fldCharType="begin"/>
      </w:r>
      <w:r>
        <w:rPr>
          <w:szCs w:val="24"/>
          <w:lang w:val="en-GB"/>
        </w:rPr>
        <w:instrText xml:space="preserve">ADDIN CSL_CITATION {"citationItems":[{"id":"ITEM-1","itemData":{"DOI":"10.1002/jcc.21224","ISSN":"01928651","author":[{"dropping-particle":"","family":"Martínez","given":"L.","non-dropping-particle":"","parse-names":false,"suffix":""},{"dropping-particle":"","family":"Andrade","given":"R.","non-dropping-particle":"","parse-names":false,"suffix":""},{"dropping-particle":"","family":"Birgin","given":"E. G.","non-dropping-particle":"","parse-names":false,"suffix":""},{"dropping-particle":"","family":"Martínez","given":"J. M.","non-dropping-particle":"","parse-names":false,"suffix":""}],"container-title":"Journal of Computational Chemistry","id":"ITEM-1","issue":"13","issued":{"date-parts":[["2009","10"]]},"page":"2157-2164","title":"PACKMOL: A package for building initial configurations for molecular dynamics simulations","type":"article-journal","volume":"30"},"uris":["http://www.mendeley.com/documents/?uuid=482e5cb0-5a37-45d1-ab0f-393941c5ff14"]}],"mendeley":{"formattedCitation":"[36]","plainTextFormattedCitation":"[36]","previouslyFormattedCitation":"[36]"},"properties":{"noteIndex":0},"schema":"https://github.com/citation-style-language/schema/raw/master/csl-citation.json"}</w:instrText>
      </w:r>
      <w:r>
        <w:rPr>
          <w:szCs w:val="24"/>
          <w:lang w:val="en-GB"/>
        </w:rPr>
      </w:r>
      <w:r>
        <w:rPr>
          <w:szCs w:val="24"/>
          <w:lang w:val="en-GB"/>
        </w:rPr>
        <w:fldChar w:fldCharType="separate"/>
      </w:r>
      <w:r>
        <w:rPr>
          <w:szCs w:val="24"/>
          <w:lang w:val="en-GB"/>
        </w:rPr>
      </w:r>
      <w:r>
        <w:rPr>
          <w:lang w:val="en-GB"/>
        </w:rPr>
        <w:t>[36]</w:t>
      </w:r>
      <w:r>
        <w:rPr>
          <w:szCs w:val="24"/>
          <w:lang w:val="en-GB"/>
        </w:rPr>
      </w:r>
      <w:r>
        <w:rPr>
          <w:szCs w:val="24"/>
          <w:lang w:val="en-GB"/>
        </w:rPr>
        <w:fldChar w:fldCharType="end"/>
      </w:r>
      <w:r>
        <w:rPr>
          <w:szCs w:val="24"/>
          <w:lang w:val="en-GB"/>
        </w:rPr>
        <w:t xml:space="preserve">. </w:t>
      </w:r>
      <w:r>
        <w:rPr>
          <w:lang w:val="en-GB"/>
        </w:rPr>
        <w:t xml:space="preserve">The starting density was fixed 10% higher than the experimental one. The equilibration procedure was done in several steps, starting from a 2 ns NVT simulation at 400 K, followed by a series of 2 ns NPT runs lowering progressively the temperature to 353 K at 1 bar. After the equilibration phase, the system was run for 50 ns for a production run, and then the trajectory of the last 4 ns was saved at a frequency of 1 ps for calculation of the structural properties. The simulations were always checked versus the experimental density and the energy profile. </w:t>
      </w:r>
      <w:r>
        <w:rPr>
          <w:szCs w:val="24"/>
          <w:lang w:val="en-GB"/>
        </w:rPr>
        <w:t xml:space="preserve">During the production runs for the temperature coupling, we used a velocity rescaling thermostat </w:t>
      </w:r>
      <w:r>
        <w:fldChar w:fldCharType="begin"/>
      </w:r>
      <w:r>
        <w:rPr>
          <w:szCs w:val="24"/>
          <w:lang w:val="en-GB"/>
        </w:rPr>
        <w:instrText xml:space="preserve">ADDIN CSL_CITATION {"citationItems":[{"id":"ITEM-1","itemData":{"DOI":"10.1063/1.2408420","ISBN":"0021-9606 (Print)\\r0021-9606 (Linking)","ISSN":"0021-9606","PMID":"17212484","abstract":"The authors present a new molecular dynamics algorithm for sampling the canonical distribution. In this approach the velocities of all the particles are rescaled by a properly chosen random factor. The algorithm is formally justified and it is shown that, in spite of its stochastic nature, a quantity can still be defined that remains constant during the evolution. In numerical applications this quantity can be used to measure the accuracy of the sampling. The authors illustrate the properties of this new method on Lennard-Jones and TIP4P water models in the solid and liquid phases. Its performance is excellent and largely independent of the thermostat parameter also with regard to the dynamic properties.","author":[{"dropping-particle":"","family":"Bussi","given":"Giovanni","non-dropping-particle":"","parse-names":false,"suffix":""},{"dropping-particle":"","family":"Donadio","given":"Davide","non-dropping-particle":"","parse-names":false,"suffix":""},{"dropping-particle":"","family":"Parrinello","given":"Michele","non-dropping-particle":"","parse-names":false,"suffix":""}],"container-title":"The Journal of Chemical Physics","id":"ITEM-1","issue":"1","issued":{"date-parts":[["2007","1","7"]]},"page":"014101","title":"Canonical sampling through velocity rescaling","type":"article-journal","volume":"126"},"uris":["http://www.mendeley.com/documents/?uuid=9f5b9266-ecc2-4f69-9dd0-ad1a0ac224ba"]}],"mendeley":{"formattedCitation":"[37]","plainTextFormattedCitation":"[37]","previouslyFormattedCitation":"[37]"},"properties":{"noteIndex":0},"schema":"https://github.com/citation-style-language/schema/raw/master/csl-citation.json"}</w:instrText>
      </w:r>
      <w:r>
        <w:rPr>
          <w:szCs w:val="24"/>
          <w:lang w:val="en-GB"/>
        </w:rPr>
      </w:r>
      <w:r>
        <w:rPr>
          <w:szCs w:val="24"/>
          <w:lang w:val="en-GB"/>
        </w:rPr>
        <w:fldChar w:fldCharType="separate"/>
      </w:r>
      <w:r>
        <w:rPr>
          <w:szCs w:val="24"/>
          <w:lang w:val="en-GB"/>
        </w:rPr>
      </w:r>
      <w:r>
        <w:rPr>
          <w:lang w:val="en-GB"/>
        </w:rPr>
        <w:t>[37]</w:t>
      </w:r>
      <w:r>
        <w:rPr>
          <w:szCs w:val="24"/>
          <w:lang w:val="en-GB"/>
        </w:rPr>
      </w:r>
      <w:r>
        <w:rPr>
          <w:szCs w:val="24"/>
          <w:lang w:val="en-GB"/>
        </w:rPr>
        <w:fldChar w:fldCharType="end"/>
      </w:r>
      <w:r>
        <w:rPr>
          <w:szCs w:val="24"/>
          <w:lang w:val="en-GB"/>
        </w:rPr>
        <w:t xml:space="preserve"> (with a time coupling constant of 0.1 ps), while for the pressure coupling, we used a Parrinello–Rahman barostat </w:t>
      </w:r>
      <w:r>
        <w:fldChar w:fldCharType="begin"/>
      </w:r>
      <w:r>
        <w:rPr>
          <w:szCs w:val="24"/>
          <w:lang w:val="en-GB"/>
        </w:rPr>
        <w:instrText xml:space="preserve">ADDIN CSL_CITATION {"citationItems":[{"id":"ITEM-1","itemData":{"DOI":"10.1063/1.328693","ISBN":"0021-8979","ISSN":"00218979","PMID":"21322663","abstract":"A new Lagrangian formulation is introduced. It can be used to make molecular dynamics (MD) calculations on systems under the most general, externally applied, conditions of stress. In this formulation the MD cell shape and size can change according to dynamical equations given by this Lagrangian. This new MD technique is well suited to the study of structural transformations in solids under external stress and at finite temperature. As an example of the use of this technique we show how a single crystal of Ni behaves under uniform uniaxial compressive and tensile loads. This work confirms some of the results of static (i.e., zero temperature) calculations reported in the literature. We also show that some results regarding the stress‐strain relation obtained by static calculations are invalid at finite temperature. We find that, under compressive loading, our model of Ni shows a bifurcation in its stress‐strain relation; this bifurcation provides a link in configuration space between cubic and hexagonal close packing. It is suggested that such a transformation could perhaps be observed experimentally under extreme conditions of shock.","author":[{"dropping-particle":"","family":"Parrinello","given":"M.","non-dropping-particle":"","parse-names":false,"suffix":""},{"dropping-particle":"","family":"Rahman","given":"A.","non-dropping-particle":"","parse-names":false,"suffix":""}],"container-title":"Journal of Applied Physics","id":"ITEM-1","issue":"12","issued":{"date-parts":[["1981"]]},"page":"7182-7190","title":"Polymorphic transitions in single crystals: A new molecular dynamics method","type":"article-journal","volume":"52"},"uris":["http://www.mendeley.com/documents/?uuid=4bbffbc8-ea3a-42e6-8392-0012a2636398"]}],"mendeley":{"formattedCitation":"[38]","plainTextFormattedCitation":"[38]","previouslyFormattedCitation":"[38]"},"properties":{"noteIndex":0},"schema":"https://github.com/citation-style-language/schema/raw/master/csl-citation.json"}</w:instrText>
      </w:r>
      <w:r>
        <w:rPr>
          <w:szCs w:val="24"/>
          <w:lang w:val="en-GB"/>
        </w:rPr>
      </w:r>
      <w:r>
        <w:rPr>
          <w:szCs w:val="24"/>
          <w:lang w:val="en-GB"/>
        </w:rPr>
        <w:fldChar w:fldCharType="separate"/>
      </w:r>
      <w:r>
        <w:rPr>
          <w:szCs w:val="24"/>
          <w:lang w:val="en-GB"/>
        </w:rPr>
      </w:r>
      <w:r>
        <w:rPr>
          <w:lang w:val="en-GB"/>
        </w:rPr>
        <w:t>[38]</w:t>
      </w:r>
      <w:r>
        <w:rPr>
          <w:szCs w:val="24"/>
          <w:lang w:val="en-GB"/>
        </w:rPr>
      </w:r>
      <w:r>
        <w:rPr>
          <w:szCs w:val="24"/>
          <w:lang w:val="en-GB"/>
        </w:rPr>
        <w:fldChar w:fldCharType="end"/>
      </w:r>
      <w:r>
        <w:rPr>
          <w:szCs w:val="24"/>
          <w:lang w:val="en-GB"/>
        </w:rPr>
        <w:t xml:space="preserve"> (1 ps for the relaxation constant). The Leap-Frog algorithm with a 1.0 fs time step was used for integrating the equations of motion. Cut-offs for the Lennard-Jones and real space part of the Coulombic interactions were set to 16 Å. For the electrostatic interactions, the Particle Mesh Ewald (PME) summation method </w:t>
      </w:r>
      <w:r>
        <w:fldChar w:fldCharType="begin"/>
      </w:r>
      <w:r>
        <w:rPr>
          <w:szCs w:val="24"/>
          <w:lang w:val="en-GB"/>
        </w:rPr>
        <w:instrText xml:space="preserve">ADDIN CSL_CITATION {"citationItems":[{"id":"ITEM-1","itemData":{"DOI":"10.1063/1.464397","ISBN":"0021-9606","ISSN":"00219606","abstract":"An N⋅log(N) method for evaluating electrostatic energies and forces of large periodic systems is presented. The method is based on interpolation of the reciprocal space Ewald sums and evaluation of the resulting convolutions using fast Fourier transforms. Timings and accuracies are presented for three large crystalline ionic systems.","author":[{"dropping-particle":"","family":"Darden","given":"Tom","non-dropping-particle":"","parse-names":false,"suffix":""},{"dropping-particle":"","family":"York","given":"Darrin","non-dropping-particle":"","parse-names":false,"suffix":""},{"dropping-particle":"","family":"Pedersen","given":"Lee","non-dropping-particle":"","parse-names":false,"suffix":""}],"container-title":"The Journal of Chemical Physics","id":"ITEM-1","issue":"12","issued":{"date-parts":[["1993"]]},"page":"10089-10092","title":"Particle mesh Ewald: An N·log(N) method for Ewald sums in large systems","type":"article-journal","volume":"98"},"uris":["http://www.mendeley.com/documents/?uuid=cadb5a9a-431f-4bf1-b58a-a886bcc85af3"]},{"id":"ITEM-2","itemData":{"DOI":"10.1063/1.470117","ISBN":"0021-9606","ISSN":"00219606","PMID":"9930699","abstract":"The previously developed particle mesh Ewald method is reformulated in terms of efficient B-spline interpolation of the structure factors. This reformulation allows a natural extension of the method to potentials of the form 1/r p with p?1. Furthermore, efficient calculation of the virial tensor follows. Use of B-splines in place of Lagrange interpolation leads to analytic gradients as well as a significant improvement in the accuracy. We demonstrate that arbitrary accuracy can be achieved, independent of system size N, at a cost that scales as N log(N). For biomolecular systems with many thousands of atoms this method permits the use of Ewald summation at a computational cost comparable to that of a simple truncation method of 10 � or less.","author":[{"dropping-particle":"","family":"Essmann","given":"Ulrich","non-dropping-particle":"","parse-names":false,"suffix":""},{"dropping-particle":"","family":"Perera","given":"Lalith","non-dropping-particle":"","parse-names":false,"suffix":""},{"dropping-particle":"","family":"Berkowitz","given":"Max L.","non-dropping-particle":"","parse-names":false,"suffix":""},{"dropping-particle":"","family":"Darden","given":"Tom","non-dropping-particle":"","parse-names":false,"suffix":""},{"dropping-particle":"","family":"Lee","given":"Hsing","non-dropping-particle":"","parse-names":false,"suffix":""},{"dropping-particle":"","family":"Pedersen","given":"Lee G.","non-dropping-particle":"","parse-names":false,"suffix":""}],"container-title":"The Journal of Chemical Physics","id":"ITEM-2","issue":"19","issued":{"date-parts":[["1995"]]},"page":"8577-8593","title":"A smooth particle mesh Ewald method","type":"article-journal","volume":"103"},"uris":["http://www.mendeley.com/documents/?uuid=7585f967-0ad3-45a6-9936-66485599168a"]}],"mendeley":{"formattedCitation":"[39,40]","plainTextFormattedCitation":"[39,40]","previouslyFormattedCitation":"[39,40]"},"properties":{"noteIndex":0},"schema":"https://github.com/citation-style-language/schema/raw/master/csl-citation.json"}</w:instrText>
      </w:r>
      <w:r>
        <w:rPr>
          <w:szCs w:val="24"/>
          <w:lang w:val="en-GB"/>
        </w:rPr>
      </w:r>
      <w:r>
        <w:rPr>
          <w:szCs w:val="24"/>
          <w:lang w:val="en-GB"/>
        </w:rPr>
        <w:fldChar w:fldCharType="separate"/>
      </w:r>
      <w:r>
        <w:rPr>
          <w:szCs w:val="24"/>
          <w:lang w:val="en-GB"/>
        </w:rPr>
      </w:r>
      <w:r>
        <w:rPr>
          <w:lang w:val="en-GB"/>
        </w:rPr>
        <w:t>[39,40]</w:t>
      </w:r>
      <w:r>
        <w:rPr>
          <w:szCs w:val="24"/>
          <w:lang w:val="en-GB"/>
        </w:rPr>
      </w:r>
      <w:r>
        <w:rPr>
          <w:szCs w:val="24"/>
          <w:lang w:val="en-GB"/>
        </w:rPr>
        <w:fldChar w:fldCharType="end"/>
      </w:r>
      <w:r>
        <w:rPr>
          <w:szCs w:val="24"/>
          <w:lang w:val="en-GB"/>
        </w:rPr>
        <w:t xml:space="preserve"> was used, with an interpolation order of 6 and 0.08 nm of FFT grid spacing. </w:t>
      </w:r>
    </w:p>
    <w:p>
      <w:pPr>
        <w:pStyle w:val="Normal"/>
        <w:spacing w:lineRule="auto" w:line="360"/>
        <w:rPr>
          <w:lang w:val="en-GB"/>
        </w:rPr>
      </w:pPr>
      <w:r>
        <w:rPr>
          <w:szCs w:val="24"/>
          <w:lang w:val="en-GB"/>
        </w:rPr>
        <w:t xml:space="preserve">X-ray and neutron weighted structure factors were computed together with selected pair correlation functions, angular distribution functions and spatial distribution functions using TRAVIS </w:t>
      </w:r>
      <w:r>
        <w:fldChar w:fldCharType="begin"/>
      </w:r>
      <w:r>
        <w:rPr>
          <w:szCs w:val="24"/>
          <w:lang w:val="en-GB"/>
        </w:rPr>
        <w:instrText xml:space="preserve">ADDIN CSL_CITATION {"citationItems":[{"id":"ITEM-1","itemData":{"DOI":"10.1021/ci200217w","ISSN":"1549-9596","abstract":"We present TRAVIS (\"TRajectory Analyzer and VISualizer\"), a free program package for analyzing and visualizing Monte Carlo and molecular dynamics trajectories. The aim of TRAVIS is to collect as many analyses as possible in one program, creating a powerful tool and making it unnecessary to use many different programs for evaluating simulations. This should greatly rationalize and simplify the workflow of analyzing trajectories. TRAVIS is written in C++, open-source freeware and licensed under the terms of the GNU General Public License (GPLv3). It is easy to install (platform independent, no external libraries) and easy to use. In this article, we present some of the algorithms that are implemented in TRAVIS - many of them widely known for a long time, but some of them also to appear in literature for the first time. All shown analyses only require a standard MD trajectory as input data. © 2011 American Chemical Society.","author":[{"dropping-particle":"","family":"Brehm","given":"Martin","non-dropping-particle":"","parse-names":false,"suffix":""},{"dropping-particle":"","family":"Kirchner","given":"Barbara","non-dropping-particle":"","parse-names":false,"suffix":""}],"container-title":"Journal of Chemical Information and Modeling","id":"ITEM-1","issue":"8","issued":{"date-parts":[["2011","8","22"]]},"page":"2007-2023","title":"TRAVIS - A Free Analyzer and Visualizer for Monte Carlo and Molecular Dynamics Trajectories","type":"article-journal","volume":"51"},"uris":["http://www.mendeley.com/documents/?uuid=6ca5bf0f-0e23-4792-bb6a-43bcf4156016"]},{"id":"ITEM-2","itemData":{"DOI":"10.1002/cphc.201500473","ISSN":"14394235","abstract":"© 2015 The Authors. Published by Wiley-VCH Verlag GmbH &amp; Co. KGaA. We present here the possibility of forming triphilic mixtures from alkyl- and fluoroalkylimidazolium ionic liquids, thus, macroscopically homogeneous mixtures for which instead of the often observed two domains - polar and nonpolar - three stable microphases are present: polar, lipophilic, and fluorous ones. The fluorinated side chains of the cations indeed self-associate and form domains that are segregated from those of the polar and alkyl domains. To enable miscibility, despite the generally preferred macroscopic separation between fluorous and alkyl moieties, the importance of strong hydrogen bonding is shown. As the long-range structure in the alkyl and fluoroalkyl domains is dependent on the composition of the liquid, we propose that the heterogeneous, triphilic structure can be easily tuned by the molar ratio of the components. We believe that further development may allow the design of switchable, smart liquids that change their properties in a predictable way according to their composition or even their environment.","author":[{"dropping-particle":"","family":"Hollóczki","given":"Oldamur","non-dropping-particle":"","parse-names":false,"suffix":""},{"dropping-particle":"","family":"Macchiagodena","given":"Marina","non-dropping-particle":"","parse-names":false,"suffix":""},{"dropping-particle":"","family":"Weber","given":"Henry","non-dropping-particle":"","parse-names":false,"suffix":""},{"dropping-particle":"","family":"Thomas","given":"Martin","non-dropping-particle":"","parse-names":false,"suffix":""},{"dropping-particle":"","family":"Brehm","given":"Martin","non-dropping-particle":"","parse-names":false,"suffix":""},{"dropping-particle":"","family":"Stark","given":"Annegret","non-dropping-particle":"","parse-names":false,"suffix":""},{"dropping-particle":"","family":"Russina","given":"Olga","non-dropping-particle":"","parse-names":false,"suffix":""},{"dropping-particle":"","family":"Triolo","given":"Alessandro","non-dropping-particle":"","parse-names":false,"suffix":""},{"dropping-particle":"","family":"Kirchner","given":"Barbara","non-dropping-particle":"","parse-names":false,"suffix":""}],"container-title":"ChemPhysChem","id":"ITEM-2","issue":"15","issued":{"date-parts":[["2015","10"]]},"page":"3325-3333","title":"Triphilic Ionic-Liquid Mixtures: Fluorinated and Non-fluorinated Aprotic Ionic-Liquid Mixtures","type":"article-journal","volume":"16"},"uris":["http://www.mendeley.com/documents/?uuid=7e618feb-5274-442c-ac2e-b0ff209b9d8f"]},{"id":"ITEM-3","itemData":{"DOI":"10.1063/5.0005078","ISSN":"0021-9606","author":[{"dropping-particle":"","family":"Brehm","given":"Martin","non-dropping-particle":"","parse-names":false,"suffix":""},{"dropping-particle":"","family":"Thomas","given":"M.","non-dropping-particle":"","parse-names":false,"suffix":""},{"dropping-particle":"","family":"Gehrke","given":"Sascha","non-dropping-particle":"","parse-names":false,"suffix":""},{"dropping-particle":"","family":"Kirchner","given":"Barbara","non-dropping-particle":"","parse-names":false,"suffix":""}],"container-title":"The Journal of Chemical Physics","id":"ITEM-3","issue":"16","issued":{"date-parts":[["2020","4","30"]]},"page":"164105","publisher":"AIP Publishing, LLC","title":"TRAVIS—A free analyzer for trajectories from molecular simulation","type":"article-journal","volume":"152"},"uris":["http://www.mendeley.com/documents/?uuid=80fe287c-c4b3-4751-93ca-ee240d3c6e0e"]}],"mendeley":{"formattedCitation":"[41–43]","plainTextFormattedCitation":"[41–43]","previouslyFormattedCitation":"[41–43]"},"properties":{"noteIndex":0},"schema":"https://github.com/citation-style-language/schema/raw/master/csl-citation.json"}</w:instrText>
      </w:r>
      <w:r>
        <w:rPr>
          <w:szCs w:val="24"/>
          <w:lang w:val="en-GB"/>
        </w:rPr>
      </w:r>
      <w:r>
        <w:rPr>
          <w:szCs w:val="24"/>
          <w:lang w:val="en-GB"/>
        </w:rPr>
        <w:fldChar w:fldCharType="separate"/>
      </w:r>
      <w:r>
        <w:rPr>
          <w:szCs w:val="24"/>
          <w:lang w:val="en-GB"/>
        </w:rPr>
      </w:r>
      <w:r>
        <w:rPr>
          <w:lang w:val="en-GB"/>
        </w:rPr>
        <w:t>[41–43]</w:t>
      </w:r>
      <w:r>
        <w:rPr>
          <w:szCs w:val="24"/>
          <w:lang w:val="en-GB"/>
        </w:rPr>
      </w:r>
      <w:r>
        <w:rPr>
          <w:szCs w:val="24"/>
          <w:lang w:val="en-GB"/>
        </w:rPr>
        <w:fldChar w:fldCharType="end"/>
      </w:r>
      <w:r>
        <w:rPr>
          <w:szCs w:val="24"/>
          <w:lang w:val="en-GB"/>
        </w:rPr>
        <w:t xml:space="preserve"> .</w:t>
      </w:r>
    </w:p>
    <w:p>
      <w:pPr>
        <w:pStyle w:val="Normal"/>
        <w:spacing w:lineRule="auto" w:line="360"/>
        <w:rPr/>
      </w:pPr>
      <w:r>
        <w:rPr/>
      </w:r>
    </w:p>
    <w:p>
      <w:pPr>
        <w:pStyle w:val="Normal"/>
        <w:spacing w:lineRule="auto" w:line="360"/>
        <w:rPr>
          <w:lang w:val="en-GB"/>
        </w:rPr>
      </w:pPr>
      <w:r>
        <w:rPr>
          <w:lang w:val="en-GB"/>
        </w:rPr>
      </w:r>
    </w:p>
    <w:p>
      <w:pPr>
        <w:pStyle w:val="Normal"/>
        <w:spacing w:lineRule="auto" w:line="360"/>
        <w:rPr>
          <w:vanish/>
          <w:lang w:val="en-GB"/>
        </w:rPr>
      </w:pPr>
      <w:r>
        <w:rPr>
          <w:vanish/>
          <w:lang w:val="en-GB"/>
        </w:rPr>
        <w:t>Q Q</w:t>
      </w:r>
    </w:p>
    <w:p>
      <w:pPr>
        <w:pStyle w:val="Normal"/>
        <w:spacing w:lineRule="auto" w:line="360"/>
        <w:rPr>
          <w:b/>
          <w:b/>
          <w:lang w:val="en-GB"/>
        </w:rPr>
      </w:pPr>
      <w:r>
        <w:rPr>
          <w:b/>
          <w:lang w:val="en-GB"/>
        </w:rPr>
      </w:r>
    </w:p>
    <w:p>
      <w:pPr>
        <w:pStyle w:val="Normal"/>
        <w:spacing w:lineRule="auto" w:line="360"/>
        <w:rPr>
          <w:lang w:val="en-GB"/>
        </w:rPr>
      </w:pPr>
      <w:r>
        <w:rPr>
          <w:lang w:val="en-GB"/>
        </w:rPr>
      </w:r>
    </w:p>
    <w:p>
      <w:pPr>
        <w:pStyle w:val="Normal"/>
        <w:spacing w:lineRule="auto" w:line="360"/>
        <w:rPr>
          <w:lang w:val="en-GB"/>
        </w:rPr>
      </w:pPr>
      <w:r>
        <w:rPr>
          <w:lang w:val="en-GB"/>
        </w:rPr>
      </w:r>
      <w:r>
        <w:br w:type="page"/>
      </w:r>
    </w:p>
    <w:p>
      <w:pPr>
        <w:pStyle w:val="Normal"/>
        <w:spacing w:lineRule="auto" w:line="360"/>
        <w:rPr>
          <w:b/>
          <w:b/>
          <w:lang w:val="en-GB"/>
        </w:rPr>
      </w:pPr>
      <w:r>
        <w:rPr>
          <w:b/>
          <w:lang w:val="en-GB"/>
        </w:rPr>
        <w:t>3. Results and Discussion.</w:t>
      </w:r>
    </w:p>
    <w:p>
      <w:pPr>
        <w:pStyle w:val="Normal"/>
        <w:spacing w:lineRule="auto" w:line="360"/>
        <w:rPr>
          <w:lang w:val="en-GB"/>
        </w:rPr>
      </w:pPr>
      <w:r>
        <w:rPr>
          <w:lang w:val="en-GB"/>
        </w:rPr>
      </w:r>
    </w:p>
    <w:p>
      <w:pPr>
        <w:pStyle w:val="Normal"/>
        <w:spacing w:lineRule="auto" w:line="360"/>
        <w:rPr>
          <w:lang w:val="en-GB"/>
        </w:rPr>
      </w:pPr>
      <w:r>
        <w:rPr>
          <w:lang w:val="en-GB"/>
        </w:rPr>
        <w:t>We initially verified that the computed density of the thymol-water mixture is 0.9540 g/cc is reasonable agreement with the literature data of 0.94 g/cc.</w:t>
      </w:r>
      <w:r>
        <w:fldChar w:fldCharType="begin"/>
      </w:r>
      <w:r>
        <w:rPr>
          <w:lang w:val="en-GB"/>
        </w:rPr>
        <w:instrText xml:space="preserve">ADDIN CSL_CITATION {"citationItems":[{"id":"ITEM-1","itemData":{"DOI":"10.1016/j.molliq.2022.120043","ISSN":"01677322","author":[{"dropping-particle":"","family":"Tiecco","given":"Matteo","non-dropping-particle":"","parse-names":false,"suffix":""},{"dropping-particle":"","family":"Grillo","given":"Antonio","non-dropping-particle":"","parse-names":false,"suffix":""},{"dropping-particle":"","family":"Mosconi","given":"Edoardo","non-dropping-particle":"","parse-names":false,"suffix":""},{"dropping-particle":"","family":"Kaiser","given":"Waldemar","non-dropping-particle":"","parse-names":false,"suffix":""},{"dropping-particle":"","family":"Giacco","given":"Tiziana","non-dropping-particle":"Del","parse-names":false,"suffix":""},{"dropping-particle":"","family":"Germani","given":"Raimondo","non-dropping-particle":"","parse-names":false,"suffix":""},{"dropping-particle":"","family":"Giacco","given":"Del","non-dropping-particle":"","parse-names":false,"suffix":""},{"dropping-particle":"","family":"Germani","given":"Raimondo","non-dropping-particle":"","parse-names":false,"suffix":""}],"container-title":"Journal of Molecular Liquids","id":"ITEM-1","issued":{"date-parts":[["2022","10"]]},"page":"120043","publisher":"Elsevier B.V.","title":"Advances in the development of novel green liquids: thymol/water, thymol/urea and thymol/phenylacetic acid as innovative hydrophobic natural deep eutectic solvents","type":"article-journal","volume":"364"},"uris":["http://www.mendeley.com/documents/?uuid=20dfdf7b-3955-4465-94e5-6bd77545d652"]}],"mendeley":{"formattedCitation":"[27]","plainTextFormattedCitation":"[27]","previouslyFormattedCitation":"[27]"},"properties":{"noteIndex":0},"schema":"https://github.com/citation-style-language/schema/raw/master/csl-citation.json"}</w:instrText>
      </w:r>
      <w:r>
        <w:rPr>
          <w:lang w:val="en-GB"/>
        </w:rPr>
      </w:r>
      <w:r>
        <w:rPr>
          <w:lang w:val="en-GB"/>
        </w:rPr>
        <w:fldChar w:fldCharType="separate"/>
      </w:r>
      <w:r>
        <w:rPr>
          <w:lang w:val="en-GB"/>
        </w:rPr>
        <w:t>[27]</w:t>
      </w:r>
      <w:r>
        <w:rPr>
          <w:lang w:val="en-GB"/>
        </w:rPr>
      </w:r>
      <w:r>
        <w:rPr>
          <w:lang w:val="en-GB"/>
        </w:rPr>
        <w:fldChar w:fldCharType="end"/>
      </w:r>
    </w:p>
    <w:p>
      <w:pPr>
        <w:pStyle w:val="Normal"/>
        <w:spacing w:lineRule="auto" w:line="360"/>
        <w:rPr>
          <w:lang w:val="en-GB"/>
        </w:rPr>
      </w:pPr>
      <w:r>
        <mc:AlternateContent>
          <mc:Choice Requires="wps">
            <w:drawing>
              <wp:anchor behindDoc="0" distT="0" distB="10795" distL="109855" distR="133985" simplePos="0" locked="0" layoutInCell="0" allowOverlap="1" relativeHeight="2" wp14:anchorId="19E4A314">
                <wp:simplePos x="0" y="0"/>
                <wp:positionH relativeFrom="column">
                  <wp:posOffset>30480</wp:posOffset>
                </wp:positionH>
                <wp:positionV relativeFrom="paragraph">
                  <wp:posOffset>390525</wp:posOffset>
                </wp:positionV>
                <wp:extent cx="5902325" cy="3186430"/>
                <wp:effectExtent l="3810" t="3175" r="2540" b="3175"/>
                <wp:wrapSquare wrapText="left"/>
                <wp:docPr id="5" name="Casella di testo 1"/>
                <a:graphic xmlns:a="http://schemas.openxmlformats.org/drawingml/2006/main">
                  <a:graphicData uri="http://schemas.microsoft.com/office/word/2010/wordprocessingShape">
                    <wps:wsp>
                      <wps:cNvSpPr/>
                      <wps:spPr>
                        <a:xfrm>
                          <a:off x="0" y="0"/>
                          <a:ext cx="5902200" cy="3186360"/>
                        </a:xfrm>
                        <a:prstGeom prst="rect">
                          <a:avLst/>
                        </a:prstGeom>
                        <a:solidFill>
                          <a:schemeClr val="lt1"/>
                        </a:solidFill>
                        <a:ln w="6350">
                          <a:solidFill>
                            <a:srgbClr val="000000"/>
                          </a:solidFill>
                          <a:round/>
                        </a:ln>
                      </wps:spPr>
                      <wps:style>
                        <a:lnRef idx="0">
                          <a:schemeClr val="accent1"/>
                        </a:lnRef>
                        <a:fillRef idx="0">
                          <a:schemeClr val="accent1"/>
                        </a:fillRef>
                        <a:effectRef idx="0">
                          <a:schemeClr val="accent1"/>
                        </a:effectRef>
                        <a:fontRef idx="minor"/>
                      </wps:style>
                      <wps:txbx>
                        <w:txbxContent>
                          <w:tbl>
                            <w:tblPr>
                              <w:tblStyle w:val="Grigliatabella"/>
                              <w:tblW w:w="9067" w:type="dxa"/>
                              <w:jc w:val="left"/>
                              <w:tblInd w:w="0" w:type="dxa"/>
                              <w:tblLayout w:type="fixed"/>
                              <w:tblCellMar>
                                <w:top w:w="0" w:type="dxa"/>
                                <w:left w:w="108" w:type="dxa"/>
                                <w:bottom w:w="0" w:type="dxa"/>
                                <w:right w:w="108" w:type="dxa"/>
                              </w:tblCellMar>
                              <w:tblLook w:val="04a0" w:noVBand="1" w:noHBand="0" w:lastColumn="0" w:firstColumn="1" w:lastRow="0" w:firstRow="1"/>
                            </w:tblPr>
                            <w:tblGrid>
                              <w:gridCol w:w="9067"/>
                            </w:tblGrid>
                            <w:tr>
                              <w:trPr/>
                              <w:tc>
                                <w:tcPr>
                                  <w:tcW w:w="9067" w:type="dxa"/>
                                  <w:tcBorders/>
                                </w:tcPr>
                                <w:tbl>
                                  <w:tblPr>
                                    <w:tblStyle w:val="Grigliatabella"/>
                                    <w:tblW w:w="8841" w:type="dxa"/>
                                    <w:jc w:val="left"/>
                                    <w:tblInd w:w="0" w:type="dxa"/>
                                    <w:tblLayout w:type="fixed"/>
                                    <w:tblCellMar>
                                      <w:top w:w="0" w:type="dxa"/>
                                      <w:left w:w="108" w:type="dxa"/>
                                      <w:bottom w:w="0" w:type="dxa"/>
                                      <w:right w:w="108" w:type="dxa"/>
                                    </w:tblCellMar>
                                    <w:tblLook w:val="04a0" w:noVBand="1" w:noHBand="0" w:lastColumn="0" w:firstColumn="1" w:lastRow="0" w:firstRow="1"/>
                                  </w:tblPr>
                                  <w:tblGrid>
                                    <w:gridCol w:w="4436"/>
                                    <w:gridCol w:w="4404"/>
                                  </w:tblGrid>
                                  <w:tr>
                                    <w:trPr>
                                      <w:trHeight w:val="3226" w:hRule="atLeast"/>
                                    </w:trPr>
                                    <w:tc>
                                      <w:tcPr>
                                        <w:tcW w:w="4436" w:type="dxa"/>
                                        <w:tcBorders/>
                                      </w:tcPr>
                                      <w:p>
                                        <w:pPr>
                                          <w:pStyle w:val="FrameContents"/>
                                          <w:widowControl/>
                                          <w:spacing w:lineRule="auto" w:line="240" w:before="0" w:after="0"/>
                                          <w:jc w:val="left"/>
                                          <w:rPr>
                                            <w:rFonts w:ascii="Times New Roman" w:hAnsi="Times New Roman" w:eastAsia="Calibri" w:cs="Times New Roman"/>
                                            <w:kern w:val="0"/>
                                            <w:sz w:val="24"/>
                                            <w:szCs w:val="24"/>
                                            <w:lang w:val="en-GB" w:eastAsia="en-US" w:bidi="ar-SA"/>
                                          </w:rPr>
                                        </w:pPr>
                                        <w:r>
                                          <w:rPr>
                                            <w:rFonts w:eastAsia="Calibri" w:cs="Times New Roman"/>
                                            <w:kern w:val="0"/>
                                            <w:sz w:val="24"/>
                                            <w:szCs w:val="24"/>
                                            <w:lang w:val="en-GB" w:eastAsia="en-US" w:bidi="ar-SA"/>
                                          </w:rPr>
                                          <w:drawing>
                                            <wp:inline distT="0" distB="0" distL="0" distR="0">
                                              <wp:extent cx="2667635" cy="2040890"/>
                                              <wp:effectExtent l="0" t="0" r="0" b="0"/>
                                              <wp:docPr id="7" name="Immagine 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8" descr=""/>
                                                      <pic:cNvPicPr>
                                                        <a:picLocks noChangeAspect="1" noChangeArrowheads="1"/>
                                                      </pic:cNvPicPr>
                                                    </pic:nvPicPr>
                                                    <pic:blipFill>
                                                      <a:blip r:embed="rId6"/>
                                                      <a:stretch>
                                                        <a:fillRect/>
                                                      </a:stretch>
                                                    </pic:blipFill>
                                                    <pic:spPr bwMode="auto">
                                                      <a:xfrm>
                                                        <a:off x="0" y="0"/>
                                                        <a:ext cx="2667635" cy="2040890"/>
                                                      </a:xfrm>
                                                      <a:prstGeom prst="rect">
                                                        <a:avLst/>
                                                      </a:prstGeom>
                                                    </pic:spPr>
                                                  </pic:pic>
                                                </a:graphicData>
                                              </a:graphic>
                                            </wp:inline>
                                          </w:drawing>
                                        </w:r>
                                      </w:p>
                                    </w:tc>
                                    <w:tc>
                                      <w:tcPr>
                                        <w:tcW w:w="4404" w:type="dxa"/>
                                        <w:tcBorders/>
                                      </w:tcPr>
                                      <w:p>
                                        <w:pPr>
                                          <w:pStyle w:val="FrameContents"/>
                                          <w:widowControl/>
                                          <w:spacing w:lineRule="auto" w:line="240" w:before="0" w:after="0"/>
                                          <w:jc w:val="left"/>
                                          <w:rPr>
                                            <w:rFonts w:ascii="Times New Roman" w:hAnsi="Times New Roman" w:eastAsia="Calibri" w:cs="Times New Roman"/>
                                            <w:kern w:val="0"/>
                                            <w:sz w:val="24"/>
                                            <w:szCs w:val="24"/>
                                            <w:lang w:val="en-GB" w:eastAsia="en-US" w:bidi="ar-SA"/>
                                          </w:rPr>
                                        </w:pPr>
                                        <w:r>
                                          <w:rPr>
                                            <w:rFonts w:eastAsia="Calibri" w:cs="Times New Roman"/>
                                            <w:kern w:val="0"/>
                                            <w:sz w:val="24"/>
                                            <w:szCs w:val="24"/>
                                            <w:lang w:val="en-GB" w:eastAsia="en-US" w:bidi="ar-SA"/>
                                          </w:rPr>
                                          <w:drawing>
                                            <wp:inline distT="0" distB="0" distL="0" distR="0">
                                              <wp:extent cx="2635250" cy="2016125"/>
                                              <wp:effectExtent l="0" t="0" r="0" b="0"/>
                                              <wp:docPr id="8" name="Immagine 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 10" descr=""/>
                                                      <pic:cNvPicPr>
                                                        <a:picLocks noChangeAspect="1" noChangeArrowheads="1"/>
                                                      </pic:cNvPicPr>
                                                    </pic:nvPicPr>
                                                    <pic:blipFill>
                                                      <a:blip r:embed="rId7"/>
                                                      <a:stretch>
                                                        <a:fillRect/>
                                                      </a:stretch>
                                                    </pic:blipFill>
                                                    <pic:spPr bwMode="auto">
                                                      <a:xfrm>
                                                        <a:off x="0" y="0"/>
                                                        <a:ext cx="2635250" cy="2016125"/>
                                                      </a:xfrm>
                                                      <a:prstGeom prst="rect">
                                                        <a:avLst/>
                                                      </a:prstGeom>
                                                    </pic:spPr>
                                                  </pic:pic>
                                                </a:graphicData>
                                              </a:graphic>
                                            </wp:inline>
                                          </w:drawing>
                                        </w:r>
                                      </w:p>
                                    </w:tc>
                                  </w:tr>
                                </w:tbl>
                                <w:p>
                                  <w:pPr>
                                    <w:pStyle w:val="FrameContents"/>
                                    <w:widowControl w:val="false"/>
                                    <w:spacing w:before="0" w:after="160"/>
                                    <w:rPr/>
                                  </w:pPr>
                                  <w:r>
                                    <w:rPr/>
                                  </w:r>
                                </w:p>
                              </w:tc>
                            </w:tr>
                            <w:tr>
                              <w:trPr/>
                              <w:tc>
                                <w:tcPr>
                                  <w:tcW w:w="9067" w:type="dxa"/>
                                  <w:tcBorders/>
                                </w:tcPr>
                                <w:p>
                                  <w:pPr>
                                    <w:pStyle w:val="FrameContents"/>
                                    <w:widowControl/>
                                    <w:spacing w:lineRule="auto" w:line="240" w:before="0" w:after="0"/>
                                    <w:jc w:val="left"/>
                                    <w:rPr>
                                      <w:rFonts w:ascii="Times New Roman" w:hAnsi="Times New Roman" w:eastAsia="Calibri" w:cs="Times New Roman"/>
                                      <w:kern w:val="0"/>
                                      <w:sz w:val="24"/>
                                      <w:szCs w:val="24"/>
                                      <w:lang w:val="en-GB" w:eastAsia="en-US" w:bidi="ar-SA"/>
                                    </w:rPr>
                                  </w:pPr>
                                  <w:r>
                                    <w:rPr>
                                      <w:rFonts w:eastAsia="Calibri" w:cs="Times New Roman"/>
                                      <w:kern w:val="0"/>
                                      <w:sz w:val="24"/>
                                      <w:szCs w:val="24"/>
                                      <w:lang w:val="en-GB" w:eastAsia="en-US" w:bidi="ar-SA"/>
                                    </w:rPr>
                                  </w:r>
                                </w:p>
                              </w:tc>
                            </w:tr>
                          </w:tbl>
                          <w:p>
                            <w:pPr>
                              <w:pStyle w:val="FrameContents"/>
                              <w:spacing w:before="0" w:after="160"/>
                              <w:rPr>
                                <w:lang w:val="en-GB"/>
                              </w:rPr>
                            </w:pPr>
                            <w:r>
                              <w:rPr>
                                <w:color w:val="000000"/>
                                <w:lang w:val="en-GB"/>
                              </w:rPr>
                              <w:t xml:space="preserve">Figure 1. (left) Experimental Small Angle X-ray Scattering pattern, S(Q), for thymol-water mixture at 20°C. (right) Comparison between experimental (red line) and Molecular Dynamics computed (black line) X-ray weighted static structure factor, F(Q), for thymol-water mixture at 20°C. </w:t>
                            </w:r>
                          </w:p>
                        </w:txbxContent>
                      </wps:txbx>
                      <wps:bodyPr anchor="t">
                        <a:prstTxWarp prst="textNoShape"/>
                        <a:noAutofit/>
                      </wps:bodyPr>
                    </wps:wsp>
                  </a:graphicData>
                </a:graphic>
              </wp:anchor>
            </w:drawing>
          </mc:Choice>
          <mc:Fallback>
            <w:pict>
              <v:rect id="shape_0" ID="Casella di testo 1" path="m0,0l-2147483645,0l-2147483645,-2147483646l0,-2147483646xe" fillcolor="white" stroked="t" o:allowincell="f" style="position:absolute;margin-left:2.4pt;margin-top:30.75pt;width:464.7pt;height:250.85pt;mso-wrap-style:square;v-text-anchor:top" wp14:anchorId="19E4A314">
                <v:fill o:detectmouseclick="t" type="solid" color2="black"/>
                <v:stroke color="black" weight="6480" joinstyle="round" endcap="flat"/>
                <v:textbox>
                  <w:txbxContent>
                    <w:tbl>
                      <w:tblPr>
                        <w:tblStyle w:val="Grigliatabella"/>
                        <w:tblW w:w="9067" w:type="dxa"/>
                        <w:jc w:val="left"/>
                        <w:tblInd w:w="0" w:type="dxa"/>
                        <w:tblLayout w:type="fixed"/>
                        <w:tblCellMar>
                          <w:top w:w="0" w:type="dxa"/>
                          <w:left w:w="108" w:type="dxa"/>
                          <w:bottom w:w="0" w:type="dxa"/>
                          <w:right w:w="108" w:type="dxa"/>
                        </w:tblCellMar>
                        <w:tblLook w:val="04a0" w:noVBand="1" w:noHBand="0" w:lastColumn="0" w:firstColumn="1" w:lastRow="0" w:firstRow="1"/>
                      </w:tblPr>
                      <w:tblGrid>
                        <w:gridCol w:w="9067"/>
                      </w:tblGrid>
                      <w:tr>
                        <w:trPr/>
                        <w:tc>
                          <w:tcPr>
                            <w:tcW w:w="9067" w:type="dxa"/>
                            <w:tcBorders/>
                          </w:tcPr>
                          <w:tbl>
                            <w:tblPr>
                              <w:tblStyle w:val="Grigliatabella"/>
                              <w:tblW w:w="8841" w:type="dxa"/>
                              <w:jc w:val="left"/>
                              <w:tblInd w:w="0" w:type="dxa"/>
                              <w:tblLayout w:type="fixed"/>
                              <w:tblCellMar>
                                <w:top w:w="0" w:type="dxa"/>
                                <w:left w:w="108" w:type="dxa"/>
                                <w:bottom w:w="0" w:type="dxa"/>
                                <w:right w:w="108" w:type="dxa"/>
                              </w:tblCellMar>
                              <w:tblLook w:val="04a0" w:noVBand="1" w:noHBand="0" w:lastColumn="0" w:firstColumn="1" w:lastRow="0" w:firstRow="1"/>
                            </w:tblPr>
                            <w:tblGrid>
                              <w:gridCol w:w="4436"/>
                              <w:gridCol w:w="4404"/>
                            </w:tblGrid>
                            <w:tr>
                              <w:trPr>
                                <w:trHeight w:val="3226" w:hRule="atLeast"/>
                              </w:trPr>
                              <w:tc>
                                <w:tcPr>
                                  <w:tcW w:w="4436" w:type="dxa"/>
                                  <w:tcBorders/>
                                </w:tcPr>
                                <w:p>
                                  <w:pPr>
                                    <w:pStyle w:val="FrameContents"/>
                                    <w:widowControl/>
                                    <w:spacing w:lineRule="auto" w:line="240" w:before="0" w:after="0"/>
                                    <w:jc w:val="left"/>
                                    <w:rPr>
                                      <w:rFonts w:ascii="Times New Roman" w:hAnsi="Times New Roman" w:eastAsia="Calibri" w:cs="Times New Roman"/>
                                      <w:kern w:val="0"/>
                                      <w:sz w:val="24"/>
                                      <w:szCs w:val="24"/>
                                      <w:lang w:val="en-GB" w:eastAsia="en-US" w:bidi="ar-SA"/>
                                    </w:rPr>
                                  </w:pPr>
                                  <w:r>
                                    <w:rPr>
                                      <w:rFonts w:eastAsia="Calibri" w:cs="Times New Roman"/>
                                      <w:kern w:val="0"/>
                                      <w:sz w:val="24"/>
                                      <w:szCs w:val="24"/>
                                      <w:lang w:val="en-GB" w:eastAsia="en-US" w:bidi="ar-SA"/>
                                    </w:rPr>
                                    <w:drawing>
                                      <wp:inline distT="0" distB="0" distL="0" distR="0">
                                        <wp:extent cx="2667635" cy="2040890"/>
                                        <wp:effectExtent l="0" t="0" r="0" b="0"/>
                                        <wp:docPr id="9" name="Immagine 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e 8" descr=""/>
                                                <pic:cNvPicPr>
                                                  <a:picLocks noChangeAspect="1" noChangeArrowheads="1"/>
                                                </pic:cNvPicPr>
                                              </pic:nvPicPr>
                                              <pic:blipFill>
                                                <a:blip r:embed="rId8"/>
                                                <a:stretch>
                                                  <a:fillRect/>
                                                </a:stretch>
                                              </pic:blipFill>
                                              <pic:spPr bwMode="auto">
                                                <a:xfrm>
                                                  <a:off x="0" y="0"/>
                                                  <a:ext cx="2667635" cy="2040890"/>
                                                </a:xfrm>
                                                <a:prstGeom prst="rect">
                                                  <a:avLst/>
                                                </a:prstGeom>
                                              </pic:spPr>
                                            </pic:pic>
                                          </a:graphicData>
                                        </a:graphic>
                                      </wp:inline>
                                    </w:drawing>
                                  </w:r>
                                </w:p>
                              </w:tc>
                              <w:tc>
                                <w:tcPr>
                                  <w:tcW w:w="4404" w:type="dxa"/>
                                  <w:tcBorders/>
                                </w:tcPr>
                                <w:p>
                                  <w:pPr>
                                    <w:pStyle w:val="FrameContents"/>
                                    <w:widowControl/>
                                    <w:spacing w:lineRule="auto" w:line="240" w:before="0" w:after="0"/>
                                    <w:jc w:val="left"/>
                                    <w:rPr>
                                      <w:rFonts w:ascii="Times New Roman" w:hAnsi="Times New Roman" w:eastAsia="Calibri" w:cs="Times New Roman"/>
                                      <w:kern w:val="0"/>
                                      <w:sz w:val="24"/>
                                      <w:szCs w:val="24"/>
                                      <w:lang w:val="en-GB" w:eastAsia="en-US" w:bidi="ar-SA"/>
                                    </w:rPr>
                                  </w:pPr>
                                  <w:r>
                                    <w:rPr>
                                      <w:rFonts w:eastAsia="Calibri" w:cs="Times New Roman"/>
                                      <w:kern w:val="0"/>
                                      <w:sz w:val="24"/>
                                      <w:szCs w:val="24"/>
                                      <w:lang w:val="en-GB" w:eastAsia="en-US" w:bidi="ar-SA"/>
                                    </w:rPr>
                                    <w:drawing>
                                      <wp:inline distT="0" distB="0" distL="0" distR="0">
                                        <wp:extent cx="2635250" cy="2016125"/>
                                        <wp:effectExtent l="0" t="0" r="0" b="0"/>
                                        <wp:docPr id="10" name="Immagine 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10" descr=""/>
                                                <pic:cNvPicPr>
                                                  <a:picLocks noChangeAspect="1" noChangeArrowheads="1"/>
                                                </pic:cNvPicPr>
                                              </pic:nvPicPr>
                                              <pic:blipFill>
                                                <a:blip r:embed="rId9"/>
                                                <a:stretch>
                                                  <a:fillRect/>
                                                </a:stretch>
                                              </pic:blipFill>
                                              <pic:spPr bwMode="auto">
                                                <a:xfrm>
                                                  <a:off x="0" y="0"/>
                                                  <a:ext cx="2635250" cy="2016125"/>
                                                </a:xfrm>
                                                <a:prstGeom prst="rect">
                                                  <a:avLst/>
                                                </a:prstGeom>
                                              </pic:spPr>
                                            </pic:pic>
                                          </a:graphicData>
                                        </a:graphic>
                                      </wp:inline>
                                    </w:drawing>
                                  </w:r>
                                </w:p>
                              </w:tc>
                            </w:tr>
                          </w:tbl>
                          <w:p>
                            <w:pPr>
                              <w:pStyle w:val="FrameContents"/>
                              <w:widowControl w:val="false"/>
                              <w:spacing w:before="0" w:after="160"/>
                              <w:rPr/>
                            </w:pPr>
                            <w:r>
                              <w:rPr/>
                            </w:r>
                          </w:p>
                        </w:tc>
                      </w:tr>
                      <w:tr>
                        <w:trPr/>
                        <w:tc>
                          <w:tcPr>
                            <w:tcW w:w="9067" w:type="dxa"/>
                            <w:tcBorders/>
                          </w:tcPr>
                          <w:p>
                            <w:pPr>
                              <w:pStyle w:val="FrameContents"/>
                              <w:widowControl/>
                              <w:spacing w:lineRule="auto" w:line="240" w:before="0" w:after="0"/>
                              <w:jc w:val="left"/>
                              <w:rPr>
                                <w:rFonts w:ascii="Times New Roman" w:hAnsi="Times New Roman" w:eastAsia="Calibri" w:cs="Times New Roman"/>
                                <w:kern w:val="0"/>
                                <w:sz w:val="24"/>
                                <w:szCs w:val="24"/>
                                <w:lang w:val="en-GB" w:eastAsia="en-US" w:bidi="ar-SA"/>
                              </w:rPr>
                            </w:pPr>
                            <w:r>
                              <w:rPr>
                                <w:rFonts w:eastAsia="Calibri" w:cs="Times New Roman"/>
                                <w:kern w:val="0"/>
                                <w:sz w:val="24"/>
                                <w:szCs w:val="24"/>
                                <w:lang w:val="en-GB" w:eastAsia="en-US" w:bidi="ar-SA"/>
                              </w:rPr>
                            </w:r>
                          </w:p>
                        </w:tc>
                      </w:tr>
                    </w:tbl>
                    <w:p>
                      <w:pPr>
                        <w:pStyle w:val="FrameContents"/>
                        <w:spacing w:before="0" w:after="160"/>
                        <w:rPr>
                          <w:lang w:val="en-GB"/>
                        </w:rPr>
                      </w:pPr>
                      <w:r>
                        <w:rPr>
                          <w:color w:val="000000"/>
                          <w:lang w:val="en-GB"/>
                        </w:rPr>
                        <w:t xml:space="preserve">Figure 1. (left) Experimental Small Angle X-ray Scattering pattern, S(Q), for thymol-water mixture at 20°C. (right) Comparison between experimental (red line) and Molecular Dynamics computed (black line) X-ray weighted static structure factor, F(Q), for thymol-water mixture at 20°C. </w:t>
                      </w:r>
                    </w:p>
                  </w:txbxContent>
                </v:textbox>
                <w10:wrap type="square" side="left"/>
              </v:rect>
            </w:pict>
          </mc:Fallback>
        </mc:AlternateContent>
      </w:r>
      <w:r>
        <w:rPr>
          <w:lang w:val="en-GB"/>
        </w:rPr>
        <w:t xml:space="preserve">Next, X-ray weighted static structure factors have been determined both experimentally and computationally for the thymol-water mixture. We characterised the sample at room temperature using both the SAXS and WAXS techniques and </w:t>
      </w:r>
      <w:r>
        <w:rPr>
          <w:b/>
          <w:lang w:val="en-GB"/>
        </w:rPr>
        <w:t>Figure 1</w:t>
      </w:r>
      <w:r>
        <w:rPr>
          <w:lang w:val="en-GB"/>
        </w:rPr>
        <w:t xml:space="preserve"> shows such data sets. The SAXS data reveal the existence of a complex peak centred at ca. 1.25 Å</w:t>
      </w:r>
      <w:r>
        <w:rPr>
          <w:vertAlign w:val="superscript"/>
          <w:lang w:val="en-GB"/>
        </w:rPr>
        <w:t>-1</w:t>
      </w:r>
      <w:r>
        <w:rPr>
          <w:lang w:val="en-GB"/>
        </w:rPr>
        <w:t xml:space="preserve"> that appears as the superposition of different peaks. Moreover a distinct feature appears at ca. 0.6 Å</w:t>
      </w:r>
      <w:r>
        <w:rPr>
          <w:vertAlign w:val="superscript"/>
          <w:lang w:val="en-GB"/>
        </w:rPr>
        <w:t>-1</w:t>
      </w:r>
      <w:r>
        <w:rPr>
          <w:lang w:val="en-GB"/>
        </w:rPr>
        <w:t xml:space="preserve"> that resembles the peak observed by some of us in the archetypal Thymol:Menthol (1:1) type V DES, whose SAXS pattern is characterised by the presence of two peaks at 1.25 and, indeed, 0.6 Å</w:t>
      </w:r>
      <w:r>
        <w:rPr>
          <w:vertAlign w:val="superscript"/>
          <w:lang w:val="en-GB"/>
        </w:rPr>
        <w:t>-1</w:t>
      </w:r>
      <w:r>
        <w:rPr>
          <w:lang w:val="en-GB"/>
        </w:rPr>
        <w:t xml:space="preserve">. </w:t>
      </w:r>
      <w:r>
        <w:fldChar w:fldCharType="begin"/>
      </w:r>
      <w:r>
        <w:rPr>
          <w:lang w:val="en-GB"/>
        </w:rPr>
        <w:instrText xml:space="preserve">ADDIN CSL_CITATION {"citationItems":[{"id":"ITEM-1","itemData":{"DOI":"10.1021/acssuschemeng.0c07874","ISSN":"21680485","abstract":"The nonionic Type V deep eutectic solvent (DESs) thymol + menthol is experimentally and computationally studied aiming to clarify the relation between its liquid phase structure and its thermodynamic nonideality. 1H NMR, Raman, and X-ray scattering analysis of the thymol + menthol system, supported by molecular dynamics simulations, show complex intermolecular interactions dominated by sterically hindered H-bonded clusters. For temperatures greater than or equal to room temperature, a quasi-linear evolution of the eutectic system properties between the pure compounds is observed, suggesting the absence of a magic stoichiometric composition in the eutectic solvent. However, temperature dependent Raman spectroscopy indicates a notable increase in thymol-menthol H-bonding as temperatures approach the eutectic point. This study shows that nonionic Type V DESs present an important temperature-dependent nonideality originating from the change in the intermolecular H-bonding with temperature. These findings have significant implications for the design and growing application of Type V DESs.","author":[{"dropping-particle":"","family":"Schaeffer","given":"Nicolas","non-dropping-particle":"","parse-names":false,"suffix":""},{"dropping-particle":"","family":"Abranches","given":"Dinis O.","non-dropping-particle":"","parse-names":false,"suffix":""},{"dropping-particle":"","family":"Silva","given":"Liliana P.","non-dropping-particle":"","parse-names":false,"suffix":""},{"dropping-particle":"","family":"Martins","given":"Mónia A.R.","non-dropping-particle":"","parse-names":false,"suffix":""},{"dropping-particle":"","family":"Carvalho","given":"Pedro J.","non-dropping-particle":"","parse-names":false,"suffix":""},{"dropping-particle":"","family":"Russina","given":"Olga","non-dropping-particle":"","parse-names":false,"suffix":""},{"dropping-particle":"","family":"Triolo","given":"Alessandro","non-dropping-particle":"","parse-names":false,"suffix":""},{"dropping-particle":"","family":"Paccou","given":"Laurent","non-dropping-particle":"","parse-names":false,"suffix":""},{"dropping-particle":"","family":"Guinet","given":"Yannick","non-dropping-particle":"","parse-names":false,"suffix":""},{"dropping-particle":"","family":"Hedoux","given":"Alain","non-dropping-particle":"","parse-names":false,"suffix":""},{"dropping-particle":"","family":"Coutinho","given":"João A.P.","non-dropping-particle":"","parse-names":false,"suffix":""}],"container-title":"ACS Sustainable Chemistry and Engineering","id":"ITEM-1","issue":"5","issued":{"date-parts":[["2021","2","8"]]},"page":"2203-2211","title":"Non-Ideality in Thymol + Menthol Type v Deep Eutectic Solvents","type":"article-journal","volume":"9"},"uris":["http://www.mendeley.com/documents/?uuid=f004b876-eaa6-4321-a7f3-835a48eb8f0f"]}],"mendeley":{"formattedCitation":"[44]","plainTextFormattedCitation":"[44]","previouslyFormattedCitation":"[44]"},"properties":{"noteIndex":0},"schema":"https://github.com/citation-style-language/schema/raw/master/csl-citation.json"}</w:instrText>
      </w:r>
      <w:r>
        <w:rPr>
          <w:lang w:val="en-GB"/>
        </w:rPr>
      </w:r>
      <w:r>
        <w:rPr>
          <w:lang w:val="en-GB"/>
        </w:rPr>
        <w:fldChar w:fldCharType="separate"/>
      </w:r>
      <w:r>
        <w:rPr>
          <w:lang w:val="en-GB"/>
        </w:rPr>
        <w:t>[44]</w:t>
      </w:r>
      <w:r>
        <w:rPr>
          <w:lang w:val="en-GB"/>
        </w:rPr>
      </w:r>
      <w:r>
        <w:rPr>
          <w:lang w:val="en-GB"/>
        </w:rPr>
        <w:fldChar w:fldCharType="end"/>
      </w:r>
      <w:r>
        <w:rPr>
          <w:lang w:val="en-GB"/>
        </w:rPr>
        <w:t xml:space="preserve"> We will further discuss this feature in the following. The SAXS data set indicates that no further degree of structural organization at longer spatial scale can be detected in the present system, as witnessed by the lack of further scattering features at lower Q values. The WAXS pattern shown in </w:t>
      </w:r>
      <w:r>
        <w:rPr>
          <w:b/>
          <w:lang w:val="en-GB"/>
        </w:rPr>
        <w:t>Figure 1</w:t>
      </w:r>
      <w:r>
        <w:rPr>
          <w:lang w:val="en-GB"/>
        </w:rPr>
        <w:t xml:space="preserve"> (right) covers a wider Q range and allows validating the Molecular Dynamics simulation, due to the good agreement between experimental and computed patterns. Therein, the Q range related to the low Q feature is not accessed experimentally, but it appears that our MD simulation identifies the existence of a distinct shoulder centred at 0.6 Å</w:t>
      </w:r>
      <w:r>
        <w:rPr>
          <w:vertAlign w:val="superscript"/>
          <w:lang w:val="en-GB"/>
        </w:rPr>
        <w:t>-1</w:t>
      </w:r>
      <w:r>
        <w:rPr>
          <w:lang w:val="en-GB"/>
        </w:rPr>
        <w:t xml:space="preserve">, in agreement with the experimental SAXS data. In order to further extend the information that can be extracted by MD simulations, we also evaluated the neutron weighted diffraction patterns for the different case of either no deuteration or selective deuteration of one or the other or both species. These data sets are reported in </w:t>
      </w:r>
      <w:r>
        <w:rPr>
          <w:b/>
          <w:lang w:val="en-GB"/>
        </w:rPr>
        <w:t>figure S-1</w:t>
      </w:r>
      <w:r>
        <w:rPr>
          <w:lang w:val="en-GB"/>
        </w:rPr>
        <w:t xml:space="preserve"> of the ESI and indicate that only the mixture containing deuterated water and natural thymol shows a clear evidence of the low Q feature that appears in the SAXS pattern. This information can turn out to be useful for future neutron scattering experiments planned on this system.</w:t>
      </w:r>
    </w:p>
    <w:p>
      <w:pPr>
        <w:pStyle w:val="Normal"/>
        <w:spacing w:lineRule="auto" w:line="360"/>
        <w:rPr>
          <w:lang w:val="en-GB"/>
        </w:rPr>
      </w:pPr>
      <w:r>
        <mc:AlternateContent>
          <mc:Choice Requires="wps">
            <w:drawing>
              <wp:anchor behindDoc="0" distT="0" distB="14605" distL="109855" distR="127635" simplePos="0" locked="0" layoutInCell="0" allowOverlap="0" relativeHeight="4" wp14:anchorId="46AF0723">
                <wp:simplePos x="0" y="0"/>
                <wp:positionH relativeFrom="column">
                  <wp:posOffset>0</wp:posOffset>
                </wp:positionH>
                <wp:positionV relativeFrom="paragraph">
                  <wp:posOffset>518160</wp:posOffset>
                </wp:positionV>
                <wp:extent cx="3603625" cy="4173855"/>
                <wp:effectExtent l="3810" t="3810" r="2540" b="2540"/>
                <wp:wrapSquare wrapText="right"/>
                <wp:docPr id="11" name="Casella di testo 5"/>
                <a:graphic xmlns:a="http://schemas.openxmlformats.org/drawingml/2006/main">
                  <a:graphicData uri="http://schemas.microsoft.com/office/word/2010/wordprocessingShape">
                    <wps:wsp>
                      <wps:cNvSpPr/>
                      <wps:spPr>
                        <a:xfrm>
                          <a:off x="0" y="0"/>
                          <a:ext cx="3603600" cy="4173840"/>
                        </a:xfrm>
                        <a:prstGeom prst="rect">
                          <a:avLst/>
                        </a:prstGeom>
                        <a:solidFill>
                          <a:schemeClr val="lt1"/>
                        </a:solidFill>
                        <a:ln w="6350">
                          <a:solidFill>
                            <a:srgbClr val="000000"/>
                          </a:solidFill>
                          <a:round/>
                        </a:ln>
                      </wps:spPr>
                      <wps:style>
                        <a:lnRef idx="0">
                          <a:schemeClr val="accent1"/>
                        </a:lnRef>
                        <a:fillRef idx="0">
                          <a:schemeClr val="accent1"/>
                        </a:fillRef>
                        <a:effectRef idx="0">
                          <a:schemeClr val="accent1"/>
                        </a:effectRef>
                        <a:fontRef idx="minor"/>
                      </wps:style>
                      <wps:txbx>
                        <w:txbxContent>
                          <w:p>
                            <w:pPr>
                              <w:pStyle w:val="FrameContents"/>
                              <w:rPr>
                                <w:color w:val="000000"/>
                              </w:rPr>
                            </w:pPr>
                            <w:r>
                              <w:rPr>
                                <w:color w:val="000000"/>
                              </w:rPr>
                              <w:drawing>
                                <wp:inline distT="0" distB="0" distL="0" distR="0">
                                  <wp:extent cx="3414395" cy="2613025"/>
                                  <wp:effectExtent l="0" t="0" r="0" b="0"/>
                                  <wp:docPr id="13" name="Immagine 1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magine 12" descr=""/>
                                          <pic:cNvPicPr>
                                            <a:picLocks noChangeAspect="1" noChangeArrowheads="1"/>
                                          </pic:cNvPicPr>
                                        </pic:nvPicPr>
                                        <pic:blipFill>
                                          <a:blip r:embed="rId10"/>
                                          <a:stretch>
                                            <a:fillRect/>
                                          </a:stretch>
                                        </pic:blipFill>
                                        <pic:spPr bwMode="auto">
                                          <a:xfrm>
                                            <a:off x="0" y="0"/>
                                            <a:ext cx="3414395" cy="2613025"/>
                                          </a:xfrm>
                                          <a:prstGeom prst="rect">
                                            <a:avLst/>
                                          </a:prstGeom>
                                        </pic:spPr>
                                      </pic:pic>
                                    </a:graphicData>
                                  </a:graphic>
                                </wp:inline>
                              </w:drawing>
                            </w:r>
                          </w:p>
                          <w:p>
                            <w:pPr>
                              <w:pStyle w:val="FrameContents"/>
                              <w:spacing w:before="0" w:after="160"/>
                              <w:rPr>
                                <w:color w:val="000000"/>
                              </w:rPr>
                            </w:pPr>
                            <w:r>
                              <w:rPr>
                                <w:color w:val="000000"/>
                              </w:rPr>
                              <w:t>Figure 2. MD-computed pair distribution functions (continuous lines) and corresponding running neighbour numbers (dashed lines) of Center of Mass (#2) or of Ring (for the case of thymol, #3) for the different components of the thymol-water mixture. The water-water correlation peak has been cut (the corresponding peak would reach an amplitude of 27).</w:t>
                            </w:r>
                          </w:p>
                        </w:txbxContent>
                      </wps:txbx>
                      <wps:bodyPr anchor="t">
                        <a:prstTxWarp prst="textNoShape"/>
                        <a:noAutofit/>
                      </wps:bodyPr>
                    </wps:wsp>
                  </a:graphicData>
                </a:graphic>
              </wp:anchor>
            </w:drawing>
          </mc:Choice>
          <mc:Fallback>
            <w:pict>
              <v:rect id="shape_0" ID="Casella di testo 5" path="m0,0l-2147483645,0l-2147483645,-2147483646l0,-2147483646xe" fillcolor="white" stroked="t" o:allowincell="f" style="position:absolute;margin-left:0pt;margin-top:40.8pt;width:283.7pt;height:328.6pt;mso-wrap-style:square;v-text-anchor:top" wp14:anchorId="46AF0723">
                <v:fill o:detectmouseclick="t" type="solid" color2="black"/>
                <v:stroke color="black" weight="6480" joinstyle="round" endcap="flat"/>
                <v:textbox>
                  <w:txbxContent>
                    <w:p>
                      <w:pPr>
                        <w:pStyle w:val="FrameContents"/>
                        <w:rPr>
                          <w:color w:val="000000"/>
                        </w:rPr>
                      </w:pPr>
                      <w:r>
                        <w:rPr>
                          <w:color w:val="000000"/>
                        </w:rPr>
                        <w:drawing>
                          <wp:inline distT="0" distB="0" distL="0" distR="0">
                            <wp:extent cx="3414395" cy="2613025"/>
                            <wp:effectExtent l="0" t="0" r="0" b="0"/>
                            <wp:docPr id="14" name="Immagine 1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magine 12" descr=""/>
                                    <pic:cNvPicPr>
                                      <a:picLocks noChangeAspect="1" noChangeArrowheads="1"/>
                                    </pic:cNvPicPr>
                                  </pic:nvPicPr>
                                  <pic:blipFill>
                                    <a:blip r:embed="rId11"/>
                                    <a:stretch>
                                      <a:fillRect/>
                                    </a:stretch>
                                  </pic:blipFill>
                                  <pic:spPr bwMode="auto">
                                    <a:xfrm>
                                      <a:off x="0" y="0"/>
                                      <a:ext cx="3414395" cy="2613025"/>
                                    </a:xfrm>
                                    <a:prstGeom prst="rect">
                                      <a:avLst/>
                                    </a:prstGeom>
                                  </pic:spPr>
                                </pic:pic>
                              </a:graphicData>
                            </a:graphic>
                          </wp:inline>
                        </w:drawing>
                      </w:r>
                    </w:p>
                    <w:p>
                      <w:pPr>
                        <w:pStyle w:val="FrameContents"/>
                        <w:spacing w:before="0" w:after="160"/>
                        <w:rPr>
                          <w:color w:val="000000"/>
                        </w:rPr>
                      </w:pPr>
                      <w:r>
                        <w:rPr>
                          <w:color w:val="000000"/>
                        </w:rPr>
                        <w:t>Figure 2. MD-computed pair distribution functions (continuous lines) and corresponding running neighbour numbers (dashed lines) of Center of Mass (#2) or of Ring (for the case of thymol, #3) for the different components of the thymol-water mixture. The water-water correlation peak has been cut (the corresponding peak would reach an amplitude of 27).</w:t>
                      </w:r>
                    </w:p>
                  </w:txbxContent>
                </v:textbox>
                <w10:wrap type="square" side="right"/>
              </v:rect>
            </w:pict>
          </mc:Fallback>
        </mc:AlternateContent>
      </w:r>
      <w:r>
        <w:rPr>
          <w:lang w:val="en-GB"/>
        </w:rPr>
        <w:t xml:space="preserve">The main structural correlations in the system were characterised using pair distribution functions (pdf) and </w:t>
      </w:r>
      <w:r>
        <w:rPr>
          <w:b/>
          <w:lang w:val="en-GB"/>
        </w:rPr>
        <w:t>Figure 2</w:t>
      </w:r>
      <w:r>
        <w:rPr>
          <w:lang w:val="en-GB"/>
        </w:rPr>
        <w:t xml:space="preserve"> reports the pdf for the centers of mass (#2, CoM) of the different components, including also the thymol center of ring (#3, CoR)) auto correlations. It emerges that the graph is dominated by water-water correlations, with an average of one neighbour molecule surrounding a reference one into its first solvation shell by a distance of 3.5 Å (to be compared with a much larger value of 5.3 for bulk water </w:t>
      </w:r>
      <w:r>
        <w:fldChar w:fldCharType="begin"/>
      </w:r>
      <w:r>
        <w:rPr>
          <w:lang w:val="en-GB"/>
        </w:rPr>
        <w:instrText xml:space="preserve">ADDIN CSL_CITATION {"citationItems":[{"id":"ITEM-1","itemData":{"DOI":"10.1088/0953-8984/17/45/012","ISSN":"09538984","abstract":"Most classical computer simulations of water use an effective potential which reflects the local symmetry of the water molecule's nuclei. This in turn gives rise to a symmetric distribution of neighbouring molecules on average. Recent data from x-ray absorption spectroscopy however are interpreted as implying that there is local asymmetry in water structure with some strong and some weak hydrogen bonds. Here, existing neutron and x-ray diffraction data are interpreted with empirical potential structure refinement using an asymmetric water potential. It is found that quite accurate representations of the diffraction data are possible by this means. This does not prove that the asymmetric model is correct, nor that the symmetric model is incorrect, but that x-ray and neutron diffraction data on water are rather insensitive to these details of the water interaction potential. © 2005 IOP Publishing Ltd.","author":[{"dropping-particle":"","family":"Soper","given":"A. K.","non-dropping-particle":"","parse-names":false,"suffix":""}],"container-title":"Journal of Physics Condensed Matter","id":"ITEM-1","issue":"45","issued":{"date-parts":[["2005"]]},"title":"An asymmetric model for water structure","type":"article-journal","volume":"17"},"uris":["http://www.mendeley.com/documents/?uuid=6686a95a-94d3-4790-a077-0c1fa7c2f50c"]}],"mendeley":{"formattedCitation":"[45]","plainTextFormattedCitation":"[45]","previouslyFormattedCitation":"[45]"},"properties":{"noteIndex":0},"schema":"https://github.com/citation-style-language/schema/raw/master/csl-citation.json"}</w:instrText>
      </w:r>
      <w:r>
        <w:rPr>
          <w:lang w:val="en-GB"/>
        </w:rPr>
      </w:r>
      <w:r>
        <w:rPr>
          <w:lang w:val="en-GB"/>
        </w:rPr>
        <w:fldChar w:fldCharType="separate"/>
      </w:r>
      <w:r>
        <w:rPr>
          <w:lang w:val="en-GB"/>
        </w:rPr>
        <w:t>[45]</w:t>
      </w:r>
      <w:r>
        <w:rPr>
          <w:lang w:val="en-GB"/>
        </w:rPr>
      </w:r>
      <w:r>
        <w:rPr>
          <w:lang w:val="en-GB"/>
        </w:rPr>
        <w:fldChar w:fldCharType="end"/>
      </w:r>
      <w:r>
        <w:rPr>
          <w:lang w:val="en-GB"/>
        </w:rPr>
        <w:t>). Less evident, though yet strong, correlations can be observed for thymol-water and thymol-thymol species. Thymol-water correlations are characterised by a low amplitude, though discernible, peak between 3 and 4 Å that is followed by a larger amplitude peak at ca. 4.7 Å. This situation corresponds to a dual short-range water interaction with thymol, as we will describe in the following. Thymol-thymol correlations look quite entangled, as can be appreciated from the highly structured peak covering between 4 and 9 Å in the corresponding pdfs: it emerges that up to the first clear minimum of their pdf (at ca. 10 Å), up to 14 thymol molecules surround the reference one.</w:t>
      </w:r>
    </w:p>
    <w:p>
      <w:pPr>
        <w:pStyle w:val="Normal"/>
        <w:spacing w:lineRule="auto" w:line="360"/>
        <w:rPr>
          <w:lang w:val="en-GB"/>
        </w:rPr>
      </w:pPr>
      <w:r>
        <w:rPr>
          <w:lang w:val="en-GB"/>
        </w:rPr>
        <w:t>We will now discuss in detail the different kinds of correlations taking place between the different components.</w:t>
      </w:r>
    </w:p>
    <w:p>
      <w:pPr>
        <w:pStyle w:val="Normal"/>
        <w:spacing w:lineRule="auto" w:line="360"/>
        <w:rPr>
          <w:i/>
          <w:i/>
          <w:lang w:val="en-GB"/>
        </w:rPr>
      </w:pPr>
      <w:r>
        <w:rPr>
          <w:i/>
          <w:lang w:val="en-GB"/>
        </w:rPr>
      </w:r>
    </w:p>
    <w:p>
      <w:pPr>
        <w:pStyle w:val="Normal"/>
        <w:rPr>
          <w:i/>
          <w:i/>
          <w:lang w:val="en-GB"/>
        </w:rPr>
      </w:pPr>
      <w:r>
        <w:rPr>
          <w:i/>
          <w:lang w:val="en-GB"/>
        </w:rPr>
      </w:r>
      <w:r>
        <w:br w:type="page"/>
      </w:r>
    </w:p>
    <w:p>
      <w:pPr>
        <w:pStyle w:val="Normal"/>
        <w:spacing w:lineRule="auto" w:line="360"/>
        <w:rPr>
          <w:i/>
          <w:i/>
          <w:lang w:val="en-GB"/>
        </w:rPr>
      </w:pPr>
      <w:r>
        <w:rPr>
          <w:i/>
          <w:lang w:val="en-GB"/>
        </w:rPr>
        <w:t>3.1</w:t>
        <w:tab/>
        <w:t>Thymol-thymol correlations.</w:t>
      </w:r>
    </w:p>
    <w:p>
      <w:pPr>
        <w:pStyle w:val="Normal"/>
        <w:spacing w:lineRule="auto" w:line="360"/>
        <w:rPr>
          <w:lang w:val="en-GB"/>
        </w:rPr>
      </w:pPr>
      <w:r>
        <w:rPr>
          <w:lang w:val="en-GB"/>
        </w:rPr>
        <mc:AlternateContent>
          <mc:Choice Requires="wps">
            <w:drawing>
              <wp:anchor behindDoc="0" distT="0" distB="6350" distL="111125" distR="131445" simplePos="0" locked="0" layoutInCell="0" allowOverlap="0" relativeHeight="6" wp14:anchorId="610E0179">
                <wp:simplePos x="0" y="0"/>
                <wp:positionH relativeFrom="column">
                  <wp:posOffset>3175</wp:posOffset>
                </wp:positionH>
                <wp:positionV relativeFrom="paragraph">
                  <wp:posOffset>523240</wp:posOffset>
                </wp:positionV>
                <wp:extent cx="6113780" cy="4066540"/>
                <wp:effectExtent l="3175" t="3175" r="3175" b="3175"/>
                <wp:wrapSquare wrapText="right"/>
                <wp:docPr id="15" name="Casella di testo 7"/>
                <a:graphic xmlns:a="http://schemas.openxmlformats.org/drawingml/2006/main">
                  <a:graphicData uri="http://schemas.microsoft.com/office/word/2010/wordprocessingShape">
                    <wps:wsp>
                      <wps:cNvSpPr/>
                      <wps:spPr>
                        <a:xfrm>
                          <a:off x="0" y="0"/>
                          <a:ext cx="6113880" cy="4066560"/>
                        </a:xfrm>
                        <a:prstGeom prst="rect">
                          <a:avLst/>
                        </a:prstGeom>
                        <a:solidFill>
                          <a:schemeClr val="lt1"/>
                        </a:solidFill>
                        <a:ln w="6350">
                          <a:solidFill>
                            <a:srgbClr val="000000"/>
                          </a:solidFill>
                          <a:round/>
                        </a:ln>
                      </wps:spPr>
                      <wps:style>
                        <a:lnRef idx="0">
                          <a:schemeClr val="accent1"/>
                        </a:lnRef>
                        <a:fillRef idx="0">
                          <a:schemeClr val="accent1"/>
                        </a:fillRef>
                        <a:effectRef idx="0">
                          <a:schemeClr val="accent1"/>
                        </a:effectRef>
                        <a:fontRef idx="minor"/>
                      </wps:style>
                      <wps:txbx>
                        <w:txbxContent>
                          <w:tbl>
                            <w:tblPr>
                              <w:tblStyle w:val="Grigliatabella"/>
                              <w:tblW w:w="9320" w:type="dxa"/>
                              <w:jc w:val="left"/>
                              <w:tblInd w:w="0" w:type="dxa"/>
                              <w:tblLayout w:type="fixed"/>
                              <w:tblCellMar>
                                <w:top w:w="0" w:type="dxa"/>
                                <w:left w:w="108" w:type="dxa"/>
                                <w:bottom w:w="0" w:type="dxa"/>
                                <w:right w:w="108" w:type="dxa"/>
                              </w:tblCellMar>
                              <w:tblLook w:val="04a0" w:noVBand="1" w:noHBand="0" w:lastColumn="0" w:firstColumn="1" w:lastRow="0" w:firstRow="1"/>
                            </w:tblPr>
                            <w:tblGrid>
                              <w:gridCol w:w="4659"/>
                              <w:gridCol w:w="4660"/>
                            </w:tblGrid>
                            <w:tr>
                              <w:trPr/>
                              <w:tc>
                                <w:tcPr>
                                  <w:tcW w:w="4659" w:type="dxa"/>
                                  <w:tcBorders/>
                                </w:tcPr>
                                <w:p>
                                  <w:pPr>
                                    <w:pStyle w:val="FrameContents"/>
                                    <w:widowControl/>
                                    <w:spacing w:lineRule="auto" w:line="240" w:before="0" w:after="0"/>
                                    <w:jc w:val="left"/>
                                    <w:rPr>
                                      <w:rFonts w:ascii="Times New Roman" w:hAnsi="Times New Roman" w:eastAsia="Calibri" w:cs="Times New Roman"/>
                                      <w:kern w:val="0"/>
                                      <w:sz w:val="24"/>
                                      <w:szCs w:val="24"/>
                                      <w:lang w:val="en-GB" w:eastAsia="en-US" w:bidi="ar-SA"/>
                                    </w:rPr>
                                  </w:pPr>
                                  <w:r>
                                    <w:rPr>
                                      <w:rFonts w:eastAsia="Calibri" w:cs="Times New Roman"/>
                                      <w:kern w:val="0"/>
                                      <w:sz w:val="24"/>
                                      <w:szCs w:val="24"/>
                                      <w:lang w:val="en-GB" w:eastAsia="en-US" w:bidi="ar-SA"/>
                                    </w:rPr>
                                    <w:drawing>
                                      <wp:inline distT="0" distB="0" distL="0" distR="0">
                                        <wp:extent cx="2779395" cy="2779395"/>
                                        <wp:effectExtent l="0" t="0" r="0" b="0"/>
                                        <wp:docPr id="17" name="Immagine 1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magine 15" descr=""/>
                                                <pic:cNvPicPr>
                                                  <a:picLocks noChangeAspect="1" noChangeArrowheads="1"/>
                                                </pic:cNvPicPr>
                                              </pic:nvPicPr>
                                              <pic:blipFill>
                                                <a:blip r:embed="rId12"/>
                                                <a:stretch>
                                                  <a:fillRect/>
                                                </a:stretch>
                                              </pic:blipFill>
                                              <pic:spPr bwMode="auto">
                                                <a:xfrm>
                                                  <a:off x="0" y="0"/>
                                                  <a:ext cx="2779395" cy="2779395"/>
                                                </a:xfrm>
                                                <a:prstGeom prst="rect">
                                                  <a:avLst/>
                                                </a:prstGeom>
                                              </pic:spPr>
                                            </pic:pic>
                                          </a:graphicData>
                                        </a:graphic>
                                      </wp:inline>
                                    </w:drawing>
                                  </w:r>
                                </w:p>
                              </w:tc>
                              <w:tc>
                                <w:tcPr>
                                  <w:tcW w:w="4660" w:type="dxa"/>
                                  <w:tcBorders/>
                                </w:tcPr>
                                <w:p>
                                  <w:pPr>
                                    <w:pStyle w:val="FrameContents"/>
                                    <w:widowControl/>
                                    <w:spacing w:lineRule="auto" w:line="240" w:before="0" w:after="0"/>
                                    <w:jc w:val="left"/>
                                    <w:rPr>
                                      <w:rFonts w:ascii="Times New Roman" w:hAnsi="Times New Roman" w:eastAsia="Calibri" w:cs="Times New Roman"/>
                                      <w:kern w:val="0"/>
                                      <w:sz w:val="24"/>
                                      <w:szCs w:val="24"/>
                                      <w:lang w:val="en-GB" w:eastAsia="en-US" w:bidi="ar-SA"/>
                                    </w:rPr>
                                  </w:pPr>
                                  <w:r>
                                    <w:rPr>
                                      <w:rFonts w:eastAsia="Calibri" w:cs="Times New Roman"/>
                                      <w:kern w:val="0"/>
                                      <w:sz w:val="24"/>
                                      <w:szCs w:val="24"/>
                                      <w:lang w:val="en-GB" w:eastAsia="en-US" w:bidi="ar-SA"/>
                                    </w:rPr>
                                    <w:drawing>
                                      <wp:inline distT="0" distB="0" distL="0" distR="0">
                                        <wp:extent cx="2797810" cy="2797810"/>
                                        <wp:effectExtent l="0" t="0" r="0" b="0"/>
                                        <wp:docPr id="18" name="Immagine 2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magine 21" descr=""/>
                                                <pic:cNvPicPr>
                                                  <a:picLocks noChangeAspect="1" noChangeArrowheads="1"/>
                                                </pic:cNvPicPr>
                                              </pic:nvPicPr>
                                              <pic:blipFill>
                                                <a:blip r:embed="rId13"/>
                                                <a:stretch>
                                                  <a:fillRect/>
                                                </a:stretch>
                                              </pic:blipFill>
                                              <pic:spPr bwMode="auto">
                                                <a:xfrm>
                                                  <a:off x="0" y="0"/>
                                                  <a:ext cx="2797810" cy="2797810"/>
                                                </a:xfrm>
                                                <a:prstGeom prst="rect">
                                                  <a:avLst/>
                                                </a:prstGeom>
                                              </pic:spPr>
                                            </pic:pic>
                                          </a:graphicData>
                                        </a:graphic>
                                      </wp:inline>
                                    </w:drawing>
                                  </w:r>
                                </w:p>
                              </w:tc>
                            </w:tr>
                          </w:tbl>
                          <w:p>
                            <w:pPr>
                              <w:pStyle w:val="FrameContents"/>
                              <w:rPr>
                                <w:color w:val="000000"/>
                              </w:rPr>
                            </w:pPr>
                            <w:r>
                              <w:rPr>
                                <w:color w:val="000000"/>
                              </w:rPr>
                            </w:r>
                          </w:p>
                          <w:p>
                            <w:pPr>
                              <w:pStyle w:val="FrameContents"/>
                              <w:spacing w:before="0" w:after="160"/>
                              <w:rPr>
                                <w:color w:val="000000"/>
                              </w:rPr>
                            </w:pPr>
                            <w:r>
                              <w:rPr>
                                <w:color w:val="000000"/>
                              </w:rPr>
                              <w:t xml:space="preserve">Figure 3. (left) MD-computed combined distribution function with </w:t>
                            </w:r>
                            <w:r>
                              <w:rPr>
                                <w:color w:val="000000"/>
                                <w:lang w:val="en-GB"/>
                              </w:rPr>
                              <w:t>CoR-CoR as an abscissa and the angle between ring perpendiculars as an ordinate</w:t>
                            </w:r>
                            <w:r>
                              <w:rPr>
                                <w:color w:val="000000"/>
                              </w:rPr>
                              <w:t xml:space="preserve">. (right) MD-computed combined distribution function with </w:t>
                            </w:r>
                            <w:r>
                              <w:rPr>
                                <w:color w:val="000000"/>
                                <w:lang w:val="en-GB"/>
                              </w:rPr>
                              <w:t>CoR-CoR as an abscissa and the angle between vectors C7-O1 as an ordinate</w:t>
                            </w:r>
                            <w:r>
                              <w:rPr>
                                <w:color w:val="000000"/>
                              </w:rPr>
                              <w:t>.</w:t>
                            </w:r>
                          </w:p>
                        </w:txbxContent>
                      </wps:txbx>
                      <wps:bodyPr anchor="t">
                        <a:prstTxWarp prst="textNoShape"/>
                        <a:noAutofit/>
                      </wps:bodyPr>
                    </wps:wsp>
                  </a:graphicData>
                </a:graphic>
              </wp:anchor>
            </w:drawing>
          </mc:Choice>
          <mc:Fallback>
            <w:pict>
              <v:rect id="shape_0" ID="Casella di testo 7" path="m0,0l-2147483645,0l-2147483645,-2147483646l0,-2147483646xe" fillcolor="white" stroked="t" o:allowincell="f" style="position:absolute;margin-left:0.25pt;margin-top:41.2pt;width:481.35pt;height:320.15pt;mso-wrap-style:square;v-text-anchor:top" wp14:anchorId="610E0179">
                <v:fill o:detectmouseclick="t" type="solid" color2="black"/>
                <v:stroke color="black" weight="6480" joinstyle="round" endcap="flat"/>
                <v:textbox>
                  <w:txbxContent>
                    <w:tbl>
                      <w:tblPr>
                        <w:tblStyle w:val="Grigliatabella"/>
                        <w:tblW w:w="9320" w:type="dxa"/>
                        <w:jc w:val="left"/>
                        <w:tblInd w:w="0" w:type="dxa"/>
                        <w:tblLayout w:type="fixed"/>
                        <w:tblCellMar>
                          <w:top w:w="0" w:type="dxa"/>
                          <w:left w:w="108" w:type="dxa"/>
                          <w:bottom w:w="0" w:type="dxa"/>
                          <w:right w:w="108" w:type="dxa"/>
                        </w:tblCellMar>
                        <w:tblLook w:val="04a0" w:noVBand="1" w:noHBand="0" w:lastColumn="0" w:firstColumn="1" w:lastRow="0" w:firstRow="1"/>
                      </w:tblPr>
                      <w:tblGrid>
                        <w:gridCol w:w="4659"/>
                        <w:gridCol w:w="4660"/>
                      </w:tblGrid>
                      <w:tr>
                        <w:trPr/>
                        <w:tc>
                          <w:tcPr>
                            <w:tcW w:w="4659" w:type="dxa"/>
                            <w:tcBorders/>
                          </w:tcPr>
                          <w:p>
                            <w:pPr>
                              <w:pStyle w:val="FrameContents"/>
                              <w:widowControl/>
                              <w:spacing w:lineRule="auto" w:line="240" w:before="0" w:after="0"/>
                              <w:jc w:val="left"/>
                              <w:rPr>
                                <w:rFonts w:ascii="Times New Roman" w:hAnsi="Times New Roman" w:eastAsia="Calibri" w:cs="Times New Roman"/>
                                <w:kern w:val="0"/>
                                <w:sz w:val="24"/>
                                <w:szCs w:val="24"/>
                                <w:lang w:val="en-GB" w:eastAsia="en-US" w:bidi="ar-SA"/>
                              </w:rPr>
                            </w:pPr>
                            <w:r>
                              <w:rPr>
                                <w:rFonts w:eastAsia="Calibri" w:cs="Times New Roman"/>
                                <w:kern w:val="0"/>
                                <w:sz w:val="24"/>
                                <w:szCs w:val="24"/>
                                <w:lang w:val="en-GB" w:eastAsia="en-US" w:bidi="ar-SA"/>
                              </w:rPr>
                              <w:drawing>
                                <wp:inline distT="0" distB="0" distL="0" distR="0">
                                  <wp:extent cx="2779395" cy="2779395"/>
                                  <wp:effectExtent l="0" t="0" r="0" b="0"/>
                                  <wp:docPr id="19" name="Immagine 1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magine 15" descr=""/>
                                          <pic:cNvPicPr>
                                            <a:picLocks noChangeAspect="1" noChangeArrowheads="1"/>
                                          </pic:cNvPicPr>
                                        </pic:nvPicPr>
                                        <pic:blipFill>
                                          <a:blip r:embed="rId14"/>
                                          <a:stretch>
                                            <a:fillRect/>
                                          </a:stretch>
                                        </pic:blipFill>
                                        <pic:spPr bwMode="auto">
                                          <a:xfrm>
                                            <a:off x="0" y="0"/>
                                            <a:ext cx="2779395" cy="2779395"/>
                                          </a:xfrm>
                                          <a:prstGeom prst="rect">
                                            <a:avLst/>
                                          </a:prstGeom>
                                        </pic:spPr>
                                      </pic:pic>
                                    </a:graphicData>
                                  </a:graphic>
                                </wp:inline>
                              </w:drawing>
                            </w:r>
                          </w:p>
                        </w:tc>
                        <w:tc>
                          <w:tcPr>
                            <w:tcW w:w="4660" w:type="dxa"/>
                            <w:tcBorders/>
                          </w:tcPr>
                          <w:p>
                            <w:pPr>
                              <w:pStyle w:val="FrameContents"/>
                              <w:widowControl/>
                              <w:spacing w:lineRule="auto" w:line="240" w:before="0" w:after="0"/>
                              <w:jc w:val="left"/>
                              <w:rPr>
                                <w:rFonts w:ascii="Times New Roman" w:hAnsi="Times New Roman" w:eastAsia="Calibri" w:cs="Times New Roman"/>
                                <w:kern w:val="0"/>
                                <w:sz w:val="24"/>
                                <w:szCs w:val="24"/>
                                <w:lang w:val="en-GB" w:eastAsia="en-US" w:bidi="ar-SA"/>
                              </w:rPr>
                            </w:pPr>
                            <w:r>
                              <w:rPr>
                                <w:rFonts w:eastAsia="Calibri" w:cs="Times New Roman"/>
                                <w:kern w:val="0"/>
                                <w:sz w:val="24"/>
                                <w:szCs w:val="24"/>
                                <w:lang w:val="en-GB" w:eastAsia="en-US" w:bidi="ar-SA"/>
                              </w:rPr>
                              <w:drawing>
                                <wp:inline distT="0" distB="0" distL="0" distR="0">
                                  <wp:extent cx="2797810" cy="2797810"/>
                                  <wp:effectExtent l="0" t="0" r="0" b="0"/>
                                  <wp:docPr id="20" name="Immagine 2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magine 21" descr=""/>
                                          <pic:cNvPicPr>
                                            <a:picLocks noChangeAspect="1" noChangeArrowheads="1"/>
                                          </pic:cNvPicPr>
                                        </pic:nvPicPr>
                                        <pic:blipFill>
                                          <a:blip r:embed="rId15"/>
                                          <a:stretch>
                                            <a:fillRect/>
                                          </a:stretch>
                                        </pic:blipFill>
                                        <pic:spPr bwMode="auto">
                                          <a:xfrm>
                                            <a:off x="0" y="0"/>
                                            <a:ext cx="2797810" cy="2797810"/>
                                          </a:xfrm>
                                          <a:prstGeom prst="rect">
                                            <a:avLst/>
                                          </a:prstGeom>
                                        </pic:spPr>
                                      </pic:pic>
                                    </a:graphicData>
                                  </a:graphic>
                                </wp:inline>
                              </w:drawing>
                            </w:r>
                          </w:p>
                        </w:tc>
                      </w:tr>
                    </w:tbl>
                    <w:p>
                      <w:pPr>
                        <w:pStyle w:val="FrameContents"/>
                        <w:rPr>
                          <w:color w:val="000000"/>
                        </w:rPr>
                      </w:pPr>
                      <w:r>
                        <w:rPr>
                          <w:color w:val="000000"/>
                        </w:rPr>
                      </w:r>
                    </w:p>
                    <w:p>
                      <w:pPr>
                        <w:pStyle w:val="FrameContents"/>
                        <w:spacing w:before="0" w:after="160"/>
                        <w:rPr>
                          <w:color w:val="000000"/>
                        </w:rPr>
                      </w:pPr>
                      <w:r>
                        <w:rPr>
                          <w:color w:val="000000"/>
                        </w:rPr>
                        <w:t xml:space="preserve">Figure 3. (left) MD-computed combined distribution function with </w:t>
                      </w:r>
                      <w:r>
                        <w:rPr>
                          <w:color w:val="000000"/>
                          <w:lang w:val="en-GB"/>
                        </w:rPr>
                        <w:t>CoR-CoR as an abscissa and the angle between ring perpendiculars as an ordinate</w:t>
                      </w:r>
                      <w:r>
                        <w:rPr>
                          <w:color w:val="000000"/>
                        </w:rPr>
                        <w:t xml:space="preserve">. (right) MD-computed combined distribution function with </w:t>
                      </w:r>
                      <w:r>
                        <w:rPr>
                          <w:color w:val="000000"/>
                          <w:lang w:val="en-GB"/>
                        </w:rPr>
                        <w:t>CoR-CoR as an abscissa and the angle between vectors C7-O1 as an ordinate</w:t>
                      </w:r>
                      <w:r>
                        <w:rPr>
                          <w:color w:val="000000"/>
                        </w:rPr>
                        <w:t>.</w:t>
                      </w:r>
                    </w:p>
                  </w:txbxContent>
                </v:textbox>
                <w10:wrap type="square" side="right"/>
              </v:rect>
            </w:pict>
          </mc:Fallback>
        </mc:AlternateContent>
        <w:t xml:space="preserve">In order to better rationalise thymol-thymol correlations, a series of combined distribution functions (cdf) has been evaluated and their analysis will provide a clear understanding on the nature of these correlations. </w:t>
      </w:r>
      <w:r>
        <w:rPr>
          <w:b/>
          <w:lang w:val="en-GB"/>
        </w:rPr>
        <w:t>Figure 3</w:t>
      </w:r>
      <w:r>
        <w:rPr>
          <w:lang w:val="en-GB"/>
        </w:rPr>
        <w:t xml:space="preserve"> (left) shows the cdf reporting the Center of Ring (CoR)-CoR distance as an abscissa and the angle between ring perpendiculars as an ordinate. It clearly appears that the strongest correlation occurs for a distance CoR-CoR of ca 6.5 Å, with neighbour thymol rings perpendicular to each other. On the other hand, shorter-range correlations can occur and correspond to distances CoR-CoR between 4 and 5 Å, with a preference for parallel or antiparallel orientation. Such a situation accounts for the complex pdf associated to the #3-#3 distance that corresponds to a progressive evolution of the orientation of neighbour thymol molecules with respect to the reference one, upon increasing their reciprocal distance. This organization reminds of similar arrangement in other aromatic molecular liquids, such as benzene and toluene</w:t>
      </w:r>
      <w:r>
        <w:fldChar w:fldCharType="begin"/>
      </w:r>
      <w:r>
        <w:rPr>
          <w:lang w:val="en-GB"/>
        </w:rPr>
        <w:instrText xml:space="preserve">ADDIN CSL_CITATION {"citationItems":[{"id":"ITEM-1","itemData":{"DOI":"10.1021/ja909084e","ISSN":"0002-7863","author":[{"dropping-particle":"","family":"Headen","given":"Thomas F","non-dropping-particle":"","parse-names":false,"suffix":""},{"dropping-particle":"","family":"Howard","given":"Christopher A","non-dropping-particle":"","parse-names":false,"suffix":""},{"dropping-particle":"","family":"Skipper","given":"Neal T","non-dropping-particle":"","parse-names":false,"suffix":""},{"dropping-particle":"","family":"Wilkinson","given":"Michael A","non-dropping-particle":"","parse-names":false,"suffix":""},{"dropping-particle":"","family":"Bowron","given":"Daniel T","non-dropping-particle":"","parse-names":false,"suffix":""},{"dropping-particle":"","family":"Soper","given":"Alan Kenneth","non-dropping-particle":"","parse-names":false,"suffix":""}],"container-title":"Journal of the American Chemical Society","id":"ITEM-1","issue":"16","issued":{"date-parts":[["2010","4","28"]]},"page":"5735-5742","title":"Structure of π−π Interactions in Aromatic Liquids","type":"article-journal","volume":"132"},"uris":["http://www.mendeley.com/documents/?uuid=320f95dc-c09e-44c5-bad4-5c5d6e8221b0"]},{"id":"ITEM-2","itemData":{"DOI":"10.1002/cphc.201600149","ISSN":"14394235","author":[{"dropping-particle":"","family":"Falkowska","given":"Marta","non-dropping-particle":"","parse-names":false,"suffix":""},{"dropping-particle":"","family":"Bowron","given":"Daniel T","non-dropping-particle":"","parse-names":false,"suffix":""},{"dropping-particle":"","family":"Manyar","given":"Haresh G","non-dropping-particle":"","parse-names":false,"suffix":""},{"dropping-particle":"","family":"Hardacre","given":"Christopher","non-dropping-particle":"","parse-names":false,"suffix":""},{"dropping-particle":"","family":"Youngs","given":"Tristan G A","non-dropping-particle":"","parse-names":false,"suffix":""}],"container-title":"ChemPhysChem","id":"ITEM-2","issue":"13","issued":{"date-parts":[["2016","7","4"]]},"page":"2043-2055","title":"Neutron Scattering of Aromatic and Aliphatic Liquids","type":"article-journal","volume":"17"},"uris":["http://www.mendeley.com/documents/?uuid=31b268b4-4399-4d03-a5fe-917f28f57c63"]}],"mendeley":{"formattedCitation":"[46,47]","plainTextFormattedCitation":"[46,47]","previouslyFormattedCitation":"[46,47]"},"properties":{"noteIndex":0},"schema":"https://github.com/citation-style-language/schema/raw/master/csl-citation.json"}</w:instrText>
      </w:r>
      <w:r>
        <w:rPr>
          <w:lang w:val="en-GB"/>
        </w:rPr>
      </w:r>
      <w:r>
        <w:rPr>
          <w:lang w:val="en-GB"/>
        </w:rPr>
        <w:fldChar w:fldCharType="separate"/>
      </w:r>
      <w:r>
        <w:rPr>
          <w:lang w:val="en-GB"/>
        </w:rPr>
        <w:t>[46,47]</w:t>
      </w:r>
      <w:r>
        <w:rPr>
          <w:lang w:val="en-GB"/>
        </w:rPr>
      </w:r>
      <w:r>
        <w:rPr>
          <w:lang w:val="en-GB"/>
        </w:rPr>
        <w:fldChar w:fldCharType="end"/>
      </w:r>
      <w:r>
        <w:rPr>
          <w:lang w:val="en-GB"/>
        </w:rPr>
        <w:t xml:space="preserve"> and anisole</w:t>
      </w:r>
      <w:r>
        <w:fldChar w:fldCharType="begin"/>
      </w:r>
      <w:r>
        <w:rPr>
          <w:lang w:val="en-GB"/>
        </w:rPr>
        <w:instrText xml:space="preserve">ADDIN CSL_CITATION {"citationItems":[{"id":"ITEM-1","itemData":{"DOI":"10.1016/j.molliq.2020.113795","ISSN":"01677322","abstract":"High resolution, total neutron and X-ray scattering data have been used in synergy with Molecular Dynamics simulations to access atomistic scale insight into the structure of anisole and 2,3,5-trimethylanisole, two aromatic compounds bearing an electron-donating methoxy group. A detailed description is provided for the main interactions occurring in these systems, including π-π stacking and weak hydrogen bonding correlations: C–H⋯O and C–H⋯π. The existence of preferential orientations of the first shell coordinating molecules and the specific nature of the interactions involving the π cloud and the polar methoxy group have been reported and discussed.","author":[{"dropping-particle":"","family":"Triolo","given":"Alessandro","non-dropping-particle":"","parse-names":false,"suffix":""},{"dropping-particle":"","family":"Celso","given":"Fabrizio","non-dropping-particle":"Lo","parse-names":false,"suffix":""},{"dropping-particle":"V.","family":"Plechkova","given":"Natalia","non-dropping-particle":"","parse-names":false,"suffix":""},{"dropping-particle":"","family":"Leonelli","given":"Francesca","non-dropping-particle":"","parse-names":false,"suffix":""},{"dropping-particle":"","family":"Gärtner","given":"Sabrina","non-dropping-particle":"","parse-names":false,"suffix":""},{"dropping-particle":"","family":"Keeble","given":"Dean S.","non-dropping-particle":"","parse-names":false,"suffix":""},{"dropping-particle":"","family":"Russina","given":"Olga","non-dropping-particle":"","parse-names":false,"suffix":""}],"container-title":"Journal of Molecular Liquids","id":"ITEM-1","issued":{"date-parts":[["2020","9","15"]]},"page":"113795","publisher":"Elsevier B.V.","title":"Structure of anisole derivatives by total neutron and X-ray scattering: Evidences of weak C H⋯O and C H⋯π interactions in the liquid state","type":"article-journal","volume":"314"},"uris":["http://www.mendeley.com/documents/?uuid=8cf350b8-afed-3ea2-9974-cfc6c704ae35"]}],"mendeley":{"formattedCitation":"[48]","plainTextFormattedCitation":"[48]","previouslyFormattedCitation":"[48]"},"properties":{"noteIndex":0},"schema":"https://github.com/citation-style-language/schema/raw/master/csl-citation.json"}</w:instrText>
      </w:r>
      <w:r>
        <w:rPr>
          <w:lang w:val="en-GB"/>
        </w:rPr>
      </w:r>
      <w:r>
        <w:rPr>
          <w:lang w:val="en-GB"/>
        </w:rPr>
        <w:fldChar w:fldCharType="separate"/>
      </w:r>
      <w:r>
        <w:rPr>
          <w:lang w:val="en-GB"/>
        </w:rPr>
        <w:t>[48]</w:t>
      </w:r>
      <w:r>
        <w:rPr>
          <w:lang w:val="en-GB"/>
        </w:rPr>
      </w:r>
      <w:r>
        <w:rPr>
          <w:lang w:val="en-GB"/>
        </w:rPr>
        <w:fldChar w:fldCharType="end"/>
      </w:r>
      <w:r>
        <w:rPr>
          <w:lang w:val="en-GB"/>
        </w:rPr>
        <w:t xml:space="preserve">. In the presently studied case, the presence of the hydroxyl group acts as an additional orienting moiety: </w:t>
      </w:r>
      <w:r>
        <w:rPr>
          <w:b/>
          <w:lang w:val="en-GB"/>
        </w:rPr>
        <w:t>figure 3 (</w:t>
      </w:r>
      <w:r>
        <w:rPr>
          <w:lang w:val="en-GB"/>
        </w:rPr>
        <w:t xml:space="preserve">right) shows the cdf with #3-#3 distance as abscissa and the angle between vectors C7-O1 (see </w:t>
      </w:r>
      <w:r>
        <w:rPr>
          <w:b/>
          <w:lang w:val="en-GB"/>
        </w:rPr>
        <w:t>Scheme 1</w:t>
      </w:r>
      <w:r>
        <w:rPr>
          <w:lang w:val="en-GB"/>
        </w:rPr>
        <w:t xml:space="preserve">) of neighbour thymol molecules. Therein, it emerges a tendency toward perpendicular alignment between C7-O1 vectors belonging to neighbour (and perpendicular) thymol rings. Only at larger distance (between 7 and 8 Å), a distinct propensity towards anti-parallel orientation is detected. Additional correlations between neighbour thymol molecules may stem either by interaction involving the hydroxyl group or the methyl groups. The latter correlations are reported </w:t>
      </w:r>
      <w:r>
        <w:rPr>
          <w:lang w:val="en-GB"/>
        </w:rPr>
        <mc:AlternateContent>
          <mc:Choice Requires="wps">
            <w:drawing>
              <wp:anchor behindDoc="0" distT="0" distB="20955" distL="109855" distR="127635" simplePos="0" locked="0" layoutInCell="0" allowOverlap="0" relativeHeight="8" wp14:anchorId="6FCF9BCC">
                <wp:simplePos x="0" y="0"/>
                <wp:positionH relativeFrom="column">
                  <wp:posOffset>3175</wp:posOffset>
                </wp:positionH>
                <wp:positionV relativeFrom="paragraph">
                  <wp:posOffset>266700</wp:posOffset>
                </wp:positionV>
                <wp:extent cx="3603625" cy="3862070"/>
                <wp:effectExtent l="3810" t="3175" r="2540" b="3175"/>
                <wp:wrapSquare wrapText="right"/>
                <wp:docPr id="21" name="Casella di testo 16"/>
                <a:graphic xmlns:a="http://schemas.openxmlformats.org/drawingml/2006/main">
                  <a:graphicData uri="http://schemas.microsoft.com/office/word/2010/wordprocessingShape">
                    <wps:wsp>
                      <wps:cNvSpPr/>
                      <wps:spPr>
                        <a:xfrm>
                          <a:off x="0" y="0"/>
                          <a:ext cx="3603600" cy="3862080"/>
                        </a:xfrm>
                        <a:prstGeom prst="rect">
                          <a:avLst/>
                        </a:prstGeom>
                        <a:solidFill>
                          <a:schemeClr val="lt1"/>
                        </a:solidFill>
                        <a:ln w="6350">
                          <a:solidFill>
                            <a:srgbClr val="000000"/>
                          </a:solidFill>
                          <a:round/>
                        </a:ln>
                      </wps:spPr>
                      <wps:style>
                        <a:lnRef idx="0">
                          <a:schemeClr val="accent1"/>
                        </a:lnRef>
                        <a:fillRef idx="0">
                          <a:schemeClr val="accent1"/>
                        </a:fillRef>
                        <a:effectRef idx="0">
                          <a:schemeClr val="accent1"/>
                        </a:effectRef>
                        <a:fontRef idx="minor"/>
                      </wps:style>
                      <wps:txbx>
                        <w:txbxContent>
                          <w:p>
                            <w:pPr>
                              <w:pStyle w:val="FrameContents"/>
                              <w:rPr>
                                <w:color w:val="000000"/>
                              </w:rPr>
                            </w:pPr>
                            <w:r>
                              <w:rPr>
                                <w:color w:val="000000"/>
                              </w:rPr>
                              <w:drawing>
                                <wp:inline distT="0" distB="0" distL="0" distR="0">
                                  <wp:extent cx="3414395" cy="2613025"/>
                                  <wp:effectExtent l="0" t="0" r="0" b="0"/>
                                  <wp:docPr id="23" name="Immagine 2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magine 24" descr=""/>
                                          <pic:cNvPicPr>
                                            <a:picLocks noChangeAspect="1" noChangeArrowheads="1"/>
                                          </pic:cNvPicPr>
                                        </pic:nvPicPr>
                                        <pic:blipFill>
                                          <a:blip r:embed="rId16"/>
                                          <a:stretch>
                                            <a:fillRect/>
                                          </a:stretch>
                                        </pic:blipFill>
                                        <pic:spPr bwMode="auto">
                                          <a:xfrm>
                                            <a:off x="0" y="0"/>
                                            <a:ext cx="3414395" cy="2613025"/>
                                          </a:xfrm>
                                          <a:prstGeom prst="rect">
                                            <a:avLst/>
                                          </a:prstGeom>
                                        </pic:spPr>
                                      </pic:pic>
                                    </a:graphicData>
                                  </a:graphic>
                                </wp:inline>
                              </w:drawing>
                            </w:r>
                          </w:p>
                          <w:p>
                            <w:pPr>
                              <w:pStyle w:val="FrameContents"/>
                              <w:spacing w:before="0" w:after="160"/>
                              <w:rPr>
                                <w:color w:val="000000"/>
                              </w:rPr>
                            </w:pPr>
                            <w:r>
                              <w:rPr>
                                <w:color w:val="000000"/>
                              </w:rPr>
                              <w:t>Figure 4. MD-computed pair distribution functions (continuous lines) and corresponding running neighbour numbers (dashed lines) of methyl groups correlations in the thymol-water mixture. Also included the C2-C10 correlation.</w:t>
                            </w:r>
                          </w:p>
                        </w:txbxContent>
                      </wps:txbx>
                      <wps:bodyPr anchor="t">
                        <a:prstTxWarp prst="textNoShape"/>
                        <a:noAutofit/>
                      </wps:bodyPr>
                    </wps:wsp>
                  </a:graphicData>
                </a:graphic>
              </wp:anchor>
            </w:drawing>
          </mc:Choice>
          <mc:Fallback>
            <w:pict>
              <v:rect id="shape_0" ID="Casella di testo 16" path="m0,0l-2147483645,0l-2147483645,-2147483646l0,-2147483646xe" fillcolor="white" stroked="t" o:allowincell="f" style="position:absolute;margin-left:0.25pt;margin-top:21pt;width:283.7pt;height:304.05pt;mso-wrap-style:square;v-text-anchor:top" wp14:anchorId="6FCF9BCC">
                <v:fill o:detectmouseclick="t" type="solid" color2="black"/>
                <v:stroke color="black" weight="6480" joinstyle="round" endcap="flat"/>
                <v:textbox>
                  <w:txbxContent>
                    <w:p>
                      <w:pPr>
                        <w:pStyle w:val="FrameContents"/>
                        <w:rPr>
                          <w:color w:val="000000"/>
                        </w:rPr>
                      </w:pPr>
                      <w:r>
                        <w:rPr>
                          <w:color w:val="000000"/>
                        </w:rPr>
                        <w:drawing>
                          <wp:inline distT="0" distB="0" distL="0" distR="0">
                            <wp:extent cx="3414395" cy="2613025"/>
                            <wp:effectExtent l="0" t="0" r="0" b="0"/>
                            <wp:docPr id="24" name="Immagine 2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magine 24" descr=""/>
                                    <pic:cNvPicPr>
                                      <a:picLocks noChangeAspect="1" noChangeArrowheads="1"/>
                                    </pic:cNvPicPr>
                                  </pic:nvPicPr>
                                  <pic:blipFill>
                                    <a:blip r:embed="rId17"/>
                                    <a:stretch>
                                      <a:fillRect/>
                                    </a:stretch>
                                  </pic:blipFill>
                                  <pic:spPr bwMode="auto">
                                    <a:xfrm>
                                      <a:off x="0" y="0"/>
                                      <a:ext cx="3414395" cy="2613025"/>
                                    </a:xfrm>
                                    <a:prstGeom prst="rect">
                                      <a:avLst/>
                                    </a:prstGeom>
                                  </pic:spPr>
                                </pic:pic>
                              </a:graphicData>
                            </a:graphic>
                          </wp:inline>
                        </w:drawing>
                      </w:r>
                    </w:p>
                    <w:p>
                      <w:pPr>
                        <w:pStyle w:val="FrameContents"/>
                        <w:spacing w:before="0" w:after="160"/>
                        <w:rPr>
                          <w:color w:val="000000"/>
                        </w:rPr>
                      </w:pPr>
                      <w:r>
                        <w:rPr>
                          <w:color w:val="000000"/>
                        </w:rPr>
                        <w:t>Figure 4. MD-computed pair distribution functions (continuous lines) and corresponding running neighbour numbers (dashed lines) of methyl groups correlations in the thymol-water mixture. Also included the C2-C10 correlation.</w:t>
                      </w:r>
                    </w:p>
                  </w:txbxContent>
                </v:textbox>
                <w10:wrap type="square" side="right"/>
              </v:rect>
            </w:pict>
          </mc:Fallback>
        </mc:AlternateContent>
        <w:t xml:space="preserve">in </w:t>
      </w:r>
      <w:r>
        <w:rPr>
          <w:b/>
          <w:lang w:val="en-GB"/>
        </w:rPr>
        <w:t>Figure 4</w:t>
      </w:r>
      <w:r>
        <w:rPr>
          <w:lang w:val="en-GB"/>
        </w:rPr>
        <w:t>. Similarly to related correlations in other aromatic liquids (such as toluene and 2,3,5-trimethyl-anisole)</w:t>
      </w:r>
      <w:r>
        <w:fldChar w:fldCharType="begin"/>
      </w:r>
      <w:r>
        <w:rPr>
          <w:lang w:val="en-GB"/>
        </w:rPr>
        <w:instrText xml:space="preserve">ADDIN CSL_CITATION {"citationItems":[{"id":"ITEM-1","itemData":{"DOI":"10.1021/ja909084e","ISSN":"0002-7863","author":[{"dropping-particle":"","family":"Headen","given":"Thomas F","non-dropping-particle":"","parse-names":false,"suffix":""},{"dropping-particle":"","family":"Howard","given":"Christopher A","non-dropping-particle":"","parse-names":false,"suffix":""},{"dropping-particle":"","family":"Skipper","given":"Neal T","non-dropping-particle":"","parse-names":false,"suffix":""},{"dropping-particle":"","family":"Wilkinson","given":"Michael A","non-dropping-particle":"","parse-names":false,"suffix":""},{"dropping-particle":"","family":"Bowron","given":"Daniel T","non-dropping-particle":"","parse-names":false,"suffix":""},{"dropping-particle":"","family":"Soper","given":"Alan Kenneth","non-dropping-particle":"","parse-names":false,"suffix":""}],"container-title":"Journal of the American Chemical Society","id":"ITEM-1","issue":"16","issued":{"date-parts":[["2010","4","28"]]},"page":"5735-5742","title":"Structure of π−π Interactions in Aromatic Liquids","type":"article-journal","volume":"132"},"uris":["http://www.mendeley.com/documents/?uuid=320f95dc-c09e-44c5-bad4-5c5d6e8221b0"]},{"id":"ITEM-2","itemData":{"DOI":"10.1016/j.molliq.2020.113795","ISSN":"01677322","abstract":"High resolution, total neutron and X-ray scattering data have been used in synergy with Molecular Dynamics simulations to access atomistic scale insight into the structure of anisole and 2,3,5-trimethylanisole, two aromatic compounds bearing an electron-donating methoxy group. A detailed description is provided for the main interactions occurring in these systems, including π-π stacking and weak hydrogen bonding correlations: C–H⋯O and C–H⋯π. The existence of preferential orientations of the first shell coordinating molecules and the specific nature of the interactions involving the π cloud and the polar methoxy group have been reported and discussed.","author":[{"dropping-particle":"","family":"Triolo","given":"Alessandro","non-dropping-particle":"","parse-names":false,"suffix":""},{"dropping-particle":"","family":"Celso","given":"Fabrizio","non-dropping-particle":"Lo","parse-names":false,"suffix":""},{"dropping-particle":"V.","family":"Plechkova","given":"Natalia","non-dropping-particle":"","parse-names":false,"suffix":""},{"dropping-particle":"","family":"Leonelli","given":"Francesca","non-dropping-particle":"","parse-names":false,"suffix":""},{"dropping-particle":"","family":"Gärtner","given":"Sabrina","non-dropping-particle":"","parse-names":false,"suffix":""},{"dropping-particle":"","family":"Keeble","given":"Dean S.","non-dropping-particle":"","parse-names":false,"suffix":""},{"dropping-particle":"","family":"Russina","given":"Olga","non-dropping-particle":"","parse-names":false,"suffix":""}],"container-title":"Journal of Molecular Liquids","id":"ITEM-2","issued":{"date-parts":[["2020","9","15"]]},"page":"113795","publisher":"Elsevier B.V.","title":"Structure of anisole derivatives by total neutron and X-ray scattering: Evidences of weak C H⋯O and C H⋯π interactions in the liquid state","type":"article-journal","volume":"314"},"uris":["http://www.mendeley.com/documents/?uuid=8cf350b8-afed-3ea2-9974-cfc6c704ae35"]}],"mendeley":{"formattedCitation":"[46,48]","plainTextFormattedCitation":"[46,48]","previouslyFormattedCitation":"[46,48]"},"properties":{"noteIndex":0},"schema":"https://github.com/citation-style-language/schema/raw/master/csl-citation.json"}</w:instrText>
      </w:r>
      <w:r>
        <w:rPr>
          <w:lang w:val="en-GB"/>
        </w:rPr>
      </w:r>
      <w:r>
        <w:rPr>
          <w:lang w:val="en-GB"/>
        </w:rPr>
        <w:fldChar w:fldCharType="separate"/>
      </w:r>
      <w:r>
        <w:rPr>
          <w:lang w:val="en-GB"/>
        </w:rPr>
        <w:t>[46,48]</w:t>
      </w:r>
      <w:r>
        <w:rPr>
          <w:lang w:val="en-GB"/>
        </w:rPr>
      </w:r>
      <w:r>
        <w:rPr>
          <w:lang w:val="en-GB"/>
        </w:rPr>
        <w:fldChar w:fldCharType="end"/>
      </w:r>
      <w:r>
        <w:rPr>
          <w:lang w:val="en-GB"/>
        </w:rPr>
        <w:t xml:space="preserve">, short range correlation is detected with quite strong amplitude for all the methyl-methyl correlations between neighbour molecules: typically, close correlations between methyl groups C8 and C9 occur between 3 and 5 Å, corresponding to two neighbours surrounding the reference methyl group. C10 methyl groups that are presumably less hindered by the presence of the hydroxyl group extend their shell of solvation up to ca. 6 Å, with four surrounding C10 groups. These correlations can be better </w:t>
      </w:r>
      <w:r>
        <mc:AlternateContent>
          <mc:Choice Requires="wps">
            <w:drawing>
              <wp:anchor behindDoc="0" distT="0" distB="15240" distL="109855" distR="136525" simplePos="0" locked="0" layoutInCell="0" allowOverlap="0" relativeHeight="10" wp14:anchorId="36CAB4DC">
                <wp:simplePos x="0" y="0"/>
                <wp:positionH relativeFrom="column">
                  <wp:posOffset>3175</wp:posOffset>
                </wp:positionH>
                <wp:positionV relativeFrom="paragraph">
                  <wp:posOffset>4477385</wp:posOffset>
                </wp:positionV>
                <wp:extent cx="3213735" cy="4039235"/>
                <wp:effectExtent l="3810" t="3810" r="2540" b="2540"/>
                <wp:wrapSquare wrapText="right"/>
                <wp:docPr id="25" name="Casella di testo 20"/>
                <a:graphic xmlns:a="http://schemas.openxmlformats.org/drawingml/2006/main">
                  <a:graphicData uri="http://schemas.microsoft.com/office/word/2010/wordprocessingShape">
                    <wps:wsp>
                      <wps:cNvSpPr/>
                      <wps:spPr>
                        <a:xfrm>
                          <a:off x="0" y="0"/>
                          <a:ext cx="3213720" cy="4039200"/>
                        </a:xfrm>
                        <a:prstGeom prst="rect">
                          <a:avLst/>
                        </a:prstGeom>
                        <a:solidFill>
                          <a:schemeClr val="lt1"/>
                        </a:solidFill>
                        <a:ln w="6350">
                          <a:solidFill>
                            <a:srgbClr val="000000"/>
                          </a:solidFill>
                          <a:round/>
                        </a:ln>
                      </wps:spPr>
                      <wps:style>
                        <a:lnRef idx="0">
                          <a:schemeClr val="accent1"/>
                        </a:lnRef>
                        <a:fillRef idx="0">
                          <a:schemeClr val="accent1"/>
                        </a:fillRef>
                        <a:effectRef idx="0">
                          <a:schemeClr val="accent1"/>
                        </a:effectRef>
                        <a:fontRef idx="minor"/>
                      </wps:style>
                      <wps:txbx>
                        <w:txbxContent>
                          <w:p>
                            <w:pPr>
                              <w:pStyle w:val="FrameContents"/>
                              <w:jc w:val="center"/>
                              <w:rPr>
                                <w:color w:val="000000"/>
                              </w:rPr>
                            </w:pPr>
                            <w:r>
                              <w:rPr>
                                <w:color w:val="000000"/>
                              </w:rPr>
                              <w:drawing>
                                <wp:inline distT="0" distB="0" distL="0" distR="0">
                                  <wp:extent cx="2795270" cy="2758440"/>
                                  <wp:effectExtent l="0" t="0" r="0" b="0"/>
                                  <wp:docPr id="27" name="Immagine 3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magine 32" descr=""/>
                                          <pic:cNvPicPr>
                                            <a:picLocks noChangeAspect="1" noChangeArrowheads="1"/>
                                          </pic:cNvPicPr>
                                        </pic:nvPicPr>
                                        <pic:blipFill>
                                          <a:blip r:embed="rId18"/>
                                          <a:stretch>
                                            <a:fillRect/>
                                          </a:stretch>
                                        </pic:blipFill>
                                        <pic:spPr bwMode="auto">
                                          <a:xfrm>
                                            <a:off x="0" y="0"/>
                                            <a:ext cx="2795270" cy="2758440"/>
                                          </a:xfrm>
                                          <a:prstGeom prst="rect">
                                            <a:avLst/>
                                          </a:prstGeom>
                                        </pic:spPr>
                                      </pic:pic>
                                    </a:graphicData>
                                  </a:graphic>
                                </wp:inline>
                              </w:drawing>
                            </w:r>
                          </w:p>
                          <w:p>
                            <w:pPr>
                              <w:pStyle w:val="FrameContents"/>
                              <w:spacing w:before="0" w:after="160"/>
                              <w:rPr>
                                <w:color w:val="000000"/>
                              </w:rPr>
                            </w:pPr>
                            <w:r>
                              <w:rPr>
                                <w:color w:val="000000"/>
                              </w:rPr>
                              <w:t xml:space="preserve">Figure 5. MD-computed spatial distribution function of thymol CoR (orange (close) and yellow (far) lobes), hydroxyl (cyano (close) and blue (far) lobes) and methyl (violet lobes) groups surrounding a reference thymol molecule. </w:t>
                            </w:r>
                          </w:p>
                        </w:txbxContent>
                      </wps:txbx>
                      <wps:bodyPr anchor="t">
                        <a:prstTxWarp prst="textNoShape"/>
                        <a:noAutofit/>
                      </wps:bodyPr>
                    </wps:wsp>
                  </a:graphicData>
                </a:graphic>
              </wp:anchor>
            </w:drawing>
          </mc:Choice>
          <mc:Fallback>
            <w:pict>
              <v:rect id="shape_0" ID="Casella di testo 20" path="m0,0l-2147483645,0l-2147483645,-2147483646l0,-2147483646xe" fillcolor="white" stroked="t" o:allowincell="f" style="position:absolute;margin-left:0.25pt;margin-top:352.55pt;width:253pt;height:318pt;mso-wrap-style:square;v-text-anchor:top" wp14:anchorId="36CAB4DC">
                <v:fill o:detectmouseclick="t" type="solid" color2="black"/>
                <v:stroke color="black" weight="6480" joinstyle="round" endcap="flat"/>
                <v:textbox>
                  <w:txbxContent>
                    <w:p>
                      <w:pPr>
                        <w:pStyle w:val="FrameContents"/>
                        <w:jc w:val="center"/>
                        <w:rPr>
                          <w:color w:val="000000"/>
                        </w:rPr>
                      </w:pPr>
                      <w:r>
                        <w:rPr>
                          <w:color w:val="000000"/>
                        </w:rPr>
                        <w:drawing>
                          <wp:inline distT="0" distB="0" distL="0" distR="0">
                            <wp:extent cx="2795270" cy="2758440"/>
                            <wp:effectExtent l="0" t="0" r="0" b="0"/>
                            <wp:docPr id="28" name="Immagine 3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magine 32" descr=""/>
                                    <pic:cNvPicPr>
                                      <a:picLocks noChangeAspect="1" noChangeArrowheads="1"/>
                                    </pic:cNvPicPr>
                                  </pic:nvPicPr>
                                  <pic:blipFill>
                                    <a:blip r:embed="rId19"/>
                                    <a:stretch>
                                      <a:fillRect/>
                                    </a:stretch>
                                  </pic:blipFill>
                                  <pic:spPr bwMode="auto">
                                    <a:xfrm>
                                      <a:off x="0" y="0"/>
                                      <a:ext cx="2795270" cy="2758440"/>
                                    </a:xfrm>
                                    <a:prstGeom prst="rect">
                                      <a:avLst/>
                                    </a:prstGeom>
                                  </pic:spPr>
                                </pic:pic>
                              </a:graphicData>
                            </a:graphic>
                          </wp:inline>
                        </w:drawing>
                      </w:r>
                    </w:p>
                    <w:p>
                      <w:pPr>
                        <w:pStyle w:val="FrameContents"/>
                        <w:spacing w:before="0" w:after="160"/>
                        <w:rPr>
                          <w:color w:val="000000"/>
                        </w:rPr>
                      </w:pPr>
                      <w:r>
                        <w:rPr>
                          <w:color w:val="000000"/>
                        </w:rPr>
                        <w:t xml:space="preserve">Figure 5. MD-computed spatial distribution function of thymol CoR (orange (close) and yellow (far) lobes), hydroxyl (cyano (close) and blue (far) lobes) and methyl (violet lobes) groups surrounding a reference thymol molecule. </w:t>
                      </w:r>
                    </w:p>
                  </w:txbxContent>
                </v:textbox>
                <w10:wrap type="square" side="right"/>
              </v:rect>
            </w:pict>
          </mc:Fallback>
        </mc:AlternateContent>
      </w:r>
      <w:r>
        <w:rPr>
          <w:lang w:val="en-GB"/>
        </w:rPr>
        <w:t xml:space="preserve">understood by inspection of the spatial distribution functions shown in </w:t>
      </w:r>
      <w:r>
        <w:rPr>
          <w:b/>
          <w:lang w:val="en-GB"/>
        </w:rPr>
        <w:t>Figure 5</w:t>
      </w:r>
      <w:r>
        <w:rPr>
          <w:lang w:val="en-GB"/>
        </w:rPr>
        <w:t xml:space="preserve">. Therein, one notices that methyl groups tend to create a cage (violet lobes) surrounding the reference thymol, with holes in this distribution where the reference hydroxyl group is protruding. They are mostly distributed above and below the ring, but a distribution similar to the lantern-like organization observed in benzene can also occur, although less organised than therein. The closest thymol CoR is also distributed above and below the reference ring, leading to the formation of stacked rings mentioned above, together with a lantern-like distribution (orange lobes). At larger distances, thymol’s CoR distribute in a ring (yellow lobe) surrounding the reference hydroxyl group. Such an organization leads to surrounding hydroxyl groups creating two distribution locations: the closest one is both above and below the ring (cyano lobe), most likely related to π··H-O hydrogen bonding correlations; the one occurring at larger distance creates a close ring of solvation surrounding the reference hydroxyl group, with a clear conventional hydrogen bonding correlation (blue lobe). This description accounts for the thymol-thymol solvation, where there is a clear close contact solvation of each relevant solvating moiety (#3, methyl groups and hydroxyl groups) distributed above and below the reference molecule and some more specific correlations related to HB interactions. </w:t>
      </w:r>
    </w:p>
    <w:p>
      <w:pPr>
        <w:pStyle w:val="Normal"/>
        <w:spacing w:lineRule="auto" w:line="360"/>
        <w:rPr>
          <w:lang w:val="en-GB"/>
        </w:rPr>
      </w:pPr>
      <w:r>
        <mc:AlternateContent>
          <mc:Choice Requires="wps">
            <w:drawing>
              <wp:anchor behindDoc="0" distT="0" distB="18415" distL="111125" distR="131445" simplePos="0" locked="0" layoutInCell="0" allowOverlap="0" relativeHeight="12" wp14:anchorId="4A2AED18">
                <wp:simplePos x="0" y="0"/>
                <wp:positionH relativeFrom="column">
                  <wp:posOffset>3175</wp:posOffset>
                </wp:positionH>
                <wp:positionV relativeFrom="paragraph">
                  <wp:posOffset>812165</wp:posOffset>
                </wp:positionV>
                <wp:extent cx="6113780" cy="3807460"/>
                <wp:effectExtent l="3175" t="3175" r="3175" b="3175"/>
                <wp:wrapSquare wrapText="right"/>
                <wp:docPr id="29" name="Casella di testo 26"/>
                <a:graphic xmlns:a="http://schemas.openxmlformats.org/drawingml/2006/main">
                  <a:graphicData uri="http://schemas.microsoft.com/office/word/2010/wordprocessingShape">
                    <wps:wsp>
                      <wps:cNvSpPr/>
                      <wps:spPr>
                        <a:xfrm>
                          <a:off x="0" y="0"/>
                          <a:ext cx="6113880" cy="3807360"/>
                        </a:xfrm>
                        <a:prstGeom prst="rect">
                          <a:avLst/>
                        </a:prstGeom>
                        <a:solidFill>
                          <a:schemeClr val="lt1"/>
                        </a:solidFill>
                        <a:ln w="6350">
                          <a:solidFill>
                            <a:srgbClr val="000000"/>
                          </a:solidFill>
                          <a:round/>
                        </a:ln>
                      </wps:spPr>
                      <wps:style>
                        <a:lnRef idx="0">
                          <a:schemeClr val="accent1"/>
                        </a:lnRef>
                        <a:fillRef idx="0">
                          <a:schemeClr val="accent1"/>
                        </a:fillRef>
                        <a:effectRef idx="0">
                          <a:schemeClr val="accent1"/>
                        </a:effectRef>
                        <a:fontRef idx="minor"/>
                      </wps:style>
                      <wps:txbx>
                        <w:txbxContent>
                          <w:tbl>
                            <w:tblPr>
                              <w:tblStyle w:val="Grigliatabella"/>
                              <w:tblW w:w="9320" w:type="dxa"/>
                              <w:jc w:val="left"/>
                              <w:tblInd w:w="0" w:type="dxa"/>
                              <w:tblLayout w:type="fixed"/>
                              <w:tblCellMar>
                                <w:top w:w="0" w:type="dxa"/>
                                <w:left w:w="108" w:type="dxa"/>
                                <w:bottom w:w="0" w:type="dxa"/>
                                <w:right w:w="108" w:type="dxa"/>
                              </w:tblCellMar>
                              <w:tblLook w:val="04a0" w:noVBand="1" w:noHBand="0" w:lastColumn="0" w:firstColumn="1" w:lastRow="0" w:firstRow="1"/>
                            </w:tblPr>
                            <w:tblGrid>
                              <w:gridCol w:w="4660"/>
                              <w:gridCol w:w="4659"/>
                            </w:tblGrid>
                            <w:tr>
                              <w:trPr/>
                              <w:tc>
                                <w:tcPr>
                                  <w:tcW w:w="4660" w:type="dxa"/>
                                  <w:tcBorders/>
                                </w:tcPr>
                                <w:p>
                                  <w:pPr>
                                    <w:pStyle w:val="FrameContents"/>
                                    <w:widowControl/>
                                    <w:spacing w:lineRule="auto" w:line="240" w:before="0" w:after="0"/>
                                    <w:jc w:val="left"/>
                                    <w:rPr>
                                      <w:rFonts w:ascii="Times New Roman" w:hAnsi="Times New Roman" w:eastAsia="Calibri" w:cs="Times New Roman"/>
                                      <w:kern w:val="0"/>
                                      <w:sz w:val="24"/>
                                      <w:szCs w:val="24"/>
                                      <w:lang w:val="en-GB" w:eastAsia="en-US" w:bidi="ar-SA"/>
                                    </w:rPr>
                                  </w:pPr>
                                  <w:r>
                                    <w:rPr>
                                      <w:rFonts w:eastAsia="Calibri" w:cs="Times New Roman"/>
                                      <w:kern w:val="0"/>
                                      <w:sz w:val="24"/>
                                      <w:szCs w:val="24"/>
                                      <w:lang w:val="en-GB" w:eastAsia="en-US" w:bidi="ar-SA"/>
                                    </w:rPr>
                                    <w:drawing>
                                      <wp:inline distT="0" distB="0" distL="0" distR="0">
                                        <wp:extent cx="2739390" cy="2739390"/>
                                        <wp:effectExtent l="0" t="0" r="0" b="0"/>
                                        <wp:docPr id="31" name="Immagine 3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magine 34" descr=""/>
                                                <pic:cNvPicPr>
                                                  <a:picLocks noChangeAspect="1" noChangeArrowheads="1"/>
                                                </pic:cNvPicPr>
                                              </pic:nvPicPr>
                                              <pic:blipFill>
                                                <a:blip r:embed="rId20"/>
                                                <a:stretch>
                                                  <a:fillRect/>
                                                </a:stretch>
                                              </pic:blipFill>
                                              <pic:spPr bwMode="auto">
                                                <a:xfrm>
                                                  <a:off x="0" y="0"/>
                                                  <a:ext cx="2739390" cy="2739390"/>
                                                </a:xfrm>
                                                <a:prstGeom prst="rect">
                                                  <a:avLst/>
                                                </a:prstGeom>
                                              </pic:spPr>
                                            </pic:pic>
                                          </a:graphicData>
                                        </a:graphic>
                                      </wp:inline>
                                    </w:drawing>
                                  </w:r>
                                </w:p>
                              </w:tc>
                              <w:tc>
                                <w:tcPr>
                                  <w:tcW w:w="4659" w:type="dxa"/>
                                  <w:tcBorders/>
                                </w:tcPr>
                                <w:p>
                                  <w:pPr>
                                    <w:pStyle w:val="FrameContents"/>
                                    <w:widowControl/>
                                    <w:spacing w:lineRule="auto" w:line="240" w:before="0" w:after="0"/>
                                    <w:jc w:val="left"/>
                                    <w:rPr>
                                      <w:rFonts w:ascii="Times New Roman" w:hAnsi="Times New Roman" w:eastAsia="Calibri" w:cs="Times New Roman"/>
                                      <w:kern w:val="0"/>
                                      <w:sz w:val="24"/>
                                      <w:szCs w:val="24"/>
                                      <w:lang w:val="en-GB" w:eastAsia="en-US" w:bidi="ar-SA"/>
                                    </w:rPr>
                                  </w:pPr>
                                  <w:r>
                                    <w:rPr>
                                      <w:rFonts w:eastAsia="Calibri" w:cs="Times New Roman"/>
                                      <w:kern w:val="0"/>
                                      <w:sz w:val="24"/>
                                      <w:szCs w:val="24"/>
                                      <w:lang w:val="en-GB" w:eastAsia="en-US" w:bidi="ar-SA"/>
                                    </w:rPr>
                                    <w:drawing>
                                      <wp:inline distT="0" distB="0" distL="0" distR="0">
                                        <wp:extent cx="2739390" cy="2739390"/>
                                        <wp:effectExtent l="0" t="0" r="0" b="0"/>
                                        <wp:docPr id="32" name="Immagine 3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magine 37" descr=""/>
                                                <pic:cNvPicPr>
                                                  <a:picLocks noChangeAspect="1" noChangeArrowheads="1"/>
                                                </pic:cNvPicPr>
                                              </pic:nvPicPr>
                                              <pic:blipFill>
                                                <a:blip r:embed="rId21"/>
                                                <a:stretch>
                                                  <a:fillRect/>
                                                </a:stretch>
                                              </pic:blipFill>
                                              <pic:spPr bwMode="auto">
                                                <a:xfrm>
                                                  <a:off x="0" y="0"/>
                                                  <a:ext cx="2739390" cy="2739390"/>
                                                </a:xfrm>
                                                <a:prstGeom prst="rect">
                                                  <a:avLst/>
                                                </a:prstGeom>
                                              </pic:spPr>
                                            </pic:pic>
                                          </a:graphicData>
                                        </a:graphic>
                                      </wp:inline>
                                    </w:drawing>
                                  </w:r>
                                </w:p>
                              </w:tc>
                            </w:tr>
                          </w:tbl>
                          <w:p>
                            <w:pPr>
                              <w:pStyle w:val="FrameContents"/>
                              <w:spacing w:before="0" w:after="160"/>
                              <w:rPr>
                                <w:color w:val="000000"/>
                              </w:rPr>
                            </w:pPr>
                            <w:r>
                              <w:rPr>
                                <w:color w:val="000000"/>
                              </w:rPr>
                              <w:t xml:space="preserve">Figure </w:t>
                            </w:r>
                            <w:r>
                              <w:rPr>
                                <w:color w:val="000000"/>
                                <w:lang w:val="en-GB"/>
                              </w:rPr>
                              <w:t>6. MD-computed combined distribution function concerning hydrogen bonding interactions between neighbour thymol/thymol molecules. (left) cdf referred to O1-H5···O1 with H5···O1 distance as abscissa and the angle between vectors : O1-H5 and H5···O1, respectively as ordinate. (right) cdf referred to O1-H5···#3 with H5···#3 distance as abscissa and the angle between vectors : O1-H5 and H5···#3, respectively as ordinate.</w:t>
                            </w:r>
                          </w:p>
                        </w:txbxContent>
                      </wps:txbx>
                      <wps:bodyPr anchor="t">
                        <a:prstTxWarp prst="textNoShape"/>
                        <a:noAutofit/>
                      </wps:bodyPr>
                    </wps:wsp>
                  </a:graphicData>
                </a:graphic>
              </wp:anchor>
            </w:drawing>
          </mc:Choice>
          <mc:Fallback>
            <w:pict>
              <v:rect id="shape_0" ID="Casella di testo 26" path="m0,0l-2147483645,0l-2147483645,-2147483646l0,-2147483646xe" fillcolor="white" stroked="t" o:allowincell="f" style="position:absolute;margin-left:0.25pt;margin-top:63.95pt;width:481.35pt;height:299.75pt;mso-wrap-style:square;v-text-anchor:top" wp14:anchorId="4A2AED18">
                <v:fill o:detectmouseclick="t" type="solid" color2="black"/>
                <v:stroke color="black" weight="6480" joinstyle="round" endcap="flat"/>
                <v:textbox>
                  <w:txbxContent>
                    <w:tbl>
                      <w:tblPr>
                        <w:tblStyle w:val="Grigliatabella"/>
                        <w:tblW w:w="9320" w:type="dxa"/>
                        <w:jc w:val="left"/>
                        <w:tblInd w:w="0" w:type="dxa"/>
                        <w:tblLayout w:type="fixed"/>
                        <w:tblCellMar>
                          <w:top w:w="0" w:type="dxa"/>
                          <w:left w:w="108" w:type="dxa"/>
                          <w:bottom w:w="0" w:type="dxa"/>
                          <w:right w:w="108" w:type="dxa"/>
                        </w:tblCellMar>
                        <w:tblLook w:val="04a0" w:noVBand="1" w:noHBand="0" w:lastColumn="0" w:firstColumn="1" w:lastRow="0" w:firstRow="1"/>
                      </w:tblPr>
                      <w:tblGrid>
                        <w:gridCol w:w="4660"/>
                        <w:gridCol w:w="4659"/>
                      </w:tblGrid>
                      <w:tr>
                        <w:trPr/>
                        <w:tc>
                          <w:tcPr>
                            <w:tcW w:w="4660" w:type="dxa"/>
                            <w:tcBorders/>
                          </w:tcPr>
                          <w:p>
                            <w:pPr>
                              <w:pStyle w:val="FrameContents"/>
                              <w:widowControl/>
                              <w:spacing w:lineRule="auto" w:line="240" w:before="0" w:after="0"/>
                              <w:jc w:val="left"/>
                              <w:rPr>
                                <w:rFonts w:ascii="Times New Roman" w:hAnsi="Times New Roman" w:eastAsia="Calibri" w:cs="Times New Roman"/>
                                <w:kern w:val="0"/>
                                <w:sz w:val="24"/>
                                <w:szCs w:val="24"/>
                                <w:lang w:val="en-GB" w:eastAsia="en-US" w:bidi="ar-SA"/>
                              </w:rPr>
                            </w:pPr>
                            <w:r>
                              <w:rPr>
                                <w:rFonts w:eastAsia="Calibri" w:cs="Times New Roman"/>
                                <w:kern w:val="0"/>
                                <w:sz w:val="24"/>
                                <w:szCs w:val="24"/>
                                <w:lang w:val="en-GB" w:eastAsia="en-US" w:bidi="ar-SA"/>
                              </w:rPr>
                              <w:drawing>
                                <wp:inline distT="0" distB="0" distL="0" distR="0">
                                  <wp:extent cx="2739390" cy="2739390"/>
                                  <wp:effectExtent l="0" t="0" r="0" b="0"/>
                                  <wp:docPr id="33" name="Immagine 3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magine 34" descr=""/>
                                          <pic:cNvPicPr>
                                            <a:picLocks noChangeAspect="1" noChangeArrowheads="1"/>
                                          </pic:cNvPicPr>
                                        </pic:nvPicPr>
                                        <pic:blipFill>
                                          <a:blip r:embed="rId22"/>
                                          <a:stretch>
                                            <a:fillRect/>
                                          </a:stretch>
                                        </pic:blipFill>
                                        <pic:spPr bwMode="auto">
                                          <a:xfrm>
                                            <a:off x="0" y="0"/>
                                            <a:ext cx="2739390" cy="2739390"/>
                                          </a:xfrm>
                                          <a:prstGeom prst="rect">
                                            <a:avLst/>
                                          </a:prstGeom>
                                        </pic:spPr>
                                      </pic:pic>
                                    </a:graphicData>
                                  </a:graphic>
                                </wp:inline>
                              </w:drawing>
                            </w:r>
                          </w:p>
                        </w:tc>
                        <w:tc>
                          <w:tcPr>
                            <w:tcW w:w="4659" w:type="dxa"/>
                            <w:tcBorders/>
                          </w:tcPr>
                          <w:p>
                            <w:pPr>
                              <w:pStyle w:val="FrameContents"/>
                              <w:widowControl/>
                              <w:spacing w:lineRule="auto" w:line="240" w:before="0" w:after="0"/>
                              <w:jc w:val="left"/>
                              <w:rPr>
                                <w:rFonts w:ascii="Times New Roman" w:hAnsi="Times New Roman" w:eastAsia="Calibri" w:cs="Times New Roman"/>
                                <w:kern w:val="0"/>
                                <w:sz w:val="24"/>
                                <w:szCs w:val="24"/>
                                <w:lang w:val="en-GB" w:eastAsia="en-US" w:bidi="ar-SA"/>
                              </w:rPr>
                            </w:pPr>
                            <w:r>
                              <w:rPr>
                                <w:rFonts w:eastAsia="Calibri" w:cs="Times New Roman"/>
                                <w:kern w:val="0"/>
                                <w:sz w:val="24"/>
                                <w:szCs w:val="24"/>
                                <w:lang w:val="en-GB" w:eastAsia="en-US" w:bidi="ar-SA"/>
                              </w:rPr>
                              <w:drawing>
                                <wp:inline distT="0" distB="0" distL="0" distR="0">
                                  <wp:extent cx="2739390" cy="2739390"/>
                                  <wp:effectExtent l="0" t="0" r="0" b="0"/>
                                  <wp:docPr id="34" name="Immagine 3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magine 37" descr=""/>
                                          <pic:cNvPicPr>
                                            <a:picLocks noChangeAspect="1" noChangeArrowheads="1"/>
                                          </pic:cNvPicPr>
                                        </pic:nvPicPr>
                                        <pic:blipFill>
                                          <a:blip r:embed="rId23"/>
                                          <a:stretch>
                                            <a:fillRect/>
                                          </a:stretch>
                                        </pic:blipFill>
                                        <pic:spPr bwMode="auto">
                                          <a:xfrm>
                                            <a:off x="0" y="0"/>
                                            <a:ext cx="2739390" cy="2739390"/>
                                          </a:xfrm>
                                          <a:prstGeom prst="rect">
                                            <a:avLst/>
                                          </a:prstGeom>
                                        </pic:spPr>
                                      </pic:pic>
                                    </a:graphicData>
                                  </a:graphic>
                                </wp:inline>
                              </w:drawing>
                            </w:r>
                          </w:p>
                        </w:tc>
                      </w:tr>
                    </w:tbl>
                    <w:p>
                      <w:pPr>
                        <w:pStyle w:val="FrameContents"/>
                        <w:spacing w:before="0" w:after="160"/>
                        <w:rPr>
                          <w:color w:val="000000"/>
                        </w:rPr>
                      </w:pPr>
                      <w:r>
                        <w:rPr>
                          <w:color w:val="000000"/>
                        </w:rPr>
                        <w:t xml:space="preserve">Figure </w:t>
                      </w:r>
                      <w:r>
                        <w:rPr>
                          <w:color w:val="000000"/>
                          <w:lang w:val="en-GB"/>
                        </w:rPr>
                        <w:t>6. MD-computed combined distribution function concerning hydrogen bonding interactions between neighbour thymol/thymol molecules. (left) cdf referred to O1-H5···O1 with H5···O1 distance as abscissa and the angle between vectors : O1-H5 and H5···O1, respectively as ordinate. (right) cdf referred to O1-H5···#3 with H5···#3 distance as abscissa and the angle between vectors : O1-H5 and H5···#3, respectively as ordinate.</w:t>
                      </w:r>
                    </w:p>
                  </w:txbxContent>
                </v:textbox>
                <w10:wrap type="square" side="right"/>
              </v:rect>
            </w:pict>
          </mc:Fallback>
        </mc:AlternateContent>
      </w:r>
      <w:r>
        <w:rPr>
          <w:lang w:val="en-GB"/>
        </w:rPr>
        <w:t xml:space="preserve">Thymol hydroxyl groups are involved in hydrogen bonding interactions either with the  π system or with the reference hydroxyl group. Such scenarios are further illustrated in the two cdfs, reported in </w:t>
      </w:r>
      <w:r>
        <w:rPr>
          <w:b/>
          <w:lang w:val="en-GB"/>
        </w:rPr>
        <w:t>Figure 6</w:t>
      </w:r>
      <w:r>
        <w:rPr>
          <w:lang w:val="en-GB"/>
        </w:rPr>
        <w:t xml:space="preserve">. Therein, it clearly appears the existence not only of an hydrogen bonding correlation between neighbour  thymol hydroxyl groups, but also the existence of a distinct π···H-O hydrogen bonding correlation between neighbour thymol hydroxyl group and aromatic cloud. </w:t>
      </w:r>
      <w:r>
        <w:rPr>
          <w:b/>
          <w:lang w:val="en-GB"/>
        </w:rPr>
        <w:t xml:space="preserve">Figure S-2 </w:t>
      </w:r>
      <w:r>
        <w:rPr>
          <w:lang w:val="en-GB"/>
        </w:rPr>
        <w:t>in the ESI, illustrates the pdfs and corresponding running coordination numbers related to HB correlations involving thymol-thymol species. While the former is a short and monodisperse correlation, the latter is characterised by a wider distribution of H5-#3 distances. In particular, it appears that the distance H5-#3 is of the order of 2.8 Å, while the angle #3···H-O is &gt;150°, in agreement with the literature existing for π···H-O HB.</w:t>
      </w:r>
      <w:r>
        <w:fldChar w:fldCharType="begin"/>
      </w:r>
      <w:r>
        <w:rPr>
          <w:lang w:val="en-GB"/>
        </w:rPr>
        <w:instrText xml:space="preserve">ADDIN CSL_CITATION {"citationItems":[{"id":"ITEM-1","itemData":{"DOI":"10.1126/science.257.5072.942","ISSN":"00368075","abstract":"Fully rotationally resolved spectra of three isotopic species of 1:1 clusters of benzene with water (H2O, D2O, and HDO) were fit to yield moments of inertia that demonstrate unambiguously that water is positioned above the benzene plane in nearly free internal rotation with both hydrogen atoms pointing toward the π cloud. Ab initio calculations (MP2 level of electron correlation and 6-31G** basis set with basis set superposition error corrections) predict a binding energy De ≳ 1.78 kilocalories per mole. In both the experimental and theoretical structures, water is situated nearly 1 angstrom within the van der Waals contacts of the monomers, a clear manifestation of hydrogen bond formation in this simple model of aqueous-π electron interactions.","author":[{"dropping-particle":"","family":"Suzuki","given":"Sakae","non-dropping-particle":"","parse-names":false,"suffix":""},{"dropping-particle":"","family":"Green","given":"Peter G","non-dropping-particle":"","parse-names":false,"suffix":""},{"dropping-particle":"","family":"Bumgarner","given":"Roger E","non-dropping-particle":"","parse-names":false,"suffix":""},{"dropping-particle":"","family":"Dasgupta","given":"Siddharth","non-dropping-particle":"","parse-names":false,"suffix":""},{"dropping-particle":"","family":"Goddard","given":"William A.","non-dropping-particle":"","parse-names":false,"suffix":""},{"dropping-particle":"","family":"Blake","given":"Geoffrey A","non-dropping-particle":"","parse-names":false,"suffix":""}],"container-title":"Science","id":"ITEM-1","issue":"5072","issued":{"date-parts":[["1992"]]},"page":"942-945","title":"Benzene forms hydrogen bonds with water","type":"article-journal","volume":"257"},"uris":["http://www.mendeley.com/documents/?uuid=901a2dd2-8de8-48c7-b3ba-3ac108fe4af7"]}],"mendeley":{"formattedCitation":"[49]","plainTextFormattedCitation":"[49]","previouslyFormattedCitation":"[49]"},"properties":{"noteIndex":0},"schema":"https://github.com/citation-style-language/schema/raw/master/csl-citation.json"}</w:instrText>
      </w:r>
      <w:r>
        <w:rPr>
          <w:lang w:val="en-GB"/>
        </w:rPr>
      </w:r>
      <w:r>
        <w:rPr>
          <w:lang w:val="en-GB"/>
        </w:rPr>
        <w:fldChar w:fldCharType="separate"/>
      </w:r>
      <w:r>
        <w:rPr>
          <w:lang w:val="en-GB"/>
        </w:rPr>
        <w:t>[49]</w:t>
      </w:r>
      <w:r>
        <w:rPr>
          <w:lang w:val="en-GB"/>
        </w:rPr>
      </w:r>
      <w:r>
        <w:rPr>
          <w:lang w:val="en-GB"/>
        </w:rPr>
        <w:fldChar w:fldCharType="end"/>
      </w:r>
      <w:r>
        <w:rPr>
          <w:lang w:val="en-GB"/>
        </w:rPr>
        <w:t xml:space="preserve">  A comparison with the corresponding pdfs for the case of neat thymol (at 353 K) shows a slightly larger number of oxygen atoms around H5 in the thymol –water mixture than in neat thymol and a slightly higher number of #3 around H5 in neat thymol than in the mixture. </w:t>
      </w:r>
    </w:p>
    <w:p>
      <w:pPr>
        <w:pStyle w:val="Normal"/>
        <w:spacing w:lineRule="auto" w:line="360"/>
        <w:rPr>
          <w:lang w:val="en-GB"/>
        </w:rPr>
      </w:pPr>
      <w:r>
        <w:rPr>
          <w:lang w:val="en-GB"/>
        </w:rPr>
        <w:t xml:space="preserve">The overall results for the different HB related pairs are reported in </w:t>
      </w:r>
      <w:r>
        <w:rPr>
          <w:b/>
          <w:lang w:val="en-GB"/>
        </w:rPr>
        <w:t>Table 1</w:t>
      </w:r>
      <w:r>
        <w:rPr>
          <w:lang w:val="en-GB"/>
        </w:rPr>
        <w:t xml:space="preserve">. Therein values corresponding to thymol-thymol correlations are compared with corresponding quantities obtained for a simulation of neat thymol at 80°C. It can be noticed that thymol-thymol correlations via HB interactions are almost unchanged upon water addition, as a total of 0.66 thymol hydroxyl hydrogen atoms in HB related to thymol acceptor sites (either the oxygen atom or the center of the aromatic ring). We detect that in liquid thymol, each H5 is involved in interactions with 0.40 O1 and 0.33 #3 sites (for a total of 0.73 coordinating sites); in thymol-water, each H5 is coordinated by 0.44 O1, 0.22 #3 and 0.19 Ow (for a total of 0.85 sites). In thymol-water, we detect then an increased amount of hydrogen bonding mediated interactions around H5, as compared to neat thymol. Overall, then the presence of water, leads to a substantial increase of the total number of hydrogen bonding mediated interactions involving the thymol hydroxyl group. </w:t>
      </w:r>
    </w:p>
    <w:p>
      <w:pPr>
        <w:pStyle w:val="Normal"/>
        <w:spacing w:lineRule="auto" w:line="360"/>
        <w:rPr>
          <w:lang w:val="en-GB"/>
        </w:rPr>
      </w:pPr>
      <w:r>
        <w:rPr>
          <w:lang w:val="en-GB"/>
        </w:rPr>
      </w:r>
    </w:p>
    <w:tbl>
      <w:tblPr>
        <w:tblStyle w:val="Grigliatabella"/>
        <w:tblW w:w="9628" w:type="dxa"/>
        <w:jc w:val="left"/>
        <w:tblInd w:w="0" w:type="dxa"/>
        <w:tblLayout w:type="fixed"/>
        <w:tblCellMar>
          <w:top w:w="0" w:type="dxa"/>
          <w:left w:w="108" w:type="dxa"/>
          <w:bottom w:w="0" w:type="dxa"/>
          <w:right w:w="108" w:type="dxa"/>
        </w:tblCellMar>
        <w:tblLook w:val="04a0" w:noVBand="1" w:noHBand="0" w:lastColumn="0" w:firstColumn="1" w:lastRow="0" w:firstRow="1"/>
      </w:tblPr>
      <w:tblGrid>
        <w:gridCol w:w="1243"/>
        <w:gridCol w:w="1441"/>
        <w:gridCol w:w="1177"/>
        <w:gridCol w:w="1725"/>
        <w:gridCol w:w="1894"/>
        <w:gridCol w:w="2147"/>
      </w:tblGrid>
      <w:tr>
        <w:trPr/>
        <w:tc>
          <w:tcPr>
            <w:tcW w:w="1243" w:type="dxa"/>
            <w:tcBorders/>
            <w:vAlign w:val="bottom"/>
          </w:tcPr>
          <w:p>
            <w:pPr>
              <w:pStyle w:val="Normal"/>
              <w:widowControl/>
              <w:spacing w:lineRule="auto" w:line="240" w:before="0" w:after="0"/>
              <w:jc w:val="center"/>
              <w:rPr>
                <w:rFonts w:ascii="Calibri" w:hAnsi="Calibri" w:cs="Calibri"/>
                <w:b/>
                <w:b/>
                <w:bCs/>
                <w:color w:val="000000"/>
                <w:sz w:val="22"/>
                <w:szCs w:val="22"/>
              </w:rPr>
            </w:pPr>
            <w:r>
              <w:rPr>
                <w:rFonts w:eastAsia="Calibri" w:cs="Calibri" w:ascii="Calibri" w:hAnsi="Calibri"/>
                <w:b/>
                <w:bCs/>
                <w:color w:val="000000"/>
                <w:kern w:val="0"/>
                <w:sz w:val="22"/>
                <w:szCs w:val="22"/>
                <w:lang w:val="en-GB" w:eastAsia="en-US" w:bidi="ar-SA"/>
              </w:rPr>
              <w:t>Donor Atom (DA)</w:t>
            </w:r>
          </w:p>
        </w:tc>
        <w:tc>
          <w:tcPr>
            <w:tcW w:w="1441" w:type="dxa"/>
            <w:tcBorders/>
            <w:vAlign w:val="bottom"/>
          </w:tcPr>
          <w:p>
            <w:pPr>
              <w:pStyle w:val="Normal"/>
              <w:widowControl/>
              <w:spacing w:lineRule="auto" w:line="240" w:before="0" w:after="0"/>
              <w:jc w:val="center"/>
              <w:rPr>
                <w:rFonts w:ascii="Calibri" w:hAnsi="Calibri" w:cs="Calibri"/>
                <w:b/>
                <w:b/>
                <w:bCs/>
                <w:color w:val="000000"/>
                <w:sz w:val="22"/>
                <w:szCs w:val="22"/>
              </w:rPr>
            </w:pPr>
            <w:r>
              <w:rPr>
                <w:rFonts w:eastAsia="Calibri" w:cs="Calibri" w:ascii="Calibri" w:hAnsi="Calibri"/>
                <w:b/>
                <w:bCs/>
                <w:color w:val="000000"/>
                <w:kern w:val="0"/>
                <w:sz w:val="22"/>
                <w:szCs w:val="22"/>
                <w:lang w:val="en-GB" w:eastAsia="en-US" w:bidi="ar-SA"/>
              </w:rPr>
              <w:t>Acceptor Atom (AA)</w:t>
            </w:r>
          </w:p>
        </w:tc>
        <w:tc>
          <w:tcPr>
            <w:tcW w:w="1177" w:type="dxa"/>
            <w:tcBorders/>
            <w:vAlign w:val="bottom"/>
          </w:tcPr>
          <w:p>
            <w:pPr>
              <w:pStyle w:val="Normal"/>
              <w:widowControl/>
              <w:spacing w:lineRule="auto" w:line="240" w:before="0" w:after="0"/>
              <w:jc w:val="center"/>
              <w:rPr>
                <w:rFonts w:ascii="Calibri" w:hAnsi="Calibri" w:cs="Calibri"/>
                <w:b/>
                <w:b/>
                <w:bCs/>
                <w:color w:val="000000"/>
                <w:sz w:val="22"/>
                <w:szCs w:val="22"/>
              </w:rPr>
            </w:pPr>
            <w:r>
              <w:rPr>
                <w:rFonts w:eastAsia="Calibri" w:cs="Calibri" w:ascii="Calibri" w:hAnsi="Calibri"/>
                <w:b/>
                <w:bCs/>
                <w:color w:val="000000"/>
                <w:kern w:val="0"/>
                <w:sz w:val="22"/>
                <w:szCs w:val="22"/>
                <w:lang w:val="en-GB" w:eastAsia="en-US" w:bidi="ar-SA"/>
              </w:rPr>
              <w:t>Peak pos.  (Å)</w:t>
            </w:r>
          </w:p>
        </w:tc>
        <w:tc>
          <w:tcPr>
            <w:tcW w:w="1725" w:type="dxa"/>
            <w:tcBorders/>
            <w:vAlign w:val="bottom"/>
          </w:tcPr>
          <w:p>
            <w:pPr>
              <w:pStyle w:val="Normal"/>
              <w:widowControl/>
              <w:spacing w:lineRule="auto" w:line="240" w:before="0" w:after="0"/>
              <w:jc w:val="center"/>
              <w:rPr>
                <w:rFonts w:ascii="Calibri" w:hAnsi="Calibri" w:cs="Calibri"/>
                <w:b/>
                <w:b/>
                <w:bCs/>
                <w:color w:val="000000"/>
                <w:sz w:val="22"/>
                <w:szCs w:val="22"/>
              </w:rPr>
            </w:pPr>
            <w:r>
              <w:rPr>
                <w:rFonts w:eastAsia="Calibri" w:cs="Calibri" w:ascii="Calibri" w:hAnsi="Calibri"/>
                <w:b/>
                <w:bCs/>
                <w:color w:val="000000"/>
                <w:kern w:val="0"/>
                <w:sz w:val="22"/>
                <w:szCs w:val="22"/>
                <w:lang w:val="en-GB" w:eastAsia="en-US" w:bidi="ar-SA"/>
              </w:rPr>
              <w:t>C.N. (No. Hs around reference AA)</w:t>
            </w:r>
          </w:p>
        </w:tc>
        <w:tc>
          <w:tcPr>
            <w:tcW w:w="1894" w:type="dxa"/>
            <w:tcBorders/>
          </w:tcPr>
          <w:p>
            <w:pPr>
              <w:pStyle w:val="Normal"/>
              <w:widowControl/>
              <w:spacing w:lineRule="auto" w:line="240" w:before="0" w:after="0"/>
              <w:jc w:val="center"/>
              <w:rPr>
                <w:rFonts w:ascii="Calibri" w:hAnsi="Calibri" w:cs="Calibri"/>
                <w:b/>
                <w:b/>
                <w:bCs/>
                <w:color w:val="000000"/>
                <w:sz w:val="22"/>
                <w:szCs w:val="22"/>
              </w:rPr>
            </w:pPr>
            <w:r>
              <w:rPr>
                <w:rFonts w:eastAsia="Calibri" w:cs="Calibri" w:ascii="Calibri" w:hAnsi="Calibri"/>
                <w:b/>
                <w:bCs/>
                <w:color w:val="000000"/>
                <w:kern w:val="0"/>
                <w:sz w:val="22"/>
                <w:szCs w:val="22"/>
                <w:lang w:val="en-GB" w:eastAsia="en-US" w:bidi="ar-SA"/>
              </w:rPr>
              <w:t>C.N. (No. Os around reference DA)</w:t>
            </w:r>
          </w:p>
        </w:tc>
        <w:tc>
          <w:tcPr>
            <w:tcW w:w="2147" w:type="dxa"/>
            <w:tcBorders/>
            <w:vAlign w:val="bottom"/>
          </w:tcPr>
          <w:p>
            <w:pPr>
              <w:pStyle w:val="Normal"/>
              <w:widowControl/>
              <w:spacing w:lineRule="auto" w:line="240" w:before="0" w:after="0"/>
              <w:jc w:val="center"/>
              <w:rPr>
                <w:rFonts w:ascii="Calibri" w:hAnsi="Calibri" w:cs="Calibri"/>
                <w:b/>
                <w:b/>
                <w:bCs/>
                <w:color w:val="000000"/>
                <w:sz w:val="22"/>
                <w:szCs w:val="22"/>
              </w:rPr>
            </w:pPr>
            <w:r>
              <w:rPr>
                <w:rFonts w:eastAsia="Calibri" w:cs="Calibri" w:ascii="Calibri" w:hAnsi="Calibri"/>
                <w:b/>
                <w:bCs/>
                <w:color w:val="000000"/>
                <w:kern w:val="0"/>
                <w:sz w:val="22"/>
                <w:szCs w:val="22"/>
                <w:lang w:val="en-GB" w:eastAsia="en-US" w:bidi="ar-SA"/>
              </w:rPr>
              <w:t>C.N. in thymol (No. Hs around reference AA)</w:t>
            </w:r>
          </w:p>
        </w:tc>
      </w:tr>
      <w:tr>
        <w:trPr/>
        <w:tc>
          <w:tcPr>
            <w:tcW w:w="1243"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H5 (th)</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c>
          <w:tcPr>
            <w:tcW w:w="1441"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O1 (thymol)</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c>
          <w:tcPr>
            <w:tcW w:w="1177"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1.95</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c>
          <w:tcPr>
            <w:tcW w:w="1725"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0.44</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c>
          <w:tcPr>
            <w:tcW w:w="1894" w:type="dxa"/>
            <w:tcBorders/>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0.44</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c>
          <w:tcPr>
            <w:tcW w:w="2147"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0.40</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r>
      <w:tr>
        <w:trPr/>
        <w:tc>
          <w:tcPr>
            <w:tcW w:w="1243"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H5 (th)</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c>
          <w:tcPr>
            <w:tcW w:w="1441"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#3 (thymol)</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c>
          <w:tcPr>
            <w:tcW w:w="1177"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2.81</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c>
          <w:tcPr>
            <w:tcW w:w="1725"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0.22</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c>
          <w:tcPr>
            <w:tcW w:w="1894" w:type="dxa"/>
            <w:tcBorders/>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w:t>
            </w:r>
          </w:p>
        </w:tc>
        <w:tc>
          <w:tcPr>
            <w:tcW w:w="2147"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0.33</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r>
      <w:tr>
        <w:trPr/>
        <w:tc>
          <w:tcPr>
            <w:tcW w:w="1243"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H5 (th)</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c>
          <w:tcPr>
            <w:tcW w:w="1441"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Ow</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c>
          <w:tcPr>
            <w:tcW w:w="1177"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1.85 (1.81)</w:t>
            </w:r>
            <w:r>
              <w:rPr>
                <w:rFonts w:eastAsia="Calibri" w:cs="Calibri" w:ascii="Calibri" w:hAnsi="Calibri"/>
                <w:color w:val="000000"/>
                <w:kern w:val="0"/>
                <w:sz w:val="22"/>
                <w:szCs w:val="22"/>
                <w:vertAlign w:val="superscript"/>
                <w:lang w:val="en-GB" w:eastAsia="en-US" w:bidi="ar-SA"/>
              </w:rPr>
              <w:t>a</w:t>
            </w:r>
          </w:p>
        </w:tc>
        <w:tc>
          <w:tcPr>
            <w:tcW w:w="1725"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0.19</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c>
          <w:tcPr>
            <w:tcW w:w="1894" w:type="dxa"/>
            <w:tcBorders/>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0.9</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c>
          <w:tcPr>
            <w:tcW w:w="2147"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r>
      <w:tr>
        <w:trPr/>
        <w:tc>
          <w:tcPr>
            <w:tcW w:w="1243"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Hw</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c>
          <w:tcPr>
            <w:tcW w:w="1441"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O1 (thymol)</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c>
          <w:tcPr>
            <w:tcW w:w="1177"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1.92 (1.95)</w:t>
            </w:r>
            <w:r>
              <w:rPr>
                <w:rFonts w:eastAsia="Calibri" w:cs="Calibri" w:ascii="Calibri" w:hAnsi="Calibri"/>
                <w:color w:val="000000"/>
                <w:kern w:val="0"/>
                <w:sz w:val="22"/>
                <w:szCs w:val="22"/>
                <w:vertAlign w:val="superscript"/>
                <w:lang w:val="en-GB" w:eastAsia="en-US" w:bidi="ar-SA"/>
              </w:rPr>
              <w:t>a</w:t>
            </w:r>
          </w:p>
        </w:tc>
        <w:tc>
          <w:tcPr>
            <w:tcW w:w="1725"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0.09</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c>
          <w:tcPr>
            <w:tcW w:w="1894" w:type="dxa"/>
            <w:tcBorders/>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0.435</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c>
          <w:tcPr>
            <w:tcW w:w="2147"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w:t>
            </w:r>
          </w:p>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4"/>
                <w:szCs w:val="24"/>
                <w:lang w:val="en-GB" w:eastAsia="en-US" w:bidi="ar-SA"/>
              </w:rPr>
            </w:r>
          </w:p>
        </w:tc>
      </w:tr>
      <w:tr>
        <w:trPr/>
        <w:tc>
          <w:tcPr>
            <w:tcW w:w="1243"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Hw</w:t>
            </w:r>
          </w:p>
        </w:tc>
        <w:tc>
          <w:tcPr>
            <w:tcW w:w="1441"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#3 (thymol)</w:t>
            </w:r>
          </w:p>
        </w:tc>
        <w:tc>
          <w:tcPr>
            <w:tcW w:w="1177"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2.66</w:t>
            </w:r>
          </w:p>
        </w:tc>
        <w:tc>
          <w:tcPr>
            <w:tcW w:w="1725"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0.07</w:t>
            </w:r>
          </w:p>
        </w:tc>
        <w:tc>
          <w:tcPr>
            <w:tcW w:w="1894" w:type="dxa"/>
            <w:tcBorders/>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w:t>
            </w:r>
          </w:p>
        </w:tc>
        <w:tc>
          <w:tcPr>
            <w:tcW w:w="2147"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w:t>
            </w:r>
          </w:p>
        </w:tc>
      </w:tr>
      <w:tr>
        <w:trPr/>
        <w:tc>
          <w:tcPr>
            <w:tcW w:w="1243"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Hw</w:t>
            </w:r>
          </w:p>
        </w:tc>
        <w:tc>
          <w:tcPr>
            <w:tcW w:w="1441"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Ow</w:t>
            </w:r>
          </w:p>
        </w:tc>
        <w:tc>
          <w:tcPr>
            <w:tcW w:w="1177"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1.85</w:t>
            </w:r>
          </w:p>
        </w:tc>
        <w:tc>
          <w:tcPr>
            <w:tcW w:w="1725"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0.42</w:t>
            </w:r>
          </w:p>
        </w:tc>
        <w:tc>
          <w:tcPr>
            <w:tcW w:w="1894" w:type="dxa"/>
            <w:tcBorders/>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0.2</w:t>
            </w:r>
          </w:p>
        </w:tc>
        <w:tc>
          <w:tcPr>
            <w:tcW w:w="2147" w:type="dxa"/>
            <w:tcBorders/>
            <w:vAlign w:val="bottom"/>
          </w:tcPr>
          <w:p>
            <w:pPr>
              <w:pStyle w:val="Normal"/>
              <w:widowControl/>
              <w:spacing w:lineRule="auto" w:line="240" w:before="0" w:after="0"/>
              <w:jc w:val="center"/>
              <w:rPr>
                <w:rFonts w:ascii="Calibri" w:hAnsi="Calibri" w:cs="Calibri"/>
                <w:color w:val="000000"/>
                <w:sz w:val="22"/>
                <w:szCs w:val="22"/>
              </w:rPr>
            </w:pPr>
            <w:r>
              <w:rPr>
                <w:rFonts w:eastAsia="Calibri" w:cs="Calibri" w:ascii="Calibri" w:hAnsi="Calibri"/>
                <w:color w:val="000000"/>
                <w:kern w:val="0"/>
                <w:sz w:val="22"/>
                <w:szCs w:val="22"/>
                <w:lang w:val="en-GB" w:eastAsia="en-US" w:bidi="ar-SA"/>
              </w:rPr>
              <w:t>-</w:t>
            </w:r>
          </w:p>
        </w:tc>
      </w:tr>
    </w:tbl>
    <w:p>
      <w:pPr>
        <w:pStyle w:val="Normal"/>
        <w:spacing w:lineRule="auto" w:line="360"/>
        <w:rPr>
          <w:lang w:val="en-GB"/>
        </w:rPr>
      </w:pPr>
      <w:r>
        <w:rPr>
          <w:lang w:val="en-GB"/>
        </w:rPr>
      </w:r>
    </w:p>
    <w:p>
      <w:pPr>
        <w:pStyle w:val="Normal"/>
        <w:spacing w:lineRule="auto" w:line="360"/>
        <w:rPr>
          <w:lang w:val="en-GB"/>
        </w:rPr>
      </w:pPr>
      <w:r>
        <w:rPr>
          <w:b/>
          <w:lang w:val="en-GB"/>
        </w:rPr>
        <w:t>Table 1</w:t>
      </w:r>
      <w:r>
        <w:rPr>
          <w:lang w:val="en-GB"/>
        </w:rPr>
        <w:t>. Coordination numbers of hydrogen atoms (either belonging to thymol hydroxyl group, H5, or to water, Hw) around reference acceptor sites (either water oxygen, Ow, or thymol hydroxyl oxygen, Oth, or center of aromatic ring (#3)). (</w:t>
      </w:r>
      <w:r>
        <w:rPr>
          <w:vertAlign w:val="superscript"/>
          <w:lang w:val="en-GB"/>
        </w:rPr>
        <w:t>a</w:t>
      </w:r>
      <w:r>
        <w:rPr>
          <w:lang w:val="en-GB"/>
        </w:rPr>
        <w:t>) results from DFT calculations by Tiecco et al.</w:t>
      </w:r>
      <w:r>
        <w:fldChar w:fldCharType="begin"/>
      </w:r>
      <w:r>
        <w:rPr>
          <w:lang w:val="en-GB"/>
        </w:rPr>
        <w:instrText xml:space="preserve">ADDIN CSL_CITATION {"citationItems":[{"id":"ITEM-1","itemData":{"DOI":"10.1016/j.molliq.2022.120043","ISSN":"01677322","author":[{"dropping-particle":"","family":"Tiecco","given":"Matteo","non-dropping-particle":"","parse-names":false,"suffix":""},{"dropping-particle":"","family":"Grillo","given":"Antonio","non-dropping-particle":"","parse-names":false,"suffix":""},{"dropping-particle":"","family":"Mosconi","given":"Edoardo","non-dropping-particle":"","parse-names":false,"suffix":""},{"dropping-particle":"","family":"Kaiser","given":"Waldemar","non-dropping-particle":"","parse-names":false,"suffix":""},{"dropping-particle":"","family":"Giacco","given":"Tiziana","non-dropping-particle":"Del","parse-names":false,"suffix":""},{"dropping-particle":"","family":"Germani","given":"Raimondo","non-dropping-particle":"","parse-names":false,"suffix":""},{"dropping-particle":"","family":"Giacco","given":"Del","non-dropping-particle":"","parse-names":false,"suffix":""},{"dropping-particle":"","family":"Germani","given":"Raimondo","non-dropping-particle":"","parse-names":false,"suffix":""}],"container-title":"Journal of Molecular Liquids","id":"ITEM-1","issued":{"date-parts":[["2022","10"]]},"page":"120043","publisher":"Elsevier B.V.","title":"Advances in the development of novel green liquids: thymol/water, thymol/urea and thymol/phenylacetic acid as innovative hydrophobic natural deep eutectic solvents","type":"article-journal","volume":"364"},"uris":["http://www.mendeley.com/documents/?uuid=20dfdf7b-3955-4465-94e5-6bd77545d652"]}],"mendeley":{"formattedCitation":"[27]","plainTextFormattedCitation":"[27]","previouslyFormattedCitation":"[27]"},"properties":{"noteIndex":0},"schema":"https://github.com/citation-style-language/schema/raw/master/csl-citation.json"}</w:instrText>
      </w:r>
      <w:r>
        <w:rPr>
          <w:lang w:val="en-GB"/>
        </w:rPr>
      </w:r>
      <w:r>
        <w:rPr>
          <w:lang w:val="en-GB"/>
        </w:rPr>
        <w:fldChar w:fldCharType="separate"/>
      </w:r>
      <w:r>
        <w:rPr>
          <w:lang w:val="en-GB"/>
        </w:rPr>
        <w:t>[27]</w:t>
      </w:r>
      <w:r>
        <w:rPr>
          <w:lang w:val="en-GB"/>
        </w:rPr>
      </w:r>
      <w:r>
        <w:rPr>
          <w:lang w:val="en-GB"/>
        </w:rPr>
        <w:fldChar w:fldCharType="end"/>
      </w:r>
    </w:p>
    <w:p>
      <w:pPr>
        <w:pStyle w:val="Normal"/>
        <w:spacing w:lineRule="auto" w:line="360"/>
        <w:rPr>
          <w:lang w:val="en-GB"/>
        </w:rPr>
      </w:pPr>
      <w:r>
        <w:rPr>
          <w:lang w:val="en-GB"/>
        </w:rPr>
      </w:r>
    </w:p>
    <w:p>
      <w:pPr>
        <w:pStyle w:val="Normal"/>
        <w:spacing w:lineRule="auto" w:line="360"/>
        <w:rPr>
          <w:i/>
          <w:i/>
          <w:lang w:val="en-GB"/>
        </w:rPr>
      </w:pPr>
      <w:r>
        <w:rPr>
          <w:i/>
          <w:lang w:val="en-GB"/>
        </w:rPr>
        <w:t>3.2</w:t>
        <w:tab/>
        <w:t>Thymol-water correlations.</w:t>
      </w:r>
    </w:p>
    <w:p>
      <w:pPr>
        <w:pStyle w:val="Normal"/>
        <w:spacing w:lineRule="auto" w:line="360"/>
        <w:rPr>
          <w:lang w:val="en-GB"/>
        </w:rPr>
      </w:pPr>
      <w:r>
        <w:rPr>
          <w:lang w:val="en-GB"/>
        </w:rPr>
        <w:t xml:space="preserve">Despite being a minor component, water is supposed to play a role in influencing the structural organization of the present thymol-water mixture, considering the drop in in melting point and the possibility to establish </w:t>
      </w:r>
      <w:r>
        <w:rPr>
          <w:lang w:val="en-GB"/>
        </w:rPr>
        <mc:AlternateContent>
          <mc:Choice Requires="wps">
            <w:drawing>
              <wp:anchor behindDoc="0" distT="0" distB="11430" distL="111125" distR="131445" simplePos="0" locked="0" layoutInCell="0" allowOverlap="0" relativeHeight="16" wp14:anchorId="0CF2E9EA">
                <wp:simplePos x="0" y="0"/>
                <wp:positionH relativeFrom="column">
                  <wp:posOffset>-99695</wp:posOffset>
                </wp:positionH>
                <wp:positionV relativeFrom="paragraph">
                  <wp:posOffset>266700</wp:posOffset>
                </wp:positionV>
                <wp:extent cx="6113780" cy="2367280"/>
                <wp:effectExtent l="3175" t="3175" r="3175" b="3175"/>
                <wp:wrapSquare wrapText="right"/>
                <wp:docPr id="35" name="Casella di testo 36"/>
                <a:graphic xmlns:a="http://schemas.openxmlformats.org/drawingml/2006/main">
                  <a:graphicData uri="http://schemas.microsoft.com/office/word/2010/wordprocessingShape">
                    <wps:wsp>
                      <wps:cNvSpPr/>
                      <wps:spPr>
                        <a:xfrm>
                          <a:off x="0" y="0"/>
                          <a:ext cx="6113880" cy="2367360"/>
                        </a:xfrm>
                        <a:prstGeom prst="rect">
                          <a:avLst/>
                        </a:prstGeom>
                        <a:solidFill>
                          <a:schemeClr val="lt1"/>
                        </a:solidFill>
                        <a:ln w="6350">
                          <a:solidFill>
                            <a:srgbClr val="000000"/>
                          </a:solidFill>
                          <a:round/>
                        </a:ln>
                      </wps:spPr>
                      <wps:style>
                        <a:lnRef idx="0">
                          <a:schemeClr val="accent1"/>
                        </a:lnRef>
                        <a:fillRef idx="0">
                          <a:schemeClr val="accent1"/>
                        </a:fillRef>
                        <a:effectRef idx="0">
                          <a:schemeClr val="accent1"/>
                        </a:effectRef>
                        <a:fontRef idx="minor"/>
                      </wps:style>
                      <wps:txbx>
                        <w:txbxContent>
                          <w:tbl>
                            <w:tblPr>
                              <w:tblStyle w:val="Grigliatabella"/>
                              <w:tblW w:w="9423" w:type="dxa"/>
                              <w:jc w:val="left"/>
                              <w:tblInd w:w="0" w:type="dxa"/>
                              <w:tblLayout w:type="fixed"/>
                              <w:tblCellMar>
                                <w:top w:w="0" w:type="dxa"/>
                                <w:left w:w="108" w:type="dxa"/>
                                <w:bottom w:w="0" w:type="dxa"/>
                                <w:right w:w="108" w:type="dxa"/>
                              </w:tblCellMar>
                              <w:tblLook w:val="04a0" w:noVBand="1" w:noHBand="0" w:lastColumn="0" w:firstColumn="1" w:lastRow="0" w:firstRow="1"/>
                            </w:tblPr>
                            <w:tblGrid>
                              <w:gridCol w:w="3141"/>
                              <w:gridCol w:w="3141"/>
                              <w:gridCol w:w="3141"/>
                            </w:tblGrid>
                            <w:tr>
                              <w:trPr/>
                              <w:tc>
                                <w:tcPr>
                                  <w:tcW w:w="3141" w:type="dxa"/>
                                  <w:tcBorders/>
                                </w:tcPr>
                                <w:p>
                                  <w:pPr>
                                    <w:pStyle w:val="FrameContents"/>
                                    <w:widowControl/>
                                    <w:spacing w:lineRule="auto" w:line="240" w:before="0" w:after="0"/>
                                    <w:jc w:val="left"/>
                                    <w:rPr>
                                      <w:rFonts w:ascii="Times New Roman" w:hAnsi="Times New Roman" w:eastAsia="Calibri" w:cs="Times New Roman"/>
                                      <w:kern w:val="0"/>
                                      <w:sz w:val="24"/>
                                      <w:szCs w:val="24"/>
                                      <w:lang w:val="en-GB" w:eastAsia="en-US" w:bidi="ar-SA"/>
                                    </w:rPr>
                                  </w:pPr>
                                  <w:r>
                                    <w:rPr>
                                      <w:rFonts w:eastAsia="Calibri" w:cs="Times New Roman"/>
                                      <w:kern w:val="0"/>
                                      <w:sz w:val="24"/>
                                      <w:szCs w:val="24"/>
                                      <w:lang w:val="en-GB" w:eastAsia="en-US" w:bidi="ar-SA"/>
                                    </w:rPr>
                                    <w:drawing>
                                      <wp:inline distT="0" distB="0" distL="0" distR="0">
                                        <wp:extent cx="1857375" cy="1421765"/>
                                        <wp:effectExtent l="0" t="0" r="0" b="0"/>
                                        <wp:docPr id="37" name="Immagine 4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magine 40" descr=""/>
                                                <pic:cNvPicPr>
                                                  <a:picLocks noChangeAspect="1" noChangeArrowheads="1"/>
                                                </pic:cNvPicPr>
                                              </pic:nvPicPr>
                                              <pic:blipFill>
                                                <a:blip r:embed="rId24"/>
                                                <a:stretch>
                                                  <a:fillRect/>
                                                </a:stretch>
                                              </pic:blipFill>
                                              <pic:spPr bwMode="auto">
                                                <a:xfrm>
                                                  <a:off x="0" y="0"/>
                                                  <a:ext cx="1857375" cy="1421765"/>
                                                </a:xfrm>
                                                <a:prstGeom prst="rect">
                                                  <a:avLst/>
                                                </a:prstGeom>
                                              </pic:spPr>
                                            </pic:pic>
                                          </a:graphicData>
                                        </a:graphic>
                                      </wp:inline>
                                    </w:drawing>
                                  </w:r>
                                </w:p>
                              </w:tc>
                              <w:tc>
                                <w:tcPr>
                                  <w:tcW w:w="3141" w:type="dxa"/>
                                  <w:tcBorders/>
                                </w:tcPr>
                                <w:p>
                                  <w:pPr>
                                    <w:pStyle w:val="FrameContents"/>
                                    <w:widowControl/>
                                    <w:spacing w:lineRule="auto" w:line="240" w:before="0" w:after="0"/>
                                    <w:jc w:val="left"/>
                                    <w:rPr>
                                      <w:rFonts w:ascii="Times New Roman" w:hAnsi="Times New Roman" w:eastAsia="Calibri" w:cs="Times New Roman"/>
                                      <w:kern w:val="0"/>
                                      <w:sz w:val="24"/>
                                      <w:szCs w:val="24"/>
                                      <w:lang w:val="en-GB" w:eastAsia="en-US" w:bidi="ar-SA"/>
                                    </w:rPr>
                                  </w:pPr>
                                  <w:r>
                                    <w:rPr>
                                      <w:rFonts w:eastAsia="Calibri" w:cs="Times New Roman"/>
                                      <w:kern w:val="0"/>
                                      <w:sz w:val="24"/>
                                      <w:szCs w:val="24"/>
                                      <w:lang w:val="en-GB" w:eastAsia="en-US" w:bidi="ar-SA"/>
                                    </w:rPr>
                                    <w:drawing>
                                      <wp:inline distT="0" distB="0" distL="0" distR="0">
                                        <wp:extent cx="1857375" cy="1421765"/>
                                        <wp:effectExtent l="0" t="0" r="0" b="0"/>
                                        <wp:docPr id="38" name="Immagine 4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magine 47" descr=""/>
                                                <pic:cNvPicPr>
                                                  <a:picLocks noChangeAspect="1" noChangeArrowheads="1"/>
                                                </pic:cNvPicPr>
                                              </pic:nvPicPr>
                                              <pic:blipFill>
                                                <a:blip r:embed="rId25"/>
                                                <a:stretch>
                                                  <a:fillRect/>
                                                </a:stretch>
                                              </pic:blipFill>
                                              <pic:spPr bwMode="auto">
                                                <a:xfrm>
                                                  <a:off x="0" y="0"/>
                                                  <a:ext cx="1857375" cy="1421765"/>
                                                </a:xfrm>
                                                <a:prstGeom prst="rect">
                                                  <a:avLst/>
                                                </a:prstGeom>
                                              </pic:spPr>
                                            </pic:pic>
                                          </a:graphicData>
                                        </a:graphic>
                                      </wp:inline>
                                    </w:drawing>
                                  </w:r>
                                </w:p>
                              </w:tc>
                              <w:tc>
                                <w:tcPr>
                                  <w:tcW w:w="3141" w:type="dxa"/>
                                  <w:tcBorders/>
                                </w:tcPr>
                                <w:p>
                                  <w:pPr>
                                    <w:pStyle w:val="FrameContents"/>
                                    <w:widowControl/>
                                    <w:spacing w:lineRule="auto" w:line="240" w:before="0" w:after="0"/>
                                    <w:jc w:val="left"/>
                                    <w:rPr>
                                      <w:rFonts w:ascii="Times New Roman" w:hAnsi="Times New Roman" w:eastAsia="Calibri" w:cs="Times New Roman"/>
                                      <w:kern w:val="0"/>
                                      <w:sz w:val="24"/>
                                      <w:szCs w:val="24"/>
                                      <w:lang w:val="en-GB" w:eastAsia="en-US" w:bidi="ar-SA"/>
                                    </w:rPr>
                                  </w:pPr>
                                  <w:r>
                                    <w:rPr>
                                      <w:rFonts w:eastAsia="Calibri" w:cs="Times New Roman"/>
                                      <w:kern w:val="0"/>
                                      <w:sz w:val="24"/>
                                      <w:szCs w:val="24"/>
                                      <w:lang w:val="en-GB" w:eastAsia="en-US" w:bidi="ar-SA"/>
                                    </w:rPr>
                                    <w:drawing>
                                      <wp:inline distT="0" distB="0" distL="0" distR="0">
                                        <wp:extent cx="1857375" cy="1421765"/>
                                        <wp:effectExtent l="0" t="0" r="0" b="0"/>
                                        <wp:docPr id="39" name="Immagine 4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magine 49" descr=""/>
                                                <pic:cNvPicPr>
                                                  <a:picLocks noChangeAspect="1" noChangeArrowheads="1"/>
                                                </pic:cNvPicPr>
                                              </pic:nvPicPr>
                                              <pic:blipFill>
                                                <a:blip r:embed="rId26"/>
                                                <a:stretch>
                                                  <a:fillRect/>
                                                </a:stretch>
                                              </pic:blipFill>
                                              <pic:spPr bwMode="auto">
                                                <a:xfrm>
                                                  <a:off x="0" y="0"/>
                                                  <a:ext cx="1857375" cy="1421765"/>
                                                </a:xfrm>
                                                <a:prstGeom prst="rect">
                                                  <a:avLst/>
                                                </a:prstGeom>
                                              </pic:spPr>
                                            </pic:pic>
                                          </a:graphicData>
                                        </a:graphic>
                                      </wp:inline>
                                    </w:drawing>
                                  </w:r>
                                </w:p>
                              </w:tc>
                            </w:tr>
                          </w:tbl>
                          <w:p>
                            <w:pPr>
                              <w:pStyle w:val="FrameContents"/>
                              <w:rPr>
                                <w:color w:val="000000"/>
                              </w:rPr>
                            </w:pPr>
                            <w:r>
                              <w:rPr>
                                <w:color w:val="000000"/>
                              </w:rPr>
                              <w:t xml:space="preserve">Figure </w:t>
                            </w:r>
                            <w:r>
                              <w:rPr>
                                <w:color w:val="000000"/>
                                <w:lang w:val="en-GB"/>
                              </w:rPr>
                              <w:t xml:space="preserve">7. </w:t>
                            </w:r>
                            <w:r>
                              <w:rPr>
                                <w:color w:val="000000"/>
                              </w:rPr>
                              <w:t>MD-computed pair distribution functions (continuous lines) and corresponding running neighbour numbers (dashed lines) related to thymol-water HB correlations in the thymol-water mixture: (left) thymol H5- water oxygen; (center) water hydrogen- thymol oxygen and (right) water hydrogen – thymol center of ring.</w:t>
                            </w:r>
                          </w:p>
                          <w:p>
                            <w:pPr>
                              <w:pStyle w:val="FrameContents"/>
                              <w:spacing w:before="0" w:after="160"/>
                              <w:rPr>
                                <w:color w:val="000000"/>
                              </w:rPr>
                            </w:pPr>
                            <w:r>
                              <w:rPr>
                                <w:color w:val="000000"/>
                                <w:lang w:val="en-GB"/>
                              </w:rPr>
                              <w:tab/>
                            </w:r>
                          </w:p>
                        </w:txbxContent>
                      </wps:txbx>
                      <wps:bodyPr anchor="t">
                        <a:prstTxWarp prst="textNoShape"/>
                        <a:noAutofit/>
                      </wps:bodyPr>
                    </wps:wsp>
                  </a:graphicData>
                </a:graphic>
              </wp:anchor>
            </w:drawing>
          </mc:Choice>
          <mc:Fallback>
            <w:pict>
              <v:rect id="shape_0" ID="Casella di testo 36" path="m0,0l-2147483645,0l-2147483645,-2147483646l0,-2147483646xe" fillcolor="white" stroked="t" o:allowincell="f" style="position:absolute;margin-left:-7.85pt;margin-top:21pt;width:481.35pt;height:186.35pt;mso-wrap-style:square;v-text-anchor:top" wp14:anchorId="0CF2E9EA">
                <v:fill o:detectmouseclick="t" type="solid" color2="black"/>
                <v:stroke color="black" weight="6480" joinstyle="round" endcap="flat"/>
                <v:textbox>
                  <w:txbxContent>
                    <w:tbl>
                      <w:tblPr>
                        <w:tblStyle w:val="Grigliatabella"/>
                        <w:tblW w:w="9423" w:type="dxa"/>
                        <w:jc w:val="left"/>
                        <w:tblInd w:w="0" w:type="dxa"/>
                        <w:tblLayout w:type="fixed"/>
                        <w:tblCellMar>
                          <w:top w:w="0" w:type="dxa"/>
                          <w:left w:w="108" w:type="dxa"/>
                          <w:bottom w:w="0" w:type="dxa"/>
                          <w:right w:w="108" w:type="dxa"/>
                        </w:tblCellMar>
                        <w:tblLook w:val="04a0" w:noVBand="1" w:noHBand="0" w:lastColumn="0" w:firstColumn="1" w:lastRow="0" w:firstRow="1"/>
                      </w:tblPr>
                      <w:tblGrid>
                        <w:gridCol w:w="3141"/>
                        <w:gridCol w:w="3141"/>
                        <w:gridCol w:w="3141"/>
                      </w:tblGrid>
                      <w:tr>
                        <w:trPr/>
                        <w:tc>
                          <w:tcPr>
                            <w:tcW w:w="3141" w:type="dxa"/>
                            <w:tcBorders/>
                          </w:tcPr>
                          <w:p>
                            <w:pPr>
                              <w:pStyle w:val="FrameContents"/>
                              <w:widowControl/>
                              <w:spacing w:lineRule="auto" w:line="240" w:before="0" w:after="0"/>
                              <w:jc w:val="left"/>
                              <w:rPr>
                                <w:rFonts w:ascii="Times New Roman" w:hAnsi="Times New Roman" w:eastAsia="Calibri" w:cs="Times New Roman"/>
                                <w:kern w:val="0"/>
                                <w:sz w:val="24"/>
                                <w:szCs w:val="24"/>
                                <w:lang w:val="en-GB" w:eastAsia="en-US" w:bidi="ar-SA"/>
                              </w:rPr>
                            </w:pPr>
                            <w:r>
                              <w:rPr>
                                <w:rFonts w:eastAsia="Calibri" w:cs="Times New Roman"/>
                                <w:kern w:val="0"/>
                                <w:sz w:val="24"/>
                                <w:szCs w:val="24"/>
                                <w:lang w:val="en-GB" w:eastAsia="en-US" w:bidi="ar-SA"/>
                              </w:rPr>
                              <w:drawing>
                                <wp:inline distT="0" distB="0" distL="0" distR="0">
                                  <wp:extent cx="1857375" cy="1421765"/>
                                  <wp:effectExtent l="0" t="0" r="0" b="0"/>
                                  <wp:docPr id="40" name="Immagine 4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magine 40" descr=""/>
                                          <pic:cNvPicPr>
                                            <a:picLocks noChangeAspect="1" noChangeArrowheads="1"/>
                                          </pic:cNvPicPr>
                                        </pic:nvPicPr>
                                        <pic:blipFill>
                                          <a:blip r:embed="rId27"/>
                                          <a:stretch>
                                            <a:fillRect/>
                                          </a:stretch>
                                        </pic:blipFill>
                                        <pic:spPr bwMode="auto">
                                          <a:xfrm>
                                            <a:off x="0" y="0"/>
                                            <a:ext cx="1857375" cy="1421765"/>
                                          </a:xfrm>
                                          <a:prstGeom prst="rect">
                                            <a:avLst/>
                                          </a:prstGeom>
                                        </pic:spPr>
                                      </pic:pic>
                                    </a:graphicData>
                                  </a:graphic>
                                </wp:inline>
                              </w:drawing>
                            </w:r>
                          </w:p>
                        </w:tc>
                        <w:tc>
                          <w:tcPr>
                            <w:tcW w:w="3141" w:type="dxa"/>
                            <w:tcBorders/>
                          </w:tcPr>
                          <w:p>
                            <w:pPr>
                              <w:pStyle w:val="FrameContents"/>
                              <w:widowControl/>
                              <w:spacing w:lineRule="auto" w:line="240" w:before="0" w:after="0"/>
                              <w:jc w:val="left"/>
                              <w:rPr>
                                <w:rFonts w:ascii="Times New Roman" w:hAnsi="Times New Roman" w:eastAsia="Calibri" w:cs="Times New Roman"/>
                                <w:kern w:val="0"/>
                                <w:sz w:val="24"/>
                                <w:szCs w:val="24"/>
                                <w:lang w:val="en-GB" w:eastAsia="en-US" w:bidi="ar-SA"/>
                              </w:rPr>
                            </w:pPr>
                            <w:r>
                              <w:rPr>
                                <w:rFonts w:eastAsia="Calibri" w:cs="Times New Roman"/>
                                <w:kern w:val="0"/>
                                <w:sz w:val="24"/>
                                <w:szCs w:val="24"/>
                                <w:lang w:val="en-GB" w:eastAsia="en-US" w:bidi="ar-SA"/>
                              </w:rPr>
                              <w:drawing>
                                <wp:inline distT="0" distB="0" distL="0" distR="0">
                                  <wp:extent cx="1857375" cy="1421765"/>
                                  <wp:effectExtent l="0" t="0" r="0" b="0"/>
                                  <wp:docPr id="41" name="Immagine 4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magine 47" descr=""/>
                                          <pic:cNvPicPr>
                                            <a:picLocks noChangeAspect="1" noChangeArrowheads="1"/>
                                          </pic:cNvPicPr>
                                        </pic:nvPicPr>
                                        <pic:blipFill>
                                          <a:blip r:embed="rId28"/>
                                          <a:stretch>
                                            <a:fillRect/>
                                          </a:stretch>
                                        </pic:blipFill>
                                        <pic:spPr bwMode="auto">
                                          <a:xfrm>
                                            <a:off x="0" y="0"/>
                                            <a:ext cx="1857375" cy="1421765"/>
                                          </a:xfrm>
                                          <a:prstGeom prst="rect">
                                            <a:avLst/>
                                          </a:prstGeom>
                                        </pic:spPr>
                                      </pic:pic>
                                    </a:graphicData>
                                  </a:graphic>
                                </wp:inline>
                              </w:drawing>
                            </w:r>
                          </w:p>
                        </w:tc>
                        <w:tc>
                          <w:tcPr>
                            <w:tcW w:w="3141" w:type="dxa"/>
                            <w:tcBorders/>
                          </w:tcPr>
                          <w:p>
                            <w:pPr>
                              <w:pStyle w:val="FrameContents"/>
                              <w:widowControl/>
                              <w:spacing w:lineRule="auto" w:line="240" w:before="0" w:after="0"/>
                              <w:jc w:val="left"/>
                              <w:rPr>
                                <w:rFonts w:ascii="Times New Roman" w:hAnsi="Times New Roman" w:eastAsia="Calibri" w:cs="Times New Roman"/>
                                <w:kern w:val="0"/>
                                <w:sz w:val="24"/>
                                <w:szCs w:val="24"/>
                                <w:lang w:val="en-GB" w:eastAsia="en-US" w:bidi="ar-SA"/>
                              </w:rPr>
                            </w:pPr>
                            <w:r>
                              <w:rPr>
                                <w:rFonts w:eastAsia="Calibri" w:cs="Times New Roman"/>
                                <w:kern w:val="0"/>
                                <w:sz w:val="24"/>
                                <w:szCs w:val="24"/>
                                <w:lang w:val="en-GB" w:eastAsia="en-US" w:bidi="ar-SA"/>
                              </w:rPr>
                              <w:drawing>
                                <wp:inline distT="0" distB="0" distL="0" distR="0">
                                  <wp:extent cx="1857375" cy="1421765"/>
                                  <wp:effectExtent l="0" t="0" r="0" b="0"/>
                                  <wp:docPr id="42" name="Immagine 4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magine 49" descr=""/>
                                          <pic:cNvPicPr>
                                            <a:picLocks noChangeAspect="1" noChangeArrowheads="1"/>
                                          </pic:cNvPicPr>
                                        </pic:nvPicPr>
                                        <pic:blipFill>
                                          <a:blip r:embed="rId29"/>
                                          <a:stretch>
                                            <a:fillRect/>
                                          </a:stretch>
                                        </pic:blipFill>
                                        <pic:spPr bwMode="auto">
                                          <a:xfrm>
                                            <a:off x="0" y="0"/>
                                            <a:ext cx="1857375" cy="1421765"/>
                                          </a:xfrm>
                                          <a:prstGeom prst="rect">
                                            <a:avLst/>
                                          </a:prstGeom>
                                        </pic:spPr>
                                      </pic:pic>
                                    </a:graphicData>
                                  </a:graphic>
                                </wp:inline>
                              </w:drawing>
                            </w:r>
                          </w:p>
                        </w:tc>
                      </w:tr>
                    </w:tbl>
                    <w:p>
                      <w:pPr>
                        <w:pStyle w:val="FrameContents"/>
                        <w:rPr>
                          <w:color w:val="000000"/>
                        </w:rPr>
                      </w:pPr>
                      <w:r>
                        <w:rPr>
                          <w:color w:val="000000"/>
                        </w:rPr>
                        <w:t xml:space="preserve">Figure </w:t>
                      </w:r>
                      <w:r>
                        <w:rPr>
                          <w:color w:val="000000"/>
                          <w:lang w:val="en-GB"/>
                        </w:rPr>
                        <w:t xml:space="preserve">7. </w:t>
                      </w:r>
                      <w:r>
                        <w:rPr>
                          <w:color w:val="000000"/>
                        </w:rPr>
                        <w:t>MD-computed pair distribution functions (continuous lines) and corresponding running neighbour numbers (dashed lines) related to thymol-water HB correlations in the thymol-water mixture: (left) thymol H5- water oxygen; (center) water hydrogen- thymol oxygen and (right) water hydrogen – thymol center of ring.</w:t>
                      </w:r>
                    </w:p>
                    <w:p>
                      <w:pPr>
                        <w:pStyle w:val="FrameContents"/>
                        <w:spacing w:before="0" w:after="160"/>
                        <w:rPr>
                          <w:color w:val="000000"/>
                        </w:rPr>
                      </w:pPr>
                      <w:r>
                        <w:rPr>
                          <w:color w:val="000000"/>
                          <w:lang w:val="en-GB"/>
                        </w:rPr>
                        <w:tab/>
                      </w:r>
                    </w:p>
                  </w:txbxContent>
                </v:textbox>
                <w10:wrap type="square" side="right"/>
              </v:rect>
            </w:pict>
          </mc:Fallback>
        </mc:AlternateContent>
        <w:t xml:space="preserve">hydrogen bonding mediated interactions with thymol hydroxyl group. In </w:t>
      </w:r>
      <w:r>
        <w:rPr>
          <w:b/>
          <w:lang w:val="en-GB"/>
        </w:rPr>
        <w:t>Figure 7</w:t>
      </w:r>
      <w:r>
        <w:rPr>
          <w:lang w:val="en-GB"/>
        </w:rPr>
        <w:t xml:space="preserve">, we report the pdf related to the potential establishment of HB interactions between thymol and water. In particular we show: a) the O1-H5···Ow (left) correlation that is characterised by a strong peak centred at 1.85 Å and corresponds to a number of 0.19 hydrogens surrounding water’s oxygen; b) the Ow-Hw···O1 (center) correlation that is characterised by a peak centred at 1.92 Å and corresponds to a number of 0.09 surrounding hydrogens and c) the Ow-Hw···#3 (left) correlation that is characterised by a weak though appreciable peak centred at 2.7 Å and corresponds to a number of 0.07 surrounding hydrogens, correlated to the thymol ring centred through π···Hw-Ow hydrogen bonding (see </w:t>
      </w:r>
      <w:r>
        <w:rPr>
          <w:b/>
          <w:lang w:val="en-GB"/>
        </w:rPr>
        <w:t>Table 1</w:t>
      </w:r>
      <w:r>
        <w:rPr>
          <w:lang w:val="en-GB"/>
        </w:rPr>
        <w:t xml:space="preserve">). It appears that in the present mixture, thymol is involved not only in HB interaction with other thymol molecules, with essentially unaffected coordination numbers with respect to the neat thymol case, but it also interacts with water through HB interactions. In particular, thymol hydroxyl H5 interacts with water oxygen, so that a total of 0.85 H5 are involved in HB interactions with different acceptor sites, either belonging to thymol or to water: such a figure can be compared with the corresponding number of 0.73 H5 involved in HB interactions in neat thymol. Moreover, thymol can act as a HB acceptor entity, interacting with </w:t>
      </w:r>
      <w:r>
        <w:rPr>
          <w:lang w:val="en-GB"/>
        </w:rPr>
        <mc:AlternateContent>
          <mc:Choice Requires="wps">
            <w:drawing>
              <wp:anchor behindDoc="0" distT="0" distB="14605" distL="109855" distR="136525" simplePos="0" locked="0" layoutInCell="0" allowOverlap="0" relativeHeight="28" wp14:anchorId="22E8A3CD">
                <wp:simplePos x="0" y="0"/>
                <wp:positionH relativeFrom="column">
                  <wp:posOffset>-79375</wp:posOffset>
                </wp:positionH>
                <wp:positionV relativeFrom="paragraph">
                  <wp:posOffset>72390</wp:posOffset>
                </wp:positionV>
                <wp:extent cx="3213735" cy="5678170"/>
                <wp:effectExtent l="3810" t="3175" r="2540" b="3175"/>
                <wp:wrapSquare wrapText="right"/>
                <wp:docPr id="43" name="Casella di testo 35"/>
                <a:graphic xmlns:a="http://schemas.openxmlformats.org/drawingml/2006/main">
                  <a:graphicData uri="http://schemas.microsoft.com/office/word/2010/wordprocessingShape">
                    <wps:wsp>
                      <wps:cNvSpPr/>
                      <wps:spPr>
                        <a:xfrm>
                          <a:off x="0" y="0"/>
                          <a:ext cx="3213720" cy="5678280"/>
                        </a:xfrm>
                        <a:prstGeom prst="rect">
                          <a:avLst/>
                        </a:prstGeom>
                        <a:solidFill>
                          <a:schemeClr val="lt1"/>
                        </a:solidFill>
                        <a:ln w="6350">
                          <a:solidFill>
                            <a:srgbClr val="000000"/>
                          </a:solidFill>
                          <a:round/>
                        </a:ln>
                      </wps:spPr>
                      <wps:style>
                        <a:lnRef idx="0">
                          <a:schemeClr val="accent1"/>
                        </a:lnRef>
                        <a:fillRef idx="0">
                          <a:schemeClr val="accent1"/>
                        </a:fillRef>
                        <a:effectRef idx="0">
                          <a:schemeClr val="accent1"/>
                        </a:effectRef>
                        <a:fontRef idx="minor"/>
                      </wps:style>
                      <wps:txbx>
                        <w:txbxContent>
                          <w:tbl>
                            <w:tblPr>
                              <w:tblStyle w:val="Grigliatabella"/>
                              <w:tblW w:w="4986" w:type="dxa"/>
                              <w:jc w:val="left"/>
                              <w:tblInd w:w="0" w:type="dxa"/>
                              <w:tblLayout w:type="fixed"/>
                              <w:tblCellMar>
                                <w:top w:w="0" w:type="dxa"/>
                                <w:left w:w="108" w:type="dxa"/>
                                <w:bottom w:w="0" w:type="dxa"/>
                                <w:right w:w="108" w:type="dxa"/>
                              </w:tblCellMar>
                              <w:tblLook w:val="04a0" w:noVBand="1" w:noHBand="0" w:lastColumn="0" w:firstColumn="1" w:lastRow="0" w:firstRow="1"/>
                            </w:tblPr>
                            <w:tblGrid>
                              <w:gridCol w:w="4986"/>
                            </w:tblGrid>
                            <w:tr>
                              <w:trPr/>
                              <w:tc>
                                <w:tcPr>
                                  <w:tcW w:w="4986" w:type="dxa"/>
                                  <w:tcBorders/>
                                </w:tcPr>
                                <w:p>
                                  <w:pPr>
                                    <w:pStyle w:val="FrameContents"/>
                                    <w:widowControl/>
                                    <w:spacing w:lineRule="auto" w:line="240" w:before="0" w:after="0"/>
                                    <w:jc w:val="center"/>
                                    <w:rPr>
                                      <w:lang w:eastAsia="it-IT"/>
                                    </w:rPr>
                                  </w:pPr>
                                  <w:r>
                                    <w:rPr>
                                      <w:rFonts w:eastAsia="Calibri" w:cs="Times New Roman"/>
                                      <w:kern w:val="0"/>
                                      <w:sz w:val="24"/>
                                      <w:szCs w:val="24"/>
                                      <w:lang w:val="en-GB" w:eastAsia="en-US" w:bidi="ar-SA"/>
                                    </w:rPr>
                                    <w:drawing>
                                      <wp:inline distT="0" distB="0" distL="0" distR="0">
                                        <wp:extent cx="3024505" cy="2314575"/>
                                        <wp:effectExtent l="0" t="0" r="0" b="0"/>
                                        <wp:docPr id="45" name="Immagine 5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magine 50" descr=""/>
                                                <pic:cNvPicPr>
                                                  <a:picLocks noChangeAspect="1" noChangeArrowheads="1"/>
                                                </pic:cNvPicPr>
                                              </pic:nvPicPr>
                                              <pic:blipFill>
                                                <a:blip r:embed="rId30"/>
                                                <a:stretch>
                                                  <a:fillRect/>
                                                </a:stretch>
                                              </pic:blipFill>
                                              <pic:spPr bwMode="auto">
                                                <a:xfrm>
                                                  <a:off x="0" y="0"/>
                                                  <a:ext cx="3024505" cy="2314575"/>
                                                </a:xfrm>
                                                <a:prstGeom prst="rect">
                                                  <a:avLst/>
                                                </a:prstGeom>
                                              </pic:spPr>
                                            </pic:pic>
                                          </a:graphicData>
                                        </a:graphic>
                                      </wp:inline>
                                    </w:drawing>
                                  </w:r>
                                </w:p>
                              </w:tc>
                            </w:tr>
                            <w:tr>
                              <w:trPr/>
                              <w:tc>
                                <w:tcPr>
                                  <w:tcW w:w="4986" w:type="dxa"/>
                                  <w:tcBorders/>
                                </w:tcPr>
                                <w:p>
                                  <w:pPr>
                                    <w:pStyle w:val="FrameContents"/>
                                    <w:widowControl/>
                                    <w:spacing w:lineRule="auto" w:line="240" w:before="0" w:after="0"/>
                                    <w:jc w:val="center"/>
                                    <w:rPr>
                                      <w:lang w:eastAsia="it-IT"/>
                                    </w:rPr>
                                  </w:pPr>
                                  <w:r>
                                    <w:rPr>
                                      <w:rFonts w:eastAsia="Calibri" w:cs="Times New Roman"/>
                                      <w:kern w:val="0"/>
                                      <w:sz w:val="24"/>
                                      <w:szCs w:val="24"/>
                                      <w:lang w:val="en-GB" w:eastAsia="en-US" w:bidi="ar-SA"/>
                                    </w:rPr>
                                    <w:drawing>
                                      <wp:inline distT="0" distB="0" distL="0" distR="0">
                                        <wp:extent cx="3024505" cy="1577340"/>
                                        <wp:effectExtent l="0" t="0" r="0" b="0"/>
                                        <wp:docPr id="46" name="Immagine 5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magine 52" descr=""/>
                                                <pic:cNvPicPr>
                                                  <a:picLocks noChangeAspect="1" noChangeArrowheads="1"/>
                                                </pic:cNvPicPr>
                                              </pic:nvPicPr>
                                              <pic:blipFill>
                                                <a:blip r:embed="rId31"/>
                                                <a:stretch>
                                                  <a:fillRect/>
                                                </a:stretch>
                                              </pic:blipFill>
                                              <pic:spPr bwMode="auto">
                                                <a:xfrm>
                                                  <a:off x="0" y="0"/>
                                                  <a:ext cx="3024505" cy="1577340"/>
                                                </a:xfrm>
                                                <a:prstGeom prst="rect">
                                                  <a:avLst/>
                                                </a:prstGeom>
                                              </pic:spPr>
                                            </pic:pic>
                                          </a:graphicData>
                                        </a:graphic>
                                      </wp:inline>
                                    </w:drawing>
                                  </w:r>
                                </w:p>
                              </w:tc>
                            </w:tr>
                          </w:tbl>
                          <w:p>
                            <w:pPr>
                              <w:pStyle w:val="FrameContents"/>
                              <w:jc w:val="center"/>
                              <w:rPr>
                                <w:lang w:eastAsia="it-IT"/>
                              </w:rPr>
                            </w:pPr>
                            <w:r>
                              <w:rPr>
                                <w:color w:val="000000"/>
                                <w:lang w:eastAsia="it-IT"/>
                              </w:rPr>
                            </w:r>
                          </w:p>
                          <w:p>
                            <w:pPr>
                              <w:pStyle w:val="FrameContents"/>
                              <w:spacing w:before="0" w:after="160"/>
                              <w:jc w:val="center"/>
                              <w:rPr>
                                <w:color w:val="000000"/>
                              </w:rPr>
                            </w:pPr>
                            <w:r>
                              <w:rPr>
                                <w:color w:val="000000"/>
                              </w:rPr>
                              <w:t>Figure 8. (top) MD-computed pdf of water oxygen- thymol oxyge in thymol-water mixture.  (bottom) representative snapshot isolating two neighbour thymol molecules that are hydrogen bnding correlated with a coordinating water molecule.</w:t>
                            </w:r>
                          </w:p>
                        </w:txbxContent>
                      </wps:txbx>
                      <wps:bodyPr anchor="t">
                        <a:prstTxWarp prst="textNoShape"/>
                        <a:noAutofit/>
                      </wps:bodyPr>
                    </wps:wsp>
                  </a:graphicData>
                </a:graphic>
              </wp:anchor>
            </w:drawing>
          </mc:Choice>
          <mc:Fallback>
            <w:pict>
              <v:rect id="shape_0" ID="Casella di testo 35" path="m0,0l-2147483645,0l-2147483645,-2147483646l0,-2147483646xe" fillcolor="white" stroked="t" o:allowincell="f" style="position:absolute;margin-left:-6.25pt;margin-top:5.7pt;width:253pt;height:447.05pt;mso-wrap-style:square;v-text-anchor:top" wp14:anchorId="22E8A3CD">
                <v:fill o:detectmouseclick="t" type="solid" color2="black"/>
                <v:stroke color="black" weight="6480" joinstyle="round" endcap="flat"/>
                <v:textbox>
                  <w:txbxContent>
                    <w:tbl>
                      <w:tblPr>
                        <w:tblStyle w:val="Grigliatabella"/>
                        <w:tblW w:w="4986" w:type="dxa"/>
                        <w:jc w:val="left"/>
                        <w:tblInd w:w="0" w:type="dxa"/>
                        <w:tblLayout w:type="fixed"/>
                        <w:tblCellMar>
                          <w:top w:w="0" w:type="dxa"/>
                          <w:left w:w="108" w:type="dxa"/>
                          <w:bottom w:w="0" w:type="dxa"/>
                          <w:right w:w="108" w:type="dxa"/>
                        </w:tblCellMar>
                        <w:tblLook w:val="04a0" w:noVBand="1" w:noHBand="0" w:lastColumn="0" w:firstColumn="1" w:lastRow="0" w:firstRow="1"/>
                      </w:tblPr>
                      <w:tblGrid>
                        <w:gridCol w:w="4986"/>
                      </w:tblGrid>
                      <w:tr>
                        <w:trPr/>
                        <w:tc>
                          <w:tcPr>
                            <w:tcW w:w="4986" w:type="dxa"/>
                            <w:tcBorders/>
                          </w:tcPr>
                          <w:p>
                            <w:pPr>
                              <w:pStyle w:val="FrameContents"/>
                              <w:widowControl/>
                              <w:spacing w:lineRule="auto" w:line="240" w:before="0" w:after="0"/>
                              <w:jc w:val="center"/>
                              <w:rPr>
                                <w:lang w:eastAsia="it-IT"/>
                              </w:rPr>
                            </w:pPr>
                            <w:r>
                              <w:rPr>
                                <w:rFonts w:eastAsia="Calibri" w:cs="Times New Roman"/>
                                <w:kern w:val="0"/>
                                <w:sz w:val="24"/>
                                <w:szCs w:val="24"/>
                                <w:lang w:val="en-GB" w:eastAsia="en-US" w:bidi="ar-SA"/>
                              </w:rPr>
                              <w:drawing>
                                <wp:inline distT="0" distB="0" distL="0" distR="0">
                                  <wp:extent cx="3024505" cy="2314575"/>
                                  <wp:effectExtent l="0" t="0" r="0" b="0"/>
                                  <wp:docPr id="47" name="Immagine 5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magine 50" descr=""/>
                                          <pic:cNvPicPr>
                                            <a:picLocks noChangeAspect="1" noChangeArrowheads="1"/>
                                          </pic:cNvPicPr>
                                        </pic:nvPicPr>
                                        <pic:blipFill>
                                          <a:blip r:embed="rId32"/>
                                          <a:stretch>
                                            <a:fillRect/>
                                          </a:stretch>
                                        </pic:blipFill>
                                        <pic:spPr bwMode="auto">
                                          <a:xfrm>
                                            <a:off x="0" y="0"/>
                                            <a:ext cx="3024505" cy="2314575"/>
                                          </a:xfrm>
                                          <a:prstGeom prst="rect">
                                            <a:avLst/>
                                          </a:prstGeom>
                                        </pic:spPr>
                                      </pic:pic>
                                    </a:graphicData>
                                  </a:graphic>
                                </wp:inline>
                              </w:drawing>
                            </w:r>
                          </w:p>
                        </w:tc>
                      </w:tr>
                      <w:tr>
                        <w:trPr/>
                        <w:tc>
                          <w:tcPr>
                            <w:tcW w:w="4986" w:type="dxa"/>
                            <w:tcBorders/>
                          </w:tcPr>
                          <w:p>
                            <w:pPr>
                              <w:pStyle w:val="FrameContents"/>
                              <w:widowControl/>
                              <w:spacing w:lineRule="auto" w:line="240" w:before="0" w:after="0"/>
                              <w:jc w:val="center"/>
                              <w:rPr>
                                <w:lang w:eastAsia="it-IT"/>
                              </w:rPr>
                            </w:pPr>
                            <w:r>
                              <w:rPr>
                                <w:rFonts w:eastAsia="Calibri" w:cs="Times New Roman"/>
                                <w:kern w:val="0"/>
                                <w:sz w:val="24"/>
                                <w:szCs w:val="24"/>
                                <w:lang w:val="en-GB" w:eastAsia="en-US" w:bidi="ar-SA"/>
                              </w:rPr>
                              <w:drawing>
                                <wp:inline distT="0" distB="0" distL="0" distR="0">
                                  <wp:extent cx="3024505" cy="1577340"/>
                                  <wp:effectExtent l="0" t="0" r="0" b="0"/>
                                  <wp:docPr id="48" name="Immagine 5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magine 52" descr=""/>
                                          <pic:cNvPicPr>
                                            <a:picLocks noChangeAspect="1" noChangeArrowheads="1"/>
                                          </pic:cNvPicPr>
                                        </pic:nvPicPr>
                                        <pic:blipFill>
                                          <a:blip r:embed="rId33"/>
                                          <a:stretch>
                                            <a:fillRect/>
                                          </a:stretch>
                                        </pic:blipFill>
                                        <pic:spPr bwMode="auto">
                                          <a:xfrm>
                                            <a:off x="0" y="0"/>
                                            <a:ext cx="3024505" cy="1577340"/>
                                          </a:xfrm>
                                          <a:prstGeom prst="rect">
                                            <a:avLst/>
                                          </a:prstGeom>
                                        </pic:spPr>
                                      </pic:pic>
                                    </a:graphicData>
                                  </a:graphic>
                                </wp:inline>
                              </w:drawing>
                            </w:r>
                          </w:p>
                        </w:tc>
                      </w:tr>
                    </w:tbl>
                    <w:p>
                      <w:pPr>
                        <w:pStyle w:val="FrameContents"/>
                        <w:jc w:val="center"/>
                        <w:rPr>
                          <w:lang w:eastAsia="it-IT"/>
                        </w:rPr>
                      </w:pPr>
                      <w:r>
                        <w:rPr>
                          <w:color w:val="000000"/>
                          <w:lang w:eastAsia="it-IT"/>
                        </w:rPr>
                      </w:r>
                    </w:p>
                    <w:p>
                      <w:pPr>
                        <w:pStyle w:val="FrameContents"/>
                        <w:spacing w:before="0" w:after="160"/>
                        <w:jc w:val="center"/>
                        <w:rPr>
                          <w:color w:val="000000"/>
                        </w:rPr>
                      </w:pPr>
                      <w:r>
                        <w:rPr>
                          <w:color w:val="000000"/>
                        </w:rPr>
                        <w:t>Figure 8. (top) MD-computed pdf of water oxygen- thymol oxyge in thymol-water mixture.  (bottom) representative snapshot isolating two neighbour thymol molecules that are hydrogen bnding correlated with a coordinating water molecule.</w:t>
                      </w:r>
                    </w:p>
                  </w:txbxContent>
                </v:textbox>
                <w10:wrap type="square" side="right"/>
              </v:rect>
            </w:pict>
          </mc:Fallback>
        </mc:AlternateContent>
        <w:t xml:space="preserve">water hydrogen atoms, for a total of 0.16 Hw involved. Overall then we observe a higher content of HB interactions involving thymol in the mixture than in neat thymol. We also monitored more complex, HB-mediated interactions between water and thymol. </w:t>
      </w:r>
      <w:r>
        <w:rPr>
          <w:b/>
          <w:lang w:val="en-GB"/>
        </w:rPr>
        <w:t>Figure 8</w:t>
      </w:r>
      <w:r>
        <w:rPr>
          <w:lang w:val="en-GB"/>
        </w:rPr>
        <w:t xml:space="preserve"> (top) shows the pdf between Ow and O1; in agreement with related results from other pdfs, a clear correlation can be detected at ca. 3 Å that corresponds to a number of thymol molecules around a reference water molecule of ca. 2. Driven by this evidence we monitored the nature of such a kind of interaction and detected a common structural feature across the simulated system, which is represented in</w:t>
      </w:r>
      <w:r>
        <w:rPr>
          <w:b/>
          <w:lang w:val="en-GB"/>
        </w:rPr>
        <w:t xml:space="preserve"> Figure 8</w:t>
      </w:r>
      <w:r>
        <w:rPr>
          <w:lang w:val="en-GB"/>
        </w:rPr>
        <w:t xml:space="preserve"> (bottom). Therein, it clearly emerges that water can efficiently correlate with two neighbour thymol molecules, through HB interactions (we notice that this finding agrees with those reported in Tiecco et al. </w:t>
      </w:r>
      <w:r>
        <w:fldChar w:fldCharType="begin"/>
      </w:r>
      <w:r>
        <w:rPr>
          <w:lang w:val="en-GB"/>
        </w:rPr>
        <w:instrText xml:space="preserve">ADDIN CSL_CITATION {"citationItems":[{"id":"ITEM-1","itemData":{"DOI":"10.1016/j.molliq.2022.120043","ISSN":"01677322","author":[{"dropping-particle":"","family":"Tiecco","given":"Matteo","non-dropping-particle":"","parse-names":false,"suffix":""},{"dropping-particle":"","family":"Grillo","given":"Antonio","non-dropping-particle":"","parse-names":false,"suffix":""},{"dropping-particle":"","family":"Mosconi","given":"Edoardo","non-dropping-particle":"","parse-names":false,"suffix":""},{"dropping-particle":"","family":"Kaiser","given":"Waldemar","non-dropping-particle":"","parse-names":false,"suffix":""},{"dropping-particle":"","family":"Giacco","given":"Tiziana","non-dropping-particle":"Del","parse-names":false,"suffix":""},{"dropping-particle":"","family":"Germani","given":"Raimondo","non-dropping-particle":"","parse-names":false,"suffix":""},{"dropping-particle":"","family":"Giacco","given":"Del","non-dropping-particle":"","parse-names":false,"suffix":""},{"dropping-particle":"","family":"Germani","given":"Raimondo","non-dropping-particle":"","parse-names":false,"suffix":""}],"container-title":"Journal of Molecular Liquids","id":"ITEM-1","issued":{"date-parts":[["2022","10"]]},"page":"120043","publisher":"Elsevier B.V.","title":"Advances in the development of novel green liquids: thymol/water, thymol/urea and thymol/phenylacetic acid as innovative hydrophobic natural deep eutectic solvents","type":"article-journal","volume":"364"},"uris":["http://www.mendeley.com/documents/?uuid=20dfdf7b-3955-4465-94e5-6bd77545d652"]}],"mendeley":{"formattedCitation":"[27]","plainTextFormattedCitation":"[27]"},"properties":{"noteIndex":0},"schema":"https://github.com/citation-style-language/schema/raw/master/csl-citation.json"}</w:instrText>
      </w:r>
      <w:r>
        <w:rPr>
          <w:lang w:val="en-GB"/>
        </w:rPr>
      </w:r>
      <w:r>
        <w:rPr>
          <w:lang w:val="en-GB"/>
        </w:rPr>
        <w:fldChar w:fldCharType="separate"/>
      </w:r>
      <w:r>
        <w:rPr>
          <w:lang w:val="en-GB"/>
        </w:rPr>
        <w:t>[27]</w:t>
      </w:r>
      <w:r>
        <w:rPr>
          <w:lang w:val="en-GB"/>
        </w:rPr>
      </w:r>
      <w:r>
        <w:rPr>
          <w:lang w:val="en-GB"/>
        </w:rPr>
        <w:fldChar w:fldCharType="end"/>
      </w:r>
      <w:r>
        <w:rPr>
          <w:lang w:val="en-GB"/>
        </w:rPr>
        <w:t xml:space="preserve">). These figures indicate the role of water that, although a largely minor component of the present mixture, yet is able to interact with the thymol hydroxyl group both through conventional hydrogen bonding and π···H-O hydrogen bonding. This latter feature is further illustrated by the spatial distribution function of water hydrogen atoms around a reference thymol molecule: </w:t>
      </w:r>
      <w:r>
        <w:rPr>
          <w:b/>
          <w:lang w:val="en-GB"/>
        </w:rPr>
        <w:t>Figure 9</w:t>
      </w:r>
      <w:r>
        <w:rPr>
          <w:lang w:val="en-GB"/>
        </w:rPr>
        <w:t xml:space="preserve"> reports such a distribution. Therein the presence of conventional Ow-Hw···O</w:t>
      </w:r>
      <w:r>
        <w:rPr>
          <w:vertAlign w:val="subscript"/>
          <w:lang w:val="en-GB"/>
        </w:rPr>
        <w:t>thymol</w:t>
      </w:r>
      <w:r>
        <w:rPr>
          <w:lang w:val="en-GB"/>
        </w:rPr>
        <w:t xml:space="preserve"> HB is evident, as indicated by the circularly symmetric distribution around the thymol oxygen atom (blue lobe).  However, the clear presence of water distribution both above and below the thymol ring plane can be observed (cyano lobe), highlighting the complex coordination of water towards thymol that was earlier anticipated in view of CoM pdf analysis. Together with a </w:t>
      </w:r>
      <w:r>
        <mc:AlternateContent>
          <mc:Choice Requires="wps">
            <w:drawing>
              <wp:anchor behindDoc="0" distT="0" distB="9525" distL="109855" distR="136525" simplePos="0" locked="0" layoutInCell="0" allowOverlap="0" relativeHeight="14" wp14:anchorId="2EAD4016">
                <wp:simplePos x="0" y="0"/>
                <wp:positionH relativeFrom="column">
                  <wp:posOffset>81915</wp:posOffset>
                </wp:positionH>
                <wp:positionV relativeFrom="paragraph">
                  <wp:posOffset>299720</wp:posOffset>
                </wp:positionV>
                <wp:extent cx="3213735" cy="3663950"/>
                <wp:effectExtent l="3810" t="3175" r="2540" b="3175"/>
                <wp:wrapSquare wrapText="right"/>
                <wp:docPr id="49" name="Casella di testo 31"/>
                <a:graphic xmlns:a="http://schemas.openxmlformats.org/drawingml/2006/main">
                  <a:graphicData uri="http://schemas.microsoft.com/office/word/2010/wordprocessingShape">
                    <wps:wsp>
                      <wps:cNvSpPr/>
                      <wps:spPr>
                        <a:xfrm>
                          <a:off x="0" y="0"/>
                          <a:ext cx="3213720" cy="3664080"/>
                        </a:xfrm>
                        <a:prstGeom prst="rect">
                          <a:avLst/>
                        </a:prstGeom>
                        <a:solidFill>
                          <a:schemeClr val="lt1"/>
                        </a:solidFill>
                        <a:ln w="6350">
                          <a:solidFill>
                            <a:srgbClr val="000000"/>
                          </a:solidFill>
                          <a:round/>
                        </a:ln>
                      </wps:spPr>
                      <wps:style>
                        <a:lnRef idx="0">
                          <a:schemeClr val="accent1"/>
                        </a:lnRef>
                        <a:fillRef idx="0">
                          <a:schemeClr val="accent1"/>
                        </a:fillRef>
                        <a:effectRef idx="0">
                          <a:schemeClr val="accent1"/>
                        </a:effectRef>
                        <a:fontRef idx="minor"/>
                      </wps:style>
                      <wps:txbx>
                        <w:txbxContent>
                          <w:p>
                            <w:pPr>
                              <w:pStyle w:val="FrameContents"/>
                              <w:spacing w:before="0" w:after="160"/>
                              <w:jc w:val="center"/>
                              <w:rPr>
                                <w:color w:val="000000"/>
                              </w:rPr>
                            </w:pPr>
                            <w:r>
                              <w:rPr>
                                <w:color w:val="000000"/>
                              </w:rPr>
                              <w:drawing>
                                <wp:inline distT="0" distB="0" distL="0" distR="0">
                                  <wp:extent cx="2795270" cy="2758440"/>
                                  <wp:effectExtent l="0" t="0" r="0" b="0"/>
                                  <wp:docPr id="51" name="Immagine 5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magine 54" descr=""/>
                                          <pic:cNvPicPr>
                                            <a:picLocks noChangeAspect="1" noChangeArrowheads="1"/>
                                          </pic:cNvPicPr>
                                        </pic:nvPicPr>
                                        <pic:blipFill>
                                          <a:blip r:embed="rId34"/>
                                          <a:stretch>
                                            <a:fillRect/>
                                          </a:stretch>
                                        </pic:blipFill>
                                        <pic:spPr bwMode="auto">
                                          <a:xfrm>
                                            <a:off x="0" y="0"/>
                                            <a:ext cx="2795270" cy="2758440"/>
                                          </a:xfrm>
                                          <a:prstGeom prst="rect">
                                            <a:avLst/>
                                          </a:prstGeom>
                                        </pic:spPr>
                                      </pic:pic>
                                    </a:graphicData>
                                  </a:graphic>
                                </wp:inline>
                              </w:drawing>
                            </w:r>
                            <w:r>
                              <w:rPr>
                                <w:color w:val="000000"/>
                              </w:rPr>
                              <w:t>Figure 9. MD-computed spatial distribution function of water hydrogen (cyano (close) and blue (far) lobes) surrounding a reference thymol molecule.</w:t>
                            </w:r>
                          </w:p>
                        </w:txbxContent>
                      </wps:txbx>
                      <wps:bodyPr anchor="t">
                        <a:prstTxWarp prst="textNoShape"/>
                        <a:noAutofit/>
                      </wps:bodyPr>
                    </wps:wsp>
                  </a:graphicData>
                </a:graphic>
              </wp:anchor>
            </w:drawing>
          </mc:Choice>
          <mc:Fallback>
            <w:pict>
              <v:rect id="shape_0" ID="Casella di testo 31" path="m0,0l-2147483645,0l-2147483645,-2147483646l0,-2147483646xe" fillcolor="white" stroked="t" o:allowincell="f" style="position:absolute;margin-left:6.45pt;margin-top:23.6pt;width:253pt;height:288.45pt;mso-wrap-style:square;v-text-anchor:top" wp14:anchorId="2EAD4016">
                <v:fill o:detectmouseclick="t" type="solid" color2="black"/>
                <v:stroke color="black" weight="6480" joinstyle="round" endcap="flat"/>
                <v:textbox>
                  <w:txbxContent>
                    <w:p>
                      <w:pPr>
                        <w:pStyle w:val="FrameContents"/>
                        <w:spacing w:before="0" w:after="160"/>
                        <w:jc w:val="center"/>
                        <w:rPr>
                          <w:color w:val="000000"/>
                        </w:rPr>
                      </w:pPr>
                      <w:r>
                        <w:rPr>
                          <w:color w:val="000000"/>
                        </w:rPr>
                        <w:drawing>
                          <wp:inline distT="0" distB="0" distL="0" distR="0">
                            <wp:extent cx="2795270" cy="2758440"/>
                            <wp:effectExtent l="0" t="0" r="0" b="0"/>
                            <wp:docPr id="52" name="Immagine 5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magine 54" descr=""/>
                                    <pic:cNvPicPr>
                                      <a:picLocks noChangeAspect="1" noChangeArrowheads="1"/>
                                    </pic:cNvPicPr>
                                  </pic:nvPicPr>
                                  <pic:blipFill>
                                    <a:blip r:embed="rId35"/>
                                    <a:stretch>
                                      <a:fillRect/>
                                    </a:stretch>
                                  </pic:blipFill>
                                  <pic:spPr bwMode="auto">
                                    <a:xfrm>
                                      <a:off x="0" y="0"/>
                                      <a:ext cx="2795270" cy="2758440"/>
                                    </a:xfrm>
                                    <a:prstGeom prst="rect">
                                      <a:avLst/>
                                    </a:prstGeom>
                                  </pic:spPr>
                                </pic:pic>
                              </a:graphicData>
                            </a:graphic>
                          </wp:inline>
                        </w:drawing>
                      </w:r>
                      <w:r>
                        <w:rPr>
                          <w:color w:val="000000"/>
                        </w:rPr>
                        <w:t>Figure 9. MD-computed spatial distribution function of water hydrogen (cyano (close) and blue (far) lobes) surrounding a reference thymol molecule.</w:t>
                      </w:r>
                    </w:p>
                  </w:txbxContent>
                </v:textbox>
                <w10:wrap type="square" side="right"/>
              </v:rect>
            </w:pict>
          </mc:Fallback>
        </mc:AlternateContent>
      </w:r>
      <w:r>
        <w:rPr>
          <w:lang w:val="en-GB"/>
        </w:rPr>
        <w:t xml:space="preserve">conventional interaction, our simulation detects the presence of a distinct Ow-Hw···π correlation that further enables thymol solvation by water. </w:t>
      </w:r>
    </w:p>
    <w:p>
      <w:pPr>
        <w:pStyle w:val="Normal"/>
        <w:spacing w:lineRule="auto" w:line="360"/>
        <w:rPr>
          <w:lang w:val="en-GB"/>
        </w:rPr>
      </w:pPr>
      <w:r>
        <w:rPr>
          <w:lang w:val="en-GB"/>
        </w:rPr>
      </w:r>
    </w:p>
    <w:p>
      <w:pPr>
        <w:pStyle w:val="Normal"/>
        <w:spacing w:lineRule="auto" w:line="360"/>
        <w:rPr>
          <w:lang w:val="en-GB"/>
        </w:rPr>
      </w:pPr>
      <w:r>
        <w:rPr>
          <w:lang w:val="en-GB"/>
        </w:rPr>
      </w:r>
    </w:p>
    <w:p>
      <w:pPr>
        <w:pStyle w:val="Normal"/>
        <w:rPr>
          <w:i/>
          <w:i/>
          <w:lang w:val="en-GB"/>
        </w:rPr>
      </w:pPr>
      <w:r>
        <w:rPr>
          <w:i/>
          <w:lang w:val="en-GB"/>
        </w:rPr>
      </w:r>
      <w:r>
        <w:br w:type="page"/>
      </w:r>
    </w:p>
    <w:p>
      <w:pPr>
        <w:pStyle w:val="Normal"/>
        <w:spacing w:lineRule="auto" w:line="360"/>
        <w:rPr>
          <w:i/>
          <w:i/>
          <w:lang w:val="en-GB"/>
        </w:rPr>
      </w:pPr>
      <w:r>
        <w:rPr>
          <w:i/>
          <w:lang w:val="en-GB"/>
        </w:rPr>
        <w:t>3.3</w:t>
        <w:tab/>
        <w:t>Water-water correlations.</w:t>
      </w:r>
    </w:p>
    <w:p>
      <w:pPr>
        <w:pStyle w:val="Normal"/>
        <w:spacing w:lineRule="auto" w:line="360"/>
        <w:rPr>
          <w:lang w:val="en-GB"/>
        </w:rPr>
      </w:pPr>
      <w:r>
        <mc:AlternateContent>
          <mc:Choice Requires="wps">
            <w:drawing>
              <wp:anchor behindDoc="0" distT="0" distB="20320" distL="109855" distR="136525" simplePos="0" locked="0" layoutInCell="0" allowOverlap="0" relativeHeight="18" wp14:anchorId="2E38C00B">
                <wp:simplePos x="0" y="0"/>
                <wp:positionH relativeFrom="column">
                  <wp:posOffset>95250</wp:posOffset>
                </wp:positionH>
                <wp:positionV relativeFrom="paragraph">
                  <wp:posOffset>297815</wp:posOffset>
                </wp:positionV>
                <wp:extent cx="3213735" cy="3329940"/>
                <wp:effectExtent l="3810" t="3175" r="2540" b="3175"/>
                <wp:wrapSquare wrapText="right"/>
                <wp:docPr id="53" name="Casella di testo 45"/>
                <a:graphic xmlns:a="http://schemas.openxmlformats.org/drawingml/2006/main">
                  <a:graphicData uri="http://schemas.microsoft.com/office/word/2010/wordprocessingShape">
                    <wps:wsp>
                      <wps:cNvSpPr/>
                      <wps:spPr>
                        <a:xfrm>
                          <a:off x="0" y="0"/>
                          <a:ext cx="3213720" cy="3330000"/>
                        </a:xfrm>
                        <a:prstGeom prst="rect">
                          <a:avLst/>
                        </a:prstGeom>
                        <a:solidFill>
                          <a:schemeClr val="lt1"/>
                        </a:solidFill>
                        <a:ln w="6350">
                          <a:solidFill>
                            <a:srgbClr val="000000"/>
                          </a:solidFill>
                          <a:round/>
                        </a:ln>
                      </wps:spPr>
                      <wps:style>
                        <a:lnRef idx="0">
                          <a:schemeClr val="accent1"/>
                        </a:lnRef>
                        <a:fillRef idx="0">
                          <a:schemeClr val="accent1"/>
                        </a:fillRef>
                        <a:effectRef idx="0">
                          <a:schemeClr val="accent1"/>
                        </a:effectRef>
                        <a:fontRef idx="minor"/>
                      </wps:style>
                      <wps:txbx>
                        <w:txbxContent>
                          <w:p>
                            <w:pPr>
                              <w:pStyle w:val="FrameContents"/>
                              <w:jc w:val="center"/>
                              <w:rPr>
                                <w:lang w:eastAsia="it-IT"/>
                              </w:rPr>
                            </w:pPr>
                            <w:r>
                              <w:rPr>
                                <w:color w:val="000000"/>
                              </w:rPr>
                              <w:drawing>
                                <wp:inline distT="0" distB="0" distL="0" distR="0">
                                  <wp:extent cx="3024505" cy="2314575"/>
                                  <wp:effectExtent l="0" t="0" r="0" b="0"/>
                                  <wp:docPr id="55" name="Immagine 6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magine 65" descr=""/>
                                          <pic:cNvPicPr>
                                            <a:picLocks noChangeAspect="1" noChangeArrowheads="1"/>
                                          </pic:cNvPicPr>
                                        </pic:nvPicPr>
                                        <pic:blipFill>
                                          <a:blip r:embed="rId36"/>
                                          <a:stretch>
                                            <a:fillRect/>
                                          </a:stretch>
                                        </pic:blipFill>
                                        <pic:spPr bwMode="auto">
                                          <a:xfrm>
                                            <a:off x="0" y="0"/>
                                            <a:ext cx="3024505" cy="2314575"/>
                                          </a:xfrm>
                                          <a:prstGeom prst="rect">
                                            <a:avLst/>
                                          </a:prstGeom>
                                        </pic:spPr>
                                      </pic:pic>
                                    </a:graphicData>
                                  </a:graphic>
                                </wp:inline>
                              </w:drawing>
                            </w:r>
                          </w:p>
                          <w:p>
                            <w:pPr>
                              <w:pStyle w:val="FrameContents"/>
                              <w:spacing w:before="0" w:after="160"/>
                              <w:jc w:val="center"/>
                              <w:rPr>
                                <w:color w:val="000000"/>
                              </w:rPr>
                            </w:pPr>
                            <w:r>
                              <w:rPr>
                                <w:color w:val="000000"/>
                              </w:rPr>
                              <w:t>Figure 10. MD-computed radial distribution function of water-water correlations, namely Ow-Ow and Ow-Hw pairs and the corresponding coordination running numbers.</w:t>
                            </w:r>
                          </w:p>
                        </w:txbxContent>
                      </wps:txbx>
                      <wps:bodyPr anchor="t">
                        <a:prstTxWarp prst="textNoShape"/>
                        <a:noAutofit/>
                      </wps:bodyPr>
                    </wps:wsp>
                  </a:graphicData>
                </a:graphic>
              </wp:anchor>
            </w:drawing>
          </mc:Choice>
          <mc:Fallback>
            <w:pict>
              <v:rect id="shape_0" ID="Casella di testo 45" path="m0,0l-2147483645,0l-2147483645,-2147483646l0,-2147483646xe" fillcolor="white" stroked="t" o:allowincell="f" style="position:absolute;margin-left:7.5pt;margin-top:23.45pt;width:253pt;height:262.15pt;mso-wrap-style:square;v-text-anchor:top" wp14:anchorId="2E38C00B">
                <v:fill o:detectmouseclick="t" type="solid" color2="black"/>
                <v:stroke color="black" weight="6480" joinstyle="round" endcap="flat"/>
                <v:textbox>
                  <w:txbxContent>
                    <w:p>
                      <w:pPr>
                        <w:pStyle w:val="FrameContents"/>
                        <w:jc w:val="center"/>
                        <w:rPr>
                          <w:lang w:eastAsia="it-IT"/>
                        </w:rPr>
                      </w:pPr>
                      <w:r>
                        <w:rPr>
                          <w:color w:val="000000"/>
                        </w:rPr>
                        <w:drawing>
                          <wp:inline distT="0" distB="0" distL="0" distR="0">
                            <wp:extent cx="3024505" cy="2314575"/>
                            <wp:effectExtent l="0" t="0" r="0" b="0"/>
                            <wp:docPr id="56" name="Immagine 6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magine 65" descr=""/>
                                    <pic:cNvPicPr>
                                      <a:picLocks noChangeAspect="1" noChangeArrowheads="1"/>
                                    </pic:cNvPicPr>
                                  </pic:nvPicPr>
                                  <pic:blipFill>
                                    <a:blip r:embed="rId37"/>
                                    <a:stretch>
                                      <a:fillRect/>
                                    </a:stretch>
                                  </pic:blipFill>
                                  <pic:spPr bwMode="auto">
                                    <a:xfrm>
                                      <a:off x="0" y="0"/>
                                      <a:ext cx="3024505" cy="2314575"/>
                                    </a:xfrm>
                                    <a:prstGeom prst="rect">
                                      <a:avLst/>
                                    </a:prstGeom>
                                  </pic:spPr>
                                </pic:pic>
                              </a:graphicData>
                            </a:graphic>
                          </wp:inline>
                        </w:drawing>
                      </w:r>
                    </w:p>
                    <w:p>
                      <w:pPr>
                        <w:pStyle w:val="FrameContents"/>
                        <w:spacing w:before="0" w:after="160"/>
                        <w:jc w:val="center"/>
                        <w:rPr>
                          <w:color w:val="000000"/>
                        </w:rPr>
                      </w:pPr>
                      <w:r>
                        <w:rPr>
                          <w:color w:val="000000"/>
                        </w:rPr>
                        <w:t>Figure 10. MD-computed radial distribution function of water-water correlations, namely Ow-Ow and Ow-Hw pairs and the corresponding coordination running numbers.</w:t>
                      </w:r>
                    </w:p>
                  </w:txbxContent>
                </v:textbox>
                <w10:wrap type="square" side="right"/>
              </v:rect>
            </w:pict>
          </mc:Fallback>
        </mc:AlternateContent>
        <mc:AlternateContent>
          <mc:Choice Requires="wps">
            <w:drawing>
              <wp:anchor behindDoc="0" distT="0" distB="12700" distL="109855" distR="136525" simplePos="0" locked="0" layoutInCell="0" allowOverlap="0" relativeHeight="20" wp14:anchorId="0AED93A5">
                <wp:simplePos x="0" y="0"/>
                <wp:positionH relativeFrom="column">
                  <wp:posOffset>91440</wp:posOffset>
                </wp:positionH>
                <wp:positionV relativeFrom="paragraph">
                  <wp:posOffset>4829175</wp:posOffset>
                </wp:positionV>
                <wp:extent cx="3213735" cy="3145790"/>
                <wp:effectExtent l="3810" t="3175" r="2540" b="3175"/>
                <wp:wrapSquare wrapText="right"/>
                <wp:docPr id="57" name="Casella di testo 48"/>
                <a:graphic xmlns:a="http://schemas.openxmlformats.org/drawingml/2006/main">
                  <a:graphicData uri="http://schemas.microsoft.com/office/word/2010/wordprocessingShape">
                    <wps:wsp>
                      <wps:cNvSpPr/>
                      <wps:spPr>
                        <a:xfrm>
                          <a:off x="0" y="0"/>
                          <a:ext cx="3213720" cy="3145680"/>
                        </a:xfrm>
                        <a:prstGeom prst="rect">
                          <a:avLst/>
                        </a:prstGeom>
                        <a:solidFill>
                          <a:schemeClr val="lt1"/>
                        </a:solidFill>
                        <a:ln w="6350">
                          <a:solidFill>
                            <a:srgbClr val="000000"/>
                          </a:solidFill>
                          <a:round/>
                        </a:ln>
                      </wps:spPr>
                      <wps:style>
                        <a:lnRef idx="0">
                          <a:schemeClr val="accent1"/>
                        </a:lnRef>
                        <a:fillRef idx="0">
                          <a:schemeClr val="accent1"/>
                        </a:fillRef>
                        <a:effectRef idx="0">
                          <a:schemeClr val="accent1"/>
                        </a:effectRef>
                        <a:fontRef idx="minor"/>
                      </wps:style>
                      <wps:txbx>
                        <w:txbxContent>
                          <w:p>
                            <w:pPr>
                              <w:pStyle w:val="FrameContents"/>
                              <w:jc w:val="center"/>
                              <w:rPr>
                                <w:lang w:eastAsia="it-IT"/>
                              </w:rPr>
                            </w:pPr>
                            <w:r>
                              <w:rPr>
                                <w:color w:val="000000"/>
                              </w:rPr>
                              <w:drawing>
                                <wp:inline distT="0" distB="0" distL="0" distR="0">
                                  <wp:extent cx="3024505" cy="2314575"/>
                                  <wp:effectExtent l="0" t="0" r="0" b="0"/>
                                  <wp:docPr id="59" name="Immagine 6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magine 67" descr=""/>
                                          <pic:cNvPicPr>
                                            <a:picLocks noChangeAspect="1" noChangeArrowheads="1"/>
                                          </pic:cNvPicPr>
                                        </pic:nvPicPr>
                                        <pic:blipFill>
                                          <a:blip r:embed="rId38"/>
                                          <a:stretch>
                                            <a:fillRect/>
                                          </a:stretch>
                                        </pic:blipFill>
                                        <pic:spPr bwMode="auto">
                                          <a:xfrm>
                                            <a:off x="0" y="0"/>
                                            <a:ext cx="3024505" cy="2314575"/>
                                          </a:xfrm>
                                          <a:prstGeom prst="rect">
                                            <a:avLst/>
                                          </a:prstGeom>
                                        </pic:spPr>
                                      </pic:pic>
                                    </a:graphicData>
                                  </a:graphic>
                                </wp:inline>
                              </w:drawing>
                            </w:r>
                          </w:p>
                          <w:p>
                            <w:pPr>
                              <w:pStyle w:val="FrameContents"/>
                              <w:spacing w:before="0" w:after="160"/>
                              <w:jc w:val="both"/>
                              <w:rPr>
                                <w:color w:val="000000"/>
                              </w:rPr>
                            </w:pPr>
                            <w:r>
                              <w:rPr>
                                <w:color w:val="000000"/>
                              </w:rPr>
                              <w:t>Figure 11. Chain length distribution of water molecules connected through hydrogen bonding interaction.</w:t>
                            </w:r>
                          </w:p>
                        </w:txbxContent>
                      </wps:txbx>
                      <wps:bodyPr anchor="t">
                        <a:prstTxWarp prst="textNoShape"/>
                        <a:noAutofit/>
                      </wps:bodyPr>
                    </wps:wsp>
                  </a:graphicData>
                </a:graphic>
              </wp:anchor>
            </w:drawing>
          </mc:Choice>
          <mc:Fallback>
            <w:pict>
              <v:rect id="shape_0" ID="Casella di testo 48" path="m0,0l-2147483645,0l-2147483645,-2147483646l0,-2147483646xe" fillcolor="white" stroked="t" o:allowincell="f" style="position:absolute;margin-left:7.2pt;margin-top:380.25pt;width:253pt;height:247.65pt;mso-wrap-style:square;v-text-anchor:top" wp14:anchorId="0AED93A5">
                <v:fill o:detectmouseclick="t" type="solid" color2="black"/>
                <v:stroke color="black" weight="6480" joinstyle="round" endcap="flat"/>
                <v:textbox>
                  <w:txbxContent>
                    <w:p>
                      <w:pPr>
                        <w:pStyle w:val="FrameContents"/>
                        <w:jc w:val="center"/>
                        <w:rPr>
                          <w:lang w:eastAsia="it-IT"/>
                        </w:rPr>
                      </w:pPr>
                      <w:r>
                        <w:rPr>
                          <w:color w:val="000000"/>
                        </w:rPr>
                        <w:drawing>
                          <wp:inline distT="0" distB="0" distL="0" distR="0">
                            <wp:extent cx="3024505" cy="2314575"/>
                            <wp:effectExtent l="0" t="0" r="0" b="0"/>
                            <wp:docPr id="60" name="Immagine 6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magine 67" descr=""/>
                                    <pic:cNvPicPr>
                                      <a:picLocks noChangeAspect="1" noChangeArrowheads="1"/>
                                    </pic:cNvPicPr>
                                  </pic:nvPicPr>
                                  <pic:blipFill>
                                    <a:blip r:embed="rId39"/>
                                    <a:stretch>
                                      <a:fillRect/>
                                    </a:stretch>
                                  </pic:blipFill>
                                  <pic:spPr bwMode="auto">
                                    <a:xfrm>
                                      <a:off x="0" y="0"/>
                                      <a:ext cx="3024505" cy="2314575"/>
                                    </a:xfrm>
                                    <a:prstGeom prst="rect">
                                      <a:avLst/>
                                    </a:prstGeom>
                                  </pic:spPr>
                                </pic:pic>
                              </a:graphicData>
                            </a:graphic>
                          </wp:inline>
                        </w:drawing>
                      </w:r>
                    </w:p>
                    <w:p>
                      <w:pPr>
                        <w:pStyle w:val="FrameContents"/>
                        <w:spacing w:before="0" w:after="160"/>
                        <w:jc w:val="both"/>
                        <w:rPr>
                          <w:color w:val="000000"/>
                        </w:rPr>
                      </w:pPr>
                      <w:r>
                        <w:rPr>
                          <w:color w:val="000000"/>
                        </w:rPr>
                        <w:t>Figure 11. Chain length distribution of water molecules connected through hydrogen bonding interaction.</w:t>
                      </w:r>
                    </w:p>
                  </w:txbxContent>
                </v:textbox>
                <w10:wrap type="square" side="right"/>
              </v:rect>
            </w:pict>
          </mc:Fallback>
        </mc:AlternateContent>
      </w:r>
      <w:r>
        <w:rPr>
          <w:lang w:val="en-GB"/>
        </w:rPr>
        <w:t xml:space="preserve">The limited number of water molecules in the thymol-water mixture most likely hinders the formation of an extended HB-based network among water molecules; nevertheless, residual evidences of tetrahedral order in water-water correlations can be detected, at least on the basis of the presence of peaks in the Ow-Ow rdf (see </w:t>
      </w:r>
      <w:r>
        <w:rPr>
          <w:b/>
          <w:lang w:val="en-GB"/>
        </w:rPr>
        <w:t>Figure 10</w:t>
      </w:r>
      <w:r>
        <w:rPr>
          <w:lang w:val="en-GB"/>
        </w:rPr>
        <w:t>), with a first peak at 2.8 Å and the presence of a feature centred at 4.5 Å. The first Ow-Ow correlation involves one first neighbour at 3.5 Å distance from the reference one, to be compared with the value of n</w:t>
      </w:r>
      <w:r>
        <w:rPr>
          <w:vertAlign w:val="subscript"/>
          <w:lang w:val="en-GB"/>
        </w:rPr>
        <w:t>Ow-Ow</w:t>
      </w:r>
      <w:r>
        <w:rPr>
          <w:lang w:val="en-GB"/>
        </w:rPr>
        <w:t>=4.24 proposed by Skinner et al. for bulk water.</w:t>
      </w:r>
      <w:r>
        <w:fldChar w:fldCharType="begin"/>
      </w:r>
      <w:r>
        <w:rPr>
          <w:lang w:val="en-GB"/>
        </w:rPr>
        <w:instrText xml:space="preserve">ADDIN CSL_CITATION {"citationItems":[{"id":"ITEM-1","itemData":{"DOI":"10.1063/1.4902412","ISSN":"0021-9606","PMID":"25481152","abstract":"Here we present diffraction data that yield the oxygen-oxygen pair distribution function, g(OO)(r) over the range 254.2-365.9 K. The running O-O coordination number, which represents the integral of the pair distribution function as a function of radial distance, is found to exhibit an isosbestic point at 3.30(5) angstrom. The probability of finding an oxygen atom surrounding another oxygen at this distance is therefore shown to be independent of temperature and corresponds to an O-O coordination number of 4.3(2). Moreover, the experimental data also show a continuous transition associated with the second peak position in g(OO)(r) concomitant with the compressibility minimum at 319 K.","author":[{"dropping-particle":"","family":"Skinner","given":"L. B.","non-dropping-particle":"","parse-names":false,"suffix":""},{"dropping-particle":"","family":"Benmore","given":"C. J.","non-dropping-particle":"","parse-names":false,"suffix":""},{"dropping-particle":"","family":"Neuefeind","given":"J. C.","non-dropping-particle":"","parse-names":false,"suffix":""},{"dropping-particle":"","family":"Parise","given":"J. B.","non-dropping-particle":"","parse-names":false,"suffix":""}],"container-title":"The Journal of Chemical Physics","id":"ITEM-1","issue":"21","issued":{"date-parts":[["2014","12","7"]]},"page":"214507","title":"The structure of water around the compressibility minimum","type":"article-journal","volume":"141"},"uris":["http://www.mendeley.com/documents/?uuid=f5530de2-1e2a-4578-839d-1c928c54672e"]}],"mendeley":{"formattedCitation":"[50]","plainTextFormattedCitation":"[50]","previouslyFormattedCitation":"[50]"},"properties":{"noteIndex":0},"schema":"https://github.com/citation-style-language/schema/raw/master/csl-citation.json"}</w:instrText>
      </w:r>
      <w:r>
        <w:rPr>
          <w:lang w:val="en-GB"/>
        </w:rPr>
      </w:r>
      <w:r>
        <w:rPr>
          <w:lang w:val="en-GB"/>
        </w:rPr>
        <w:fldChar w:fldCharType="separate"/>
      </w:r>
      <w:r>
        <w:rPr>
          <w:lang w:val="en-GB"/>
        </w:rPr>
        <w:t>[50]</w:t>
      </w:r>
      <w:r>
        <w:rPr>
          <w:lang w:val="en-GB"/>
        </w:rPr>
      </w:r>
      <w:r>
        <w:rPr>
          <w:lang w:val="en-GB"/>
        </w:rPr>
        <w:fldChar w:fldCharType="end"/>
      </w:r>
      <w:r>
        <w:rPr>
          <w:lang w:val="en-GB"/>
        </w:rPr>
        <w:t xml:space="preserve"> Ow-Hw rdf is characterised by a distinct peak centred at 1.8 Å, with a number of first neighbours of 0.42 hydrogens surrounding the reference water oxygen. Evidences of water-water correlations can also be detected by means of a statistical tool that determines the existence and extent of water molecule chains, on the basis of the hydrogen bonding geometrical criteria to determine the connection between neighbour molecules (d</w:t>
      </w:r>
      <w:r>
        <w:rPr>
          <w:vertAlign w:val="subscript"/>
          <w:lang w:val="en-GB"/>
        </w:rPr>
        <w:t>O··H</w:t>
      </w:r>
      <w:r>
        <w:rPr>
          <w:lang w:val="en-GB"/>
        </w:rPr>
        <w:t>&lt;2.5 Å and angle</w:t>
      </w:r>
      <w:r>
        <w:rPr>
          <w:vertAlign w:val="subscript"/>
          <w:lang w:val="en-GB"/>
        </w:rPr>
        <w:t>O··H-O</w:t>
      </w:r>
      <w:r>
        <w:rPr>
          <w:lang w:val="en-GB"/>
        </w:rPr>
        <w:t xml:space="preserve">&gt;150°). Such a chain length distribution is shown in </w:t>
      </w:r>
      <w:r>
        <w:rPr>
          <w:b/>
          <w:lang w:val="en-GB"/>
        </w:rPr>
        <w:t>Figure 11</w:t>
      </w:r>
      <w:r>
        <w:rPr>
          <w:lang w:val="en-GB"/>
        </w:rPr>
        <w:t>. While ca. 75% of water molecules are not interacting with any other water molecule (n=0), one appreciates the remaining water molecules are bound to a maximum of ca. three water molecules and longer chains have very small occurrence in the system. As an example, the case of n=1 (just one water molecule connected to the reference one) has a population of ca. 15%. Of course then this information indicates that water molecules are mostly correlated to thymol molecules, with different possible topologies, including the one previously indicated with one water molecule bridging two neighbour thymol molecules. Accordingly, no HB driven pure water network can get established in this system, as only a few water molecules can connect with each other, due to the large dilution of this system, where water can also efficiently interact with thymol.</w:t>
      </w:r>
    </w:p>
    <w:p>
      <w:pPr>
        <w:pStyle w:val="Normal"/>
        <w:spacing w:lineRule="auto" w:line="360"/>
        <w:rPr>
          <w:i/>
          <w:i/>
          <w:lang w:val="en-GB"/>
        </w:rPr>
      </w:pPr>
      <w:r>
        <w:rPr>
          <w:i/>
          <w:lang w:val="en-GB"/>
        </w:rPr>
        <w:t>3.4</w:t>
        <w:tab/>
        <w:t>An overview of hydrogen bonding interactions.</w:t>
      </w:r>
    </w:p>
    <w:p>
      <w:pPr>
        <w:pStyle w:val="Normal"/>
        <w:spacing w:lineRule="auto" w:line="360"/>
        <w:rPr>
          <w:lang w:val="en-GB"/>
        </w:rPr>
      </w:pPr>
      <w:r>
        <mc:AlternateContent>
          <mc:Choice Requires="wps">
            <w:drawing>
              <wp:anchor behindDoc="0" distT="0" distB="12065" distL="111125" distR="133985" simplePos="0" locked="0" layoutInCell="0" allowOverlap="0" relativeHeight="24" wp14:anchorId="6464D7A5">
                <wp:simplePos x="0" y="0"/>
                <wp:positionH relativeFrom="column">
                  <wp:posOffset>23495</wp:posOffset>
                </wp:positionH>
                <wp:positionV relativeFrom="paragraph">
                  <wp:posOffset>472440</wp:posOffset>
                </wp:positionV>
                <wp:extent cx="3882390" cy="5738495"/>
                <wp:effectExtent l="3175" t="3810" r="3175" b="2540"/>
                <wp:wrapSquare wrapText="right"/>
                <wp:docPr id="61" name="Casella di testo 2"/>
                <a:graphic xmlns:a="http://schemas.openxmlformats.org/drawingml/2006/main">
                  <a:graphicData uri="http://schemas.microsoft.com/office/word/2010/wordprocessingShape">
                    <wps:wsp>
                      <wps:cNvSpPr/>
                      <wps:spPr>
                        <a:xfrm>
                          <a:off x="0" y="0"/>
                          <a:ext cx="3882240" cy="5738400"/>
                        </a:xfrm>
                        <a:prstGeom prst="rect">
                          <a:avLst/>
                        </a:prstGeom>
                        <a:solidFill>
                          <a:schemeClr val="lt1"/>
                        </a:solidFill>
                        <a:ln w="6350">
                          <a:solidFill>
                            <a:srgbClr val="000000"/>
                          </a:solidFill>
                          <a:round/>
                        </a:ln>
                      </wps:spPr>
                      <wps:style>
                        <a:lnRef idx="0">
                          <a:schemeClr val="accent1"/>
                        </a:lnRef>
                        <a:fillRef idx="0">
                          <a:schemeClr val="accent1"/>
                        </a:fillRef>
                        <a:effectRef idx="0">
                          <a:schemeClr val="accent1"/>
                        </a:effectRef>
                        <a:fontRef idx="minor"/>
                      </wps:style>
                      <wps:txbx>
                        <w:txbxContent>
                          <w:tbl>
                            <w:tblPr>
                              <w:tblStyle w:val="Grigliatabella"/>
                              <w:tblW w:w="5806" w:type="dxa"/>
                              <w:jc w:val="left"/>
                              <w:tblInd w:w="0" w:type="dxa"/>
                              <w:tblLayout w:type="fixed"/>
                              <w:tblCellMar>
                                <w:top w:w="0" w:type="dxa"/>
                                <w:left w:w="108" w:type="dxa"/>
                                <w:bottom w:w="0" w:type="dxa"/>
                                <w:right w:w="108" w:type="dxa"/>
                              </w:tblCellMar>
                              <w:tblLook w:val="04a0" w:noVBand="1" w:noHBand="0" w:lastColumn="0" w:firstColumn="1" w:lastRow="0" w:firstRow="1"/>
                            </w:tblPr>
                            <w:tblGrid>
                              <w:gridCol w:w="5806"/>
                            </w:tblGrid>
                            <w:tr>
                              <w:trPr>
                                <w:trHeight w:val="2129" w:hRule="atLeast"/>
                              </w:trPr>
                              <w:tc>
                                <w:tcPr>
                                  <w:tcW w:w="5806" w:type="dxa"/>
                                  <w:tcBorders/>
                                </w:tcPr>
                                <w:p>
                                  <w:pPr>
                                    <w:pStyle w:val="FrameContents"/>
                                    <w:widowControl/>
                                    <w:spacing w:lineRule="auto" w:line="240" w:before="0" w:after="0"/>
                                    <w:jc w:val="center"/>
                                    <w:rPr>
                                      <w:lang w:eastAsia="it-IT"/>
                                    </w:rPr>
                                  </w:pPr>
                                  <w:r>
                                    <w:rPr>
                                      <w:rFonts w:eastAsia="Calibri" w:cs="Times New Roman"/>
                                      <w:kern w:val="0"/>
                                      <w:sz w:val="24"/>
                                      <w:szCs w:val="24"/>
                                      <w:lang w:val="en-GB" w:eastAsia="en-US" w:bidi="ar-SA"/>
                                    </w:rPr>
                                    <w:object>
                                      <v:shapetype id="_x0000_tole_rId40" coordsize="21600,21600" o:spt="ole_rId40"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le_rId40" type="_x0000_tole_rId40" style="width:269.15pt;height:112.8pt;mso-wrap-distance-right:0pt" filled="f" o:ole="">
                                        <v:imagedata r:id="rId41" o:title=""/>
                                      </v:shape>
                                      <o:OLEObject Type="Embed" ProgID="PBrush" ShapeID="ole_rId40" DrawAspect="Content" ObjectID="_968438196" r:id="rId40"/>
                                    </w:object>
                                  </w:r>
                                </w:p>
                              </w:tc>
                            </w:tr>
                            <w:tr>
                              <w:trPr>
                                <w:trHeight w:val="3772" w:hRule="atLeast"/>
                              </w:trPr>
                              <w:tc>
                                <w:tcPr>
                                  <w:tcW w:w="5806" w:type="dxa"/>
                                  <w:tcBorders/>
                                </w:tcPr>
                                <w:p>
                                  <w:pPr>
                                    <w:pStyle w:val="FrameContents"/>
                                    <w:widowControl/>
                                    <w:spacing w:lineRule="auto" w:line="240" w:before="0" w:after="0"/>
                                    <w:jc w:val="center"/>
                                    <w:rPr>
                                      <w:lang w:eastAsia="it-IT"/>
                                    </w:rPr>
                                  </w:pPr>
                                  <w:r>
                                    <w:rPr>
                                      <w:rFonts w:eastAsia="Calibri" w:cs="Times New Roman"/>
                                      <w:kern w:val="0"/>
                                      <w:sz w:val="24"/>
                                      <w:szCs w:val="24"/>
                                      <w:lang w:val="en-GB" w:eastAsia="en-US" w:bidi="ar-SA"/>
                                    </w:rPr>
                                    <w:drawing>
                                      <wp:inline distT="0" distB="0" distL="0" distR="0">
                                        <wp:extent cx="3316605" cy="2537460"/>
                                        <wp:effectExtent l="0" t="0" r="0" b="0"/>
                                        <wp:docPr id="63" name="Immagine 5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magine 57" descr=""/>
                                                <pic:cNvPicPr>
                                                  <a:picLocks noChangeAspect="1" noChangeArrowheads="1"/>
                                                </pic:cNvPicPr>
                                              </pic:nvPicPr>
                                              <pic:blipFill>
                                                <a:blip r:embed="rId42"/>
                                                <a:stretch>
                                                  <a:fillRect/>
                                                </a:stretch>
                                              </pic:blipFill>
                                              <pic:spPr bwMode="auto">
                                                <a:xfrm>
                                                  <a:off x="0" y="0"/>
                                                  <a:ext cx="3316605" cy="2537460"/>
                                                </a:xfrm>
                                                <a:prstGeom prst="rect">
                                                  <a:avLst/>
                                                </a:prstGeom>
                                              </pic:spPr>
                                            </pic:pic>
                                          </a:graphicData>
                                        </a:graphic>
                                      </wp:inline>
                                    </w:drawing>
                                  </w:r>
                                </w:p>
                              </w:tc>
                            </w:tr>
                          </w:tbl>
                          <w:p>
                            <w:pPr>
                              <w:pStyle w:val="FrameContents"/>
                              <w:jc w:val="center"/>
                              <w:rPr>
                                <w:lang w:eastAsia="it-IT"/>
                              </w:rPr>
                            </w:pPr>
                            <w:r>
                              <w:rPr>
                                <w:lang w:eastAsia="it-IT"/>
                              </w:rPr>
                            </w:r>
                          </w:p>
                          <w:p>
                            <w:pPr>
                              <w:pStyle w:val="FrameContents"/>
                              <w:spacing w:before="0" w:after="160"/>
                              <w:jc w:val="both"/>
                              <w:rPr/>
                            </w:pPr>
                            <w:r>
                              <w:rPr/>
                              <w:t xml:space="preserve">Figure 12. (top) </w:t>
                            </w:r>
                            <w:r>
                              <w:rPr>
                                <w:lang w:val="en-GB"/>
                              </w:rPr>
                              <w:t>Connection matrix analysis accounting for HB interactions in thymol-water mixture. Rows refer to HB acceptor atoms (O1 from thymol and Ow from water); lines refer to HB donor atoms (H5 from thymol and Hw from water). The colour map at right helps in determining position and height of the peak of the corresponding pdf. (bottom) Pdfs related to the analysis reported in the top figure.</w:t>
                            </w:r>
                          </w:p>
                        </w:txbxContent>
                      </wps:txbx>
                      <wps:bodyPr lIns="90000" rIns="90000" tIns="45000" bIns="45000" anchor="t">
                        <a:noAutofit/>
                      </wps:bodyPr>
                    </wps:wsp>
                  </a:graphicData>
                </a:graphic>
              </wp:anchor>
            </w:drawing>
          </mc:Choice>
          <mc:Fallback>
            <w:pict>
              <v:rect id="shape_0" ID="Casella di testo 2" path="m0,0l-2147483645,0l-2147483645,-2147483646l0,-2147483646xe" fillcolor="white" stroked="t" o:allowincell="f" style="position:absolute;margin-left:1.85pt;margin-top:37.2pt;width:305.65pt;height:451.8pt;mso-wrap-style:square;v-text-anchor:top" wp14:anchorId="6464D7A5">
                <v:fill o:detectmouseclick="t" type="solid" color2="black"/>
                <v:stroke color="black" weight="6480" joinstyle="round" endcap="flat"/>
                <v:textbox>
                  <w:txbxContent>
                    <w:tbl>
                      <w:tblPr>
                        <w:tblStyle w:val="Grigliatabella"/>
                        <w:tblW w:w="5806" w:type="dxa"/>
                        <w:jc w:val="left"/>
                        <w:tblInd w:w="0" w:type="dxa"/>
                        <w:tblLayout w:type="fixed"/>
                        <w:tblCellMar>
                          <w:top w:w="0" w:type="dxa"/>
                          <w:left w:w="108" w:type="dxa"/>
                          <w:bottom w:w="0" w:type="dxa"/>
                          <w:right w:w="108" w:type="dxa"/>
                        </w:tblCellMar>
                        <w:tblLook w:val="04a0" w:noVBand="1" w:noHBand="0" w:lastColumn="0" w:firstColumn="1" w:lastRow="0" w:firstRow="1"/>
                      </w:tblPr>
                      <w:tblGrid>
                        <w:gridCol w:w="5806"/>
                      </w:tblGrid>
                      <w:tr>
                        <w:trPr>
                          <w:trHeight w:val="2129" w:hRule="atLeast"/>
                        </w:trPr>
                        <w:tc>
                          <w:tcPr>
                            <w:tcW w:w="5806" w:type="dxa"/>
                            <w:tcBorders/>
                          </w:tcPr>
                          <w:p>
                            <w:pPr>
                              <w:pStyle w:val="FrameContents"/>
                              <w:widowControl/>
                              <w:spacing w:lineRule="auto" w:line="240" w:before="0" w:after="0"/>
                              <w:jc w:val="center"/>
                              <w:rPr>
                                <w:lang w:eastAsia="it-IT"/>
                              </w:rPr>
                            </w:pPr>
                            <w:r>
                              <w:rPr>
                                <w:rFonts w:eastAsia="Calibri" w:cs="Times New Roman"/>
                                <w:kern w:val="0"/>
                                <w:sz w:val="24"/>
                                <w:szCs w:val="24"/>
                                <w:lang w:val="en-GB" w:eastAsia="en-US" w:bidi="ar-SA"/>
                              </w:rPr>
                              <w:object>
                                <v:shapetype id="_x0000_tole_rId43" coordsize="21600,21600" o:spt="ole_rId43"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le_rId43" type="_x0000_tole_rId43" style="width:269.15pt;height:112.8pt;mso-wrap-distance-right:0pt" filled="f" o:ole="">
                                  <v:imagedata r:id="rId44" o:title=""/>
                                </v:shape>
                                <o:OLEObject Type="Embed" ProgID="PBrush" ShapeID="ole_rId43" DrawAspect="Content" ObjectID="_1489526206" r:id="rId43"/>
                              </w:object>
                            </w:r>
                          </w:p>
                        </w:tc>
                      </w:tr>
                      <w:tr>
                        <w:trPr>
                          <w:trHeight w:val="3772" w:hRule="atLeast"/>
                        </w:trPr>
                        <w:tc>
                          <w:tcPr>
                            <w:tcW w:w="5806" w:type="dxa"/>
                            <w:tcBorders/>
                          </w:tcPr>
                          <w:p>
                            <w:pPr>
                              <w:pStyle w:val="FrameContents"/>
                              <w:widowControl/>
                              <w:spacing w:lineRule="auto" w:line="240" w:before="0" w:after="0"/>
                              <w:jc w:val="center"/>
                              <w:rPr>
                                <w:lang w:eastAsia="it-IT"/>
                              </w:rPr>
                            </w:pPr>
                            <w:r>
                              <w:rPr>
                                <w:rFonts w:eastAsia="Calibri" w:cs="Times New Roman"/>
                                <w:kern w:val="0"/>
                                <w:sz w:val="24"/>
                                <w:szCs w:val="24"/>
                                <w:lang w:val="en-GB" w:eastAsia="en-US" w:bidi="ar-SA"/>
                              </w:rPr>
                              <w:drawing>
                                <wp:inline distT="0" distB="0" distL="0" distR="0">
                                  <wp:extent cx="3316605" cy="2537460"/>
                                  <wp:effectExtent l="0" t="0" r="0" b="0"/>
                                  <wp:docPr id="64" name="Immagine 5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magine 57" descr=""/>
                                          <pic:cNvPicPr>
                                            <a:picLocks noChangeAspect="1" noChangeArrowheads="1"/>
                                          </pic:cNvPicPr>
                                        </pic:nvPicPr>
                                        <pic:blipFill>
                                          <a:blip r:embed="rId45"/>
                                          <a:stretch>
                                            <a:fillRect/>
                                          </a:stretch>
                                        </pic:blipFill>
                                        <pic:spPr bwMode="auto">
                                          <a:xfrm>
                                            <a:off x="0" y="0"/>
                                            <a:ext cx="3316605" cy="2537460"/>
                                          </a:xfrm>
                                          <a:prstGeom prst="rect">
                                            <a:avLst/>
                                          </a:prstGeom>
                                        </pic:spPr>
                                      </pic:pic>
                                    </a:graphicData>
                                  </a:graphic>
                                </wp:inline>
                              </w:drawing>
                            </w:r>
                          </w:p>
                        </w:tc>
                      </w:tr>
                    </w:tbl>
                    <w:p>
                      <w:pPr>
                        <w:pStyle w:val="FrameContents"/>
                        <w:jc w:val="center"/>
                        <w:rPr>
                          <w:lang w:eastAsia="it-IT"/>
                        </w:rPr>
                      </w:pPr>
                      <w:r>
                        <w:rPr>
                          <w:lang w:eastAsia="it-IT"/>
                        </w:rPr>
                      </w:r>
                    </w:p>
                    <w:p>
                      <w:pPr>
                        <w:pStyle w:val="FrameContents"/>
                        <w:spacing w:before="0" w:after="160"/>
                        <w:jc w:val="both"/>
                        <w:rPr/>
                      </w:pPr>
                      <w:r>
                        <w:rPr/>
                        <w:t xml:space="preserve">Figure 12. (top) </w:t>
                      </w:r>
                      <w:r>
                        <w:rPr>
                          <w:lang w:val="en-GB"/>
                        </w:rPr>
                        <w:t>Connection matrix analysis accounting for HB interactions in thymol-water mixture. Rows refer to HB acceptor atoms (O1 from thymol and Ow from water); lines refer to HB donor atoms (H5 from thymol and Hw from water). The colour map at right helps in determining position and height of the peak of the corresponding pdf. (bottom) Pdfs related to the analysis reported in the top figure.</w:t>
                      </w:r>
                    </w:p>
                  </w:txbxContent>
                </v:textbox>
                <w10:wrap type="square" side="right"/>
              </v:rect>
            </w:pict>
          </mc:Fallback>
        </mc:AlternateContent>
      </w:r>
      <w:r>
        <w:rPr>
          <w:lang w:val="en-GB"/>
        </w:rPr>
        <w:t xml:space="preserve">In order to better clarify matters concerning the hydrogen bonding mediated interactions, we applied the </w:t>
      </w:r>
      <w:r>
        <w:rPr>
          <w:i/>
          <w:lang w:val="en-GB"/>
        </w:rPr>
        <w:t>cmat</w:t>
      </w:r>
      <w:r>
        <w:rPr>
          <w:lang w:val="en-GB"/>
        </w:rPr>
        <w:t xml:space="preserve"> (connection matrix analysis) analysis</w:t>
      </w:r>
      <w:r>
        <w:fldChar w:fldCharType="begin"/>
      </w:r>
      <w:r>
        <w:rPr>
          <w:lang w:val="en-GB"/>
        </w:rPr>
        <w:instrText xml:space="preserve">ADDIN CSL_CITATION {"citationItems":[{"id":"ITEM-1","itemData":{"DOI":"10.1063/5.0005078","ISSN":"0021-9606","author":[{"dropping-particle":"","family":"Brehm","given":"Martin","non-dropping-particle":"","parse-names":false,"suffix":""},{"dropping-particle":"","family":"Thomas","given":"M.","non-dropping-particle":"","parse-names":false,"suffix":""},{"dropping-particle":"","family":"Gehrke","given":"Sascha","non-dropping-particle":"","parse-names":false,"suffix":""},{"dropping-particle":"","family":"Kirchner","given":"Barbara","non-dropping-particle":"","parse-names":false,"suffix":""}],"container-title":"The Journal of Chemical Physics","id":"ITEM-1","issue":"16","issued":{"date-parts":[["2020","4","30"]]},"page":"164105","publisher":"AIP Publishing, LLC","title":"TRAVIS—A free analyzer for trajectories from molecular simulation","type":"article-journal","volume":"152"},"uris":["http://www.mendeley.com/documents/?uuid=80fe287c-c4b3-4751-93ca-ee240d3c6e0e"]}],"mendeley":{"formattedCitation":"[43]","plainTextFormattedCitation":"[43]","previouslyFormattedCitation":"[43]"},"properties":{"noteIndex":0},"schema":"https://github.com/citation-style-language/schema/raw/master/csl-citation.json"}</w:instrText>
      </w:r>
      <w:r>
        <w:rPr>
          <w:lang w:val="en-GB"/>
        </w:rPr>
      </w:r>
      <w:r>
        <w:rPr>
          <w:lang w:val="en-GB"/>
        </w:rPr>
        <w:fldChar w:fldCharType="separate"/>
      </w:r>
      <w:r>
        <w:rPr>
          <w:lang w:val="en-GB"/>
        </w:rPr>
        <w:t>[43]</w:t>
      </w:r>
      <w:r>
        <w:rPr>
          <w:lang w:val="en-GB"/>
        </w:rPr>
      </w:r>
      <w:r>
        <w:rPr>
          <w:lang w:val="en-GB"/>
        </w:rPr>
        <w:fldChar w:fldCharType="end"/>
      </w:r>
      <w:r>
        <w:rPr>
          <w:lang w:val="en-GB"/>
        </w:rPr>
        <w:t xml:space="preserve"> to the thymol-water system and the corresponding results that are reported in </w:t>
      </w:r>
      <w:r>
        <w:rPr>
          <w:b/>
          <w:lang w:val="en-GB"/>
        </w:rPr>
        <w:t>Figure 12</w:t>
      </w:r>
      <w:r>
        <w:rPr>
          <w:lang w:val="en-GB"/>
        </w:rPr>
        <w:t xml:space="preserve"> illustrate such an exercise. Therein, pdfs related to HB interactions between donor atoms (H5 from thymol and Hw from water) and acceptor ones (O1 from thymol and Ow from water) are analysed and a graphical description is shown accounting for the pdf peak position and height. It clearly emerges how water oxygen is characterised by short (r&lt;1.9 Å) and intense (height &gt;15 nm</w:t>
      </w:r>
      <w:r>
        <w:rPr>
          <w:vertAlign w:val="superscript"/>
          <w:lang w:val="en-GB"/>
        </w:rPr>
        <w:t>-3</w:t>
      </w:r>
      <w:r>
        <w:rPr>
          <w:lang w:val="en-GB"/>
        </w:rPr>
        <w:t xml:space="preserve">) pdf peaks with both kind of hydrogen atoms, but with stronger interaction with H5. Thymol oxygen interacts in equivalent ways with both water H and thymol H. All these hydrogen bonding interactions look short and relatively straight, as indicated by the combined distribution functions reported in </w:t>
      </w:r>
      <w:r>
        <w:rPr>
          <w:b/>
          <w:lang w:val="en-GB"/>
        </w:rPr>
        <w:t>Figure 13</w:t>
      </w:r>
      <w:r>
        <w:rPr>
          <w:lang w:val="en-GB"/>
        </w:rPr>
        <w:t>.</w:t>
      </w:r>
    </w:p>
    <w:p>
      <w:pPr>
        <w:pStyle w:val="Normal"/>
        <w:spacing w:lineRule="auto" w:line="360"/>
        <w:rPr>
          <w:lang w:val="en-GB"/>
        </w:rPr>
      </w:pPr>
      <w:r>
        <mc:AlternateContent>
          <mc:Choice Requires="wps">
            <w:drawing>
              <wp:anchor behindDoc="0" distT="0" distB="6985" distL="111125" distR="124460" simplePos="0" locked="0" layoutInCell="0" allowOverlap="0" relativeHeight="26" wp14:anchorId="2D11E483">
                <wp:simplePos x="0" y="0"/>
                <wp:positionH relativeFrom="column">
                  <wp:posOffset>-106045</wp:posOffset>
                </wp:positionH>
                <wp:positionV relativeFrom="paragraph">
                  <wp:posOffset>485140</wp:posOffset>
                </wp:positionV>
                <wp:extent cx="6177280" cy="6714490"/>
                <wp:effectExtent l="3175" t="3175" r="3175" b="3175"/>
                <wp:wrapSquare wrapText="right"/>
                <wp:docPr id="65" name="Casella di testo 18"/>
                <a:graphic xmlns:a="http://schemas.openxmlformats.org/drawingml/2006/main">
                  <a:graphicData uri="http://schemas.microsoft.com/office/word/2010/wordprocessingShape">
                    <wps:wsp>
                      <wps:cNvSpPr/>
                      <wps:spPr>
                        <a:xfrm>
                          <a:off x="0" y="0"/>
                          <a:ext cx="6177240" cy="6714360"/>
                        </a:xfrm>
                        <a:prstGeom prst="rect">
                          <a:avLst/>
                        </a:prstGeom>
                        <a:solidFill>
                          <a:schemeClr val="lt1"/>
                        </a:solidFill>
                        <a:ln w="6350">
                          <a:solidFill>
                            <a:srgbClr val="000000"/>
                          </a:solidFill>
                          <a:round/>
                        </a:ln>
                      </wps:spPr>
                      <wps:style>
                        <a:lnRef idx="0">
                          <a:schemeClr val="accent1"/>
                        </a:lnRef>
                        <a:fillRef idx="0">
                          <a:schemeClr val="accent1"/>
                        </a:fillRef>
                        <a:effectRef idx="0">
                          <a:schemeClr val="accent1"/>
                        </a:effectRef>
                        <a:fontRef idx="minor"/>
                      </wps:style>
                      <wps:txbx>
                        <w:txbxContent>
                          <w:tbl>
                            <w:tblPr>
                              <w:tblStyle w:val="Grigliatabella"/>
                              <w:tblW w:w="9420" w:type="dxa"/>
                              <w:jc w:val="left"/>
                              <w:tblInd w:w="0" w:type="dxa"/>
                              <w:tblLayout w:type="fixed"/>
                              <w:tblCellMar>
                                <w:top w:w="0" w:type="dxa"/>
                                <w:left w:w="108" w:type="dxa"/>
                                <w:bottom w:w="0" w:type="dxa"/>
                                <w:right w:w="108" w:type="dxa"/>
                              </w:tblCellMar>
                              <w:tblLook w:val="04a0" w:noVBand="1" w:noHBand="0" w:lastColumn="0" w:firstColumn="1" w:lastRow="0" w:firstRow="1"/>
                            </w:tblPr>
                            <w:tblGrid>
                              <w:gridCol w:w="4710"/>
                              <w:gridCol w:w="4709"/>
                            </w:tblGrid>
                            <w:tr>
                              <w:trPr>
                                <w:trHeight w:val="4388" w:hRule="atLeast"/>
                              </w:trPr>
                              <w:tc>
                                <w:tcPr>
                                  <w:tcW w:w="4710" w:type="dxa"/>
                                  <w:tcBorders/>
                                </w:tcPr>
                                <w:p>
                                  <w:pPr>
                                    <w:pStyle w:val="FrameContents"/>
                                    <w:widowControl/>
                                    <w:spacing w:lineRule="auto" w:line="240" w:before="0" w:after="0"/>
                                    <w:jc w:val="center"/>
                                    <w:rPr>
                                      <w:lang w:eastAsia="it-IT"/>
                                    </w:rPr>
                                  </w:pPr>
                                  <w:r>
                                    <w:rPr>
                                      <w:rFonts w:eastAsia="Calibri" w:cs="Times New Roman"/>
                                      <w:kern w:val="0"/>
                                      <w:sz w:val="24"/>
                                      <w:szCs w:val="24"/>
                                      <w:lang w:val="en-GB" w:eastAsia="en-US" w:bidi="ar-SA"/>
                                    </w:rPr>
                                    <w:drawing>
                                      <wp:inline distT="0" distB="0" distL="0" distR="0">
                                        <wp:extent cx="2566670" cy="2566670"/>
                                        <wp:effectExtent l="0" t="0" r="0" b="0"/>
                                        <wp:docPr id="67" name="Immagine 5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magine 58" descr=""/>
                                                <pic:cNvPicPr>
                                                  <a:picLocks noChangeAspect="1" noChangeArrowheads="1"/>
                                                </pic:cNvPicPr>
                                              </pic:nvPicPr>
                                              <pic:blipFill>
                                                <a:blip r:embed="rId46"/>
                                                <a:stretch>
                                                  <a:fillRect/>
                                                </a:stretch>
                                              </pic:blipFill>
                                              <pic:spPr bwMode="auto">
                                                <a:xfrm>
                                                  <a:off x="0" y="0"/>
                                                  <a:ext cx="2566670" cy="2566670"/>
                                                </a:xfrm>
                                                <a:prstGeom prst="rect">
                                                  <a:avLst/>
                                                </a:prstGeom>
                                              </pic:spPr>
                                            </pic:pic>
                                          </a:graphicData>
                                        </a:graphic>
                                      </wp:inline>
                                    </w:drawing>
                                  </w:r>
                                </w:p>
                                <w:p>
                                  <w:pPr>
                                    <w:pStyle w:val="FrameContents"/>
                                    <w:widowControl/>
                                    <w:spacing w:lineRule="auto" w:line="240" w:before="0" w:after="0"/>
                                    <w:jc w:val="left"/>
                                    <w:rPr>
                                      <w:lang w:eastAsia="it-IT"/>
                                    </w:rPr>
                                  </w:pPr>
                                  <w:r>
                                    <w:rPr>
                                      <w:rFonts w:eastAsia="Calibri" w:cs="Times New Roman"/>
                                      <w:kern w:val="0"/>
                                      <w:sz w:val="24"/>
                                      <w:szCs w:val="24"/>
                                      <w:lang w:val="en-GB" w:eastAsia="it-IT" w:bidi="ar-SA"/>
                                    </w:rPr>
                                    <w:t>a)</w:t>
                                  </w:r>
                                </w:p>
                              </w:tc>
                              <w:tc>
                                <w:tcPr>
                                  <w:tcW w:w="4709" w:type="dxa"/>
                                  <w:tcBorders/>
                                </w:tcPr>
                                <w:p>
                                  <w:pPr>
                                    <w:pStyle w:val="FrameContents"/>
                                    <w:widowControl/>
                                    <w:spacing w:lineRule="auto" w:line="240" w:before="0" w:after="0"/>
                                    <w:jc w:val="center"/>
                                    <w:rPr>
                                      <w:lang w:eastAsia="it-IT"/>
                                    </w:rPr>
                                  </w:pPr>
                                  <w:r>
                                    <w:rPr>
                                      <w:rFonts w:eastAsia="Calibri" w:cs="Times New Roman"/>
                                      <w:kern w:val="0"/>
                                      <w:sz w:val="24"/>
                                      <w:szCs w:val="24"/>
                                      <w:lang w:val="en-GB" w:eastAsia="en-US" w:bidi="ar-SA"/>
                                    </w:rPr>
                                    <w:drawing>
                                      <wp:inline distT="0" distB="0" distL="0" distR="0">
                                        <wp:extent cx="2531110" cy="2531110"/>
                                        <wp:effectExtent l="0" t="0" r="0" b="0"/>
                                        <wp:docPr id="68" name="Immagine 5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magine 59" descr=""/>
                                                <pic:cNvPicPr>
                                                  <a:picLocks noChangeAspect="1" noChangeArrowheads="1"/>
                                                </pic:cNvPicPr>
                                              </pic:nvPicPr>
                                              <pic:blipFill>
                                                <a:blip r:embed="rId47"/>
                                                <a:stretch>
                                                  <a:fillRect/>
                                                </a:stretch>
                                              </pic:blipFill>
                                              <pic:spPr bwMode="auto">
                                                <a:xfrm>
                                                  <a:off x="0" y="0"/>
                                                  <a:ext cx="2531110" cy="2531110"/>
                                                </a:xfrm>
                                                <a:prstGeom prst="rect">
                                                  <a:avLst/>
                                                </a:prstGeom>
                                              </pic:spPr>
                                            </pic:pic>
                                          </a:graphicData>
                                        </a:graphic>
                                      </wp:inline>
                                    </w:drawing>
                                  </w:r>
                                </w:p>
                                <w:p>
                                  <w:pPr>
                                    <w:pStyle w:val="FrameContents"/>
                                    <w:widowControl/>
                                    <w:spacing w:lineRule="auto" w:line="240" w:before="0" w:after="0"/>
                                    <w:jc w:val="left"/>
                                    <w:rPr>
                                      <w:lang w:eastAsia="it-IT"/>
                                    </w:rPr>
                                  </w:pPr>
                                  <w:r>
                                    <w:rPr>
                                      <w:rFonts w:eastAsia="Calibri" w:cs="Times New Roman"/>
                                      <w:kern w:val="0"/>
                                      <w:sz w:val="24"/>
                                      <w:szCs w:val="24"/>
                                      <w:lang w:val="en-GB" w:eastAsia="it-IT" w:bidi="ar-SA"/>
                                    </w:rPr>
                                    <w:t>b)</w:t>
                                  </w:r>
                                </w:p>
                              </w:tc>
                            </w:tr>
                            <w:tr>
                              <w:trPr>
                                <w:trHeight w:val="4290" w:hRule="atLeast"/>
                              </w:trPr>
                              <w:tc>
                                <w:tcPr>
                                  <w:tcW w:w="4710" w:type="dxa"/>
                                  <w:tcBorders/>
                                </w:tcPr>
                                <w:p>
                                  <w:pPr>
                                    <w:pStyle w:val="FrameContents"/>
                                    <w:widowControl/>
                                    <w:spacing w:lineRule="auto" w:line="240" w:before="0" w:after="0"/>
                                    <w:jc w:val="center"/>
                                    <w:rPr>
                                      <w:lang w:eastAsia="it-IT"/>
                                    </w:rPr>
                                  </w:pPr>
                                  <w:r>
                                    <w:rPr>
                                      <w:rFonts w:eastAsia="Calibri" w:cs="Times New Roman"/>
                                      <w:kern w:val="0"/>
                                      <w:sz w:val="24"/>
                                      <w:szCs w:val="24"/>
                                      <w:lang w:val="en-GB" w:eastAsia="en-US" w:bidi="ar-SA"/>
                                    </w:rPr>
                                    <w:drawing>
                                      <wp:inline distT="0" distB="0" distL="0" distR="0">
                                        <wp:extent cx="2552700" cy="2552700"/>
                                        <wp:effectExtent l="0" t="0" r="0" b="0"/>
                                        <wp:docPr id="69" name="Immagine 6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magine 60" descr=""/>
                                                <pic:cNvPicPr>
                                                  <a:picLocks noChangeAspect="1" noChangeArrowheads="1"/>
                                                </pic:cNvPicPr>
                                              </pic:nvPicPr>
                                              <pic:blipFill>
                                                <a:blip r:embed="rId48"/>
                                                <a:stretch>
                                                  <a:fillRect/>
                                                </a:stretch>
                                              </pic:blipFill>
                                              <pic:spPr bwMode="auto">
                                                <a:xfrm>
                                                  <a:off x="0" y="0"/>
                                                  <a:ext cx="2552700" cy="2552700"/>
                                                </a:xfrm>
                                                <a:prstGeom prst="rect">
                                                  <a:avLst/>
                                                </a:prstGeom>
                                              </pic:spPr>
                                            </pic:pic>
                                          </a:graphicData>
                                        </a:graphic>
                                      </wp:inline>
                                    </w:drawing>
                                  </w:r>
                                </w:p>
                                <w:p>
                                  <w:pPr>
                                    <w:pStyle w:val="FrameContents"/>
                                    <w:widowControl/>
                                    <w:spacing w:lineRule="auto" w:line="240" w:before="0" w:after="0"/>
                                    <w:jc w:val="left"/>
                                    <w:rPr>
                                      <w:lang w:eastAsia="it-IT"/>
                                    </w:rPr>
                                  </w:pPr>
                                  <w:r>
                                    <w:rPr>
                                      <w:rFonts w:eastAsia="Calibri" w:cs="Times New Roman"/>
                                      <w:kern w:val="0"/>
                                      <w:sz w:val="24"/>
                                      <w:szCs w:val="24"/>
                                      <w:lang w:val="en-GB" w:eastAsia="it-IT" w:bidi="ar-SA"/>
                                    </w:rPr>
                                    <w:t>c)</w:t>
                                  </w:r>
                                </w:p>
                                <w:p>
                                  <w:pPr>
                                    <w:pStyle w:val="FrameContents"/>
                                    <w:widowControl/>
                                    <w:spacing w:lineRule="auto" w:line="240" w:before="0" w:after="0"/>
                                    <w:jc w:val="both"/>
                                    <w:rPr>
                                      <w:lang w:eastAsia="it-IT"/>
                                    </w:rPr>
                                  </w:pPr>
                                  <w:r>
                                    <w:rPr>
                                      <w:rFonts w:eastAsia="Calibri" w:cs="Times New Roman"/>
                                      <w:kern w:val="0"/>
                                      <w:sz w:val="24"/>
                                      <w:szCs w:val="24"/>
                                      <w:lang w:val="en-GB" w:eastAsia="en-US" w:bidi="ar-SA"/>
                                    </w:rPr>
                                  </w:r>
                                </w:p>
                              </w:tc>
                              <w:tc>
                                <w:tcPr>
                                  <w:tcW w:w="4709" w:type="dxa"/>
                                  <w:tcBorders/>
                                </w:tcPr>
                                <w:p>
                                  <w:pPr>
                                    <w:pStyle w:val="FrameContents"/>
                                    <w:widowControl/>
                                    <w:spacing w:lineRule="auto" w:line="240" w:before="0" w:after="0"/>
                                    <w:jc w:val="center"/>
                                    <w:rPr>
                                      <w:lang w:eastAsia="it-IT"/>
                                    </w:rPr>
                                  </w:pPr>
                                  <w:r>
                                    <w:rPr>
                                      <w:rFonts w:eastAsia="Calibri" w:cs="Times New Roman"/>
                                      <w:kern w:val="0"/>
                                      <w:sz w:val="24"/>
                                      <w:szCs w:val="24"/>
                                      <w:lang w:val="en-GB" w:eastAsia="en-US" w:bidi="ar-SA"/>
                                    </w:rPr>
                                    <w:drawing>
                                      <wp:inline distT="0" distB="0" distL="0" distR="0">
                                        <wp:extent cx="2552700" cy="2552700"/>
                                        <wp:effectExtent l="0" t="0" r="0" b="0"/>
                                        <wp:docPr id="70" name="Immagine 6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magine 61" descr=""/>
                                                <pic:cNvPicPr>
                                                  <a:picLocks noChangeAspect="1" noChangeArrowheads="1"/>
                                                </pic:cNvPicPr>
                                              </pic:nvPicPr>
                                              <pic:blipFill>
                                                <a:blip r:embed="rId49"/>
                                                <a:stretch>
                                                  <a:fillRect/>
                                                </a:stretch>
                                              </pic:blipFill>
                                              <pic:spPr bwMode="auto">
                                                <a:xfrm>
                                                  <a:off x="0" y="0"/>
                                                  <a:ext cx="2552700" cy="2552700"/>
                                                </a:xfrm>
                                                <a:prstGeom prst="rect">
                                                  <a:avLst/>
                                                </a:prstGeom>
                                              </pic:spPr>
                                            </pic:pic>
                                          </a:graphicData>
                                        </a:graphic>
                                      </wp:inline>
                                    </w:drawing>
                                  </w:r>
                                </w:p>
                                <w:p>
                                  <w:pPr>
                                    <w:pStyle w:val="FrameContents"/>
                                    <w:widowControl/>
                                    <w:spacing w:lineRule="auto" w:line="240" w:before="0" w:after="0"/>
                                    <w:jc w:val="left"/>
                                    <w:rPr>
                                      <w:lang w:eastAsia="it-IT"/>
                                    </w:rPr>
                                  </w:pPr>
                                  <w:r>
                                    <w:rPr>
                                      <w:rFonts w:eastAsia="Calibri" w:cs="Times New Roman"/>
                                      <w:kern w:val="0"/>
                                      <w:sz w:val="24"/>
                                      <w:szCs w:val="24"/>
                                      <w:lang w:val="en-GB" w:eastAsia="it-IT" w:bidi="ar-SA"/>
                                    </w:rPr>
                                    <w:t>d)</w:t>
                                  </w:r>
                                </w:p>
                              </w:tc>
                            </w:tr>
                          </w:tbl>
                          <w:p>
                            <w:pPr>
                              <w:pStyle w:val="FrameContents"/>
                              <w:jc w:val="center"/>
                              <w:rPr>
                                <w:lang w:eastAsia="it-IT"/>
                              </w:rPr>
                            </w:pPr>
                            <w:r>
                              <w:rPr>
                                <w:color w:val="000000"/>
                                <w:lang w:eastAsia="it-IT"/>
                              </w:rPr>
                            </w:r>
                          </w:p>
                          <w:p>
                            <w:pPr>
                              <w:pStyle w:val="FrameContents"/>
                              <w:spacing w:before="0" w:after="160"/>
                              <w:jc w:val="both"/>
                              <w:rPr>
                                <w:color w:val="000000"/>
                              </w:rPr>
                            </w:pPr>
                            <w:r>
                              <w:rPr>
                                <w:color w:val="000000"/>
                              </w:rPr>
                              <w:t>Figure 13. Combined distribution functions related to Hydrogen Bonding interactions in thymol-water mixture. The plots refer to the following donor-acceptor pair: A) thymol-thymol; b) water-water; c) thymol-water; d) water-thymol.</w:t>
                            </w:r>
                          </w:p>
                        </w:txbxContent>
                      </wps:txbx>
                      <wps:bodyPr anchor="t">
                        <a:prstTxWarp prst="textNoShape"/>
                        <a:noAutofit/>
                      </wps:bodyPr>
                    </wps:wsp>
                  </a:graphicData>
                </a:graphic>
              </wp:anchor>
            </w:drawing>
          </mc:Choice>
          <mc:Fallback>
            <w:pict>
              <v:rect id="shape_0" ID="Casella di testo 18" path="m0,0l-2147483645,0l-2147483645,-2147483646l0,-2147483646xe" fillcolor="white" stroked="t" o:allowincell="f" style="position:absolute;margin-left:-8.35pt;margin-top:38.2pt;width:486.35pt;height:528.65pt;mso-wrap-style:square;v-text-anchor:top" wp14:anchorId="2D11E483">
                <v:fill o:detectmouseclick="t" type="solid" color2="black"/>
                <v:stroke color="black" weight="6480" joinstyle="round" endcap="flat"/>
                <v:textbox>
                  <w:txbxContent>
                    <w:tbl>
                      <w:tblPr>
                        <w:tblStyle w:val="Grigliatabella"/>
                        <w:tblW w:w="9420" w:type="dxa"/>
                        <w:jc w:val="left"/>
                        <w:tblInd w:w="0" w:type="dxa"/>
                        <w:tblLayout w:type="fixed"/>
                        <w:tblCellMar>
                          <w:top w:w="0" w:type="dxa"/>
                          <w:left w:w="108" w:type="dxa"/>
                          <w:bottom w:w="0" w:type="dxa"/>
                          <w:right w:w="108" w:type="dxa"/>
                        </w:tblCellMar>
                        <w:tblLook w:val="04a0" w:noVBand="1" w:noHBand="0" w:lastColumn="0" w:firstColumn="1" w:lastRow="0" w:firstRow="1"/>
                      </w:tblPr>
                      <w:tblGrid>
                        <w:gridCol w:w="4710"/>
                        <w:gridCol w:w="4709"/>
                      </w:tblGrid>
                      <w:tr>
                        <w:trPr>
                          <w:trHeight w:val="4388" w:hRule="atLeast"/>
                        </w:trPr>
                        <w:tc>
                          <w:tcPr>
                            <w:tcW w:w="4710" w:type="dxa"/>
                            <w:tcBorders/>
                          </w:tcPr>
                          <w:p>
                            <w:pPr>
                              <w:pStyle w:val="FrameContents"/>
                              <w:widowControl/>
                              <w:spacing w:lineRule="auto" w:line="240" w:before="0" w:after="0"/>
                              <w:jc w:val="center"/>
                              <w:rPr>
                                <w:lang w:eastAsia="it-IT"/>
                              </w:rPr>
                            </w:pPr>
                            <w:r>
                              <w:rPr>
                                <w:rFonts w:eastAsia="Calibri" w:cs="Times New Roman"/>
                                <w:kern w:val="0"/>
                                <w:sz w:val="24"/>
                                <w:szCs w:val="24"/>
                                <w:lang w:val="en-GB" w:eastAsia="en-US" w:bidi="ar-SA"/>
                              </w:rPr>
                              <w:drawing>
                                <wp:inline distT="0" distB="0" distL="0" distR="0">
                                  <wp:extent cx="2566670" cy="2566670"/>
                                  <wp:effectExtent l="0" t="0" r="0" b="0"/>
                                  <wp:docPr id="71" name="Immagine 5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Immagine 58" descr=""/>
                                          <pic:cNvPicPr>
                                            <a:picLocks noChangeAspect="1" noChangeArrowheads="1"/>
                                          </pic:cNvPicPr>
                                        </pic:nvPicPr>
                                        <pic:blipFill>
                                          <a:blip r:embed="rId50"/>
                                          <a:stretch>
                                            <a:fillRect/>
                                          </a:stretch>
                                        </pic:blipFill>
                                        <pic:spPr bwMode="auto">
                                          <a:xfrm>
                                            <a:off x="0" y="0"/>
                                            <a:ext cx="2566670" cy="2566670"/>
                                          </a:xfrm>
                                          <a:prstGeom prst="rect">
                                            <a:avLst/>
                                          </a:prstGeom>
                                        </pic:spPr>
                                      </pic:pic>
                                    </a:graphicData>
                                  </a:graphic>
                                </wp:inline>
                              </w:drawing>
                            </w:r>
                          </w:p>
                          <w:p>
                            <w:pPr>
                              <w:pStyle w:val="FrameContents"/>
                              <w:widowControl/>
                              <w:spacing w:lineRule="auto" w:line="240" w:before="0" w:after="0"/>
                              <w:jc w:val="left"/>
                              <w:rPr>
                                <w:lang w:eastAsia="it-IT"/>
                              </w:rPr>
                            </w:pPr>
                            <w:r>
                              <w:rPr>
                                <w:rFonts w:eastAsia="Calibri" w:cs="Times New Roman"/>
                                <w:kern w:val="0"/>
                                <w:sz w:val="24"/>
                                <w:szCs w:val="24"/>
                                <w:lang w:val="en-GB" w:eastAsia="it-IT" w:bidi="ar-SA"/>
                              </w:rPr>
                              <w:t>a)</w:t>
                            </w:r>
                          </w:p>
                        </w:tc>
                        <w:tc>
                          <w:tcPr>
                            <w:tcW w:w="4709" w:type="dxa"/>
                            <w:tcBorders/>
                          </w:tcPr>
                          <w:p>
                            <w:pPr>
                              <w:pStyle w:val="FrameContents"/>
                              <w:widowControl/>
                              <w:spacing w:lineRule="auto" w:line="240" w:before="0" w:after="0"/>
                              <w:jc w:val="center"/>
                              <w:rPr>
                                <w:lang w:eastAsia="it-IT"/>
                              </w:rPr>
                            </w:pPr>
                            <w:r>
                              <w:rPr>
                                <w:rFonts w:eastAsia="Calibri" w:cs="Times New Roman"/>
                                <w:kern w:val="0"/>
                                <w:sz w:val="24"/>
                                <w:szCs w:val="24"/>
                                <w:lang w:val="en-GB" w:eastAsia="en-US" w:bidi="ar-SA"/>
                              </w:rPr>
                              <w:drawing>
                                <wp:inline distT="0" distB="0" distL="0" distR="0">
                                  <wp:extent cx="2531110" cy="2531110"/>
                                  <wp:effectExtent l="0" t="0" r="0" b="0"/>
                                  <wp:docPr id="72" name="Immagine 5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magine 59" descr=""/>
                                          <pic:cNvPicPr>
                                            <a:picLocks noChangeAspect="1" noChangeArrowheads="1"/>
                                          </pic:cNvPicPr>
                                        </pic:nvPicPr>
                                        <pic:blipFill>
                                          <a:blip r:embed="rId51"/>
                                          <a:stretch>
                                            <a:fillRect/>
                                          </a:stretch>
                                        </pic:blipFill>
                                        <pic:spPr bwMode="auto">
                                          <a:xfrm>
                                            <a:off x="0" y="0"/>
                                            <a:ext cx="2531110" cy="2531110"/>
                                          </a:xfrm>
                                          <a:prstGeom prst="rect">
                                            <a:avLst/>
                                          </a:prstGeom>
                                        </pic:spPr>
                                      </pic:pic>
                                    </a:graphicData>
                                  </a:graphic>
                                </wp:inline>
                              </w:drawing>
                            </w:r>
                          </w:p>
                          <w:p>
                            <w:pPr>
                              <w:pStyle w:val="FrameContents"/>
                              <w:widowControl/>
                              <w:spacing w:lineRule="auto" w:line="240" w:before="0" w:after="0"/>
                              <w:jc w:val="left"/>
                              <w:rPr>
                                <w:lang w:eastAsia="it-IT"/>
                              </w:rPr>
                            </w:pPr>
                            <w:r>
                              <w:rPr>
                                <w:rFonts w:eastAsia="Calibri" w:cs="Times New Roman"/>
                                <w:kern w:val="0"/>
                                <w:sz w:val="24"/>
                                <w:szCs w:val="24"/>
                                <w:lang w:val="en-GB" w:eastAsia="it-IT" w:bidi="ar-SA"/>
                              </w:rPr>
                              <w:t>b)</w:t>
                            </w:r>
                          </w:p>
                        </w:tc>
                      </w:tr>
                      <w:tr>
                        <w:trPr>
                          <w:trHeight w:val="4290" w:hRule="atLeast"/>
                        </w:trPr>
                        <w:tc>
                          <w:tcPr>
                            <w:tcW w:w="4710" w:type="dxa"/>
                            <w:tcBorders/>
                          </w:tcPr>
                          <w:p>
                            <w:pPr>
                              <w:pStyle w:val="FrameContents"/>
                              <w:widowControl/>
                              <w:spacing w:lineRule="auto" w:line="240" w:before="0" w:after="0"/>
                              <w:jc w:val="center"/>
                              <w:rPr>
                                <w:lang w:eastAsia="it-IT"/>
                              </w:rPr>
                            </w:pPr>
                            <w:r>
                              <w:rPr>
                                <w:rFonts w:eastAsia="Calibri" w:cs="Times New Roman"/>
                                <w:kern w:val="0"/>
                                <w:sz w:val="24"/>
                                <w:szCs w:val="24"/>
                                <w:lang w:val="en-GB" w:eastAsia="en-US" w:bidi="ar-SA"/>
                              </w:rPr>
                              <w:drawing>
                                <wp:inline distT="0" distB="0" distL="0" distR="0">
                                  <wp:extent cx="2552700" cy="2552700"/>
                                  <wp:effectExtent l="0" t="0" r="0" b="0"/>
                                  <wp:docPr id="73" name="Immagine 6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Immagine 60" descr=""/>
                                          <pic:cNvPicPr>
                                            <a:picLocks noChangeAspect="1" noChangeArrowheads="1"/>
                                          </pic:cNvPicPr>
                                        </pic:nvPicPr>
                                        <pic:blipFill>
                                          <a:blip r:embed="rId52"/>
                                          <a:stretch>
                                            <a:fillRect/>
                                          </a:stretch>
                                        </pic:blipFill>
                                        <pic:spPr bwMode="auto">
                                          <a:xfrm>
                                            <a:off x="0" y="0"/>
                                            <a:ext cx="2552700" cy="2552700"/>
                                          </a:xfrm>
                                          <a:prstGeom prst="rect">
                                            <a:avLst/>
                                          </a:prstGeom>
                                        </pic:spPr>
                                      </pic:pic>
                                    </a:graphicData>
                                  </a:graphic>
                                </wp:inline>
                              </w:drawing>
                            </w:r>
                          </w:p>
                          <w:p>
                            <w:pPr>
                              <w:pStyle w:val="FrameContents"/>
                              <w:widowControl/>
                              <w:spacing w:lineRule="auto" w:line="240" w:before="0" w:after="0"/>
                              <w:jc w:val="left"/>
                              <w:rPr>
                                <w:lang w:eastAsia="it-IT"/>
                              </w:rPr>
                            </w:pPr>
                            <w:r>
                              <w:rPr>
                                <w:rFonts w:eastAsia="Calibri" w:cs="Times New Roman"/>
                                <w:kern w:val="0"/>
                                <w:sz w:val="24"/>
                                <w:szCs w:val="24"/>
                                <w:lang w:val="en-GB" w:eastAsia="it-IT" w:bidi="ar-SA"/>
                              </w:rPr>
                              <w:t>c)</w:t>
                            </w:r>
                          </w:p>
                          <w:p>
                            <w:pPr>
                              <w:pStyle w:val="FrameContents"/>
                              <w:widowControl/>
                              <w:spacing w:lineRule="auto" w:line="240" w:before="0" w:after="0"/>
                              <w:jc w:val="both"/>
                              <w:rPr>
                                <w:lang w:eastAsia="it-IT"/>
                              </w:rPr>
                            </w:pPr>
                            <w:r>
                              <w:rPr>
                                <w:rFonts w:eastAsia="Calibri" w:cs="Times New Roman"/>
                                <w:kern w:val="0"/>
                                <w:sz w:val="24"/>
                                <w:szCs w:val="24"/>
                                <w:lang w:val="en-GB" w:eastAsia="en-US" w:bidi="ar-SA"/>
                              </w:rPr>
                            </w:r>
                          </w:p>
                        </w:tc>
                        <w:tc>
                          <w:tcPr>
                            <w:tcW w:w="4709" w:type="dxa"/>
                            <w:tcBorders/>
                          </w:tcPr>
                          <w:p>
                            <w:pPr>
                              <w:pStyle w:val="FrameContents"/>
                              <w:widowControl/>
                              <w:spacing w:lineRule="auto" w:line="240" w:before="0" w:after="0"/>
                              <w:jc w:val="center"/>
                              <w:rPr>
                                <w:lang w:eastAsia="it-IT"/>
                              </w:rPr>
                            </w:pPr>
                            <w:r>
                              <w:rPr>
                                <w:rFonts w:eastAsia="Calibri" w:cs="Times New Roman"/>
                                <w:kern w:val="0"/>
                                <w:sz w:val="24"/>
                                <w:szCs w:val="24"/>
                                <w:lang w:val="en-GB" w:eastAsia="en-US" w:bidi="ar-SA"/>
                              </w:rPr>
                              <w:drawing>
                                <wp:inline distT="0" distB="0" distL="0" distR="0">
                                  <wp:extent cx="2552700" cy="2552700"/>
                                  <wp:effectExtent l="0" t="0" r="0" b="0"/>
                                  <wp:docPr id="74" name="Immagine 6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magine 61" descr=""/>
                                          <pic:cNvPicPr>
                                            <a:picLocks noChangeAspect="1" noChangeArrowheads="1"/>
                                          </pic:cNvPicPr>
                                        </pic:nvPicPr>
                                        <pic:blipFill>
                                          <a:blip r:embed="rId53"/>
                                          <a:stretch>
                                            <a:fillRect/>
                                          </a:stretch>
                                        </pic:blipFill>
                                        <pic:spPr bwMode="auto">
                                          <a:xfrm>
                                            <a:off x="0" y="0"/>
                                            <a:ext cx="2552700" cy="2552700"/>
                                          </a:xfrm>
                                          <a:prstGeom prst="rect">
                                            <a:avLst/>
                                          </a:prstGeom>
                                        </pic:spPr>
                                      </pic:pic>
                                    </a:graphicData>
                                  </a:graphic>
                                </wp:inline>
                              </w:drawing>
                            </w:r>
                          </w:p>
                          <w:p>
                            <w:pPr>
                              <w:pStyle w:val="FrameContents"/>
                              <w:widowControl/>
                              <w:spacing w:lineRule="auto" w:line="240" w:before="0" w:after="0"/>
                              <w:jc w:val="left"/>
                              <w:rPr>
                                <w:lang w:eastAsia="it-IT"/>
                              </w:rPr>
                            </w:pPr>
                            <w:r>
                              <w:rPr>
                                <w:rFonts w:eastAsia="Calibri" w:cs="Times New Roman"/>
                                <w:kern w:val="0"/>
                                <w:sz w:val="24"/>
                                <w:szCs w:val="24"/>
                                <w:lang w:val="en-GB" w:eastAsia="it-IT" w:bidi="ar-SA"/>
                              </w:rPr>
                              <w:t>d)</w:t>
                            </w:r>
                          </w:p>
                        </w:tc>
                      </w:tr>
                    </w:tbl>
                    <w:p>
                      <w:pPr>
                        <w:pStyle w:val="FrameContents"/>
                        <w:jc w:val="center"/>
                        <w:rPr>
                          <w:lang w:eastAsia="it-IT"/>
                        </w:rPr>
                      </w:pPr>
                      <w:r>
                        <w:rPr>
                          <w:color w:val="000000"/>
                          <w:lang w:eastAsia="it-IT"/>
                        </w:rPr>
                      </w:r>
                    </w:p>
                    <w:p>
                      <w:pPr>
                        <w:pStyle w:val="FrameContents"/>
                        <w:spacing w:before="0" w:after="160"/>
                        <w:jc w:val="both"/>
                        <w:rPr>
                          <w:color w:val="000000"/>
                        </w:rPr>
                      </w:pPr>
                      <w:r>
                        <w:rPr>
                          <w:color w:val="000000"/>
                        </w:rPr>
                        <w:t>Figure 13. Combined distribution functions related to Hydrogen Bonding interactions in thymol-water mixture. The plots refer to the following donor-acceptor pair: A) thymol-thymol; b) water-water; c) thymol-water; d) water-thymol.</w:t>
                      </w:r>
                    </w:p>
                  </w:txbxContent>
                </v:textbox>
                <w10:wrap type="square" side="right"/>
              </v:rect>
            </w:pict>
          </mc:Fallback>
        </mc:AlternateContent>
      </w:r>
      <w:r>
        <w:rPr>
          <w:lang w:val="en-GB"/>
        </w:rPr>
        <w:t>The overall observations on the major role played by water in engaging different HB-mediated correlations with thymol are particularly interesting also in order to rationalise the liquid behaviour of thymol-water mixture. The solid state of thymol is characterised by an ordered configuration where a thymol hexamer is strongly connected by hydrogen bonding correlation between the hydroxyl groups.</w:t>
      </w:r>
      <w:r>
        <w:fldChar w:fldCharType="begin"/>
      </w:r>
      <w:r>
        <w:rPr>
          <w:lang w:val="en-GB"/>
        </w:rPr>
        <w:instrText xml:space="preserve">ADDIN CSL_CITATION {"citationItems":[{"id":"ITEM-1","itemData":{"DOI":"10.1107/s0567740880006243","ISSN":"05677408","abstract":"The crystal structure of the title compound, C loHl4 O, has been determined from Cu Ka data by direct methods and refined to an R of 0.054. Crystals are trigonal, space group R3, with unit-cell parameters (hexagonal axes): a = b = 14.730 (2), c = 23.115 (3) A. There are 18 molecules in such a ceil. The molecular configuration shows the position of the isopropyl group relative to the benzene ring while the crystal structure shows hexamers of hydrogen-bonded molecules. The hexamers, centered at the vertices of rhombohedra, are linked by van der Waals contacts.","author":[{"dropping-particle":"","family":"Thozet","given":"A.","non-dropping-particle":"","parse-names":false,"suffix":""},{"dropping-particle":"","family":"Perrin","given":"M.","non-dropping-particle":"","parse-names":false,"suffix":""}],"container-title":"Acta Crystallographica Section B Structural Crystallography and Crystal Chemistry","id":"ITEM-1","issue":"6","issued":{"date-parts":[["1980"]]},"page":"1444-1447","title":"Structure of 2-isopropyl-5-methylphenol (thymol)","type":"article-journal","volume":"36"},"uris":["http://www.mendeley.com/documents/?uuid=2bd40477-4684-43da-b9ce-1f0252bafc22"]}],"mendeley":{"formattedCitation":"[51]","plainTextFormattedCitation":"[51]","previouslyFormattedCitation":"[51]"},"properties":{"noteIndex":0},"schema":"https://github.com/citation-style-language/schema/raw/master/csl-citation.json"}</w:instrText>
      </w:r>
      <w:r>
        <w:rPr>
          <w:lang w:val="en-GB"/>
        </w:rPr>
      </w:r>
      <w:r>
        <w:rPr>
          <w:lang w:val="en-GB"/>
        </w:rPr>
        <w:fldChar w:fldCharType="separate"/>
      </w:r>
      <w:r>
        <w:rPr>
          <w:lang w:val="en-GB"/>
        </w:rPr>
        <w:t>[51]</w:t>
      </w:r>
      <w:r>
        <w:rPr>
          <w:lang w:val="en-GB"/>
        </w:rPr>
      </w:r>
      <w:r>
        <w:rPr>
          <w:lang w:val="en-GB"/>
        </w:rPr>
        <w:fldChar w:fldCharType="end"/>
      </w:r>
      <w:r>
        <w:rPr>
          <w:lang w:val="en-GB"/>
        </w:rPr>
        <w:t xml:space="preserve"> It then appears that water succeeds in deeply interpenetrating the thymol structure, establishing the formation of HB mediated correlations with thymol and strongly hindering the formation of homomolecular, ordered HB correlations that would lead to the development of thymol crystalline phase and, correspondingly, facilitating the persistence of the liquid state for the mixture even at relatively low temperatures, as compared to neat thymol melting point. Experimentally, one observes that further addition of water leads to phase separation between the DES and the extra water, hence the hydrophobicity of this DES. It can be argued that the limited amount of water present in the mixture is enough to deconstruct the neat thymol HB network, through the water intrusion; additional water, however, would structurally organise by developing water-water HB-mediated interactions and water clusters would progressively develop and eventually phase separate from the hydrophobic eutectic.</w:t>
      </w:r>
    </w:p>
    <w:p>
      <w:pPr>
        <w:pStyle w:val="Normal"/>
        <w:spacing w:lineRule="auto" w:line="360"/>
        <w:rPr>
          <w:i/>
          <w:i/>
          <w:lang w:val="en-GB"/>
        </w:rPr>
      </w:pPr>
      <w:r>
        <w:rPr>
          <w:i/>
          <w:lang w:val="en-GB"/>
        </w:rPr>
        <w:t>3.4</w:t>
        <w:tab/>
        <w:t>Mesoscopic order.</w:t>
      </w:r>
    </w:p>
    <w:p>
      <w:pPr>
        <w:pStyle w:val="Normal"/>
        <w:spacing w:lineRule="auto" w:line="360"/>
        <w:rPr>
          <w:lang w:val="en-GB"/>
        </w:rPr>
      </w:pPr>
      <w:r>
        <mc:AlternateContent>
          <mc:Choice Requires="wps">
            <w:drawing>
              <wp:anchor behindDoc="0" distT="0" distB="20320" distL="109855" distR="136525" simplePos="0" locked="0" layoutInCell="0" allowOverlap="0" relativeHeight="22" wp14:anchorId="6094841F">
                <wp:simplePos x="0" y="0"/>
                <wp:positionH relativeFrom="column">
                  <wp:posOffset>-635</wp:posOffset>
                </wp:positionH>
                <wp:positionV relativeFrom="paragraph">
                  <wp:posOffset>2562860</wp:posOffset>
                </wp:positionV>
                <wp:extent cx="3213735" cy="3139440"/>
                <wp:effectExtent l="3810" t="3175" r="2540" b="3175"/>
                <wp:wrapSquare wrapText="right"/>
                <wp:docPr id="75" name="Casella di testo 51"/>
                <a:graphic xmlns:a="http://schemas.openxmlformats.org/drawingml/2006/main">
                  <a:graphicData uri="http://schemas.microsoft.com/office/word/2010/wordprocessingShape">
                    <wps:wsp>
                      <wps:cNvSpPr/>
                      <wps:spPr>
                        <a:xfrm>
                          <a:off x="0" y="0"/>
                          <a:ext cx="3213720" cy="3139560"/>
                        </a:xfrm>
                        <a:prstGeom prst="rect">
                          <a:avLst/>
                        </a:prstGeom>
                        <a:solidFill>
                          <a:schemeClr val="lt1"/>
                        </a:solidFill>
                        <a:ln w="6350">
                          <a:solidFill>
                            <a:srgbClr val="000000"/>
                          </a:solidFill>
                          <a:round/>
                        </a:ln>
                      </wps:spPr>
                      <wps:style>
                        <a:lnRef idx="0">
                          <a:schemeClr val="accent1"/>
                        </a:lnRef>
                        <a:fillRef idx="0">
                          <a:schemeClr val="accent1"/>
                        </a:fillRef>
                        <a:effectRef idx="0">
                          <a:schemeClr val="accent1"/>
                        </a:effectRef>
                        <a:fontRef idx="minor"/>
                      </wps:style>
                      <wps:txbx>
                        <w:txbxContent>
                          <w:p>
                            <w:pPr>
                              <w:pStyle w:val="FrameContents"/>
                              <w:jc w:val="center"/>
                              <w:rPr>
                                <w:lang w:eastAsia="it-IT"/>
                              </w:rPr>
                            </w:pPr>
                            <w:r>
                              <w:rPr>
                                <w:color w:val="000000"/>
                              </w:rPr>
                              <w:drawing>
                                <wp:inline distT="0" distB="0" distL="0" distR="0">
                                  <wp:extent cx="3024505" cy="2112645"/>
                                  <wp:effectExtent l="0" t="0" r="0" b="0"/>
                                  <wp:docPr id="77" name="Immagine 6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Immagine 62" descr=""/>
                                          <pic:cNvPicPr>
                                            <a:picLocks noChangeAspect="1" noChangeArrowheads="1"/>
                                          </pic:cNvPicPr>
                                        </pic:nvPicPr>
                                        <pic:blipFill>
                                          <a:blip r:embed="rId54"/>
                                          <a:stretch>
                                            <a:fillRect/>
                                          </a:stretch>
                                        </pic:blipFill>
                                        <pic:spPr bwMode="auto">
                                          <a:xfrm>
                                            <a:off x="0" y="0"/>
                                            <a:ext cx="3024505" cy="2112645"/>
                                          </a:xfrm>
                                          <a:prstGeom prst="rect">
                                            <a:avLst/>
                                          </a:prstGeom>
                                        </pic:spPr>
                                      </pic:pic>
                                    </a:graphicData>
                                  </a:graphic>
                                </wp:inline>
                              </w:drawing>
                            </w:r>
                          </w:p>
                          <w:p>
                            <w:pPr>
                              <w:pStyle w:val="FrameContents"/>
                              <w:spacing w:before="0" w:after="160"/>
                              <w:jc w:val="both"/>
                              <w:rPr>
                                <w:color w:val="000000"/>
                              </w:rPr>
                            </w:pPr>
                            <w:r>
                              <w:rPr>
                                <w:color w:val="000000"/>
                              </w:rPr>
                              <w:t xml:space="preserve">Figure 14. </w:t>
                            </w:r>
                            <w:r>
                              <w:rPr>
                                <w:color w:val="000000"/>
                                <w:lang w:val="en-GB"/>
                              </w:rPr>
                              <w:t>Decomposition of the MD computed static structure factor in terms of its polar-polar, apolar-apolar and polar-apolar components.</w:t>
                            </w:r>
                          </w:p>
                        </w:txbxContent>
                      </wps:txbx>
                      <wps:bodyPr anchor="t">
                        <a:prstTxWarp prst="textNoShape"/>
                        <a:noAutofit/>
                      </wps:bodyPr>
                    </wps:wsp>
                  </a:graphicData>
                </a:graphic>
              </wp:anchor>
            </w:drawing>
          </mc:Choice>
          <mc:Fallback>
            <w:pict>
              <v:rect id="shape_0" ID="Casella di testo 51" path="m0,0l-2147483645,0l-2147483645,-2147483646l0,-2147483646xe" fillcolor="white" stroked="t" o:allowincell="f" style="position:absolute;margin-left:-0.05pt;margin-top:201.8pt;width:253pt;height:247.15pt;mso-wrap-style:square;v-text-anchor:top" wp14:anchorId="6094841F">
                <v:fill o:detectmouseclick="t" type="solid" color2="black"/>
                <v:stroke color="black" weight="6480" joinstyle="round" endcap="flat"/>
                <v:textbox>
                  <w:txbxContent>
                    <w:p>
                      <w:pPr>
                        <w:pStyle w:val="FrameContents"/>
                        <w:jc w:val="center"/>
                        <w:rPr>
                          <w:lang w:eastAsia="it-IT"/>
                        </w:rPr>
                      </w:pPr>
                      <w:r>
                        <w:rPr>
                          <w:color w:val="000000"/>
                        </w:rPr>
                        <w:drawing>
                          <wp:inline distT="0" distB="0" distL="0" distR="0">
                            <wp:extent cx="3024505" cy="2112645"/>
                            <wp:effectExtent l="0" t="0" r="0" b="0"/>
                            <wp:docPr id="78" name="Immagine 6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magine 62" descr=""/>
                                    <pic:cNvPicPr>
                                      <a:picLocks noChangeAspect="1" noChangeArrowheads="1"/>
                                    </pic:cNvPicPr>
                                  </pic:nvPicPr>
                                  <pic:blipFill>
                                    <a:blip r:embed="rId55"/>
                                    <a:stretch>
                                      <a:fillRect/>
                                    </a:stretch>
                                  </pic:blipFill>
                                  <pic:spPr bwMode="auto">
                                    <a:xfrm>
                                      <a:off x="0" y="0"/>
                                      <a:ext cx="3024505" cy="2112645"/>
                                    </a:xfrm>
                                    <a:prstGeom prst="rect">
                                      <a:avLst/>
                                    </a:prstGeom>
                                  </pic:spPr>
                                </pic:pic>
                              </a:graphicData>
                            </a:graphic>
                          </wp:inline>
                        </w:drawing>
                      </w:r>
                    </w:p>
                    <w:p>
                      <w:pPr>
                        <w:pStyle w:val="FrameContents"/>
                        <w:spacing w:before="0" w:after="160"/>
                        <w:jc w:val="both"/>
                        <w:rPr>
                          <w:color w:val="000000"/>
                        </w:rPr>
                      </w:pPr>
                      <w:r>
                        <w:rPr>
                          <w:color w:val="000000"/>
                        </w:rPr>
                        <w:t xml:space="preserve">Figure 14. </w:t>
                      </w:r>
                      <w:r>
                        <w:rPr>
                          <w:color w:val="000000"/>
                          <w:lang w:val="en-GB"/>
                        </w:rPr>
                        <w:t>Decomposition of the MD computed static structure factor in terms of its polar-polar, apolar-apolar and polar-apolar components.</w:t>
                      </w:r>
                    </w:p>
                  </w:txbxContent>
                </v:textbox>
                <w10:wrap type="square" side="right"/>
              </v:rect>
            </w:pict>
          </mc:Fallback>
        </mc:AlternateContent>
      </w:r>
      <w:r>
        <w:rPr>
          <w:lang w:val="en-GB"/>
        </w:rPr>
        <w:t>The presence of the low Q peak highlighted in the discussion on the X-ray scattering patterns at ca. 0.6 Å</w:t>
      </w:r>
      <w:r>
        <w:rPr>
          <w:vertAlign w:val="superscript"/>
          <w:lang w:val="en-GB"/>
        </w:rPr>
        <w:t>-1</w:t>
      </w:r>
      <w:r>
        <w:rPr>
          <w:lang w:val="en-GB"/>
        </w:rPr>
        <w:t xml:space="preserve"> represents the fingerprint of structural correlations encompassing multiple molecular entities, considering that Bragg’s law suggest a correlated spatial extent of ca. 10 Å.</w:t>
      </w:r>
      <w:r>
        <w:fldChar w:fldCharType="begin"/>
      </w:r>
      <w:r>
        <w:rPr>
          <w:lang w:val="en-GB"/>
        </w:rPr>
        <w:instrText xml:space="preserve">ADDIN CSL_CITATION {"citationItems":[{"id":"ITEM-1","itemData":{"DOI":"10.1021/jp067705t","ISSN":"15206106","abstract":"Room-temperature ionic liquids (RTILs) are organic salts that are characterized by low melting points. They are considered to possess a homogeneous microscopic structure. We provide the first experimental evidence of the existence of nanoscale heterogeneities in neat liquid and supercooled RTILs, such as 1-alkyl-3-methyl imidazolium-based salts, using X-ray diffraction. These heterogeneities are of the order of a few nanometers and their size is proportional to the alkyl chain length. These results provide strong support to the findings from recent molecular dynamics simulations, which proposed the occurrence of nanostructures in RTILs, as a consequence of alkyl chains segregation. Moreover, our study addresses the issue of the temperature dependence of the heterogeneities size, showing a behavior that resembles the density one only below the glass transition, thus suggesting a complex behavior above this temperature. These results will provide a novel interpretation approach for the unique chemical physical properties of RTILs. © 2007 American Chemical Society.","author":[{"dropping-particle":"","family":"Triolo","given":"Alessandro","non-dropping-particle":"","parse-names":false,"suffix":""},{"dropping-particle":"","family":"Russina","given":"Olga","non-dropping-particle":"","parse-names":false,"suffix":""},{"dropping-particle":"","family":"Bleif","given":"Hans Jurgen","non-dropping-particle":"","parse-names":false,"suffix":""},{"dropping-particle":"","family":"Cola","given":"Emanuela","non-dropping-particle":"Di","parse-names":false,"suffix":""}],"container-title":"Journal of Physical Chemistry B","id":"ITEM-1","issue":"18","issued":{"date-parts":[["2007"]]},"page":"4641-4644","title":"Nanoscale segregation in room temperature ionic liquids","type":"article-journal","volume":"111"},"uris":["http://www.mendeley.com/documents/?uuid=a8a2e7a2-0c75-4ec1-8ac1-88d84a4431cf"]},{"id":"ITEM-2","itemData":{"DOI":"10.1021/jz201349z","ISSN":"19487185","abstract":"Ionic liquids represent an exciting novel class of materials with potentially enormous applicative impact; they are proposed as environmentally responsible replacements for the noxious volatile organic solvents, as smart separation and catalysis media, or to develop electrochemical devices, just to mention a few examples. Recently, compelling experimental as well as computational evidence highlighted the complexity of RTIL morphology at the mesoscopic spatial scale, as compared to traditional molecular liquids. In this Perspective, we report on our current understanding on the nature of structural heterogeneities in ionic liquids, describing new experimental data supporting a microphase segregation structural model for these systems and proposing topics for further study. Ionic liquids represent an exciting novel class of materials with potentially enormous applicative impact; they are proposed as environmentally responsible replacements for the noxious volatile organic solvents, as smart separation and catalysis media, or to develop electrochemical devices, just to mention a few examples. Recently, compelling experimental as well as computational evidence highlighted the complexity of RTIL morphology at the mesoscopic spatial scale, as compared to traditional molecular liquids. In this Perspective, we report on our current understanding on the nature of structural heterogeneities in ionic liquids, describing new experimental data supporting a microphase segregation structural model for these systems and proposing topics for further study.","author":[{"dropping-particle":"","family":"Russina","given":"Olga","non-dropping-particle":"","parse-names":false,"suffix":""},{"dropping-particle":"","family":"Triolo","given":"Alessandro","non-dropping-particle":"","parse-names":false,"suffix":""},{"dropping-particle":"","family":"Gontrani","given":"Lorenzo","non-dropping-particle":"","parse-names":false,"suffix":""},{"dropping-particle":"","family":"Caminiti","given":"Ruggero","non-dropping-particle":"","parse-names":false,"suffix":""}],"container-title":"Journal of Physical Chemistry Letters","id":"ITEM-2","issue":"1","issued":{"date-parts":[["2012"]]},"page":"27-33","title":"Mesoscopic structural heterogeneities in room-temperature ionic liquids","type":"article-journal","volume":"3"},"uris":["http://www.mendeley.com/documents/?uuid=50ea9fcd-ec91-49a3-8c29-569522d1c751"]},{"id":"ITEM-3","itemData":{"DOI":"10.1039/c7cp01971h","ISSN":"14639076","PMID":"28489101","abstract":"Fluorinated room temperature ionic liquids (FRTILs) represent a class of solvent media that are attracting great attention due to their IL-specific properties as well as features stemming from their fluorous nature. Medium-to-long fluorous tails constitute a well-defined apolar moiety in the otherwise polar environment. Similarly to the case of alkyl tails, such chains are expected to result in the formation of self-assembled fluorous domains. So far, however, no direct experimental observation has been made of the existence of such structural heterogeneities on the nm scale. We report here the first experimental evidence of the existence of mesoscopic spatial segregation of fluorinated domains, on the basis of highly complementary X-ray and neutron scattering data sets (highlighting the importance of the latter probe) and NMR spectroscopy. Data are interpreted using atomistic molecular dynamics simulations, emphasizing the existence of a self-assembly mechanism that delivers segregated fluorous domains, where preferential solubilisation of fluorinated compounds can occur, thus paving the way for several smart applications.","author":[{"dropping-particle":"","family":"Celso","given":"F.","non-dropping-particle":"Lo","parse-names":false,"suffix":""},{"dropping-particle":"","family":"Yoshida","given":"Y","non-dropping-particle":"","parse-names":false,"suffix":""},{"dropping-particle":"","family":"Castiglione","given":"F","non-dropping-particle":"","parse-names":false,"suffix":""},{"dropping-particle":"","family":"Ferro","given":"M","non-dropping-particle":"","parse-names":false,"suffix":""},{"dropping-particle":"","family":"Mele","given":"A","non-dropping-particle":"","parse-names":false,"suffix":""},{"dropping-particle":"","family":"Jafta","given":"C J","non-dropping-particle":"","parse-names":false,"suffix":""},{"dropping-particle":"","family":"Triolo","given":"A","non-dropping-particle":"","parse-names":false,"suffix":""},{"dropping-particle":"","family":"Russina","given":"O","non-dropping-particle":"","parse-names":false,"suffix":""}],"container-title":"Physical Chemistry Chemical Physics","id":"ITEM-3","issue":"20","issued":{"date-parts":[["2017"]]},"page":"13101-13110","publisher":"Royal Society of Chemistry","title":"Direct experimental observation of mesoscopic fluorous domains in fluorinated room temperature ionic liquids","type":"article-journal","volume":"19"},"uris":["http://www.mendeley.com/documents/?uuid=c557e4ef-07b1-4026-a4d1-6c810eed7798"]}],"mendeley":{"formattedCitation":"[52–54]","plainTextFormattedCitation":"[52–54]","previouslyFormattedCitation":"[52–54]"},"properties":{"noteIndex":0},"schema":"https://github.com/citation-style-language/schema/raw/master/csl-citation.json"}</w:instrText>
      </w:r>
      <w:r>
        <w:rPr>
          <w:lang w:val="en-GB"/>
        </w:rPr>
      </w:r>
      <w:r>
        <w:rPr>
          <w:lang w:val="en-GB"/>
        </w:rPr>
        <w:fldChar w:fldCharType="separate"/>
      </w:r>
      <w:r>
        <w:rPr>
          <w:lang w:val="en-GB"/>
        </w:rPr>
        <w:t>[52–54]</w:t>
      </w:r>
      <w:r>
        <w:rPr>
          <w:lang w:val="en-GB"/>
        </w:rPr>
      </w:r>
      <w:r>
        <w:rPr>
          <w:lang w:val="en-GB"/>
        </w:rPr>
        <w:fldChar w:fldCharType="end"/>
      </w:r>
      <w:r>
        <w:rPr>
          <w:lang w:val="en-GB"/>
        </w:rPr>
        <w:t xml:space="preserve"> The existence of such a level of order deserves then further exploration, similarly to analogous studies conducted on other systems. Accordingly, we decomposed the MD computed static structure factor (that nicely accounts for the experimental equivalent) in terms of its polar-polar, apolar-apolar and polar-apolar components, where we defined as polar the thymol hydroxyl group and water molecules, while we identified all the rest of thymol molecule as apolar component. The corresponding decomposition is shown in </w:t>
      </w:r>
      <w:r>
        <w:rPr>
          <w:b/>
          <w:lang w:val="en-GB"/>
        </w:rPr>
        <w:t>Figure 14</w:t>
      </w:r>
      <w:r>
        <w:rPr>
          <w:lang w:val="en-GB"/>
        </w:rPr>
        <w:t>. Therein, one can observe that the low Q peak originates from a peak associated to the correlation of polar domains separated by a distance of 2π/Q</w:t>
      </w:r>
      <w:r>
        <w:rPr>
          <w:vertAlign w:val="subscript"/>
          <w:lang w:val="en-GB"/>
        </w:rPr>
        <w:t>peak</w:t>
      </w:r>
      <w:r>
        <w:rPr>
          <w:lang w:val="en-GB"/>
        </w:rPr>
        <w:t>~10 Å. This structural scenario is consistent with recent observations in DES (e.g. in menthol/thymol mixtures</w:t>
      </w:r>
      <w:r>
        <w:fldChar w:fldCharType="begin"/>
      </w:r>
      <w:r>
        <w:rPr>
          <w:lang w:val="en-GB"/>
        </w:rPr>
        <w:instrText xml:space="preserve">ADDIN CSL_CITATION {"citationItems":[{"id":"ITEM-1","itemData":{"DOI":"10.1021/acssuschemeng.0c07874","ISSN":"21680485","abstract":"The nonionic Type V deep eutectic solvent (DESs) thymol + menthol is experimentally and computationally studied aiming to clarify the relation between its liquid phase structure and its thermodynamic nonideality. 1H NMR, Raman, and X-ray scattering analysis of the thymol + menthol system, supported by molecular dynamics simulations, show complex intermolecular interactions dominated by sterically hindered H-bonded clusters. For temperatures greater than or equal to room temperature, a quasi-linear evolution of the eutectic system properties between the pure compounds is observed, suggesting the absence of a magic stoichiometric composition in the eutectic solvent. However, temperature dependent Raman spectroscopy indicates a notable increase in thymol-menthol H-bonding as temperatures approach the eutectic point. This study shows that nonionic Type V DESs present an important temperature-dependent nonideality originating from the change in the intermolecular H-bonding with temperature. These findings have significant implications for the design and growing application of Type V DESs.","author":[{"dropping-particle":"","family":"Schaeffer","given":"Nicolas","non-dropping-particle":"","parse-names":false,"suffix":""},{"dropping-particle":"","family":"Abranches","given":"Dinis O.","non-dropping-particle":"","parse-names":false,"suffix":""},{"dropping-particle":"","family":"Silva","given":"Liliana P.","non-dropping-particle":"","parse-names":false,"suffix":""},{"dropping-particle":"","family":"Martins","given":"Mónia A.R.","non-dropping-particle":"","parse-names":false,"suffix":""},{"dropping-particle":"","family":"Carvalho","given":"Pedro J.","non-dropping-particle":"","parse-names":false,"suffix":""},{"dropping-particle":"","family":"Russina","given":"Olga","non-dropping-particle":"","parse-names":false,"suffix":""},{"dropping-particle":"","family":"Triolo","given":"Alessandro","non-dropping-particle":"","parse-names":false,"suffix":""},{"dropping-particle":"","family":"Paccou","given":"Laurent","non-dropping-particle":"","parse-names":false,"suffix":""},{"dropping-particle":"","family":"Guinet","given":"Yannick","non-dropping-particle":"","parse-names":false,"suffix":""},{"dropping-particle":"","family":"Hedoux","given":"Alain","non-dropping-particle":"","parse-names":false,"suffix":""},{"dropping-particle":"","family":"Coutinho","given":"João A.P.","non-dropping-particle":"","parse-names":false,"suffix":""}],"container-title":"ACS Sustainable Chemistry and Engineering","id":"ITEM-1","issue":"5","issued":{"date-parts":[["2021","2","8"]]},"page":"2203-2211","title":"Non-Ideality in Thymol + Menthol Type v Deep Eutectic Solvents","type":"article-journal","volume":"9"},"uris":["http://www.mendeley.com/documents/?uuid=f004b876-eaa6-4321-a7f3-835a48eb8f0f"]}],"mendeley":{"formattedCitation":"[44]","plainTextFormattedCitation":"[44]","previouslyFormattedCitation":"[44]"},"properties":{"noteIndex":0},"schema":"https://github.com/citation-style-language/schema/raw/master/csl-citation.json"}</w:instrText>
      </w:r>
      <w:r>
        <w:rPr>
          <w:lang w:val="en-GB"/>
        </w:rPr>
      </w:r>
      <w:r>
        <w:rPr>
          <w:lang w:val="en-GB"/>
        </w:rPr>
        <w:fldChar w:fldCharType="separate"/>
      </w:r>
      <w:r>
        <w:rPr>
          <w:lang w:val="en-GB"/>
        </w:rPr>
        <w:t>[44]</w:t>
      </w:r>
      <w:r>
        <w:rPr>
          <w:lang w:val="en-GB"/>
        </w:rPr>
      </w:r>
      <w:r>
        <w:rPr>
          <w:lang w:val="en-GB"/>
        </w:rPr>
        <w:fldChar w:fldCharType="end"/>
      </w:r>
      <w:r>
        <w:rPr>
          <w:lang w:val="en-GB"/>
        </w:rPr>
        <w:t xml:space="preserve">, in phenol-cyclohexanol mixtures </w:t>
      </w:r>
      <w:r>
        <w:fldChar w:fldCharType="begin"/>
      </w:r>
      <w:r>
        <w:rPr>
          <w:lang w:val="en-GB"/>
        </w:rPr>
        <w:instrText xml:space="preserve">ADDIN CSL_CITATION {"citationItems":[{"id":"ITEM-1","itemData":{"DOI":"10.1016/j.molliq.2022.119492","ISSN":"01677322","abstract":"Non ionic deep eutectic solvents (type V) have been recently proposed as innovative and alternative solvents. Prepared by mixing the starting components, their mixtures show strong deviations from thermodynamic ideality. An example of deep eutectic solvent is the 1:1 thymol-menthol mixture: deviations from ideality are originated from the strength of the hydrogen bond between different components. With the aim to investigate the role of hydrogen bonding in the non-ideality of mixtures of phenolic and alcoholic compounds, we studied the phase diagram and the structural properties of cyclohexanol and phenol mixtures coupling experimental and computational techniques. The phase diagram was measured by differential scanning calorimetry (DSC) providing a lowest melting point at about -35°C. The microscopic structure of eutectic composition was characterized by infrared spectroscopy (FT-IR), DFT and classical molecular dynamic simulations. The X-ray pattern was compared with MD results with the aim to describe the intermolecular interactions between phenol and cyclohexanol. The deviations from ideal mixing seem to be smaller than those observed for the 1:1 thymol-menthol mixture. The nature of intermolecular interactions in the phenol-cyclohexanol system has been compared with that of the thymol-menthol system by quantum chemistry calculations. In both the systems heteroassociation is energetically preferred to homoassociation because hydrogen bonding is stronger between different components, however van der Waals contributions involving alkyl groups can play an additional and significant role in the intermolecular association of the thymol-menthol system.","author":[{"dropping-particle":"","family":"Muzio","given":"Simone","non-dropping-particle":"Di","parse-names":false,"suffix":""},{"dropping-particle":"","family":"Paolone","given":"Annalisa","non-dropping-particle":"","parse-names":false,"suffix":""},{"dropping-particle":"","family":"Russina","given":"Olga","non-dropping-particle":"","parse-names":false,"suffix":""},{"dropping-particle":"","family":"Ramondo","given":"Fabio","non-dropping-particle":"","parse-names":false,"suffix":""}],"container-title":"Journal of Molecular Liquids","id":"ITEM-1","issued":{"date-parts":[["2022"]]},"page":"119492","publisher":"Elsevier B.V.","title":"Phenol-cyclohexanol eutectic mixtures: Phase diagram and microscopic structure by experimental and computational studies","type":"article-journal","volume":"360"},"uris":["http://www.mendeley.com/documents/?uuid=db5115fd-68c4-4323-ad50-1612ac2c9a41"]}],"mendeley":{"formattedCitation":"[55]","plainTextFormattedCitation":"[55]","previouslyFormattedCitation":"[55]"},"properties":{"noteIndex":0},"schema":"https://github.com/citation-style-language/schema/raw/master/csl-citation.json"}</w:instrText>
      </w:r>
      <w:r>
        <w:rPr>
          <w:lang w:val="en-GB"/>
        </w:rPr>
      </w:r>
      <w:r>
        <w:rPr>
          <w:lang w:val="en-GB"/>
        </w:rPr>
        <w:fldChar w:fldCharType="separate"/>
      </w:r>
      <w:r>
        <w:rPr>
          <w:lang w:val="en-GB"/>
        </w:rPr>
        <w:t>[55]</w:t>
      </w:r>
      <w:r>
        <w:rPr>
          <w:lang w:val="en-GB"/>
        </w:rPr>
      </w:r>
      <w:r>
        <w:rPr>
          <w:lang w:val="en-GB"/>
        </w:rPr>
        <w:fldChar w:fldCharType="end"/>
      </w:r>
      <w:r>
        <w:rPr>
          <w:lang w:val="en-GB"/>
        </w:rPr>
        <w:t xml:space="preserve"> and in menthol-carboxylic acids</w:t>
      </w:r>
      <w:r>
        <w:fldChar w:fldCharType="begin"/>
      </w:r>
      <w:r>
        <w:rPr>
          <w:lang w:val="en-GB"/>
        </w:rPr>
        <w:instrText xml:space="preserve">ADDIN CSL_CITATION {"citationItems":[{"id":"ITEM-1","itemData":{"DOI":"10.1039/d0cp05407k","ISSN":"14639076","PMID":"33543176","abstract":"Recently, the introduction of novel deep eutectic solvents having a hydrophobic character with greener starting materials has motivated researchers to explore these water-immiscible solvents, owing to their new potential applications. In this regard, herein atomistic molecular dynamics simulations have been performed to understand the bulk phase morphology present indl-menthol based hydrophobic deep eutectic solvents (HDESs) with organic acids of different chain lengths used as hydrogen bond donors. From the appearance of a prepeak in the simulated total X-ray scattering structure function (S(q)), we found an evidence of intermediate-range structural organization in these HDESs. We show that the prepeak originates from the self-segregation ofdl-menthol and the polar hydroxyl groups of the acids, as witnessed from partitioning of the totalS(q). Surprisingly, even for a very long tail containing HDES, the apolar-apolar component shows only nominal contribution to the prepeak. We show that the structure of these HDESs is dominated by a set of very strong intermolecular hydrogen bonding between menthol-menthol, acid-acid, and menthol-acid molecules. Our results show that there is competition between the hydroxyl hydrogen of the acids and menthol to form an intermolecular hydrogen bond with the carbonyl oxygen of the acids and hydroxyl oxygen of menthol.","author":[{"dropping-particle":"","family":"Malik","given":"Akshay","non-dropping-particle":"","parse-names":false,"suffix":""},{"dropping-particle":"","family":"Kashyap","given":"Hemant K.","non-dropping-particle":"","parse-names":false,"suffix":""}],"container-title":"Physical Chemistry Chemical Physics","id":"ITEM-1","issue":"6","issued":{"date-parts":[["2021"]]},"page":"3915-3924","publisher":"Royal Society of Chemistry","title":"Heterogeneity in hydrophobic deep eutectic solvents: SAXS prepeak and local environments","type":"article-journal","volume":"23"},"uris":["http://www.mendeley.com/documents/?uuid=400fdba4-e701-480a-b6e1-4d7558025210"]}],"mendeley":{"formattedCitation":"[56]","plainTextFormattedCitation":"[56]","previouslyFormattedCitation":"[56]"},"properties":{"noteIndex":0},"schema":"https://github.com/citation-style-language/schema/raw/master/csl-citation.json"}</w:instrText>
      </w:r>
      <w:r>
        <w:rPr>
          <w:lang w:val="en-GB"/>
        </w:rPr>
      </w:r>
      <w:r>
        <w:rPr>
          <w:lang w:val="en-GB"/>
        </w:rPr>
        <w:fldChar w:fldCharType="separate"/>
      </w:r>
      <w:r>
        <w:rPr>
          <w:lang w:val="en-GB"/>
        </w:rPr>
        <w:t>[56]</w:t>
      </w:r>
      <w:r>
        <w:rPr>
          <w:lang w:val="en-GB"/>
        </w:rPr>
      </w:r>
      <w:r>
        <w:rPr>
          <w:lang w:val="en-GB"/>
        </w:rPr>
        <w:fldChar w:fldCharType="end"/>
      </w:r>
      <w:r>
        <w:rPr>
          <w:lang w:val="en-GB"/>
        </w:rPr>
        <w:t>), where the low Q peak is associated to the segregation of polar (hydroxyl) groups. Overall, we can model the mesoscopic organization in the present thymol-water DES as characterised by the presence of polar clusters composed by hydrogen bonding interacting thymol hydroxyl groups and water molecules. Such clusters are surrounded by strongly apolar sheaths composed by the aromatic rings and methyl groups that form an apolar domain, whose quasi-periodic alternation with the polar one leads to the periodicity fingerprinted by the low Q X-ray peak.</w:t>
      </w:r>
    </w:p>
    <w:p>
      <w:pPr>
        <w:pStyle w:val="Normal"/>
        <w:rPr>
          <w:b/>
          <w:b/>
          <w:lang w:val="en-GB"/>
        </w:rPr>
      </w:pPr>
      <w:r>
        <w:rPr>
          <w:b/>
          <w:lang w:val="en-GB"/>
        </w:rPr>
      </w:r>
      <w:r>
        <w:br w:type="page"/>
      </w:r>
    </w:p>
    <w:p>
      <w:pPr>
        <w:pStyle w:val="Normal"/>
        <w:spacing w:lineRule="auto" w:line="360"/>
        <w:rPr>
          <w:b/>
          <w:b/>
          <w:lang w:val="en-GB"/>
        </w:rPr>
      </w:pPr>
      <w:r>
        <w:rPr>
          <w:b/>
          <w:lang w:val="en-GB"/>
        </w:rPr>
        <w:t>4.</w:t>
        <w:tab/>
        <w:t>Conclusion.</w:t>
      </w:r>
    </w:p>
    <w:p>
      <w:pPr>
        <w:pStyle w:val="Normal"/>
        <w:spacing w:lineRule="auto" w:line="360"/>
        <w:rPr>
          <w:lang w:val="en-GB"/>
        </w:rPr>
      </w:pPr>
      <w:r>
        <w:rPr>
          <w:lang w:val="en-GB"/>
        </w:rPr>
      </w:r>
    </w:p>
    <w:p>
      <w:pPr>
        <w:pStyle w:val="Normal"/>
        <w:spacing w:lineRule="auto" w:line="360"/>
        <w:rPr>
          <w:lang w:val="en-GB"/>
        </w:rPr>
      </w:pPr>
      <w:r>
        <w:rPr>
          <w:lang w:val="en-GB"/>
        </w:rPr>
        <w:t>Here we described the structural organization of the first example of natural, water-based, type V, hydrophobic DES, namely a mixture of thymol and water at 4.8:1 molar ratio, based on both experimental and computational tools. The computed density and static structure factor nicely agree with experimental data and SAXS data indicate the existence of a distinct degree of mesoscopic order.</w:t>
      </w:r>
    </w:p>
    <w:p>
      <w:pPr>
        <w:pStyle w:val="Normal"/>
        <w:spacing w:lineRule="auto" w:line="360"/>
        <w:rPr>
          <w:lang w:val="en-GB"/>
        </w:rPr>
      </w:pPr>
      <w:r>
        <w:rPr>
          <w:lang w:val="en-GB"/>
        </w:rPr>
        <w:t xml:space="preserve">Molecular Dynamics simulations allow then extracting fundamental information on the mutual interactions between the mixture components at atomistic level. </w:t>
      </w:r>
    </w:p>
    <w:p>
      <w:pPr>
        <w:pStyle w:val="Normal"/>
        <w:spacing w:lineRule="auto" w:line="360"/>
        <w:rPr>
          <w:lang w:val="en-GB"/>
        </w:rPr>
      </w:pPr>
      <w:r>
        <w:rPr>
          <w:lang w:val="en-GB"/>
        </w:rPr>
        <w:t>Results from the thymol-thymol observations show that together with typical correlations detected in aromatic compounds (such as short range parallel and, at higher distance, orthogonal alignments between aromatic rings), also signatures of hydroxyl-hydroxyl HB interactions are found. Notably we also detect indications of π··H-O hydrogen bonding correlations.</w:t>
      </w:r>
    </w:p>
    <w:p>
      <w:pPr>
        <w:pStyle w:val="Normal"/>
        <w:spacing w:lineRule="auto" w:line="360"/>
        <w:rPr>
          <w:lang w:val="en-GB"/>
        </w:rPr>
      </w:pPr>
      <w:r>
        <w:rPr>
          <w:lang w:val="en-GB"/>
        </w:rPr>
        <w:t>Thymol-water correlations are found to be bimodal and are dominated by HB interactions. A clear detection of a competition between water’s hydrogen towards either thymol’s hydroxyl group or the ring electronic cloud (through π··H-O hydrogen bonding correlations) is found. Overall, we find that in the mixture, thymol is engaged in a larger number of hydrogen bonding correlations that in neat liquid thymol.</w:t>
      </w:r>
    </w:p>
    <w:p>
      <w:pPr>
        <w:pStyle w:val="Normal"/>
        <w:spacing w:lineRule="auto" w:line="360"/>
        <w:rPr>
          <w:lang w:val="en-GB"/>
        </w:rPr>
      </w:pPr>
      <w:r>
        <w:rPr>
          <w:lang w:val="en-GB"/>
        </w:rPr>
        <w:t>Water-water correlations, despite the limited water content, are nevertheless present and although not enough water molecules are present to develop an extended water-water HB network, yet 30% of water population is engaged in HB-mediated interactions with at least another water molecule. Otherwise, water is engaged in solvating thymol, either around its hydroxyl group or at the two sides of the ring, though π··H-O hydrogen bonding correlations. The low amount of water molecules involved in water-water interactions is fundamental in depressing the melting point of the mixture, as water-thymol correlations would hinder the development of the HB-based thymol hexamer that builds up the structure leitmotif in crystalline thymol. Furthermore, we envisage that increasing amount of water would lead to its progressive involvement into HB-mediated water clusters that would result incompatible with the overall hydrophobic environment, hence the phase separation.</w:t>
      </w:r>
    </w:p>
    <w:p>
      <w:pPr>
        <w:pStyle w:val="Normal"/>
        <w:spacing w:lineRule="auto" w:line="360"/>
        <w:rPr>
          <w:lang w:val="en-GB"/>
        </w:rPr>
      </w:pPr>
      <w:r>
        <w:rPr>
          <w:lang w:val="en-GB"/>
        </w:rPr>
        <w:t>Finally, our analysis allows interpreting the experimental detection of a low Q peak centred at ca. 0.6 Å</w:t>
      </w:r>
      <w:r>
        <w:rPr>
          <w:vertAlign w:val="superscript"/>
          <w:lang w:val="en-GB"/>
        </w:rPr>
        <w:t>-1</w:t>
      </w:r>
      <w:r>
        <w:rPr>
          <w:lang w:val="en-GB"/>
        </w:rPr>
        <w:t xml:space="preserve">. It clearly appears that this feature is due to the pseudo-periodicity (typical of the liquid state) induced by the alternation of a polar cluster, which is formed by HB interacting thymol hydroxyl group and water, and the apolar matrix build up by thymol’s aromatic and aliphatic moieties. </w:t>
      </w:r>
    </w:p>
    <w:p>
      <w:pPr>
        <w:pStyle w:val="Normal"/>
        <w:spacing w:lineRule="auto" w:line="360"/>
        <w:rPr>
          <w:lang w:val="en-GB"/>
        </w:rPr>
      </w:pPr>
      <w:r>
        <w:rPr>
          <w:lang w:val="en-GB"/>
        </w:rPr>
        <w:t xml:space="preserve">We believe that these information can provide the path to rationalise the nature of water-based hydrophobic DES, thus paving the way to </w:t>
      </w:r>
      <w:bookmarkStart w:id="0" w:name="_GoBack"/>
      <w:bookmarkEnd w:id="0"/>
      <w:r>
        <w:rPr>
          <w:lang w:val="en-GB"/>
        </w:rPr>
        <w:t>new solvent media for sustainable development.</w:t>
      </w:r>
    </w:p>
    <w:p>
      <w:pPr>
        <w:pStyle w:val="Normal"/>
        <w:spacing w:lineRule="auto" w:line="360"/>
        <w:rPr>
          <w:lang w:val="en-GB"/>
        </w:rPr>
      </w:pPr>
      <w:r>
        <w:rPr>
          <w:lang w:val="en-GB"/>
        </w:rPr>
      </w:r>
    </w:p>
    <w:p>
      <w:pPr>
        <w:pStyle w:val="Normal"/>
        <w:spacing w:lineRule="auto" w:line="360"/>
        <w:rPr>
          <w:b/>
          <w:b/>
          <w:lang w:val="en-GB"/>
        </w:rPr>
      </w:pPr>
      <w:r>
        <w:rPr>
          <w:b/>
          <w:lang w:val="en-GB"/>
        </w:rPr>
        <w:t>5. Acknowledgements.</w:t>
      </w:r>
    </w:p>
    <w:p>
      <w:pPr>
        <w:pStyle w:val="Normal"/>
        <w:spacing w:lineRule="auto" w:line="360"/>
        <w:rPr>
          <w:lang w:val="en-GB"/>
        </w:rPr>
      </w:pPr>
      <w:r>
        <w:rPr>
          <w:lang w:val="en-GB"/>
        </w:rPr>
        <w:t>This work has been supported by the University of Rome Sapienza Projects: "Microscopic and mesoscopic organization in ionic liquid-based systems." (RG11715C7CC660BE), “Green solvents for simple and complex carbohydrates” (RM120172B2165468) and “Role of Water as an active component of neoteric solvents” (RM12117A80DF27DF). Expert support from Dr. A. Del Giudice and access to the SAXS-Lab at the University of Rome Sapienza is acknowledged.</w:t>
      </w:r>
    </w:p>
    <w:p>
      <w:pPr>
        <w:pStyle w:val="Normal"/>
        <w:spacing w:lineRule="auto" w:line="360"/>
        <w:rPr>
          <w:b/>
          <w:b/>
        </w:rPr>
      </w:pPr>
      <w:r>
        <w:rPr>
          <w:b/>
        </w:rPr>
        <w:t xml:space="preserve">6. </w:t>
        <w:tab/>
        <w:t>VCREDIT:</w:t>
      </w:r>
    </w:p>
    <w:p>
      <w:pPr>
        <w:pStyle w:val="Normal"/>
        <w:spacing w:lineRule="auto" w:line="360" w:before="0" w:after="0"/>
        <w:rPr>
          <w:lang w:val="en-GB"/>
        </w:rPr>
      </w:pPr>
      <w:r>
        <w:rPr>
          <w:b/>
        </w:rPr>
        <w:t>Triolo</w:t>
      </w:r>
      <w:r>
        <w:rPr/>
        <w:t xml:space="preserve">:  Conceptualization, Formal Analysis; Writing – review and editing; </w:t>
      </w:r>
      <w:r>
        <w:rPr>
          <w:b/>
        </w:rPr>
        <w:t>Lo Celso</w:t>
      </w:r>
      <w:r>
        <w:rPr/>
        <w:t xml:space="preserve">: Investigation; </w:t>
      </w:r>
      <w:r>
        <w:rPr>
          <w:b/>
        </w:rPr>
        <w:t>Russina</w:t>
      </w:r>
      <w:r>
        <w:rPr/>
        <w:t>: Conceptualization, Funding acquisition, Writing - review &amp; editing.</w:t>
      </w:r>
    </w:p>
    <w:p>
      <w:pPr>
        <w:pStyle w:val="Normal"/>
        <w:spacing w:lineRule="auto" w:line="360"/>
        <w:rPr>
          <w:lang w:val="en-GB"/>
        </w:rPr>
      </w:pPr>
      <w:r>
        <w:rPr>
          <w:lang w:val="en-GB"/>
        </w:rPr>
      </w:r>
    </w:p>
    <w:p>
      <w:pPr>
        <w:pStyle w:val="Normal"/>
        <w:spacing w:lineRule="auto" w:line="360"/>
        <w:rPr>
          <w:lang w:val="en-GB"/>
        </w:rPr>
      </w:pPr>
      <w:r>
        <w:rPr>
          <w:lang w:val="en-GB"/>
        </w:rPr>
      </w:r>
    </w:p>
    <w:p>
      <w:pPr>
        <w:pStyle w:val="Normal"/>
        <w:spacing w:lineRule="auto" w:line="360"/>
        <w:rPr>
          <w:lang w:val="en-GB"/>
        </w:rPr>
      </w:pPr>
      <w:r>
        <w:rPr>
          <w:lang w:val="en-GB"/>
        </w:rPr>
      </w:r>
    </w:p>
    <w:p>
      <w:pPr>
        <w:pStyle w:val="Normal"/>
        <w:spacing w:lineRule="auto" w:line="360"/>
        <w:rPr>
          <w:lang w:val="en-GB"/>
        </w:rPr>
      </w:pPr>
      <w:r>
        <w:rPr>
          <w:lang w:val="en-GB"/>
        </w:rPr>
      </w:r>
    </w:p>
    <w:p>
      <w:pPr>
        <w:pStyle w:val="Normal"/>
        <w:spacing w:lineRule="auto" w:line="360"/>
        <w:rPr>
          <w:lang w:val="en-GB"/>
        </w:rPr>
      </w:pPr>
      <w:r>
        <w:rPr>
          <w:lang w:val="en-GB"/>
        </w:rPr>
      </w:r>
    </w:p>
    <w:p>
      <w:pPr>
        <w:pStyle w:val="Normal"/>
        <w:spacing w:lineRule="auto" w:line="360"/>
        <w:rPr>
          <w:lang w:val="en-GB"/>
        </w:rPr>
      </w:pPr>
      <w:r>
        <w:rPr>
          <w:lang w:val="en-GB"/>
        </w:rPr>
      </w:r>
    </w:p>
    <w:p>
      <w:pPr>
        <w:pStyle w:val="Normal"/>
        <w:spacing w:lineRule="auto" w:line="360"/>
        <w:rPr>
          <w:lang w:val="en-GB"/>
        </w:rPr>
      </w:pPr>
      <w:r>
        <w:rPr>
          <w:lang w:val="en-GB"/>
        </w:rPr>
      </w:r>
    </w:p>
    <w:p>
      <w:pPr>
        <w:pStyle w:val="Normal"/>
        <w:spacing w:lineRule="auto" w:line="360"/>
        <w:rPr>
          <w:lang w:val="en-GB"/>
        </w:rPr>
      </w:pPr>
      <w:r>
        <w:rPr>
          <w:lang w:val="en-GB"/>
        </w:rPr>
      </w:r>
    </w:p>
    <w:p>
      <w:pPr>
        <w:pStyle w:val="Normal"/>
        <w:spacing w:lineRule="auto" w:line="360"/>
        <w:rPr>
          <w:lang w:val="en-GB"/>
        </w:rPr>
      </w:pPr>
      <w:r>
        <w:rPr>
          <w:lang w:val="en-GB"/>
        </w:rPr>
      </w:r>
    </w:p>
    <w:p>
      <w:pPr>
        <w:pStyle w:val="Normal"/>
        <w:spacing w:lineRule="auto" w:line="360"/>
        <w:rPr>
          <w:lang w:val="en-GB"/>
        </w:rPr>
      </w:pPr>
      <w:r>
        <w:rPr>
          <w:lang w:val="en-GB"/>
        </w:rPr>
      </w:r>
    </w:p>
    <w:p>
      <w:pPr>
        <w:pStyle w:val="Normal"/>
        <w:spacing w:lineRule="auto" w:line="360"/>
        <w:rPr>
          <w:lang w:val="en-GB"/>
        </w:rPr>
      </w:pPr>
      <w:r>
        <w:rPr>
          <w:lang w:val="en-GB"/>
        </w:rPr>
      </w:r>
    </w:p>
    <w:p>
      <w:pPr>
        <w:pStyle w:val="Normal"/>
        <w:spacing w:lineRule="auto" w:line="360"/>
        <w:rPr>
          <w:lang w:val="en-GB"/>
        </w:rPr>
      </w:pPr>
      <w:r>
        <w:rPr>
          <w:lang w:val="en-GB"/>
        </w:rPr>
      </w:r>
    </w:p>
    <w:p>
      <w:pPr>
        <w:pStyle w:val="Normal"/>
        <w:spacing w:lineRule="auto" w:line="360"/>
        <w:rPr>
          <w:lang w:val="en-GB"/>
        </w:rPr>
      </w:pPr>
      <w:r>
        <w:rPr>
          <w:lang w:val="en-GB"/>
        </w:rPr>
      </w:r>
    </w:p>
    <w:p>
      <w:pPr>
        <w:pStyle w:val="Normal"/>
        <w:spacing w:lineRule="auto" w:line="360"/>
        <w:rPr>
          <w:lang w:val="en-GB"/>
        </w:rPr>
      </w:pPr>
      <w:r>
        <w:rPr>
          <w:lang w:val="en-GB"/>
        </w:rPr>
      </w:r>
    </w:p>
    <w:p>
      <w:pPr>
        <w:pStyle w:val="Normal"/>
        <w:spacing w:lineRule="auto" w:line="360"/>
        <w:rPr>
          <w:lang w:val="en-GB"/>
        </w:rPr>
      </w:pPr>
      <w:r>
        <w:rPr>
          <w:lang w:val="en-GB"/>
        </w:rPr>
      </w:r>
    </w:p>
    <w:p>
      <w:pPr>
        <w:pStyle w:val="Normal"/>
        <w:rPr>
          <w:b/>
          <w:b/>
          <w:lang w:val="en-GB"/>
        </w:rPr>
      </w:pPr>
      <w:r>
        <w:rPr>
          <w:b/>
          <w:lang w:val="en-GB"/>
        </w:rPr>
      </w:r>
      <w:r>
        <w:br w:type="page"/>
      </w:r>
    </w:p>
    <w:p>
      <w:pPr>
        <w:pStyle w:val="Normal"/>
        <w:spacing w:lineRule="auto" w:line="360"/>
        <w:rPr>
          <w:b/>
          <w:b/>
          <w:lang w:val="en-GB"/>
        </w:rPr>
      </w:pPr>
      <w:r>
        <w:rPr>
          <w:b/>
          <w:lang w:val="en-GB"/>
        </w:rPr>
        <w:t>References</w:t>
      </w:r>
    </w:p>
    <w:p>
      <w:pPr>
        <w:pStyle w:val="Normal"/>
        <w:widowControl w:val="false"/>
        <w:spacing w:lineRule="auto" w:line="360"/>
        <w:ind w:left="640" w:hanging="640"/>
        <w:rPr>
          <w:szCs w:val="24"/>
        </w:rPr>
      </w:pPr>
      <w:r>
        <w:fldChar w:fldCharType="begin"/>
      </w:r>
      <w:r>
        <w:rPr/>
        <w:instrText xml:space="preserve">ADDIN Mendeley Bibliography CSL_BIBLIOGRAPHY</w:instrText>
      </w:r>
      <w:r>
        <w:rPr/>
      </w:r>
      <w:r>
        <w:rPr/>
        <w:fldChar w:fldCharType="separate"/>
      </w:r>
      <w:r>
        <w:rPr/>
      </w:r>
      <w:r>
        <w:rPr>
          <w:szCs w:val="24"/>
        </w:rPr>
        <w:t>[1]</w:t>
        <w:tab/>
        <w:t>D.O. Abranches, M.A.R. Martins, L.P. Silva, N. Schaeffer, S.P. Pinho, J.A.P. Coutinho, Phenolic hydrogen bond donors in the formation of non-ionic deep eutectic solvents: The quest for type v des, Chem. Commun. 55 (2019) 10253–10256. https://doi.org/10.1039/c9cc04846d.</w:t>
      </w:r>
    </w:p>
    <w:p>
      <w:pPr>
        <w:pStyle w:val="Normal"/>
        <w:widowControl w:val="false"/>
        <w:spacing w:lineRule="auto" w:line="360"/>
        <w:ind w:left="640" w:hanging="640"/>
        <w:rPr>
          <w:szCs w:val="24"/>
        </w:rPr>
      </w:pPr>
      <w:r>
        <w:rPr>
          <w:szCs w:val="24"/>
        </w:rPr>
        <w:t>[2]</w:t>
        <w:tab/>
        <w:t>D.O. Abranches, J.A.P. Coutinho, Type V deep eutectic solvents: Design and applications, Curr. Opin. Green Sustain. Chem. 35 (2022) 100612. https://doi.org/10.1016/j.cogsc.2022.100612.</w:t>
      </w:r>
    </w:p>
    <w:p>
      <w:pPr>
        <w:pStyle w:val="Normal"/>
        <w:widowControl w:val="false"/>
        <w:spacing w:lineRule="auto" w:line="360"/>
        <w:ind w:left="640" w:hanging="640"/>
        <w:rPr>
          <w:szCs w:val="24"/>
        </w:rPr>
      </w:pPr>
      <w:r>
        <w:rPr>
          <w:szCs w:val="24"/>
        </w:rPr>
        <w:t>[3]</w:t>
        <w:tab/>
        <w:t>E.L. Smith, A.P. Abbott, K.S. Ryder, Deep Eutectic Solvents ( DESs ) and Their Applications, (2014).</w:t>
      </w:r>
    </w:p>
    <w:p>
      <w:pPr>
        <w:pStyle w:val="Normal"/>
        <w:widowControl w:val="false"/>
        <w:spacing w:lineRule="auto" w:line="360"/>
        <w:ind w:left="640" w:hanging="640"/>
        <w:rPr>
          <w:szCs w:val="24"/>
        </w:rPr>
      </w:pPr>
      <w:r>
        <w:rPr>
          <w:szCs w:val="24"/>
        </w:rPr>
        <w:t>[4]</w:t>
        <w:tab/>
        <w:t>M.A.R. Martins, S.P. Pinho, J.A.P. Coutinho, Insights into the Nature of Eutectic and Deep Eutectic Mixtures, J. Solution Chem. 48 (2019) 962–982. https://doi.org/10.1007/s10953-018-0793-1.</w:t>
      </w:r>
    </w:p>
    <w:p>
      <w:pPr>
        <w:pStyle w:val="Normal"/>
        <w:widowControl w:val="false"/>
        <w:spacing w:lineRule="auto" w:line="360"/>
        <w:ind w:left="640" w:hanging="640"/>
        <w:rPr>
          <w:szCs w:val="24"/>
        </w:rPr>
      </w:pPr>
      <w:r>
        <w:rPr>
          <w:szCs w:val="24"/>
        </w:rPr>
        <w:t>[5]</w:t>
        <w:tab/>
        <w:t>B.B. Hansen, S. Spittle, B. Chen, D. Poe, Y. Zhang, J.M. Klein, A. Horton, L. Adhikari, T. Zelovich, B.W. Doherty, B. Gurkan, E.J. Maginn, A. Ragauskas, M. Dadmun, T.A. Zawodzinski, G.A. Baker, M.E. Tuckerman, R.F. Savinell, J.R. Sangoro, Deep Eutectic Solvents: A Review of Fundamentals and Applications, Chem. Rev. 121 (2021) 1232–1285. https://doi.org/10.1021/acs.chemrev.0c00385.</w:t>
      </w:r>
    </w:p>
    <w:p>
      <w:pPr>
        <w:pStyle w:val="Normal"/>
        <w:widowControl w:val="false"/>
        <w:spacing w:lineRule="auto" w:line="360"/>
        <w:ind w:left="640" w:hanging="640"/>
        <w:rPr>
          <w:szCs w:val="24"/>
        </w:rPr>
      </w:pPr>
      <w:r>
        <w:rPr>
          <w:szCs w:val="24"/>
        </w:rPr>
        <w:t>[6]</w:t>
        <w:tab/>
        <w:t>L.J.B.M. Kollau, M. Vis, A. Van Den Bruinhorst, A.C.C. Esteves, R. Tuinier, Quantification of the liquid window of deep eutectic solvents, Chem. Commun. 54 (2018) 13351–13354. https://doi.org/10.1039/c8cc05815f.</w:t>
      </w:r>
    </w:p>
    <w:p>
      <w:pPr>
        <w:pStyle w:val="Normal"/>
        <w:widowControl w:val="false"/>
        <w:spacing w:lineRule="auto" w:line="360"/>
        <w:ind w:left="640" w:hanging="640"/>
        <w:rPr>
          <w:szCs w:val="24"/>
        </w:rPr>
      </w:pPr>
      <w:r>
        <w:rPr>
          <w:szCs w:val="24"/>
        </w:rPr>
        <w:t>[7]</w:t>
        <w:tab/>
        <w:t>A. van den Bruinhorst, M.C. Gomes, Is there depth to eutectic solvents?, Curr. Opin. Green Sustain. Chem. (2022) 100659. https://doi.org/10.1016/j.cogsc.2022.100659.</w:t>
      </w:r>
    </w:p>
    <w:p>
      <w:pPr>
        <w:pStyle w:val="Normal"/>
        <w:widowControl w:val="false"/>
        <w:spacing w:lineRule="auto" w:line="360"/>
        <w:ind w:left="640" w:hanging="640"/>
        <w:rPr>
          <w:szCs w:val="24"/>
        </w:rPr>
      </w:pPr>
      <w:r>
        <w:rPr>
          <w:szCs w:val="24"/>
        </w:rPr>
        <w:t>[8]</w:t>
        <w:tab/>
        <w:t>D.J.G.P. Van Osch, L.F. Zubeir, A. Van Den Bruinhorst, M.A.A. Rocha, M.C. Kroon, Hydrophobic deep eutectic solvents as water-immiscible extractants, Green Chem. 17 (2015) 4518–4521. https://doi.org/10.1039/c5gc01451d.</w:t>
      </w:r>
    </w:p>
    <w:p>
      <w:pPr>
        <w:pStyle w:val="Normal"/>
        <w:widowControl w:val="false"/>
        <w:spacing w:lineRule="auto" w:line="360"/>
        <w:ind w:left="640" w:hanging="640"/>
        <w:rPr>
          <w:szCs w:val="24"/>
        </w:rPr>
      </w:pPr>
      <w:r>
        <w:rPr>
          <w:szCs w:val="24"/>
        </w:rPr>
        <w:t>[9]</w:t>
        <w:tab/>
        <w:t>D.J.G.P. Van Osch, C.H.J.T. Dietz, J. Van Spronsen, M.C. Kroon, F. Gallucci, M. Van Sint Annaland, R. Tuinier, A Search for Natural Hydrophobic Deep Eutectic Solvents Based on Natural Components, ACS Sustain. Chem. Eng. 7 (2019) 2933–2942. https://doi.org/10.1021/acssuschemeng.8b03520.</w:t>
      </w:r>
    </w:p>
    <w:p>
      <w:pPr>
        <w:pStyle w:val="Normal"/>
        <w:widowControl w:val="false"/>
        <w:spacing w:lineRule="auto" w:line="360"/>
        <w:ind w:left="640" w:hanging="640"/>
        <w:rPr>
          <w:szCs w:val="24"/>
        </w:rPr>
      </w:pPr>
      <w:r>
        <w:rPr>
          <w:szCs w:val="24"/>
        </w:rPr>
        <w:t>[10]</w:t>
        <w:tab/>
        <w:t>D.J.G.P. Van Osch, C.H.J.T. Dietz, S.E.E. Warrag, M.C. Kroon, The Curious Case of Hydrophobic Deep Eutectic Solvents: A Story on the Discovery, Design, and Applications, ACS Sustain. Chem. Eng. 8 (2020) 10591–10612. https://doi.org/10.1021/acssuschemeng.0c00559.</w:t>
      </w:r>
    </w:p>
    <w:p>
      <w:pPr>
        <w:pStyle w:val="Normal"/>
        <w:widowControl w:val="false"/>
        <w:spacing w:lineRule="auto" w:line="360"/>
        <w:ind w:left="640" w:hanging="640"/>
        <w:rPr>
          <w:szCs w:val="24"/>
        </w:rPr>
      </w:pPr>
      <w:r>
        <w:rPr>
          <w:szCs w:val="24"/>
        </w:rPr>
        <w:t>[11]</w:t>
        <w:tab/>
        <w:t>C. Florindo, L.C. Branco, I.M. Marrucho, Quest for Green-Solvent Design: From Hydrophilic to Hydrophobic (Deep) Eutectic Solvents, ChemSusChem. 12 (2019) 1549–1559. https://doi.org/10.1002/cssc.201900147.</w:t>
      </w:r>
    </w:p>
    <w:p>
      <w:pPr>
        <w:pStyle w:val="Normal"/>
        <w:widowControl w:val="false"/>
        <w:spacing w:lineRule="auto" w:line="360"/>
        <w:ind w:left="640" w:hanging="640"/>
        <w:rPr>
          <w:szCs w:val="24"/>
        </w:rPr>
      </w:pPr>
      <w:r>
        <w:rPr>
          <w:szCs w:val="24"/>
        </w:rPr>
        <w:t>[12]</w:t>
        <w:tab/>
        <w:t>B.D. Ribeiro, C. Florindo, L.C. Iff, M.A.Z. Coelho, I.M. Marrucho, Menthol-based eutectic mixtures: Hydrophobic low viscosity solvents, ACS Sustain. Chem. Eng. 3 (2015) 2469–2477. https://doi.org/10.1021/acssuschemeng.5b00532.</w:t>
      </w:r>
    </w:p>
    <w:p>
      <w:pPr>
        <w:pStyle w:val="Normal"/>
        <w:widowControl w:val="false"/>
        <w:spacing w:lineRule="auto" w:line="360"/>
        <w:ind w:left="640" w:hanging="640"/>
        <w:rPr>
          <w:szCs w:val="24"/>
        </w:rPr>
      </w:pPr>
      <w:r>
        <w:rPr>
          <w:szCs w:val="24"/>
        </w:rPr>
        <w:t>[13]</w:t>
        <w:tab/>
        <w:t>H. Zhang, M.L. Ferrer, M.J. Roldán-Ruiz, R.J. Jiménez-Riobóo, M.C. Gutiérrez, F. Del Monte, Brillouin Spectroscopy as a Suitable Technique for the Determination of the Eutectic Composition in Mixtures of Choline Chloride and Water, J. Phys. Chem. B. 124 (2020) 4002–4009. https://doi.org/10.1021/acs.jpcb.0c01919.</w:t>
      </w:r>
    </w:p>
    <w:p>
      <w:pPr>
        <w:pStyle w:val="Normal"/>
        <w:widowControl w:val="false"/>
        <w:spacing w:lineRule="auto" w:line="360"/>
        <w:ind w:left="640" w:hanging="640"/>
        <w:rPr>
          <w:szCs w:val="24"/>
        </w:rPr>
      </w:pPr>
      <w:r>
        <w:rPr>
          <w:szCs w:val="24"/>
        </w:rPr>
        <w:t>[14]</w:t>
        <w:tab/>
        <w:t>M. Sajjadur Rahman, J. Kyeremateng, M. Saha, S. Asare, N. Uddin, M.A. Halim, D.E. Raynie, Evaluation of the experimental and computed properties of choline chloride-water formulated deep eutectic solvents, J. Mol. Liq. 350 (2022) 118520. https://doi.org/10.1016/j.molliq.2022.118520.</w:t>
      </w:r>
    </w:p>
    <w:p>
      <w:pPr>
        <w:pStyle w:val="Normal"/>
        <w:widowControl w:val="false"/>
        <w:spacing w:lineRule="auto" w:line="360"/>
        <w:ind w:left="640" w:hanging="640"/>
        <w:rPr>
          <w:szCs w:val="24"/>
        </w:rPr>
      </w:pPr>
      <w:r>
        <w:rPr>
          <w:szCs w:val="24"/>
        </w:rPr>
        <w:t>[15]</w:t>
        <w:tab/>
        <w:t>M.S. Rahman, D.E. Raynie, Thermal behavior, solvatochromic parameters, and metal halide solvation of the novel water-based deep eutectic solvents, J. Mol. Liq. 324 (2021) 114779. https://doi.org/10.1016/j.molliq.2020.114779.</w:t>
      </w:r>
    </w:p>
    <w:p>
      <w:pPr>
        <w:pStyle w:val="Normal"/>
        <w:widowControl w:val="false"/>
        <w:spacing w:lineRule="auto" w:line="360"/>
        <w:ind w:left="640" w:hanging="640"/>
        <w:rPr>
          <w:szCs w:val="24"/>
        </w:rPr>
      </w:pPr>
      <w:r>
        <w:rPr>
          <w:szCs w:val="24"/>
        </w:rPr>
        <w:t>[16]</w:t>
        <w:tab/>
        <w:t>A. Triolo, F. Lo Celso, M. Brehm, V. Di Lisio, O. Russina, Liquid structure of a choline chloride-water natural deep eutectic solvent: A molecular dynamics characterization, J. Mol. Liq. 331 (2021) 115750. https://doi.org/10.1016/j.molliq.2021.115750.</w:t>
      </w:r>
    </w:p>
    <w:p>
      <w:pPr>
        <w:pStyle w:val="Normal"/>
        <w:widowControl w:val="false"/>
        <w:spacing w:lineRule="auto" w:line="360"/>
        <w:ind w:left="640" w:hanging="640"/>
        <w:rPr>
          <w:szCs w:val="24"/>
        </w:rPr>
      </w:pPr>
      <w:r>
        <w:rPr>
          <w:szCs w:val="24"/>
        </w:rPr>
        <w:t>[17]</w:t>
        <w:tab/>
        <w:t>A.I.M.C. Lobo Ferreira, S.M. Vilas-Boas, R.M.A. Silva, M.A.R. Martins, D.O. Abranches, P.C.R. Soares-Santos, F.A. Almeida Paz, O. Ferreira, S.P. Pinho, L.M.N.B.F. Santos, J.A.P. Coutinho, Extensive characterization of choline chloride and its solid–liquid equilibrium with water, Phys. Chem. Chem. Phys. 24 (2022) 14886–14897. https://doi.org/10.1039/D2CP00377E.</w:t>
      </w:r>
    </w:p>
    <w:p>
      <w:pPr>
        <w:pStyle w:val="Normal"/>
        <w:widowControl w:val="false"/>
        <w:spacing w:lineRule="auto" w:line="360"/>
        <w:ind w:left="640" w:hanging="640"/>
        <w:rPr>
          <w:szCs w:val="24"/>
        </w:rPr>
      </w:pPr>
      <w:r>
        <w:rPr>
          <w:szCs w:val="24"/>
        </w:rPr>
        <w:t>[18]</w:t>
        <w:tab/>
        <w:t>O.S. Hammond, D.T. Bowron, K.J. Edler, The Effect of Water upon Deep Eutectic Solvent Nanostructure: An Unusual Transition from Ionic Mixture to Aqueous Solution, Angew. Chemie - Int. Ed. 56 (2017) 9782–9785. https://doi.org/10.1002/anie.201702486.</w:t>
      </w:r>
    </w:p>
    <w:p>
      <w:pPr>
        <w:pStyle w:val="Normal"/>
        <w:widowControl w:val="false"/>
        <w:spacing w:lineRule="auto" w:line="360"/>
        <w:ind w:left="640" w:hanging="640"/>
        <w:rPr>
          <w:szCs w:val="24"/>
        </w:rPr>
      </w:pPr>
      <w:r>
        <w:rPr>
          <w:szCs w:val="24"/>
        </w:rPr>
        <w:t>[19]</w:t>
        <w:tab/>
        <w:t>C. Ma, A. Laaksonen, C. Liu, X. Lu, X. Ji, The peculiar effect of water on ionic liquids and deep eutectic solvents, Chem. Soc. Rev. 47 (2018) 8685–8720. https://doi.org/10.1039/c8cs00325d.</w:t>
      </w:r>
    </w:p>
    <w:p>
      <w:pPr>
        <w:pStyle w:val="Normal"/>
        <w:widowControl w:val="false"/>
        <w:spacing w:lineRule="auto" w:line="360"/>
        <w:ind w:left="640" w:hanging="640"/>
        <w:rPr>
          <w:szCs w:val="24"/>
        </w:rPr>
      </w:pPr>
      <w:r>
        <w:rPr>
          <w:szCs w:val="24"/>
        </w:rPr>
        <w:t>[20]</w:t>
        <w:tab/>
        <w:t>T. El Achkar, S. Fourmentin, H. Greige-Gerges, Deep eutectic solvents: An overview on their interactions with water and biochemical compounds, J. Mol. Liq. 288 (2019) 111028. https://doi.org/10.1016/j.molliq.2019.111028.</w:t>
      </w:r>
    </w:p>
    <w:p>
      <w:pPr>
        <w:pStyle w:val="Normal"/>
        <w:widowControl w:val="false"/>
        <w:spacing w:lineRule="auto" w:line="360"/>
        <w:ind w:left="640" w:hanging="640"/>
        <w:rPr>
          <w:szCs w:val="24"/>
        </w:rPr>
      </w:pPr>
      <w:r>
        <w:rPr>
          <w:szCs w:val="24"/>
        </w:rPr>
        <w:t>[21]</w:t>
        <w:tab/>
        <w:t>N. López-Salas, J.M. Vicent-Luna, S. Imberti, E. Posada, M.J. Roldán, J.A. Anta, S.R.G. Balestra, R.M. Madero Castro, S. Calero, R.J. Jiménez-Riobóo, M.C. Gutiérrez, M.L. Ferrer, F. Del Monte, Looking at the “water-in-Deep-Eutectic-Solvent” System: A Dilution Range for High Performance Eutectics, ACS Sustain. Chem. Eng. 7 (2019) 17565–17573. https://doi.org/10.1021/acssuschemeng.9b05096.</w:t>
      </w:r>
    </w:p>
    <w:p>
      <w:pPr>
        <w:pStyle w:val="Normal"/>
        <w:widowControl w:val="false"/>
        <w:spacing w:lineRule="auto" w:line="360"/>
        <w:ind w:left="640" w:hanging="640"/>
        <w:rPr>
          <w:szCs w:val="24"/>
        </w:rPr>
      </w:pPr>
      <w:r>
        <w:rPr>
          <w:szCs w:val="24"/>
        </w:rPr>
        <w:t>[22]</w:t>
        <w:tab/>
        <w:t>V. Alizadeh, F. Malberg, A.A.H. Pádua, B. Kirchner, Are There Magic Compositions in Deep Eutectic Solvents? Effects of Composition and Water Content in Choline Chloride/Ethylene Glycol from Ab Initio Molecular Dynamics, J. Phys. Chem. B. 124 (2020) 7433–7443. https://doi.org/10.1021/acs.jpcb.0c04844.</w:t>
      </w:r>
    </w:p>
    <w:p>
      <w:pPr>
        <w:pStyle w:val="Normal"/>
        <w:widowControl w:val="false"/>
        <w:spacing w:lineRule="auto" w:line="360"/>
        <w:ind w:left="640" w:hanging="640"/>
        <w:rPr>
          <w:szCs w:val="24"/>
        </w:rPr>
      </w:pPr>
      <w:r>
        <w:rPr>
          <w:szCs w:val="24"/>
        </w:rPr>
        <w:t>[23]</w:t>
        <w:tab/>
        <w:t>M.E. Di Pietro, M. Tortora, C. Bottari, G. Colombo Dugoni, R.V. Pivato, B. Rossi, M. Paolantoni, A. Mele, In Competition for Water: Hydrated Choline Chloride:Urea vs Choline Acetate:Urea Deep Eutectic Solvents, ACS Sustain. Chem. Eng. (2021). https://doi.org/10.1021/acssuschemeng.1c03811.</w:t>
      </w:r>
    </w:p>
    <w:p>
      <w:pPr>
        <w:pStyle w:val="Normal"/>
        <w:widowControl w:val="false"/>
        <w:spacing w:lineRule="auto" w:line="360"/>
        <w:ind w:left="640" w:hanging="640"/>
        <w:rPr>
          <w:szCs w:val="24"/>
        </w:rPr>
      </w:pPr>
      <w:r>
        <w:rPr>
          <w:szCs w:val="24"/>
        </w:rPr>
        <w:t>[24]</w:t>
        <w:tab/>
        <w:t>S. Rozas, C. Benito, R. Alcalde, M. Atilhan, S. Aparicio, Insights on the water effect on deep eutectic solvents properties and structuring: The archetypical case of choline chloride + ethylene glycol, J. Mol. Liq. 344 (2021) 117717. https://doi.org/10.1016/j.molliq.2021.117717.</w:t>
      </w:r>
    </w:p>
    <w:p>
      <w:pPr>
        <w:pStyle w:val="Normal"/>
        <w:widowControl w:val="false"/>
        <w:spacing w:lineRule="auto" w:line="360"/>
        <w:ind w:left="640" w:hanging="640"/>
        <w:rPr>
          <w:szCs w:val="24"/>
        </w:rPr>
      </w:pPr>
      <w:r>
        <w:rPr>
          <w:szCs w:val="24"/>
        </w:rPr>
        <w:t>[25]</w:t>
        <w:tab/>
        <w:t>F. Gabriele, M. Chiarini, R. Germani, M. Tiecco, N. Spreti, Effect of water addition on choline chloride/glycol deep eutectic solvents: Characterization of their structural and physicochemical properties, J. Mol. Liq. 291 (2019) 111301. https://doi.org/10.1016/j.molliq.2019.111301.</w:t>
      </w:r>
    </w:p>
    <w:p>
      <w:pPr>
        <w:pStyle w:val="Normal"/>
        <w:widowControl w:val="false"/>
        <w:spacing w:lineRule="auto" w:line="360"/>
        <w:ind w:left="640" w:hanging="640"/>
        <w:rPr>
          <w:szCs w:val="24"/>
        </w:rPr>
      </w:pPr>
      <w:r>
        <w:rPr>
          <w:szCs w:val="24"/>
        </w:rPr>
        <w:t>[26]</w:t>
        <w:tab/>
        <w:t>H.M. Booth, D.D. Moran, J. Gonzalez, J. Luna-Uribe, J.C. Goeltz, Cooperative Demolition: Water’s Disruption of Structures in Deep Eutectic Solvents, J. Phys. Chem. B. 125 (2021) 3850–3854. https://doi.org/10.1021/acs.jpcb.0c11147.</w:t>
      </w:r>
    </w:p>
    <w:p>
      <w:pPr>
        <w:pStyle w:val="Normal"/>
        <w:widowControl w:val="false"/>
        <w:spacing w:lineRule="auto" w:line="360"/>
        <w:ind w:left="640" w:hanging="640"/>
        <w:rPr>
          <w:szCs w:val="24"/>
        </w:rPr>
      </w:pPr>
      <w:r>
        <w:rPr>
          <w:szCs w:val="24"/>
        </w:rPr>
        <w:t>[27]</w:t>
        <w:tab/>
        <w:t>M. Tiecco, A. Grillo, E. Mosconi, W. Kaiser, T. Del Giacco, R. Germani, D. Giacco, R. Germani, Advances in the development of novel green liquids: thymol/water, thymol/urea and thymol/phenylacetic acid as innovative hydrophobic natural deep eutectic solvents, J. Mol. Liq. 364 (2022) 120043. https://doi.org/10.1016/j.molliq.2022.120043.</w:t>
      </w:r>
    </w:p>
    <w:p>
      <w:pPr>
        <w:pStyle w:val="Normal"/>
        <w:widowControl w:val="false"/>
        <w:spacing w:lineRule="auto" w:line="360"/>
        <w:ind w:left="640" w:hanging="640"/>
        <w:rPr>
          <w:szCs w:val="24"/>
        </w:rPr>
      </w:pPr>
      <w:r>
        <w:rPr>
          <w:szCs w:val="24"/>
        </w:rPr>
        <w:t>[28]</w:t>
        <w:tab/>
        <w:t>R. Caminiti, V.R. Albertini, The kinetics of phase transitions observed by energy-dispersive x-ray diffraction, Int. Rev. Phys. Chem. 18 (1999) 263–299. https://doi.org/10.1080/014423599229965.</w:t>
      </w:r>
    </w:p>
    <w:p>
      <w:pPr>
        <w:pStyle w:val="Normal"/>
        <w:widowControl w:val="false"/>
        <w:spacing w:lineRule="auto" w:line="360"/>
        <w:ind w:left="640" w:hanging="640"/>
        <w:rPr>
          <w:szCs w:val="24"/>
        </w:rPr>
      </w:pPr>
      <w:r>
        <w:rPr>
          <w:szCs w:val="24"/>
        </w:rPr>
        <w:t>[29]</w:t>
        <w:tab/>
        <w:t>M. Macchiagodena, F. Ramondo, A. Triolo, L. Gontrani, R. Caminiti, Liquid Structure of 1-Ethyl-3-methylimidazolium Alkyl Sulfates by X-ray Scattering and Molecular Dynamics, J. Phys. Chem. B. 116 (2012) 13448–13458. https://doi.org/10.1021/jp306982e.</w:t>
      </w:r>
    </w:p>
    <w:p>
      <w:pPr>
        <w:pStyle w:val="Normal"/>
        <w:widowControl w:val="false"/>
        <w:spacing w:lineRule="auto" w:line="360"/>
        <w:ind w:left="640" w:hanging="640"/>
        <w:rPr>
          <w:szCs w:val="24"/>
        </w:rPr>
      </w:pPr>
      <w:r>
        <w:rPr>
          <w:szCs w:val="24"/>
        </w:rPr>
        <w:t>[30]</w:t>
        <w:tab/>
        <w:t>B. Hess, C. Kutzner, D. van der Spoel, E. Lindahl, GROMACS 4: Algorithms for Highly Efficient, Load-Balanced, and Scalable Molecular Simulation, J. Chem. Theory Comput. 4 (2008) 435–447. https://doi.org/10.1021/ct700301q.</w:t>
      </w:r>
    </w:p>
    <w:p>
      <w:pPr>
        <w:pStyle w:val="Normal"/>
        <w:widowControl w:val="false"/>
        <w:spacing w:lineRule="auto" w:line="360"/>
        <w:ind w:left="640" w:hanging="640"/>
        <w:rPr>
          <w:szCs w:val="24"/>
        </w:rPr>
      </w:pPr>
      <w:r>
        <w:rPr>
          <w:szCs w:val="24"/>
        </w:rPr>
        <w:t>[31]</w:t>
        <w:tab/>
        <w:t>D. Van Der Spoel, E. Lindahl, B. Hess, G. Groenhof, A.E. Mark, H.J.C. Berendsen, GROMACS: Fast, flexible, and free, J. Comput. Chem. 26 (2005) 1701–1718. https://doi.org/10.1002/jcc.20291.</w:t>
      </w:r>
    </w:p>
    <w:p>
      <w:pPr>
        <w:pStyle w:val="Normal"/>
        <w:widowControl w:val="false"/>
        <w:spacing w:lineRule="auto" w:line="360"/>
        <w:ind w:left="640" w:hanging="640"/>
        <w:rPr>
          <w:szCs w:val="24"/>
        </w:rPr>
      </w:pPr>
      <w:r>
        <w:rPr>
          <w:szCs w:val="24"/>
        </w:rPr>
        <w:t>[32]</w:t>
        <w:tab/>
        <w:t>W.L. Jorgensen, D.S. Maxwell, J. Tirado-Rives, Development and Testing of the OPLS All-Atom Force Field on Conformational Energetics and Properties of Organic Liquids, J. Am. Chem. Soc. 118 (1996) 11225–11236. https://doi.org/10.1021/ja9621760.</w:t>
      </w:r>
    </w:p>
    <w:p>
      <w:pPr>
        <w:pStyle w:val="Normal"/>
        <w:widowControl w:val="false"/>
        <w:spacing w:lineRule="auto" w:line="360"/>
        <w:ind w:left="640" w:hanging="640"/>
        <w:rPr>
          <w:szCs w:val="24"/>
        </w:rPr>
      </w:pPr>
      <w:r>
        <w:rPr>
          <w:szCs w:val="24"/>
        </w:rPr>
        <w:t>[33]</w:t>
        <w:tab/>
        <w:t>W.L. Jorgensen, J. Tirado-Rives, Potential energy functions for atomic-level simulations of water and organic and biomolecular systems, Proc. Natl. Acad. Sci. 102 (2005) 6665–6670. https://doi.org/10.1073/pnas.0408037102.</w:t>
      </w:r>
    </w:p>
    <w:p>
      <w:pPr>
        <w:pStyle w:val="Normal"/>
        <w:widowControl w:val="false"/>
        <w:spacing w:lineRule="auto" w:line="360"/>
        <w:ind w:left="640" w:hanging="640"/>
        <w:rPr>
          <w:szCs w:val="24"/>
        </w:rPr>
      </w:pPr>
      <w:r>
        <w:rPr>
          <w:szCs w:val="24"/>
        </w:rPr>
        <w:t>[34]</w:t>
        <w:tab/>
        <w:t>L.S. Dodda, I.C. De Vaca, J. Tirado-Rives, W.L. Jorgensen, LigParGen web server: An automatic OPLS-AA parameter generator for organic ligands, Nucleic Acids Res. 45 (2017) W331–W336. https://doi.org/10.1093/nar/gkx312.</w:t>
      </w:r>
    </w:p>
    <w:p>
      <w:pPr>
        <w:pStyle w:val="Normal"/>
        <w:widowControl w:val="false"/>
        <w:spacing w:lineRule="auto" w:line="360"/>
        <w:ind w:left="640" w:hanging="640"/>
        <w:rPr>
          <w:szCs w:val="24"/>
        </w:rPr>
      </w:pPr>
      <w:r>
        <w:rPr>
          <w:szCs w:val="24"/>
        </w:rPr>
        <w:t>[35]</w:t>
        <w:tab/>
        <w:t>L.S. Dodda, J.Z. Vilseck, J. Tirado-Rives, W.L. Jorgensen, 1.14</w:t>
      </w:r>
      <w:r>
        <w:rPr>
          <w:rFonts w:cs="Cambria Math" w:ascii="Cambria Math" w:hAnsi="Cambria Math"/>
          <w:szCs w:val="24"/>
        </w:rPr>
        <w:t>∗</w:t>
      </w:r>
      <w:r>
        <w:rPr>
          <w:szCs w:val="24"/>
        </w:rPr>
        <w:t>CM1A-LBCC: Localized Bond-Charge Corrected CM1A Charges for Condensed-Phase Simulations, J. Phys. Chem. B. 121 (2017) 3864–3870. https://doi.org/10.1021/acs.jpcb.7b00272.</w:t>
      </w:r>
    </w:p>
    <w:p>
      <w:pPr>
        <w:pStyle w:val="Normal"/>
        <w:widowControl w:val="false"/>
        <w:spacing w:lineRule="auto" w:line="360"/>
        <w:ind w:left="640" w:hanging="640"/>
        <w:rPr>
          <w:szCs w:val="24"/>
        </w:rPr>
      </w:pPr>
      <w:r>
        <w:rPr>
          <w:szCs w:val="24"/>
        </w:rPr>
        <w:t>[36]</w:t>
        <w:tab/>
        <w:t>L. Martínez, R. Andrade, E.G. Birgin, J.M. Martínez, PACKMOL: A package for building initial configurations for molecular dynamics simulations, J. Comput. Chem. 30 (2009) 2157–2164. https://doi.org/10.1002/jcc.21224.</w:t>
      </w:r>
    </w:p>
    <w:p>
      <w:pPr>
        <w:pStyle w:val="Normal"/>
        <w:widowControl w:val="false"/>
        <w:spacing w:lineRule="auto" w:line="360"/>
        <w:ind w:left="640" w:hanging="640"/>
        <w:rPr>
          <w:szCs w:val="24"/>
        </w:rPr>
      </w:pPr>
      <w:r>
        <w:rPr>
          <w:szCs w:val="24"/>
        </w:rPr>
        <w:t>[37]</w:t>
        <w:tab/>
        <w:t>G. Bussi, D. Donadio, M. Parrinello, Canonical sampling through velocity rescaling, J. Chem. Phys. 126 (2007) 014101. https://doi.org/10.1063/1.2408420.</w:t>
      </w:r>
    </w:p>
    <w:p>
      <w:pPr>
        <w:pStyle w:val="Normal"/>
        <w:widowControl w:val="false"/>
        <w:spacing w:lineRule="auto" w:line="360"/>
        <w:ind w:left="640" w:hanging="640"/>
        <w:rPr>
          <w:szCs w:val="24"/>
        </w:rPr>
      </w:pPr>
      <w:r>
        <w:rPr>
          <w:szCs w:val="24"/>
        </w:rPr>
        <w:t>[38]</w:t>
        <w:tab/>
        <w:t>M. Parrinello, A. Rahman, Polymorphic transitions in single crystals: A new molecular dynamics method, J. Appl. Phys. 52 (1981) 7182–7190. https://doi.org/10.1063/1.328693.</w:t>
      </w:r>
    </w:p>
    <w:p>
      <w:pPr>
        <w:pStyle w:val="Normal"/>
        <w:widowControl w:val="false"/>
        <w:spacing w:lineRule="auto" w:line="360"/>
        <w:ind w:left="640" w:hanging="640"/>
        <w:rPr>
          <w:szCs w:val="24"/>
        </w:rPr>
      </w:pPr>
      <w:r>
        <w:rPr>
          <w:szCs w:val="24"/>
        </w:rPr>
        <w:t>[39]</w:t>
        <w:tab/>
        <w:t>T. Darden, D. York, L. Pedersen, Particle mesh Ewald: An N·log(N) method for Ewald sums in large systems, J. Chem. Phys. 98 (1993) 10089–10092. https://doi.org/10.1063/1.464397.</w:t>
      </w:r>
    </w:p>
    <w:p>
      <w:pPr>
        <w:pStyle w:val="Normal"/>
        <w:widowControl w:val="false"/>
        <w:spacing w:lineRule="auto" w:line="360"/>
        <w:ind w:left="640" w:hanging="640"/>
        <w:rPr>
          <w:szCs w:val="24"/>
        </w:rPr>
      </w:pPr>
      <w:r>
        <w:rPr>
          <w:szCs w:val="24"/>
        </w:rPr>
        <w:t>[40]</w:t>
        <w:tab/>
        <w:t>U. Essmann, L. Perera, M.L. Berkowitz, T. Darden, H. Lee, L.G. Pedersen, A smooth particle mesh Ewald method, J. Chem. Phys. 103 (1995) 8577–8593. https://doi.org/10.1063/1.470117.</w:t>
      </w:r>
    </w:p>
    <w:p>
      <w:pPr>
        <w:pStyle w:val="Normal"/>
        <w:widowControl w:val="false"/>
        <w:spacing w:lineRule="auto" w:line="360"/>
        <w:ind w:left="640" w:hanging="640"/>
        <w:rPr>
          <w:szCs w:val="24"/>
        </w:rPr>
      </w:pPr>
      <w:r>
        <w:rPr>
          <w:szCs w:val="24"/>
        </w:rPr>
        <w:t>[41]</w:t>
        <w:tab/>
        <w:t>M. Brehm, B. Kirchner, TRAVIS - A Free Analyzer and Visualizer for Monte Carlo and Molecular Dynamics Trajectories, J. Chem. Inf. Model. 51 (2011) 2007–2023. https://doi.org/10.1021/ci200217w.</w:t>
      </w:r>
    </w:p>
    <w:p>
      <w:pPr>
        <w:pStyle w:val="Normal"/>
        <w:widowControl w:val="false"/>
        <w:spacing w:lineRule="auto" w:line="360"/>
        <w:ind w:left="640" w:hanging="640"/>
        <w:rPr>
          <w:szCs w:val="24"/>
        </w:rPr>
      </w:pPr>
      <w:r>
        <w:rPr>
          <w:szCs w:val="24"/>
        </w:rPr>
        <w:t>[42]</w:t>
        <w:tab/>
        <w:t>O. Hollóczki, M. Macchiagodena, H. Weber, M. Thomas, M. Brehm, A. Stark, O. Russina, A. Triolo, B. Kirchner, Triphilic Ionic-Liquid Mixtures: Fluorinated and Non-fluorinated Aprotic Ionic-Liquid Mixtures, ChemPhysChem. 16 (2015) 3325–3333. https://doi.org/10.1002/cphc.201500473.</w:t>
      </w:r>
    </w:p>
    <w:p>
      <w:pPr>
        <w:pStyle w:val="Normal"/>
        <w:widowControl w:val="false"/>
        <w:spacing w:lineRule="auto" w:line="360"/>
        <w:ind w:left="640" w:hanging="640"/>
        <w:rPr>
          <w:szCs w:val="24"/>
        </w:rPr>
      </w:pPr>
      <w:r>
        <w:rPr>
          <w:szCs w:val="24"/>
        </w:rPr>
        <w:t>[43]</w:t>
        <w:tab/>
        <w:t>M. Brehm, M. Thomas, S. Gehrke, B. Kirchner, TRAVIS—A free analyzer for trajectories from molecular simulation, J. Chem. Phys. 152 (2020) 164105. https://doi.org/10.1063/5.0005078.</w:t>
      </w:r>
    </w:p>
    <w:p>
      <w:pPr>
        <w:pStyle w:val="Normal"/>
        <w:widowControl w:val="false"/>
        <w:spacing w:lineRule="auto" w:line="360"/>
        <w:ind w:left="640" w:hanging="640"/>
        <w:rPr>
          <w:szCs w:val="24"/>
        </w:rPr>
      </w:pPr>
      <w:r>
        <w:rPr>
          <w:szCs w:val="24"/>
        </w:rPr>
        <w:t>[44]</w:t>
        <w:tab/>
        <w:t>N. Schaeffer, D.O. Abranches, L.P. Silva, M.A.R. Martins, P.J. Carvalho, O. Russina, A. Triolo, L. Paccou, Y. Guinet, A. Hedoux, J.A.P. Coutinho, Non-Ideality in Thymol + Menthol Type v Deep Eutectic Solvents, ACS Sustain. Chem. Eng. 9 (2021) 2203–2211. https://doi.org/10.1021/acssuschemeng.0c07874.</w:t>
      </w:r>
    </w:p>
    <w:p>
      <w:pPr>
        <w:pStyle w:val="Normal"/>
        <w:widowControl w:val="false"/>
        <w:spacing w:lineRule="auto" w:line="360"/>
        <w:ind w:left="640" w:hanging="640"/>
        <w:rPr>
          <w:szCs w:val="24"/>
        </w:rPr>
      </w:pPr>
      <w:r>
        <w:rPr>
          <w:szCs w:val="24"/>
        </w:rPr>
        <w:t>[45]</w:t>
        <w:tab/>
        <w:t>A.K. Soper, An asymmetric model for water structure, J. Phys. Condens. Matter. 17 (2005). https://doi.org/10.1088/0953-8984/17/45/012.</w:t>
      </w:r>
    </w:p>
    <w:p>
      <w:pPr>
        <w:pStyle w:val="Normal"/>
        <w:widowControl w:val="false"/>
        <w:spacing w:lineRule="auto" w:line="360"/>
        <w:ind w:left="640" w:hanging="640"/>
        <w:rPr>
          <w:szCs w:val="24"/>
        </w:rPr>
      </w:pPr>
      <w:r>
        <w:rPr>
          <w:szCs w:val="24"/>
        </w:rPr>
        <w:t>[46]</w:t>
        <w:tab/>
        <w:t>T.F. Headen, C.A. Howard, N.T. Skipper, M.A. Wilkinson, D.T. Bowron, A.K. Soper, Structure of π−π Interactions in Aromatic Liquids, J. Am. Chem. Soc. 132 (2010) 5735–5742. https://doi.org/10.1021/ja909084e.</w:t>
      </w:r>
    </w:p>
    <w:p>
      <w:pPr>
        <w:pStyle w:val="Normal"/>
        <w:widowControl w:val="false"/>
        <w:spacing w:lineRule="auto" w:line="360"/>
        <w:ind w:left="640" w:hanging="640"/>
        <w:rPr>
          <w:szCs w:val="24"/>
        </w:rPr>
      </w:pPr>
      <w:r>
        <w:rPr>
          <w:szCs w:val="24"/>
        </w:rPr>
        <w:t>[47]</w:t>
        <w:tab/>
        <w:t>M. Falkowska, D.T. Bowron, H.G. Manyar, C. Hardacre, T.G.A. Youngs, Neutron Scattering of Aromatic and Aliphatic Liquids, ChemPhysChem. 17 (2016) 2043–2055. https://doi.org/10.1002/cphc.201600149.</w:t>
      </w:r>
    </w:p>
    <w:p>
      <w:pPr>
        <w:pStyle w:val="Normal"/>
        <w:widowControl w:val="false"/>
        <w:spacing w:lineRule="auto" w:line="360"/>
        <w:ind w:left="640" w:hanging="640"/>
        <w:rPr>
          <w:szCs w:val="24"/>
        </w:rPr>
      </w:pPr>
      <w:r>
        <w:rPr>
          <w:szCs w:val="24"/>
        </w:rPr>
        <w:t>[48]</w:t>
        <w:tab/>
        <w:t>A. Triolo, F. Lo Celso, N. V. Plechkova, F. Leonelli, S. Gärtner, D.S. Keeble, O. Russina, Structure of anisole derivatives by total neutron and X-ray scattering: Evidences of weak C H</w:t>
      </w:r>
      <w:r>
        <w:rPr>
          <w:rFonts w:cs="Cambria Math" w:ascii="Cambria Math" w:hAnsi="Cambria Math"/>
          <w:szCs w:val="24"/>
        </w:rPr>
        <w:t>⋯</w:t>
      </w:r>
      <w:r>
        <w:rPr>
          <w:szCs w:val="24"/>
        </w:rPr>
        <w:t>O and C H</w:t>
      </w:r>
      <w:r>
        <w:rPr>
          <w:rFonts w:cs="Cambria Math" w:ascii="Cambria Math" w:hAnsi="Cambria Math"/>
          <w:szCs w:val="24"/>
        </w:rPr>
        <w:t>⋯</w:t>
      </w:r>
      <w:r>
        <w:rPr>
          <w:szCs w:val="24"/>
        </w:rPr>
        <w:t>π interactions in the liquid state, J. Mol. Liq. 314 (2020) 113795. https://doi.org/10.1016/j.molliq.2020.113795.</w:t>
      </w:r>
    </w:p>
    <w:p>
      <w:pPr>
        <w:pStyle w:val="Normal"/>
        <w:widowControl w:val="false"/>
        <w:spacing w:lineRule="auto" w:line="360"/>
        <w:ind w:left="640" w:hanging="640"/>
        <w:rPr>
          <w:szCs w:val="24"/>
        </w:rPr>
      </w:pPr>
      <w:r>
        <w:rPr>
          <w:szCs w:val="24"/>
        </w:rPr>
        <w:t>[49]</w:t>
        <w:tab/>
        <w:t>S. Suzuki, P.G. Green, R.E. Bumgarner, S. Dasgupta, W.A. Goddard, G.A. Blake, Benzene forms hydrogen bonds with water, Science (80-. ). 257 (1992) 942–945. https://doi.org/10.1126/science.257.5072.942.</w:t>
      </w:r>
    </w:p>
    <w:p>
      <w:pPr>
        <w:pStyle w:val="Normal"/>
        <w:widowControl w:val="false"/>
        <w:spacing w:lineRule="auto" w:line="360"/>
        <w:ind w:left="640" w:hanging="640"/>
        <w:rPr>
          <w:szCs w:val="24"/>
        </w:rPr>
      </w:pPr>
      <w:r>
        <w:rPr>
          <w:szCs w:val="24"/>
        </w:rPr>
        <w:t>[50]</w:t>
        <w:tab/>
        <w:t>L.B. Skinner, C.J. Benmore, J.C. Neuefeind, J.B. Parise, The structure of water around the compressibility minimum, J. Chem. Phys. 141 (2014) 214507. https://doi.org/10.1063/1.4902412.</w:t>
      </w:r>
    </w:p>
    <w:p>
      <w:pPr>
        <w:pStyle w:val="Normal"/>
        <w:widowControl w:val="false"/>
        <w:spacing w:lineRule="auto" w:line="360"/>
        <w:ind w:left="640" w:hanging="640"/>
        <w:rPr>
          <w:szCs w:val="24"/>
        </w:rPr>
      </w:pPr>
      <w:r>
        <w:rPr>
          <w:szCs w:val="24"/>
        </w:rPr>
        <w:t>[51]</w:t>
        <w:tab/>
        <w:t>A. Thozet, M. Perrin, Structure of 2-isopropyl-5-methylphenol (thymol), Acta Crystallogr. Sect. B Struct. Crystallogr. Cryst. Chem. 36 (1980) 1444–1447. https://doi.org/10.1107/s0567740880006243.</w:t>
      </w:r>
    </w:p>
    <w:p>
      <w:pPr>
        <w:pStyle w:val="Normal"/>
        <w:widowControl w:val="false"/>
        <w:spacing w:lineRule="auto" w:line="360"/>
        <w:ind w:left="640" w:hanging="640"/>
        <w:rPr>
          <w:szCs w:val="24"/>
        </w:rPr>
      </w:pPr>
      <w:r>
        <w:rPr>
          <w:szCs w:val="24"/>
        </w:rPr>
        <w:t>[52]</w:t>
        <w:tab/>
        <w:t>A. Triolo, O. Russina, H.J. Bleif, E. Di Cola, Nanoscale segregation in room temperature ionic liquids, J. Phys. Chem. B. 111 (2007) 4641–4644. https://doi.org/10.1021/jp067705t.</w:t>
      </w:r>
    </w:p>
    <w:p>
      <w:pPr>
        <w:pStyle w:val="Normal"/>
        <w:widowControl w:val="false"/>
        <w:spacing w:lineRule="auto" w:line="360"/>
        <w:ind w:left="640" w:hanging="640"/>
        <w:rPr>
          <w:szCs w:val="24"/>
        </w:rPr>
      </w:pPr>
      <w:r>
        <w:rPr>
          <w:szCs w:val="24"/>
        </w:rPr>
        <w:t>[53]</w:t>
        <w:tab/>
        <w:t>O. Russina, A. Triolo, L. Gontrani, R. Caminiti, Mesoscopic structural heterogeneities in room-temperature ionic liquids, J. Phys. Chem. Lett. 3 (2012) 27–33. https://doi.org/10.1021/jz201349z.</w:t>
      </w:r>
    </w:p>
    <w:p>
      <w:pPr>
        <w:pStyle w:val="Normal"/>
        <w:widowControl w:val="false"/>
        <w:spacing w:lineRule="auto" w:line="360"/>
        <w:ind w:left="640" w:hanging="640"/>
        <w:rPr>
          <w:szCs w:val="24"/>
        </w:rPr>
      </w:pPr>
      <w:r>
        <w:rPr>
          <w:szCs w:val="24"/>
        </w:rPr>
        <w:t>[54]</w:t>
        <w:tab/>
        <w:t>F. Lo Celso, Y. Yoshida, F. Castiglione, M. Ferro, A. Mele, C.J. Jafta, A. Triolo, O. Russina, Direct experimental observation of mesoscopic fluorous domains in fluorinated room temperature ionic liquids, Phys. Chem. Chem. Phys. 19 (2017) 13101–13110. https://doi.org/10.1039/c7cp01971h.</w:t>
      </w:r>
    </w:p>
    <w:p>
      <w:pPr>
        <w:pStyle w:val="Normal"/>
        <w:widowControl w:val="false"/>
        <w:spacing w:lineRule="auto" w:line="360"/>
        <w:ind w:left="640" w:hanging="640"/>
        <w:rPr>
          <w:szCs w:val="24"/>
        </w:rPr>
      </w:pPr>
      <w:r>
        <w:rPr>
          <w:szCs w:val="24"/>
        </w:rPr>
        <w:t>[55]</w:t>
        <w:tab/>
        <w:t>S. Di Muzio, A. Paolone, O. Russina, F. Ramondo, Phenol-cyclohexanol eutectic mixtures: Phase diagram and microscopic structure by experimental and computational studies, J. Mol. Liq. 360 (2022) 119492. https://doi.org/10.1016/j.molliq.2022.119492.</w:t>
      </w:r>
    </w:p>
    <w:p>
      <w:pPr>
        <w:pStyle w:val="Normal"/>
        <w:widowControl w:val="false"/>
        <w:spacing w:lineRule="auto" w:line="360"/>
        <w:ind w:left="640" w:hanging="640"/>
        <w:rPr/>
      </w:pPr>
      <w:r>
        <w:rPr>
          <w:szCs w:val="24"/>
        </w:rPr>
        <w:t>[56]</w:t>
        <w:tab/>
        <w:t>A. Malik, H.K. Kashyap, Heterogeneity in hydrophobic deep eutectic solvents: SAXS prepeak and local environments, Phys. Chem. Chem. Phys. 23 (2021) 3915–3924. https://doi.org/10.1039/d0cp05407k.</w:t>
      </w:r>
    </w:p>
    <w:p>
      <w:pPr>
        <w:pStyle w:val="Normal"/>
        <w:widowControl w:val="false"/>
        <w:spacing w:lineRule="auto" w:line="360" w:before="0" w:after="160"/>
        <w:ind w:left="640" w:hanging="640"/>
        <w:rPr/>
      </w:pPr>
      <w:r>
        <w:rPr/>
      </w:r>
      <w:r>
        <w:rPr/>
        <w:fldChar w:fldCharType="end"/>
      </w:r>
    </w:p>
    <w:sectPr>
      <w:type w:val="nextPage"/>
      <w:pgSz w:w="11906" w:h="16838"/>
      <w:pgMar w:left="1134" w:right="1134" w:gutter="0" w:header="0" w:top="1417" w:footer="0" w:bottom="1134"/>
      <w:lnNumType w:countBy="1" w:restart="continuous" w:distance="283"/>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variable"/>
  </w:font>
  <w:font w:name="Segoe UI">
    <w:charset w:val="01"/>
    <w:family w:val="roman"/>
    <w:pitch w:val="variable"/>
  </w:font>
  <w:font w:name="Liberation Sans">
    <w:altName w:val="Arial"/>
    <w:charset w:val="01"/>
    <w:family w:val="swiss"/>
    <w:pitch w:val="variable"/>
  </w:font>
  <w:font w:name="Times">
    <w:altName w:val="Times New Roman"/>
    <w:charset w:val="01"/>
    <w:family w:val="roman"/>
    <w:pitch w:val="variable"/>
  </w:font>
  <w:font w:name="AdvGulliv">
    <w:charset w:val="01"/>
    <w:family w:val="auto"/>
    <w:pitch w:val="default"/>
  </w:font>
  <w:font w:name="Cambria Math">
    <w:charset w:val="01"/>
    <w:family w:val="roman"/>
    <w:pitch w:val="variable"/>
  </w:font>
  <w:font w:name="Calibri">
    <w:charset w:val="01"/>
    <w:family w:val="roman"/>
    <w:pitch w:val="variable"/>
  </w:font>
</w:fonts>
</file>

<file path=word/settings.xml><?xml version="1.0" encoding="utf-8"?>
<w:settings xmlns:w="http://schemas.openxmlformats.org/wordprocessingml/2006/main">
  <w:zoom w:percent="14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hyphenationZone w:val="283"/>
  <w:themeFontLang w:val="it-IT"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Calibri" w:cs="Times New Roman" w:eastAsiaTheme="minorHAnsi"/>
        <w:sz w:val="24"/>
        <w:szCs w:val="21"/>
        <w:lang w:val="it-IT"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widowControl/>
      <w:bidi w:val="0"/>
      <w:spacing w:lineRule="auto" w:line="259" w:before="0" w:after="160"/>
      <w:jc w:val="left"/>
    </w:pPr>
    <w:rPr>
      <w:rFonts w:ascii="Times New Roman" w:hAnsi="Times New Roman" w:eastAsia="Calibri" w:cs="Times New Roman" w:eastAsiaTheme="minorHAnsi"/>
      <w:color w:val="auto"/>
      <w:kern w:val="0"/>
      <w:sz w:val="24"/>
      <w:szCs w:val="21"/>
      <w:lang w:val="it-IT" w:eastAsia="en-US" w:bidi="ar-SA"/>
    </w:rPr>
  </w:style>
  <w:style w:type="character" w:styleId="DefaultParagraphFont" w:default="1">
    <w:name w:val="Default Paragraph Font"/>
    <w:uiPriority w:val="1"/>
    <w:semiHidden/>
    <w:unhideWhenUsed/>
    <w:qFormat/>
    <w:rPr/>
  </w:style>
  <w:style w:type="character" w:styleId="IntestazioneCarattere" w:customStyle="1">
    <w:name w:val="Intestazione Carattere"/>
    <w:basedOn w:val="DefaultParagraphFont"/>
    <w:link w:val="Header"/>
    <w:uiPriority w:val="99"/>
    <w:qFormat/>
    <w:rsid w:val="0060520c"/>
    <w:rPr/>
  </w:style>
  <w:style w:type="character" w:styleId="PidipaginaCarattere" w:customStyle="1">
    <w:name w:val="Piè di pagina Carattere"/>
    <w:basedOn w:val="DefaultParagraphFont"/>
    <w:link w:val="Footer"/>
    <w:uiPriority w:val="99"/>
    <w:qFormat/>
    <w:rsid w:val="0060520c"/>
    <w:rPr/>
  </w:style>
  <w:style w:type="character" w:styleId="Annotationreference">
    <w:name w:val="annotation reference"/>
    <w:basedOn w:val="DefaultParagraphFont"/>
    <w:uiPriority w:val="99"/>
    <w:semiHidden/>
    <w:unhideWhenUsed/>
    <w:qFormat/>
    <w:rsid w:val="00bc5127"/>
    <w:rPr>
      <w:sz w:val="16"/>
      <w:szCs w:val="16"/>
    </w:rPr>
  </w:style>
  <w:style w:type="character" w:styleId="TestocommentoCarattere" w:customStyle="1">
    <w:name w:val="Testo commento Carattere"/>
    <w:basedOn w:val="DefaultParagraphFont"/>
    <w:link w:val="Annotationtext"/>
    <w:uiPriority w:val="99"/>
    <w:semiHidden/>
    <w:qFormat/>
    <w:rsid w:val="00bc5127"/>
    <w:rPr>
      <w:sz w:val="20"/>
      <w:szCs w:val="20"/>
      <w:lang w:val="en-GB"/>
    </w:rPr>
  </w:style>
  <w:style w:type="character" w:styleId="TestofumettoCarattere" w:customStyle="1">
    <w:name w:val="Testo fumetto Carattere"/>
    <w:basedOn w:val="DefaultParagraphFont"/>
    <w:link w:val="BalloonText"/>
    <w:uiPriority w:val="99"/>
    <w:semiHidden/>
    <w:qFormat/>
    <w:rsid w:val="00bc5127"/>
    <w:rPr>
      <w:rFonts w:ascii="Segoe UI" w:hAnsi="Segoe UI" w:cs="Segoe UI"/>
      <w:sz w:val="18"/>
      <w:szCs w:val="18"/>
    </w:rPr>
  </w:style>
  <w:style w:type="character" w:styleId="InternetLink">
    <w:name w:val="Hyperlink"/>
    <w:basedOn w:val="DefaultParagraphFont"/>
    <w:uiPriority w:val="99"/>
    <w:unhideWhenUsed/>
    <w:rsid w:val="0046234b"/>
    <w:rPr>
      <w:color w:val="0563C1" w:themeColor="hyperlink"/>
      <w:u w:val="single"/>
    </w:rPr>
  </w:style>
  <w:style w:type="character" w:styleId="Linenumber">
    <w:name w:val="line number"/>
    <w:basedOn w:val="DefaultParagraphFont"/>
    <w:uiPriority w:val="99"/>
    <w:semiHidden/>
    <w:unhideWhenUsed/>
    <w:qFormat/>
    <w:rsid w:val="00c202ab"/>
    <w:rPr/>
  </w:style>
  <w:style w:type="character" w:styleId="LineNumbering">
    <w:name w:val="Line Numbering"/>
    <w:rPr/>
  </w:style>
  <w:style w:type="paragraph" w:styleId="Heading">
    <w:name w:val="Heading"/>
    <w:basedOn w:val="Normal"/>
    <w:next w:val="TextBody"/>
    <w:qFormat/>
    <w:pPr>
      <w:keepNext w:val="true"/>
      <w:spacing w:before="240" w:after="120"/>
    </w:pPr>
    <w:rPr>
      <w:rFonts w:ascii="Liberation Sans" w:hAnsi="Liberation Sans" w:eastAsia="PingFang SC" w:cs="Arial Unicode MS"/>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Arial Unicode MS"/>
    </w:rPr>
  </w:style>
  <w:style w:type="paragraph" w:styleId="Caption">
    <w:name w:val="Caption"/>
    <w:basedOn w:val="Normal"/>
    <w:qFormat/>
    <w:pPr>
      <w:suppressLineNumbers/>
      <w:spacing w:before="120" w:after="120"/>
    </w:pPr>
    <w:rPr>
      <w:rFonts w:cs="Arial Unicode MS"/>
      <w:i/>
      <w:iCs/>
      <w:sz w:val="24"/>
      <w:szCs w:val="24"/>
    </w:rPr>
  </w:style>
  <w:style w:type="paragraph" w:styleId="Index">
    <w:name w:val="Index"/>
    <w:basedOn w:val="Normal"/>
    <w:qFormat/>
    <w:pPr>
      <w:suppressLineNumbers/>
    </w:pPr>
    <w:rPr>
      <w:rFonts w:cs="Arial Unicode MS"/>
      <w:lang w:val="zxx" w:eastAsia="zxx" w:bidi="zxx"/>
    </w:rPr>
  </w:style>
  <w:style w:type="paragraph" w:styleId="HEADINGSPAPER" w:customStyle="1">
    <w:name w:val="HEADINGS_PAPER"/>
    <w:basedOn w:val="Normal"/>
    <w:autoRedefine/>
    <w:qFormat/>
    <w:rsid w:val="003161b9"/>
    <w:pPr>
      <w:spacing w:lineRule="auto" w:line="360" w:before="0" w:after="200"/>
    </w:pPr>
    <w:rPr>
      <w:b/>
      <w:szCs w:val="24"/>
      <w:lang w:val="en-GB"/>
    </w:rPr>
  </w:style>
  <w:style w:type="paragraph" w:styleId="HeaderandFooter">
    <w:name w:val="Header and Footer"/>
    <w:basedOn w:val="Normal"/>
    <w:qFormat/>
    <w:pPr/>
    <w:rPr/>
  </w:style>
  <w:style w:type="paragraph" w:styleId="Header">
    <w:name w:val="Header"/>
    <w:basedOn w:val="Normal"/>
    <w:link w:val="IntestazioneCarattere"/>
    <w:uiPriority w:val="99"/>
    <w:unhideWhenUsed/>
    <w:rsid w:val="0060520c"/>
    <w:pPr>
      <w:tabs>
        <w:tab w:val="clear" w:pos="708"/>
        <w:tab w:val="center" w:pos="4819" w:leader="none"/>
        <w:tab w:val="right" w:pos="9638" w:leader="none"/>
      </w:tabs>
      <w:spacing w:lineRule="auto" w:line="240" w:before="0" w:after="0"/>
    </w:pPr>
    <w:rPr/>
  </w:style>
  <w:style w:type="paragraph" w:styleId="Footer">
    <w:name w:val="Footer"/>
    <w:basedOn w:val="Normal"/>
    <w:link w:val="PidipaginaCarattere"/>
    <w:uiPriority w:val="99"/>
    <w:unhideWhenUsed/>
    <w:rsid w:val="0060520c"/>
    <w:pPr>
      <w:tabs>
        <w:tab w:val="clear" w:pos="708"/>
        <w:tab w:val="center" w:pos="4819" w:leader="none"/>
        <w:tab w:val="right" w:pos="9638" w:leader="none"/>
      </w:tabs>
      <w:spacing w:lineRule="auto" w:line="240" w:before="0" w:after="0"/>
    </w:pPr>
    <w:rPr/>
  </w:style>
  <w:style w:type="paragraph" w:styleId="Annotationtext">
    <w:name w:val="annotation text"/>
    <w:basedOn w:val="Normal"/>
    <w:link w:val="TestocommentoCarattere"/>
    <w:uiPriority w:val="99"/>
    <w:semiHidden/>
    <w:unhideWhenUsed/>
    <w:qFormat/>
    <w:rsid w:val="00bc5127"/>
    <w:pPr>
      <w:spacing w:lineRule="auto" w:line="240" w:before="0" w:after="200"/>
    </w:pPr>
    <w:rPr>
      <w:sz w:val="20"/>
      <w:szCs w:val="20"/>
      <w:lang w:val="en-GB"/>
    </w:rPr>
  </w:style>
  <w:style w:type="paragraph" w:styleId="BalloonText">
    <w:name w:val="Balloon Text"/>
    <w:basedOn w:val="Normal"/>
    <w:link w:val="TestofumettoCarattere"/>
    <w:uiPriority w:val="99"/>
    <w:semiHidden/>
    <w:unhideWhenUsed/>
    <w:qFormat/>
    <w:rsid w:val="00bc5127"/>
    <w:pPr>
      <w:spacing w:lineRule="auto" w:line="240" w:before="0" w:after="0"/>
    </w:pPr>
    <w:rPr>
      <w:rFonts w:ascii="Segoe UI" w:hAnsi="Segoe UI" w:cs="Segoe UI"/>
      <w:sz w:val="18"/>
      <w:szCs w:val="18"/>
    </w:rPr>
  </w:style>
  <w:style w:type="paragraph" w:styleId="BCAuthorAddress" w:customStyle="1">
    <w:name w:val="BC_Author_Address"/>
    <w:basedOn w:val="Normal"/>
    <w:next w:val="Normal"/>
    <w:qFormat/>
    <w:rsid w:val="00de045b"/>
    <w:pPr>
      <w:spacing w:lineRule="auto" w:line="480" w:before="0" w:after="240"/>
      <w:jc w:val="center"/>
    </w:pPr>
    <w:rPr>
      <w:rFonts w:ascii="Times" w:hAnsi="Times" w:eastAsia="Times New Roman"/>
      <w:szCs w:val="20"/>
      <w:lang w:val="en-US"/>
    </w:rPr>
  </w:style>
  <w:style w:type="paragraph" w:styleId="FrameContents">
    <w:name w:val="Frame Contents"/>
    <w:basedOn w:val="Normal"/>
    <w:qFormat/>
    <w:pPr/>
    <w:rPr/>
  </w:style>
  <w:style w:type="numbering" w:styleId="NoList" w:default="1">
    <w:name w:val="No List"/>
    <w:uiPriority w:val="99"/>
    <w:semiHidden/>
    <w:unhideWhenUsed/>
    <w:qFormat/>
  </w:style>
  <w:style w:type="table" w:default="1" w:styleId="Tabellanormale">
    <w:name w:val="Normal Table"/>
    <w:uiPriority w:val="99"/>
    <w:semiHidden/>
    <w:unhideWhenUsed/>
    <w:tblPr>
      <w:tblCellMar>
        <w:top w:w="0" w:type="dxa"/>
        <w:left w:w="108" w:type="dxa"/>
        <w:bottom w:w="0" w:type="dxa"/>
        <w:right w:w="108" w:type="dxa"/>
      </w:tblCellMar>
    </w:tblPr>
  </w:style>
  <w:style w:type="table" w:styleId="Grigliatabella">
    <w:name w:val="Table Grid"/>
    <w:basedOn w:val="Tabellanormale"/>
    <w:uiPriority w:val="39"/>
    <w:rsid w:val="007e0bdd"/>
    <w:pPr>
      <w:spacing w:after="0" w:line="240" w:lineRule="auto"/>
    </w:pPr>
    <w:rPr>
      <w:lang w:val="en-GB"/>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alessandro.triolo@cnr.it" TargetMode="External"/><Relationship Id="rId3" Type="http://schemas.openxmlformats.org/officeDocument/2006/relationships/hyperlink" Target="mailto:olga.russina@uniroma1.it" TargetMode="External"/><Relationship Id="rId4" Type="http://schemas.openxmlformats.org/officeDocument/2006/relationships/image" Target="media/image1.png"/><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2.jpeg"/><Relationship Id="rId9" Type="http://schemas.openxmlformats.org/officeDocument/2006/relationships/image" Target="media/image3.jpeg"/><Relationship Id="rId10" Type="http://schemas.openxmlformats.org/officeDocument/2006/relationships/image" Target="media/image4.jpeg"/><Relationship Id="rId11" Type="http://schemas.openxmlformats.org/officeDocument/2006/relationships/image" Target="media/image4.jpe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image" Target="media/image7.jpeg"/><Relationship Id="rId17" Type="http://schemas.openxmlformats.org/officeDocument/2006/relationships/image" Target="media/image7.jpeg"/><Relationship Id="rId18" Type="http://schemas.openxmlformats.org/officeDocument/2006/relationships/image" Target="media/image8.png"/><Relationship Id="rId19" Type="http://schemas.openxmlformats.org/officeDocument/2006/relationships/image" Target="media/image8.png"/><Relationship Id="rId20" Type="http://schemas.openxmlformats.org/officeDocument/2006/relationships/image" Target="media/image9.png"/><Relationship Id="rId21" Type="http://schemas.openxmlformats.org/officeDocument/2006/relationships/image" Target="media/image10.png"/><Relationship Id="rId22" Type="http://schemas.openxmlformats.org/officeDocument/2006/relationships/image" Target="media/image9.png"/><Relationship Id="rId23" Type="http://schemas.openxmlformats.org/officeDocument/2006/relationships/image" Target="media/image10.png"/><Relationship Id="rId24" Type="http://schemas.openxmlformats.org/officeDocument/2006/relationships/image" Target="media/image11.jpeg"/><Relationship Id="rId25" Type="http://schemas.openxmlformats.org/officeDocument/2006/relationships/image" Target="media/image12.jpeg"/><Relationship Id="rId26" Type="http://schemas.openxmlformats.org/officeDocument/2006/relationships/image" Target="media/image13.jpeg"/><Relationship Id="rId27" Type="http://schemas.openxmlformats.org/officeDocument/2006/relationships/image" Target="media/image11.jpeg"/><Relationship Id="rId28" Type="http://schemas.openxmlformats.org/officeDocument/2006/relationships/image" Target="media/image12.jpeg"/><Relationship Id="rId29" Type="http://schemas.openxmlformats.org/officeDocument/2006/relationships/image" Target="media/image13.jpeg"/><Relationship Id="rId30" Type="http://schemas.openxmlformats.org/officeDocument/2006/relationships/image" Target="media/image14.jpeg"/><Relationship Id="rId31" Type="http://schemas.openxmlformats.org/officeDocument/2006/relationships/image" Target="media/image15.png"/><Relationship Id="rId32" Type="http://schemas.openxmlformats.org/officeDocument/2006/relationships/image" Target="media/image14.jpeg"/><Relationship Id="rId33" Type="http://schemas.openxmlformats.org/officeDocument/2006/relationships/image" Target="media/image15.png"/><Relationship Id="rId34" Type="http://schemas.openxmlformats.org/officeDocument/2006/relationships/image" Target="media/image16.png"/><Relationship Id="rId35" Type="http://schemas.openxmlformats.org/officeDocument/2006/relationships/image" Target="media/image16.png"/><Relationship Id="rId36" Type="http://schemas.openxmlformats.org/officeDocument/2006/relationships/image" Target="media/image17.jpeg"/><Relationship Id="rId37" Type="http://schemas.openxmlformats.org/officeDocument/2006/relationships/image" Target="media/image17.jpeg"/><Relationship Id="rId38" Type="http://schemas.openxmlformats.org/officeDocument/2006/relationships/image" Target="media/image18.jpeg"/><Relationship Id="rId39" Type="http://schemas.openxmlformats.org/officeDocument/2006/relationships/image" Target="media/image18.jpeg"/><Relationship Id="rId40" Type="http://schemas.openxmlformats.org/officeDocument/2006/relationships/oleObject" Target="embeddings/oleObject1.bin"/><Relationship Id="rId41" Type="http://schemas.openxmlformats.org/officeDocument/2006/relationships/image" Target="media/image19.png"/><Relationship Id="rId42" Type="http://schemas.openxmlformats.org/officeDocument/2006/relationships/image" Target="media/image20.jpeg"/><Relationship Id="rId43" Type="http://schemas.openxmlformats.org/officeDocument/2006/relationships/oleObject" Target="embeddings/oleObject2.bin"/><Relationship Id="rId44" Type="http://schemas.openxmlformats.org/officeDocument/2006/relationships/image" Target="media/image21.png"/><Relationship Id="rId45" Type="http://schemas.openxmlformats.org/officeDocument/2006/relationships/image" Target="media/image20.jpeg"/><Relationship Id="rId46" Type="http://schemas.openxmlformats.org/officeDocument/2006/relationships/image" Target="media/image22.png"/><Relationship Id="rId47" Type="http://schemas.openxmlformats.org/officeDocument/2006/relationships/image" Target="media/image23.png"/><Relationship Id="rId48" Type="http://schemas.openxmlformats.org/officeDocument/2006/relationships/image" Target="media/image24.png"/><Relationship Id="rId49" Type="http://schemas.openxmlformats.org/officeDocument/2006/relationships/image" Target="media/image25.png"/><Relationship Id="rId50" Type="http://schemas.openxmlformats.org/officeDocument/2006/relationships/image" Target="media/image22.png"/><Relationship Id="rId51" Type="http://schemas.openxmlformats.org/officeDocument/2006/relationships/image" Target="media/image23.png"/><Relationship Id="rId52" Type="http://schemas.openxmlformats.org/officeDocument/2006/relationships/image" Target="media/image24.png"/><Relationship Id="rId53" Type="http://schemas.openxmlformats.org/officeDocument/2006/relationships/image" Target="media/image25.png"/><Relationship Id="rId54" Type="http://schemas.openxmlformats.org/officeDocument/2006/relationships/image" Target="media/image26.jpeg"/><Relationship Id="rId55" Type="http://schemas.openxmlformats.org/officeDocument/2006/relationships/image" Target="media/image26.jpeg"/><Relationship Id="rId56" Type="http://schemas.openxmlformats.org/officeDocument/2006/relationships/fontTable" Target="fontTable.xml"/><Relationship Id="rId57" Type="http://schemas.openxmlformats.org/officeDocument/2006/relationships/settings" Target="settings.xml"/><Relationship Id="rId58" Type="http://schemas.openxmlformats.org/officeDocument/2006/relationships/theme" Target="theme/theme1.xml"/><Relationship Id="rId59" Type="http://schemas.openxmlformats.org/officeDocument/2006/relationships/customXml" Target="../customXml/item1.xml"/>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47AEC0-1F53-4262-9B28-2690F8C9FA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13245</TotalTime>
  <Application>LibreOffice/7.3.2.2$MacOSX_X86_64 LibreOffice_project/49f2b1bff42cfccbd8f788c8dc32c1c309559be0</Application>
  <AppVersion>15.0000</AppVersion>
  <Pages>32</Pages>
  <Words>7698</Words>
  <Characters>44870</Characters>
  <CharactersWithSpaces>52377</CharactersWithSpaces>
  <Paragraphs>204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2022-08-27T07:47:00Z</dcterms:created>
  <dc:creator>ATriolo</dc:creator>
  <dc:description/>
  <dc:language>it-IT</dc:language>
  <cp:lastModifiedBy/>
  <dcterms:modified xsi:type="dcterms:W3CDTF">2023-01-05T14:33:53Z</dcterms:modified>
  <cp:revision>39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Citation Style_1">
    <vt:lpwstr>http://www.zotero.org/styles/journal-of-molecular-liquids</vt:lpwstr>
  </property>
  <property fmtid="{D5CDD505-2E9C-101B-9397-08002B2CF9AE}" pid="3" name="Mendeley Document_1">
    <vt:lpwstr>True</vt:lpwstr>
  </property>
  <property fmtid="{D5CDD505-2E9C-101B-9397-08002B2CF9AE}" pid="4" name="Mendeley Recent Style Id 0_1">
    <vt:lpwstr>http://www.zotero.org/styles/american-political-science-association</vt:lpwstr>
  </property>
  <property fmtid="{D5CDD505-2E9C-101B-9397-08002B2CF9AE}" pid="5" name="Mendeley Recent Style Id 1_1">
    <vt:lpwstr>http://www.zotero.org/styles/apa</vt:lpwstr>
  </property>
  <property fmtid="{D5CDD505-2E9C-101B-9397-08002B2CF9AE}" pid="6" name="Mendeley Recent Style Id 2_1">
    <vt:lpwstr>http://www.zotero.org/styles/american-sociological-association</vt:lpwstr>
  </property>
  <property fmtid="{D5CDD505-2E9C-101B-9397-08002B2CF9AE}" pid="7" name="Mendeley Recent Style Id 3_1">
    <vt:lpwstr>http://www.zotero.org/styles/carbohydrate-polymers</vt:lpwstr>
  </property>
  <property fmtid="{D5CDD505-2E9C-101B-9397-08002B2CF9AE}" pid="8" name="Mendeley Recent Style Id 4_1">
    <vt:lpwstr>http://www.zotero.org/styles/chicago-author-date</vt:lpwstr>
  </property>
  <property fmtid="{D5CDD505-2E9C-101B-9397-08002B2CF9AE}" pid="9" name="Mendeley Recent Style Id 5_1">
    <vt:lpwstr>http://www.zotero.org/styles/faraday-discussions</vt:lpwstr>
  </property>
  <property fmtid="{D5CDD505-2E9C-101B-9397-08002B2CF9AE}" pid="10" name="Mendeley Recent Style Id 6_1">
    <vt:lpwstr>http://www.zotero.org/styles/ieee</vt:lpwstr>
  </property>
  <property fmtid="{D5CDD505-2E9C-101B-9397-08002B2CF9AE}" pid="11" name="Mendeley Recent Style Id 7_1">
    <vt:lpwstr>http://www.zotero.org/styles/journal-of-molecular-liquids</vt:lpwstr>
  </property>
  <property fmtid="{D5CDD505-2E9C-101B-9397-08002B2CF9AE}" pid="12" name="Mendeley Recent Style Id 8_1">
    <vt:lpwstr>http://www.zotero.org/styles/modern-humanities-research-association</vt:lpwstr>
  </property>
  <property fmtid="{D5CDD505-2E9C-101B-9397-08002B2CF9AE}" pid="13" name="Mendeley Recent Style Id 9_1">
    <vt:lpwstr>http://www.zotero.org/styles/the-journal-of-physical-chemistry-b</vt:lpwstr>
  </property>
  <property fmtid="{D5CDD505-2E9C-101B-9397-08002B2CF9AE}" pid="14" name="Mendeley Recent Style Name 0_1">
    <vt:lpwstr>American Political Science Association</vt:lpwstr>
  </property>
  <property fmtid="{D5CDD505-2E9C-101B-9397-08002B2CF9AE}" pid="15" name="Mendeley Recent Style Name 1_1">
    <vt:lpwstr>American Psychological Association 7th edition</vt:lpwstr>
  </property>
  <property fmtid="{D5CDD505-2E9C-101B-9397-08002B2CF9AE}" pid="16" name="Mendeley Recent Style Name 2_1">
    <vt:lpwstr>American Sociological Association 6th edition</vt:lpwstr>
  </property>
  <property fmtid="{D5CDD505-2E9C-101B-9397-08002B2CF9AE}" pid="17" name="Mendeley Recent Style Name 3_1">
    <vt:lpwstr>Carbohydrate Polymers</vt:lpwstr>
  </property>
  <property fmtid="{D5CDD505-2E9C-101B-9397-08002B2CF9AE}" pid="18" name="Mendeley Recent Style Name 4_1">
    <vt:lpwstr>Chicago Manual of Style 17th edition (author-date)</vt:lpwstr>
  </property>
  <property fmtid="{D5CDD505-2E9C-101B-9397-08002B2CF9AE}" pid="19" name="Mendeley Recent Style Name 5_1">
    <vt:lpwstr>Faraday Discussions</vt:lpwstr>
  </property>
  <property fmtid="{D5CDD505-2E9C-101B-9397-08002B2CF9AE}" pid="20" name="Mendeley Recent Style Name 6_1">
    <vt:lpwstr>IEEE</vt:lpwstr>
  </property>
  <property fmtid="{D5CDD505-2E9C-101B-9397-08002B2CF9AE}" pid="21" name="Mendeley Recent Style Name 7_1">
    <vt:lpwstr>Journal of Molecular Liquids</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Name 9_1">
    <vt:lpwstr>The Journal of Physical Chemistry B</vt:lpwstr>
  </property>
  <property fmtid="{D5CDD505-2E9C-101B-9397-08002B2CF9AE}" pid="24" name="Mendeley Unique User Id_1">
    <vt:lpwstr>c3fd06ca-6449-308c-adf9-2e8cbc721c04</vt:lpwstr>
  </property>
</Properties>
</file>